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C671F">
      <w:pPr>
        <w:keepNext w:val="0"/>
        <w:keepLines w:val="0"/>
        <w:pageBreakBefore w:val="0"/>
        <w:widowControl w:val="0"/>
        <w:kinsoku/>
        <w:wordWrap/>
        <w:overflowPunct/>
        <w:topLinePunct w:val="0"/>
        <w:bidi w:val="0"/>
        <w:spacing w:line="570" w:lineRule="exact"/>
        <w:jc w:val="center"/>
        <w:rPr>
          <w:rFonts w:hint="eastAsia" w:ascii="方正小标宋简体" w:hAnsi="方正小标宋简体" w:eastAsia="方正小标宋简体" w:cs="方正小标宋简体"/>
        </w:rPr>
      </w:pPr>
      <w:bookmarkStart w:id="0" w:name="_GoBack"/>
      <w:r>
        <w:rPr>
          <w:rFonts w:hint="eastAsia" w:ascii="方正小标宋简体" w:hAnsi="方正小标宋简体" w:eastAsia="方正小标宋简体" w:cs="方正小标宋简体"/>
          <w:sz w:val="32"/>
          <w:szCs w:val="32"/>
        </w:rPr>
        <w:t>山西鑫隆源工贸有限公司装配式建设项目</w:t>
      </w:r>
      <w:r>
        <w:rPr>
          <w:rFonts w:hint="eastAsia" w:ascii="方正小标宋简体" w:hAnsi="方正小标宋简体" w:eastAsia="方正小标宋简体" w:cs="方正小标宋简体"/>
          <w:sz w:val="32"/>
          <w:szCs w:val="32"/>
          <w:lang w:val="en-US" w:eastAsia="zh-CN"/>
        </w:rPr>
        <w:t>拟批复意见表</w:t>
      </w:r>
      <w:bookmarkEnd w:id="0"/>
    </w:p>
    <w:tbl>
      <w:tblPr>
        <w:tblStyle w:val="6"/>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15"/>
        <w:gridCol w:w="892"/>
        <w:gridCol w:w="714"/>
        <w:gridCol w:w="691"/>
        <w:gridCol w:w="1656"/>
        <w:gridCol w:w="3224"/>
      </w:tblGrid>
      <w:tr w14:paraId="2D27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680C62A5">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序号</w:t>
            </w:r>
          </w:p>
        </w:tc>
        <w:tc>
          <w:tcPr>
            <w:tcW w:w="424" w:type="pct"/>
            <w:vAlign w:val="center"/>
          </w:tcPr>
          <w:p w14:paraId="3E314BC1">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项目名称</w:t>
            </w:r>
          </w:p>
        </w:tc>
        <w:tc>
          <w:tcPr>
            <w:tcW w:w="591" w:type="pct"/>
            <w:vAlign w:val="center"/>
          </w:tcPr>
          <w:p w14:paraId="0433EF9A">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建设单位</w:t>
            </w:r>
          </w:p>
        </w:tc>
        <w:tc>
          <w:tcPr>
            <w:tcW w:w="483" w:type="pct"/>
            <w:vAlign w:val="center"/>
          </w:tcPr>
          <w:p w14:paraId="577B9B2B">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建设地点</w:t>
            </w:r>
          </w:p>
        </w:tc>
        <w:tc>
          <w:tcPr>
            <w:tcW w:w="469" w:type="pct"/>
            <w:vAlign w:val="center"/>
          </w:tcPr>
          <w:p w14:paraId="3BFCB19D">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环境影响评价机构</w:t>
            </w:r>
          </w:p>
        </w:tc>
        <w:tc>
          <w:tcPr>
            <w:tcW w:w="752" w:type="pct"/>
            <w:vAlign w:val="center"/>
          </w:tcPr>
          <w:p w14:paraId="6836AA93">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建设概况</w:t>
            </w:r>
          </w:p>
        </w:tc>
        <w:tc>
          <w:tcPr>
            <w:tcW w:w="2005" w:type="pct"/>
            <w:vAlign w:val="center"/>
          </w:tcPr>
          <w:p w14:paraId="143AC1BD">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shd w:val="clear" w:color="auto" w:fill="FFFFFF"/>
                <w14:textFill>
                  <w14:solidFill>
                    <w14:schemeClr w14:val="tx1"/>
                  </w14:solidFill>
                </w14:textFill>
              </w:rPr>
              <w:t>主要环境影响及预防或者减轻环境影响的对策和措施</w:t>
            </w:r>
          </w:p>
        </w:tc>
      </w:tr>
      <w:tr w14:paraId="2248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tcPr>
          <w:p w14:paraId="5597D80D">
            <w:pPr>
              <w:keepNext w:val="0"/>
              <w:keepLines w:val="0"/>
              <w:pageBreakBefore w:val="0"/>
              <w:widowControl w:val="0"/>
              <w:kinsoku/>
              <w:wordWrap/>
              <w:overflowPunct/>
              <w:topLinePunct w:val="0"/>
              <w:bidi w:val="0"/>
              <w:spacing w:line="350" w:lineRule="exac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w:t>
            </w:r>
          </w:p>
        </w:tc>
        <w:tc>
          <w:tcPr>
            <w:tcW w:w="424" w:type="pct"/>
          </w:tcPr>
          <w:p w14:paraId="3D485E56">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highlight w:val="none"/>
                <w:lang w:eastAsia="zh-CN"/>
              </w:rPr>
              <w:t>山西鑫隆源工贸有限公司装配式建设项目</w:t>
            </w:r>
          </w:p>
        </w:tc>
        <w:tc>
          <w:tcPr>
            <w:tcW w:w="591" w:type="pct"/>
          </w:tcPr>
          <w:p w14:paraId="1C57ED80">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highlight w:val="none"/>
                <w:lang w:eastAsia="zh-CN"/>
              </w:rPr>
              <w:t>山西鑫隆源工贸有限公司</w:t>
            </w:r>
          </w:p>
        </w:tc>
        <w:tc>
          <w:tcPr>
            <w:tcW w:w="483" w:type="pct"/>
          </w:tcPr>
          <w:p w14:paraId="743EFC52">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highlight w:val="none"/>
                <w:lang w:val="en-US" w:eastAsia="zh-CN"/>
              </w:rPr>
              <w:t>山西省长治市壶关县集店镇常平村</w:t>
            </w:r>
          </w:p>
        </w:tc>
        <w:tc>
          <w:tcPr>
            <w:tcW w:w="469" w:type="pct"/>
          </w:tcPr>
          <w:p w14:paraId="2F62D82A">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山西</w:t>
            </w:r>
            <w:r>
              <w:rPr>
                <w:rFonts w:hint="eastAsia" w:ascii="仿宋" w:hAnsi="仿宋" w:eastAsia="仿宋" w:cs="仿宋"/>
                <w:color w:val="000000" w:themeColor="text1"/>
                <w:sz w:val="24"/>
                <w:szCs w:val="24"/>
                <w:lang w:val="en-US" w:eastAsia="zh-CN"/>
                <w14:textFill>
                  <w14:solidFill>
                    <w14:schemeClr w14:val="tx1"/>
                  </w14:solidFill>
                </w14:textFill>
              </w:rPr>
              <w:t>智通四海工程项目管理</w:t>
            </w:r>
            <w:r>
              <w:rPr>
                <w:rFonts w:hint="eastAsia" w:ascii="仿宋" w:hAnsi="仿宋" w:eastAsia="仿宋" w:cs="仿宋"/>
                <w:color w:val="000000" w:themeColor="text1"/>
                <w:sz w:val="24"/>
                <w:szCs w:val="24"/>
                <w14:textFill>
                  <w14:solidFill>
                    <w14:schemeClr w14:val="tx1"/>
                  </w14:solidFill>
                </w14:textFill>
              </w:rPr>
              <w:t>有限公司</w:t>
            </w:r>
          </w:p>
        </w:tc>
        <w:tc>
          <w:tcPr>
            <w:tcW w:w="752" w:type="pct"/>
          </w:tcPr>
          <w:p w14:paraId="7E0B9F31">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山西鑫隆源工贸有限公司装配式建设项目位于山西省长治市壶关县集店镇常平村，占地面积42128.28m2。本项目建设内容为新建生产车间、办公楼、原料库等建筑30000平方米，场地硬化面积3000平方米，购置布料预洗装置、双螺旋洗砂机、轮式洗砂机、搅拌机、输送机等相关配套设施设备。建设规模为年产水洗砂50万吨、水稳料30万吨、湿拌砂浆10万吨、预制构件10万吨。</w:t>
            </w:r>
          </w:p>
        </w:tc>
        <w:tc>
          <w:tcPr>
            <w:tcW w:w="2005" w:type="pct"/>
          </w:tcPr>
          <w:p w14:paraId="159A15C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一、废气污染源及防治措施</w:t>
            </w:r>
          </w:p>
          <w:p w14:paraId="7A18CF2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水洗砂生产线上料产生的颗粒物。上料口设置集气罩，废气经收集后经1套布袋除尘器(TA001)处理，后由一根26m高排气筒(DA001)排放。</w:t>
            </w:r>
          </w:p>
          <w:p w14:paraId="2270A9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水稳料生产线上料、搅拌机进料产生的颗粒物。上料口、搅拌机进料口设置集气罩，废气经收集后共用1套布袋除尘器(TA002)处理，后由一根26m高排气筒(DA002)排放。</w:t>
            </w:r>
          </w:p>
          <w:p w14:paraId="50F7E8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湿拌砂浆生产线上料、搅拌机进料产生的颗粒物。上料口、搅拌机进料口设置集气罩，废气经收集后共用1套布袋除尘器(TA003)处理，后由一根26m高排气筒(DA003)排放。</w:t>
            </w:r>
          </w:p>
          <w:p w14:paraId="01D427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湿拌砂浆生产线水泥料仓产生的颗粒物。设水泥料仓1座，经仓顶布袋除尘器(TA004)处理后通过一根15m高排气筒(DA004)排放。</w:t>
            </w:r>
          </w:p>
          <w:p w14:paraId="467395B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湿拌砂浆生产线粉煤灰料仓产生的颗粒物。设粉煤灰料仓1座，经仓顶布袋除尘器(TA005)处理后通过一根15m高排气筒(DA005)排放。</w:t>
            </w:r>
          </w:p>
          <w:p w14:paraId="28264FB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预制构件生产线上料、搅拌机进料、焊接产生的颗粒物。上料口、搅拌机进料口设置集气罩，每个焊接工位上设置移动式集气臂，废气经收集后共用1套布袋除尘器(TA006)处理，后由15m高排气筒(DA006)排放。</w:t>
            </w:r>
          </w:p>
          <w:p w14:paraId="1FA51EA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预制构件生产线水泥料仓产生的颗粒物。设水泥料仓1座，经仓顶布袋除尘器(TA007)处理后通过1根15m高排气筒(DA007)排放。</w:t>
            </w:r>
          </w:p>
          <w:p w14:paraId="37911AC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预制构件生产线粉煤灰料仓产生的颗粒物。设粉煤灰料仓1座，经仓顶布袋除尘器(TA008)处理后通过1根15m高排气筒(DA008)排放。</w:t>
            </w:r>
          </w:p>
          <w:p w14:paraId="5ED6F7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以上DA001-DA008各排气筒颗粒物排放浓度均满足《水泥工业大气污染物排放标准》(DB14/3176-2024)要求。</w:t>
            </w:r>
          </w:p>
          <w:p w14:paraId="69BF6D3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车辆运输产生的扬尘。厂区内道路及厂区至主干路的道路硬化，运输车辆均使用国六</w:t>
            </w:r>
            <w:r>
              <w:rPr>
                <w:rFonts w:hint="eastAsia" w:ascii="仿宋_GB2312" w:hAnsi="仿宋_GB2312" w:eastAsia="仿宋_GB2312" w:cs="仿宋_GB2312"/>
                <w:sz w:val="20"/>
                <w:szCs w:val="21"/>
                <w:lang w:val="en-US" w:eastAsia="zh-CN"/>
              </w:rPr>
              <w:tab/>
            </w:r>
            <w:r>
              <w:rPr>
                <w:rFonts w:hint="eastAsia" w:ascii="仿宋_GB2312" w:hAnsi="仿宋_GB2312" w:eastAsia="仿宋_GB2312" w:cs="仿宋_GB2312"/>
                <w:sz w:val="20"/>
                <w:szCs w:val="21"/>
                <w:lang w:val="en-US" w:eastAsia="zh-CN"/>
              </w:rPr>
              <w:t>及以上或新能源封闭运输车辆，杜绝抛洒，在易起尘路段减速慢行，运输过程加盖篷布，限制超载，厂内物料运输采用全封闭皮带输送，厂区出口设置洗车平台，对进出厂车辆进行清洗，厂内配备洒水车及吸尘车，对厂区道路定期洒水抑尘。</w:t>
            </w:r>
          </w:p>
          <w:p w14:paraId="3731A67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原料装卸产生的扬尘。固定装卸位，在全封闭的厂房内卸车，顶部加装雾化喷淋设施，装卸作业时尽量降低卸料高度；装卸作业所用非道路移动机械采用国三以上，并在非道路移动机械监管平台进行登记，使用符合《车用柴油》(GB19147-2016)标准的燃料。</w:t>
            </w:r>
          </w:p>
          <w:p w14:paraId="214A2B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lang w:val="en-US" w:eastAsia="zh-CN"/>
              </w:rPr>
              <w:t>二、</w:t>
            </w:r>
            <w:r>
              <w:rPr>
                <w:rFonts w:hint="eastAsia" w:ascii="仿宋_GB2312" w:hAnsi="仿宋_GB2312" w:eastAsia="仿宋_GB2312" w:cs="仿宋_GB2312"/>
                <w:sz w:val="20"/>
                <w:szCs w:val="21"/>
              </w:rPr>
              <w:t>废水污染源及防治措施</w:t>
            </w:r>
          </w:p>
          <w:p w14:paraId="0355339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生活污水通过厂区总排口排入市政污水管网进入壶关县第二污水处理厂处理。</w:t>
            </w:r>
          </w:p>
          <w:p w14:paraId="06F63C1A">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搅拌机清洗废水收集后进入集水罐(高9m，直径6m)，经沉淀处理后回用于生产。</w:t>
            </w:r>
          </w:p>
          <w:p w14:paraId="7C40ACDA">
            <w:pPr>
              <w:keepNext w:val="0"/>
              <w:keepLines w:val="0"/>
              <w:pageBreakBefore w:val="0"/>
              <w:widowControl w:val="0"/>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洗砂废水全部汇入厂区集水罐进行沉淀处理，污泥泵入污泥罐，上清液经清水罐储存后回用于洗砂生产等工序，污泥经板框压滤机脱水后废水回用于洗砂机洗砂，无废水外排。</w:t>
            </w:r>
          </w:p>
          <w:p w14:paraId="36D129D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车辆冲洗废水经沉淀水池(3mX2mX1m)沉淀后循环使用。</w:t>
            </w:r>
          </w:p>
          <w:p w14:paraId="6DA0EF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车辆罐体冲洗废水经集水罐沉淀处理后循环使用。</w:t>
            </w:r>
          </w:p>
          <w:p w14:paraId="02C3FC4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lang w:val="en-US" w:eastAsia="zh-CN"/>
              </w:rPr>
              <w:t>三、</w:t>
            </w:r>
            <w:r>
              <w:rPr>
                <w:rFonts w:hint="eastAsia" w:ascii="仿宋_GB2312" w:hAnsi="仿宋_GB2312" w:eastAsia="仿宋_GB2312" w:cs="仿宋_GB2312"/>
                <w:sz w:val="20"/>
                <w:szCs w:val="21"/>
              </w:rPr>
              <w:t>噪声污染源防治措施</w:t>
            </w:r>
          </w:p>
          <w:p w14:paraId="0DCE92B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采取厂房全封闭、采用低噪声设备，置于室内，基础减震等措施，减少噪声对周围环境的影响。正常工况下厂界四周的噪声贡献值满足《工业企业厂界环境噪声排放标准》(GB12348-2008)中3类标准昼间65dB(A)、夜间55dB(A)的要求。声环境保护目标敏感点的噪声预测值满足《声环境质量标准》(GB3096-2008)中2类标准昼间60dB(A)、夜间50dB(A)的要求。</w:t>
            </w:r>
          </w:p>
          <w:p w14:paraId="38FB75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lang w:val="en-US" w:eastAsia="zh-CN"/>
              </w:rPr>
              <w:t>四、</w:t>
            </w:r>
            <w:r>
              <w:rPr>
                <w:rFonts w:hint="eastAsia" w:ascii="仿宋_GB2312" w:hAnsi="仿宋_GB2312" w:eastAsia="仿宋_GB2312" w:cs="仿宋_GB2312"/>
                <w:sz w:val="20"/>
                <w:szCs w:val="21"/>
              </w:rPr>
              <w:t>固体污染源防治措施</w:t>
            </w:r>
          </w:p>
          <w:p w14:paraId="2843344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一般工业固体废物包括除尘灰、废边角料(废钢筋)、泥饼、残次品。除尘灰收集后作为原料回收利用</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泥饼不进行贮存，立即运至壶关县鑫融建材有限公司用于生产</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焊接钢筋产生的废边角料外售废品收购站</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残次品集中收集后送至建材厂或砖厂综合处置。</w:t>
            </w:r>
          </w:p>
          <w:p w14:paraId="46586AB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rPr>
              <w:t>危险废物包括废润滑油和废油桶，暂存于一座20m</w:t>
            </w:r>
            <w:r>
              <w:rPr>
                <w:rFonts w:hint="eastAsia" w:ascii="仿宋_GB2312" w:hAnsi="仿宋_GB2312" w:eastAsia="仿宋_GB2312" w:cs="仿宋_GB2312"/>
                <w:sz w:val="20"/>
                <w:szCs w:val="21"/>
                <w:vertAlign w:val="superscript"/>
              </w:rPr>
              <w:t>2</w:t>
            </w:r>
            <w:r>
              <w:rPr>
                <w:rFonts w:hint="eastAsia" w:ascii="仿宋_GB2312" w:hAnsi="仿宋_GB2312" w:eastAsia="仿宋_GB2312" w:cs="仿宋_GB2312"/>
                <w:sz w:val="20"/>
                <w:szCs w:val="21"/>
              </w:rPr>
              <w:t>危废贮存库，定期委托有资质的单位进行处理处置。危险废物的分类收集、暂存按照《危险废物贮存污染控制标准》(GB18597-2023)中相关规定执</w:t>
            </w:r>
            <w:r>
              <w:rPr>
                <w:rFonts w:hint="eastAsia" w:ascii="仿宋_GB2312" w:hAnsi="仿宋_GB2312" w:eastAsia="仿宋_GB2312" w:cs="仿宋_GB2312"/>
                <w:sz w:val="20"/>
                <w:szCs w:val="21"/>
                <w:lang w:val="en-US" w:eastAsia="zh-CN"/>
              </w:rPr>
              <w:t>行。</w:t>
            </w:r>
          </w:p>
          <w:p w14:paraId="0F2A79F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rPr>
              <w:t>生活垃圾</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集中收集后交由当地环卫部门处置。</w:t>
            </w:r>
          </w:p>
          <w:p w14:paraId="49B434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rPr>
            </w:pPr>
            <w:r>
              <w:rPr>
                <w:rFonts w:hint="eastAsia" w:ascii="仿宋_GB2312" w:hAnsi="仿宋_GB2312" w:eastAsia="仿宋_GB2312" w:cs="仿宋_GB2312"/>
                <w:sz w:val="20"/>
                <w:szCs w:val="21"/>
                <w:lang w:val="en-US" w:eastAsia="zh-CN"/>
              </w:rPr>
              <w:t>五、</w:t>
            </w:r>
            <w:r>
              <w:rPr>
                <w:rFonts w:hint="eastAsia" w:ascii="仿宋_GB2312" w:hAnsi="仿宋_GB2312" w:eastAsia="仿宋_GB2312" w:cs="仿宋_GB2312"/>
                <w:sz w:val="20"/>
                <w:szCs w:val="21"/>
              </w:rPr>
              <w:t>地下水、土壤防治措施</w:t>
            </w:r>
          </w:p>
          <w:p w14:paraId="42A4212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eastAsia="zh-CN"/>
              </w:rPr>
            </w:pPr>
            <w:r>
              <w:rPr>
                <w:rFonts w:hint="eastAsia" w:ascii="仿宋_GB2312" w:hAnsi="仿宋_GB2312" w:eastAsia="仿宋_GB2312" w:cs="仿宋_GB2312"/>
                <w:sz w:val="20"/>
                <w:szCs w:val="21"/>
              </w:rPr>
              <w:t>危废贮存点按照《危险废物贮存污染控制标准》(GB18597-2023)执行</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lang w:val="en-US" w:eastAsia="zh-CN"/>
              </w:rPr>
              <w:t>采用</w:t>
            </w:r>
            <w:r>
              <w:rPr>
                <w:rFonts w:hint="eastAsia" w:ascii="仿宋_GB2312" w:hAnsi="仿宋_GB2312" w:eastAsia="仿宋_GB2312" w:cs="仿宋_GB2312"/>
                <w:sz w:val="20"/>
                <w:szCs w:val="21"/>
              </w:rPr>
              <w:t>地面素土夯实</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3:7灰土基层200mm</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基础层采用C25抗渗混凝土浇筑，抗渗混凝土的抗渗等级不宜小于P8，厚度在200mm以上，上铺设2mm厚高密度环氧树脂，或至少2mm厚的其他人工材料，渗透系数≤10</w:t>
            </w:r>
            <w:r>
              <w:rPr>
                <w:rFonts w:hint="eastAsia" w:ascii="仿宋_GB2312" w:hAnsi="仿宋_GB2312" w:eastAsia="仿宋_GB2312" w:cs="仿宋_GB2312"/>
                <w:sz w:val="20"/>
                <w:szCs w:val="21"/>
                <w:vertAlign w:val="superscript"/>
              </w:rPr>
              <w:t>-10</w:t>
            </w:r>
            <w:r>
              <w:rPr>
                <w:rFonts w:hint="eastAsia" w:ascii="仿宋_GB2312" w:hAnsi="仿宋_GB2312" w:eastAsia="仿宋_GB2312" w:cs="仿宋_GB2312"/>
                <w:sz w:val="20"/>
                <w:szCs w:val="21"/>
              </w:rPr>
              <w:t>cm/s</w:t>
            </w:r>
            <w:r>
              <w:rPr>
                <w:rFonts w:hint="eastAsia" w:ascii="仿宋_GB2312" w:hAnsi="仿宋_GB2312" w:eastAsia="仿宋_GB2312" w:cs="仿宋_GB2312"/>
                <w:sz w:val="20"/>
                <w:szCs w:val="21"/>
                <w:lang w:eastAsia="zh-CN"/>
              </w:rPr>
              <w:t>。</w:t>
            </w:r>
          </w:p>
          <w:p w14:paraId="63749BC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00" w:firstLineChars="200"/>
              <w:textAlignment w:val="auto"/>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rPr>
              <w:t>生产车间、沉淀池、洗车平台、初期雨水收集池、地下</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lang w:val="en-US" w:eastAsia="zh-CN"/>
              </w:rPr>
              <w:t>采用</w:t>
            </w:r>
            <w:r>
              <w:rPr>
                <w:rFonts w:hint="eastAsia" w:ascii="仿宋_GB2312" w:hAnsi="仿宋_GB2312" w:eastAsia="仿宋_GB2312" w:cs="仿宋_GB2312"/>
                <w:sz w:val="20"/>
                <w:szCs w:val="21"/>
              </w:rPr>
              <w:t>等效黏土防渗层Mb≥1.5m</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K≤1X10-7cm/s</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地面素土夯实</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3:7灰土基层200mm</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基础层采用C25抗渗混凝土浇筑，抗渗混凝土的抗渗等级不宜小于P6，厚度在200mm以上，等效黏土防渗层Mb&gt;1.5m</w:t>
            </w:r>
            <w:r>
              <w:rPr>
                <w:rFonts w:hint="eastAsia" w:ascii="仿宋_GB2312" w:hAnsi="仿宋_GB2312" w:eastAsia="仿宋_GB2312" w:cs="仿宋_GB2312"/>
                <w:sz w:val="20"/>
                <w:szCs w:val="21"/>
                <w:lang w:eastAsia="zh-CN"/>
              </w:rPr>
              <w:t>，</w:t>
            </w:r>
            <w:r>
              <w:rPr>
                <w:rFonts w:hint="eastAsia" w:ascii="仿宋_GB2312" w:hAnsi="仿宋_GB2312" w:eastAsia="仿宋_GB2312" w:cs="仿宋_GB2312"/>
                <w:sz w:val="20"/>
                <w:szCs w:val="21"/>
              </w:rPr>
              <w:t>K≤1.0x10</w:t>
            </w:r>
            <w:r>
              <w:rPr>
                <w:rFonts w:hint="eastAsia" w:ascii="仿宋_GB2312" w:hAnsi="仿宋_GB2312" w:eastAsia="仿宋_GB2312" w:cs="仿宋_GB2312"/>
                <w:sz w:val="20"/>
                <w:szCs w:val="21"/>
                <w:vertAlign w:val="superscript"/>
              </w:rPr>
              <w:t>-7</w:t>
            </w:r>
            <w:r>
              <w:rPr>
                <w:rFonts w:hint="eastAsia" w:ascii="仿宋_GB2312" w:hAnsi="仿宋_GB2312" w:eastAsia="仿宋_GB2312" w:cs="仿宋_GB2312"/>
                <w:sz w:val="20"/>
                <w:szCs w:val="21"/>
              </w:rPr>
              <w:t>cm/s。</w:t>
            </w:r>
          </w:p>
          <w:p w14:paraId="64E96133">
            <w:pPr>
              <w:keepNext w:val="0"/>
              <w:keepLines w:val="0"/>
              <w:pageBreakBefore w:val="0"/>
              <w:widowControl w:val="0"/>
              <w:kinsoku/>
              <w:wordWrap/>
              <w:overflowPunct/>
              <w:topLinePunct w:val="0"/>
              <w:bidi w:val="0"/>
              <w:spacing w:line="350" w:lineRule="exact"/>
              <w:ind w:firstLine="40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仿宋_GB2312" w:hAnsi="仿宋_GB2312" w:eastAsia="仿宋_GB2312" w:cs="仿宋_GB2312"/>
                <w:sz w:val="20"/>
                <w:szCs w:val="21"/>
                <w:lang w:val="en-US" w:eastAsia="zh-CN"/>
              </w:rPr>
              <w:t>厂</w:t>
            </w:r>
            <w:r>
              <w:rPr>
                <w:rFonts w:hint="eastAsia" w:ascii="仿宋_GB2312" w:hAnsi="仿宋_GB2312" w:eastAsia="仿宋_GB2312" w:cs="仿宋_GB2312"/>
                <w:sz w:val="20"/>
                <w:szCs w:val="21"/>
              </w:rPr>
              <w:t>区道路、办</w:t>
            </w:r>
            <w:r>
              <w:rPr>
                <w:rFonts w:hint="eastAsia" w:ascii="仿宋_GB2312" w:hAnsi="仿宋_GB2312" w:eastAsia="仿宋_GB2312" w:cs="仿宋_GB2312"/>
                <w:sz w:val="20"/>
                <w:szCs w:val="21"/>
                <w:lang w:val="en-US" w:eastAsia="zh-CN"/>
              </w:rPr>
              <w:t>公生活区采用一</w:t>
            </w:r>
            <w:r>
              <w:rPr>
                <w:rFonts w:hint="eastAsia" w:ascii="仿宋_GB2312" w:hAnsi="仿宋_GB2312" w:eastAsia="仿宋_GB2312" w:cs="仿宋_GB2312"/>
                <w:sz w:val="20"/>
                <w:szCs w:val="21"/>
              </w:rPr>
              <w:t>般地面硬化</w:t>
            </w:r>
            <w:r>
              <w:rPr>
                <w:rFonts w:hint="eastAsia" w:ascii="仿宋_GB2312" w:hAnsi="仿宋_GB2312" w:eastAsia="仿宋_GB2312" w:cs="仿宋_GB2312"/>
                <w:sz w:val="20"/>
                <w:szCs w:val="21"/>
                <w:lang w:eastAsia="zh-CN"/>
              </w:rPr>
              <w:t>。</w:t>
            </w:r>
          </w:p>
        </w:tc>
      </w:tr>
    </w:tbl>
    <w:p w14:paraId="61945C84">
      <w:pPr>
        <w:keepNext w:val="0"/>
        <w:keepLines w:val="0"/>
        <w:pageBreakBefore w:val="0"/>
        <w:widowControl w:val="0"/>
        <w:kinsoku/>
        <w:wordWrap/>
        <w:overflowPunct/>
        <w:topLinePunct w:val="0"/>
        <w:bidi w:val="0"/>
        <w:spacing w:line="350" w:lineRule="exact"/>
        <w:rPr>
          <w:rFonts w:hint="eastAsia"/>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50"/>
    <w:rsid w:val="001975EF"/>
    <w:rsid w:val="002F6437"/>
    <w:rsid w:val="00474656"/>
    <w:rsid w:val="00492211"/>
    <w:rsid w:val="004A055C"/>
    <w:rsid w:val="007C4964"/>
    <w:rsid w:val="00867634"/>
    <w:rsid w:val="008B20A2"/>
    <w:rsid w:val="008B257D"/>
    <w:rsid w:val="009A47FD"/>
    <w:rsid w:val="009C700E"/>
    <w:rsid w:val="00A27756"/>
    <w:rsid w:val="00A97222"/>
    <w:rsid w:val="00AE1B50"/>
    <w:rsid w:val="00CB7AC6"/>
    <w:rsid w:val="00D64FB2"/>
    <w:rsid w:val="00E05C69"/>
    <w:rsid w:val="00E4386B"/>
    <w:rsid w:val="00F142BF"/>
    <w:rsid w:val="00F44C2D"/>
    <w:rsid w:val="00FA280D"/>
    <w:rsid w:val="03B56367"/>
    <w:rsid w:val="0EBC4821"/>
    <w:rsid w:val="1604148A"/>
    <w:rsid w:val="307308C7"/>
    <w:rsid w:val="38707651"/>
    <w:rsid w:val="5D4E371F"/>
    <w:rsid w:val="676B283C"/>
    <w:rsid w:val="6EC85C2A"/>
    <w:rsid w:val="7B561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2"/>
    <w:basedOn w:val="1"/>
    <w:next w:val="1"/>
    <w:link w:val="11"/>
    <w:qFormat/>
    <w:uiPriority w:val="0"/>
    <w:pPr>
      <w:spacing w:after="120" w:line="480" w:lineRule="auto"/>
      <w:ind w:left="420" w:leftChars="200"/>
    </w:pPr>
    <w:rPr>
      <w:rFonts w:ascii="Times New Roman" w:hAnsi="Times New Roman" w:eastAsia="宋体" w:cs="Times New Roman"/>
      <w:szCs w:val="24"/>
      <w14:ligatures w14:val="none"/>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缩进 2 字符"/>
    <w:basedOn w:val="7"/>
    <w:link w:val="2"/>
    <w:qFormat/>
    <w:uiPriority w:val="0"/>
    <w:rPr>
      <w:rFonts w:ascii="Times New Roman" w:hAnsi="Times New Roman" w:eastAsia="宋体" w:cs="Times New Roman"/>
      <w:szCs w:val="2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1902</Words>
  <Characters>2230</Characters>
  <Lines>6</Lines>
  <Paragraphs>1</Paragraphs>
  <TotalTime>0</TotalTime>
  <ScaleCrop>false</ScaleCrop>
  <LinksUpToDate>false</LinksUpToDate>
  <CharactersWithSpaces>2231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2026-06-02T03:36:00Z</dcterms:created>
  <dc:creator>Windows 用户</dc:creator>
  <cp:lastModifiedBy>角逐</cp:lastModifiedBy>
  <cp:lastPrinted>2026-06-09T00:48:00Z</cp:lastPrinted>
  <dcterms:modified xsi:type="dcterms:W3CDTF">2026-09-07T01:43:42Z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eyJoZGlkIjoiZTY2MTcxN2VjNmZhMmM4NjQ0NzU3OWRlNTc1NmI5NjQiLCJ1c2VySWQiOiIzMDExNTcwMjkifQ==</vt:lpwstr>
  </property>
  <property fmtid="{D5CDD505-2E9C-101B-9397-08002B2CF9AE}" pid="3" name="KSOProductBuildVer">
    <vt:lpwstr>2052-12.1.0.28505</vt:lpwstr>
  </property>
  <property fmtid="{D5CDD505-2E9C-101B-9397-08002B2CF9AE}" pid="4" name="ICV">
    <vt:lpwstr>8F82818FE41D4B419532F2E4C877F96C_13</vt:lpwstr>
  </property>
</Properties>
</file>