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2B90F2">
      <w:pPr>
        <w:pStyle w:val="4"/>
      </w:pPr>
    </w:p>
    <w:p w14:paraId="706EE612">
      <w:pPr>
        <w:rPr>
          <w:rFonts w:ascii="仿宋_GB2312" w:hAnsi="仿宋_GB2312" w:eastAsia="仿宋_GB2312" w:cs="仿宋_GB2312"/>
          <w:color w:val="auto"/>
          <w:sz w:val="36"/>
          <w:szCs w:val="36"/>
        </w:rPr>
      </w:pPr>
    </w:p>
    <w:p w14:paraId="2E5DA3B0">
      <w:pPr>
        <w:rPr>
          <w:rFonts w:ascii="仿宋_GB2312" w:hAnsi="仿宋_GB2312" w:eastAsia="仿宋_GB2312" w:cs="仿宋_GB2312"/>
          <w:color w:val="auto"/>
          <w:sz w:val="36"/>
          <w:szCs w:val="36"/>
        </w:rPr>
      </w:pPr>
    </w:p>
    <w:p w14:paraId="28FCB129">
      <w:pPr>
        <w:rPr>
          <w:rFonts w:ascii="仿宋_GB2312" w:hAnsi="仿宋_GB2312" w:eastAsia="仿宋_GB2312" w:cs="仿宋_GB2312"/>
          <w:color w:val="auto"/>
          <w:sz w:val="36"/>
          <w:szCs w:val="36"/>
        </w:rPr>
      </w:pPr>
    </w:p>
    <w:p w14:paraId="5E417CD5">
      <w:pPr>
        <w:adjustRightInd w:val="0"/>
        <w:snapToGrid w:val="0"/>
        <w:jc w:val="center"/>
        <w:outlineLvl w:val="0"/>
        <w:rPr>
          <w:rFonts w:ascii="方正小标宋_GBK" w:eastAsia="方正小标宋_GBK"/>
          <w:bCs/>
          <w:color w:val="auto"/>
          <w:sz w:val="72"/>
          <w:szCs w:val="72"/>
        </w:rPr>
      </w:pPr>
      <w:r>
        <w:rPr>
          <w:rFonts w:hint="eastAsia" w:ascii="方正小标宋_GBK" w:eastAsia="方正小标宋_GBK"/>
          <w:bCs/>
          <w:color w:val="auto"/>
          <w:sz w:val="72"/>
          <w:szCs w:val="72"/>
        </w:rPr>
        <w:t>建设项目环境影响报告表</w:t>
      </w:r>
    </w:p>
    <w:p w14:paraId="145BDAED">
      <w:pPr>
        <w:adjustRightInd w:val="0"/>
        <w:snapToGrid w:val="0"/>
        <w:spacing w:beforeLines="80"/>
        <w:jc w:val="center"/>
        <w:rPr>
          <w:rFonts w:ascii="楷体_GB2312" w:eastAsia="楷体_GB2312"/>
          <w:bCs/>
          <w:color w:val="auto"/>
          <w:sz w:val="48"/>
          <w:szCs w:val="48"/>
        </w:rPr>
      </w:pPr>
      <w:r>
        <w:rPr>
          <w:rFonts w:hint="eastAsia" w:ascii="楷体_GB2312" w:eastAsia="楷体_GB2312"/>
          <w:bCs/>
          <w:color w:val="auto"/>
          <w:sz w:val="48"/>
          <w:szCs w:val="48"/>
        </w:rPr>
        <w:t>（污染影响类）</w:t>
      </w:r>
    </w:p>
    <w:p w14:paraId="5C64A917">
      <w:pPr>
        <w:adjustRightInd w:val="0"/>
        <w:snapToGrid w:val="0"/>
        <w:spacing w:line="288" w:lineRule="auto"/>
        <w:jc w:val="center"/>
        <w:rPr>
          <w:rFonts w:ascii="华文仿宋" w:hAnsi="华文仿宋" w:eastAsia="华文仿宋" w:cs="华文仿宋"/>
          <w:color w:val="auto"/>
          <w:kern w:val="44"/>
          <w:sz w:val="44"/>
          <w:szCs w:val="44"/>
        </w:rPr>
      </w:pPr>
    </w:p>
    <w:p w14:paraId="7FB97E64">
      <w:pPr>
        <w:jc w:val="center"/>
        <w:rPr>
          <w:rFonts w:eastAsia="仿宋"/>
          <w:color w:val="auto"/>
          <w:sz w:val="52"/>
          <w:szCs w:val="52"/>
        </w:rPr>
      </w:pPr>
    </w:p>
    <w:p w14:paraId="49B6E4CE">
      <w:pPr>
        <w:ind w:firstLine="1040"/>
        <w:rPr>
          <w:rFonts w:eastAsia="仿宋"/>
          <w:color w:val="auto"/>
          <w:sz w:val="44"/>
          <w:szCs w:val="44"/>
        </w:rPr>
      </w:pPr>
    </w:p>
    <w:p w14:paraId="1D2FA326">
      <w:pPr>
        <w:rPr>
          <w:rFonts w:eastAsia="仿宋"/>
          <w:color w:val="auto"/>
          <w:sz w:val="44"/>
          <w:szCs w:val="44"/>
        </w:rPr>
      </w:pPr>
    </w:p>
    <w:p w14:paraId="1F740CDC">
      <w:pPr>
        <w:ind w:firstLine="1040"/>
        <w:rPr>
          <w:rFonts w:eastAsia="仿宋"/>
          <w:color w:val="auto"/>
          <w:sz w:val="44"/>
          <w:szCs w:val="44"/>
        </w:rPr>
      </w:pPr>
    </w:p>
    <w:p w14:paraId="5B20E891">
      <w:pPr>
        <w:adjustRightInd w:val="0"/>
        <w:snapToGrid w:val="0"/>
        <w:spacing w:line="288" w:lineRule="auto"/>
        <w:ind w:left="2895" w:leftChars="580" w:hanging="1677" w:hangingChars="466"/>
        <w:rPr>
          <w:rFonts w:hint="eastAsia" w:ascii="仿宋" w:hAnsi="仿宋" w:eastAsia="仿宋" w:cs="仿宋"/>
          <w:color w:val="auto"/>
          <w:spacing w:val="-13"/>
          <w:sz w:val="36"/>
          <w:szCs w:val="36"/>
          <w:u w:val="single"/>
          <w:lang w:eastAsia="zh-CN"/>
        </w:rPr>
      </w:pPr>
      <w:r>
        <w:rPr>
          <w:rFonts w:hint="eastAsia" w:ascii="仿宋_GB2312" w:eastAsia="仿宋_GB2312"/>
          <w:color w:val="auto"/>
          <w:sz w:val="36"/>
          <w:szCs w:val="36"/>
        </w:rPr>
        <w:t>项目名称：</w:t>
      </w:r>
      <w:r>
        <w:rPr>
          <w:rFonts w:hint="eastAsia" w:ascii="仿宋" w:hAnsi="仿宋" w:eastAsia="仿宋" w:cs="仿宋"/>
          <w:color w:val="auto"/>
          <w:spacing w:val="-13"/>
          <w:sz w:val="36"/>
          <w:szCs w:val="36"/>
          <w:u w:val="single"/>
          <w:lang w:eastAsia="zh-CN"/>
        </w:rPr>
        <w:t>金烨钢铁集团有限公司15MW余气综合</w:t>
      </w:r>
    </w:p>
    <w:p w14:paraId="65D7CC63">
      <w:pPr>
        <w:adjustRightInd w:val="0"/>
        <w:snapToGrid w:val="0"/>
        <w:spacing w:line="288" w:lineRule="auto"/>
        <w:ind w:firstLine="3006" w:firstLineChars="900"/>
        <w:rPr>
          <w:rFonts w:ascii="仿宋_GB2312" w:eastAsia="仿宋_GB2312"/>
          <w:color w:val="auto"/>
          <w:sz w:val="36"/>
          <w:szCs w:val="36"/>
          <w:u w:val="single"/>
        </w:rPr>
      </w:pPr>
      <w:r>
        <w:rPr>
          <w:rFonts w:hint="eastAsia" w:ascii="仿宋" w:hAnsi="仿宋" w:eastAsia="仿宋" w:cs="仿宋"/>
          <w:color w:val="auto"/>
          <w:spacing w:val="-13"/>
          <w:sz w:val="36"/>
          <w:szCs w:val="36"/>
          <w:u w:val="single"/>
          <w:lang w:eastAsia="zh-CN"/>
        </w:rPr>
        <w:t>利用发电项目</w:t>
      </w:r>
    </w:p>
    <w:p w14:paraId="7C71B456">
      <w:pPr>
        <w:adjustRightInd w:val="0"/>
        <w:snapToGrid w:val="0"/>
        <w:spacing w:line="288" w:lineRule="auto"/>
        <w:ind w:left="2895" w:leftChars="580" w:hanging="1677" w:hangingChars="466"/>
        <w:rPr>
          <w:rFonts w:hint="eastAsia" w:ascii="仿宋_GB2312" w:eastAsia="仿宋_GB2312"/>
          <w:color w:val="auto"/>
          <w:sz w:val="36"/>
          <w:szCs w:val="36"/>
          <w:u w:val="single"/>
          <w:lang w:eastAsia="zh-CN"/>
        </w:rPr>
      </w:pPr>
      <w:r>
        <w:rPr>
          <w:rFonts w:hint="eastAsia" w:ascii="仿宋_GB2312" w:eastAsia="仿宋_GB2312"/>
          <w:color w:val="auto"/>
          <w:sz w:val="36"/>
          <w:szCs w:val="36"/>
        </w:rPr>
        <w:t>建设单位（盖章）：</w:t>
      </w:r>
      <w:r>
        <w:rPr>
          <w:rFonts w:hint="eastAsia" w:ascii="仿宋" w:hAnsi="仿宋" w:eastAsia="仿宋" w:cs="仿宋"/>
          <w:color w:val="auto"/>
          <w:spacing w:val="-13"/>
          <w:sz w:val="36"/>
          <w:szCs w:val="36"/>
          <w:u w:val="single"/>
          <w:lang w:eastAsia="zh-CN"/>
        </w:rPr>
        <w:t>金烨钢铁集团有限公司</w:t>
      </w:r>
    </w:p>
    <w:p w14:paraId="0389F0B5">
      <w:pPr>
        <w:adjustRightInd w:val="0"/>
        <w:snapToGrid w:val="0"/>
        <w:spacing w:line="288" w:lineRule="auto"/>
        <w:ind w:left="2895" w:leftChars="580" w:hanging="1677" w:hangingChars="466"/>
        <w:rPr>
          <w:rFonts w:hint="default" w:ascii="仿宋_GB2312" w:eastAsia="仿宋_GB2312"/>
          <w:color w:val="auto"/>
          <w:sz w:val="36"/>
          <w:szCs w:val="36"/>
          <w:u w:val="single"/>
          <w:lang w:val="en-US"/>
        </w:rPr>
      </w:pPr>
      <w:r>
        <w:rPr>
          <w:rFonts w:hint="eastAsia" w:ascii="仿宋_GB2312" w:eastAsia="仿宋_GB2312"/>
          <w:color w:val="auto"/>
          <w:sz w:val="36"/>
          <w:szCs w:val="36"/>
        </w:rPr>
        <w:t>编制日期：</w:t>
      </w:r>
      <w:r>
        <w:rPr>
          <w:rFonts w:hint="eastAsia" w:ascii="仿宋_GB2312" w:eastAsia="仿宋_GB2312"/>
          <w:color w:val="auto"/>
          <w:sz w:val="36"/>
          <w:szCs w:val="36"/>
          <w:u w:val="single"/>
          <w:lang w:val="en-US" w:eastAsia="zh-CN"/>
        </w:rPr>
        <w:t xml:space="preserve">          2026年8月          </w:t>
      </w:r>
    </w:p>
    <w:p w14:paraId="22DB3B96">
      <w:pPr>
        <w:adjustRightInd w:val="0"/>
        <w:snapToGrid w:val="0"/>
        <w:spacing w:line="288" w:lineRule="auto"/>
        <w:jc w:val="both"/>
        <w:sectPr>
          <w:footerReference r:id="rId3" w:type="default"/>
          <w:pgSz w:w="11906" w:h="16838"/>
          <w:pgMar w:top="1701" w:right="1531" w:bottom="1701" w:left="1531" w:header="851" w:footer="1077" w:gutter="0"/>
          <w:pgNumType w:start="3"/>
          <w:cols w:space="720" w:num="1"/>
          <w:docGrid w:linePitch="312" w:charSpace="0"/>
        </w:sectPr>
      </w:pPr>
    </w:p>
    <w:p w14:paraId="389AF69E">
      <w:pPr>
        <w:adjustRightInd w:val="0"/>
        <w:snapToGrid w:val="0"/>
        <w:spacing w:line="288" w:lineRule="auto"/>
        <w:rPr>
          <w:rFonts w:ascii="仿宋_GB2312" w:eastAsia="仿宋_GB2312"/>
          <w:color w:val="auto"/>
          <w:sz w:val="36"/>
          <w:szCs w:val="36"/>
        </w:rPr>
      </w:pPr>
    </w:p>
    <w:p w14:paraId="64EBD70E">
      <w:pPr>
        <w:pStyle w:val="22"/>
        <w:jc w:val="center"/>
        <w:outlineLvl w:val="0"/>
        <w:rPr>
          <w:rFonts w:ascii="黑体" w:hAnsi="黑体" w:eastAsia="黑体"/>
          <w:snapToGrid w:val="0"/>
          <w:color w:val="auto"/>
          <w:sz w:val="30"/>
          <w:szCs w:val="30"/>
        </w:rPr>
      </w:pPr>
      <w:r>
        <w:rPr>
          <w:rFonts w:hint="eastAsia" w:ascii="黑体" w:hAnsi="黑体" w:eastAsia="黑体"/>
          <w:snapToGrid w:val="0"/>
          <w:color w:val="auto"/>
          <w:sz w:val="30"/>
          <w:szCs w:val="30"/>
        </w:rPr>
        <w:t>一、建设项目基本情况</w:t>
      </w:r>
    </w:p>
    <w:tbl>
      <w:tblPr>
        <w:tblStyle w:val="2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035"/>
        <w:gridCol w:w="1274"/>
        <w:gridCol w:w="1710"/>
        <w:gridCol w:w="1917"/>
        <w:gridCol w:w="2934"/>
      </w:tblGrid>
      <w:tr w14:paraId="227221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9" w:hRule="atLeast"/>
          <w:jc w:val="center"/>
        </w:trPr>
        <w:tc>
          <w:tcPr>
            <w:tcW w:w="2309" w:type="dxa"/>
            <w:gridSpan w:val="2"/>
            <w:noWrap w:val="0"/>
            <w:tcMar>
              <w:top w:w="16" w:type="dxa"/>
              <w:left w:w="16" w:type="dxa"/>
              <w:right w:w="16" w:type="dxa"/>
            </w:tcMar>
            <w:vAlign w:val="center"/>
          </w:tcPr>
          <w:p w14:paraId="6E7ACD3E">
            <w:pPr>
              <w:adjustRightInd w:val="0"/>
              <w:snapToGrid w:val="0"/>
              <w:jc w:val="center"/>
              <w:rPr>
                <w:color w:val="auto"/>
                <w:sz w:val="24"/>
              </w:rPr>
            </w:pPr>
            <w:r>
              <w:rPr>
                <w:color w:val="auto"/>
                <w:sz w:val="24"/>
              </w:rPr>
              <w:t>建设项目名称</w:t>
            </w:r>
          </w:p>
        </w:tc>
        <w:tc>
          <w:tcPr>
            <w:tcW w:w="6561" w:type="dxa"/>
            <w:gridSpan w:val="3"/>
            <w:noWrap w:val="0"/>
            <w:vAlign w:val="center"/>
          </w:tcPr>
          <w:p w14:paraId="2EF94D37">
            <w:pPr>
              <w:adjustRightInd w:val="0"/>
              <w:snapToGrid w:val="0"/>
              <w:jc w:val="center"/>
              <w:rPr>
                <w:color w:val="auto"/>
                <w:sz w:val="24"/>
              </w:rPr>
            </w:pPr>
            <w:r>
              <w:rPr>
                <w:rFonts w:hint="eastAsia"/>
                <w:color w:val="auto"/>
                <w:sz w:val="24"/>
                <w:lang w:eastAsia="zh-CN"/>
              </w:rPr>
              <w:t>金烨钢铁集团有限公司</w:t>
            </w:r>
            <w:r>
              <w:rPr>
                <w:rFonts w:hint="eastAsia"/>
                <w:color w:val="auto"/>
                <w:sz w:val="24"/>
                <w:highlight w:val="none"/>
                <w:lang w:val="en-US" w:eastAsia="zh-CN"/>
              </w:rPr>
              <w:t>15</w:t>
            </w:r>
            <w:r>
              <w:rPr>
                <w:color w:val="auto"/>
                <w:sz w:val="24"/>
                <w:highlight w:val="none"/>
              </w:rPr>
              <w:t>MW</w:t>
            </w:r>
            <w:r>
              <w:rPr>
                <w:color w:val="auto"/>
                <w:sz w:val="24"/>
              </w:rPr>
              <w:t>余气综合利用发电项目</w:t>
            </w:r>
          </w:p>
        </w:tc>
      </w:tr>
      <w:tr w14:paraId="1F7109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9" w:hRule="atLeast"/>
          <w:jc w:val="center"/>
        </w:trPr>
        <w:tc>
          <w:tcPr>
            <w:tcW w:w="2309" w:type="dxa"/>
            <w:gridSpan w:val="2"/>
            <w:noWrap w:val="0"/>
            <w:tcMar>
              <w:top w:w="16" w:type="dxa"/>
              <w:left w:w="16" w:type="dxa"/>
              <w:right w:w="16" w:type="dxa"/>
            </w:tcMar>
            <w:vAlign w:val="center"/>
          </w:tcPr>
          <w:p w14:paraId="13C63B14">
            <w:pPr>
              <w:adjustRightInd w:val="0"/>
              <w:snapToGrid w:val="0"/>
              <w:jc w:val="center"/>
              <w:rPr>
                <w:color w:val="auto"/>
                <w:sz w:val="24"/>
              </w:rPr>
            </w:pPr>
            <w:r>
              <w:rPr>
                <w:color w:val="auto"/>
                <w:sz w:val="24"/>
              </w:rPr>
              <w:t>项目代码</w:t>
            </w:r>
          </w:p>
        </w:tc>
        <w:tc>
          <w:tcPr>
            <w:tcW w:w="6561" w:type="dxa"/>
            <w:gridSpan w:val="3"/>
            <w:noWrap w:val="0"/>
            <w:vAlign w:val="center"/>
          </w:tcPr>
          <w:p w14:paraId="5DB40482">
            <w:pPr>
              <w:adjustRightInd w:val="0"/>
              <w:snapToGrid w:val="0"/>
              <w:jc w:val="center"/>
              <w:rPr>
                <w:color w:val="auto"/>
                <w:sz w:val="24"/>
              </w:rPr>
            </w:pPr>
            <w:r>
              <w:rPr>
                <w:rFonts w:hint="eastAsia"/>
                <w:color w:val="auto"/>
                <w:sz w:val="24"/>
                <w:highlight w:val="none"/>
                <w:shd w:val="clear" w:color="auto" w:fill="auto"/>
                <w:lang w:val="en-US" w:eastAsia="zh-CN"/>
              </w:rPr>
              <w:t>2607-140452-89-01-889151</w:t>
            </w:r>
          </w:p>
        </w:tc>
      </w:tr>
      <w:tr w14:paraId="1FC0E5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09" w:type="dxa"/>
            <w:gridSpan w:val="2"/>
            <w:noWrap w:val="0"/>
            <w:tcMar>
              <w:top w:w="16" w:type="dxa"/>
              <w:left w:w="16" w:type="dxa"/>
              <w:right w:w="16" w:type="dxa"/>
            </w:tcMar>
            <w:vAlign w:val="center"/>
          </w:tcPr>
          <w:p w14:paraId="4A59A586">
            <w:pPr>
              <w:adjustRightInd w:val="0"/>
              <w:snapToGrid w:val="0"/>
              <w:jc w:val="center"/>
              <w:rPr>
                <w:color w:val="auto"/>
                <w:sz w:val="24"/>
              </w:rPr>
            </w:pPr>
            <w:r>
              <w:rPr>
                <w:color w:val="auto"/>
                <w:sz w:val="24"/>
              </w:rPr>
              <w:t>建设单位联系人</w:t>
            </w:r>
          </w:p>
        </w:tc>
        <w:tc>
          <w:tcPr>
            <w:tcW w:w="1710" w:type="dxa"/>
            <w:noWrap w:val="0"/>
            <w:vAlign w:val="center"/>
          </w:tcPr>
          <w:p w14:paraId="5C403810">
            <w:pPr>
              <w:adjustRightInd w:val="0"/>
              <w:snapToGrid w:val="0"/>
              <w:jc w:val="center"/>
              <w:rPr>
                <w:rFonts w:hint="default" w:eastAsia="宋体"/>
                <w:color w:val="auto"/>
                <w:sz w:val="24"/>
                <w:lang w:val="en-US" w:eastAsia="zh-CN"/>
              </w:rPr>
            </w:pPr>
            <w:r>
              <w:rPr>
                <w:rFonts w:hint="eastAsia"/>
                <w:color w:val="auto"/>
                <w:sz w:val="24"/>
                <w:lang w:val="en-US" w:eastAsia="zh-CN"/>
              </w:rPr>
              <w:t>*</w:t>
            </w:r>
          </w:p>
        </w:tc>
        <w:tc>
          <w:tcPr>
            <w:tcW w:w="1917" w:type="dxa"/>
            <w:noWrap w:val="0"/>
            <w:vAlign w:val="center"/>
          </w:tcPr>
          <w:p w14:paraId="03C042BB">
            <w:pPr>
              <w:adjustRightInd w:val="0"/>
              <w:snapToGrid w:val="0"/>
              <w:jc w:val="center"/>
              <w:rPr>
                <w:color w:val="auto"/>
                <w:sz w:val="24"/>
              </w:rPr>
            </w:pPr>
            <w:r>
              <w:rPr>
                <w:color w:val="auto"/>
                <w:sz w:val="24"/>
              </w:rPr>
              <w:t>联系方式</w:t>
            </w:r>
          </w:p>
        </w:tc>
        <w:tc>
          <w:tcPr>
            <w:tcW w:w="2934" w:type="dxa"/>
            <w:noWrap w:val="0"/>
            <w:vAlign w:val="center"/>
          </w:tcPr>
          <w:p w14:paraId="176D0EAA">
            <w:pPr>
              <w:adjustRightInd w:val="0"/>
              <w:snapToGrid w:val="0"/>
              <w:jc w:val="center"/>
              <w:rPr>
                <w:rFonts w:hint="default" w:eastAsia="宋体"/>
                <w:color w:val="auto"/>
                <w:sz w:val="24"/>
                <w:lang w:val="en-US" w:eastAsia="zh-CN"/>
              </w:rPr>
            </w:pPr>
            <w:r>
              <w:rPr>
                <w:rFonts w:hint="eastAsia"/>
                <w:color w:val="auto"/>
                <w:sz w:val="24"/>
                <w:lang w:val="en-US" w:eastAsia="zh-CN"/>
              </w:rPr>
              <w:t>***</w:t>
            </w:r>
          </w:p>
        </w:tc>
      </w:tr>
      <w:tr w14:paraId="507A12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09" w:type="dxa"/>
            <w:gridSpan w:val="2"/>
            <w:noWrap w:val="0"/>
            <w:tcMar>
              <w:top w:w="16" w:type="dxa"/>
              <w:left w:w="16" w:type="dxa"/>
              <w:right w:w="16" w:type="dxa"/>
            </w:tcMar>
            <w:vAlign w:val="center"/>
          </w:tcPr>
          <w:p w14:paraId="2A4968FB">
            <w:pPr>
              <w:adjustRightInd w:val="0"/>
              <w:snapToGrid w:val="0"/>
              <w:jc w:val="center"/>
              <w:rPr>
                <w:color w:val="auto"/>
                <w:sz w:val="24"/>
              </w:rPr>
            </w:pPr>
            <w:r>
              <w:rPr>
                <w:color w:val="auto"/>
                <w:sz w:val="24"/>
              </w:rPr>
              <w:t>建设地点</w:t>
            </w:r>
          </w:p>
        </w:tc>
        <w:tc>
          <w:tcPr>
            <w:tcW w:w="6561" w:type="dxa"/>
            <w:gridSpan w:val="3"/>
            <w:noWrap w:val="0"/>
            <w:vAlign w:val="center"/>
          </w:tcPr>
          <w:p w14:paraId="75EE805C">
            <w:pPr>
              <w:adjustRightInd w:val="0"/>
              <w:snapToGrid w:val="0"/>
              <w:jc w:val="center"/>
              <w:rPr>
                <w:color w:val="auto"/>
                <w:sz w:val="24"/>
              </w:rPr>
            </w:pPr>
            <w:r>
              <w:rPr>
                <w:color w:val="auto"/>
                <w:sz w:val="24"/>
              </w:rPr>
              <w:t>山西省</w:t>
            </w:r>
            <w:r>
              <w:rPr>
                <w:rFonts w:hint="eastAsia"/>
                <w:color w:val="auto"/>
                <w:sz w:val="24"/>
              </w:rPr>
              <w:t>长治</w:t>
            </w:r>
            <w:r>
              <w:rPr>
                <w:rFonts w:hint="eastAsia"/>
                <w:color w:val="auto"/>
                <w:sz w:val="24"/>
                <w:lang w:eastAsia="zh-CN"/>
              </w:rPr>
              <w:t>市</w:t>
            </w:r>
            <w:r>
              <w:rPr>
                <w:rFonts w:hint="eastAsia"/>
                <w:color w:val="auto"/>
                <w:sz w:val="24"/>
              </w:rPr>
              <w:t>壶关经济开发区金烨钢铁集团有限公司</w:t>
            </w:r>
            <w:r>
              <w:rPr>
                <w:rFonts w:hint="eastAsia"/>
                <w:color w:val="auto"/>
                <w:sz w:val="24"/>
                <w:lang w:val="en-US" w:eastAsia="zh-CN"/>
              </w:rPr>
              <w:t>钢铁冶炼生产</w:t>
            </w:r>
            <w:r>
              <w:rPr>
                <w:rFonts w:hint="eastAsia"/>
                <w:color w:val="auto"/>
                <w:sz w:val="24"/>
              </w:rPr>
              <w:t>厂区内</w:t>
            </w:r>
          </w:p>
        </w:tc>
      </w:tr>
      <w:tr w14:paraId="4348C7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09" w:type="dxa"/>
            <w:gridSpan w:val="2"/>
            <w:noWrap w:val="0"/>
            <w:tcMar>
              <w:top w:w="16" w:type="dxa"/>
              <w:left w:w="16" w:type="dxa"/>
              <w:right w:w="16" w:type="dxa"/>
            </w:tcMar>
            <w:vAlign w:val="center"/>
          </w:tcPr>
          <w:p w14:paraId="078E86B0">
            <w:pPr>
              <w:adjustRightInd w:val="0"/>
              <w:snapToGrid w:val="0"/>
              <w:jc w:val="center"/>
              <w:rPr>
                <w:color w:val="auto"/>
                <w:sz w:val="24"/>
              </w:rPr>
            </w:pPr>
            <w:r>
              <w:rPr>
                <w:color w:val="auto"/>
                <w:sz w:val="24"/>
              </w:rPr>
              <w:t>地理坐标</w:t>
            </w:r>
          </w:p>
        </w:tc>
        <w:tc>
          <w:tcPr>
            <w:tcW w:w="6561" w:type="dxa"/>
            <w:gridSpan w:val="3"/>
            <w:noWrap w:val="0"/>
            <w:vAlign w:val="center"/>
          </w:tcPr>
          <w:p w14:paraId="7A91D7FD">
            <w:pPr>
              <w:jc w:val="center"/>
              <w:rPr>
                <w:color w:val="auto"/>
                <w:sz w:val="24"/>
              </w:rPr>
            </w:pPr>
            <w:r>
              <w:rPr>
                <w:color w:val="auto"/>
                <w:sz w:val="24"/>
              </w:rPr>
              <w:t>（东经</w:t>
            </w:r>
            <w:r>
              <w:rPr>
                <w:rFonts w:hint="eastAsia"/>
                <w:color w:val="auto"/>
                <w:sz w:val="24"/>
                <w:u w:val="none"/>
                <w:lang w:val="en-US" w:eastAsia="zh-CN"/>
              </w:rPr>
              <w:t>**</w:t>
            </w:r>
            <w:r>
              <w:rPr>
                <w:color w:val="auto"/>
                <w:sz w:val="24"/>
              </w:rPr>
              <w:t>度</w:t>
            </w:r>
            <w:r>
              <w:rPr>
                <w:rFonts w:hint="eastAsia"/>
                <w:color w:val="auto"/>
                <w:sz w:val="24"/>
                <w:lang w:val="en-US" w:eastAsia="zh-CN"/>
              </w:rPr>
              <w:t>**</w:t>
            </w:r>
            <w:r>
              <w:rPr>
                <w:color w:val="auto"/>
                <w:sz w:val="24"/>
              </w:rPr>
              <w:t>分</w:t>
            </w:r>
            <w:r>
              <w:rPr>
                <w:rFonts w:hint="eastAsia"/>
                <w:color w:val="auto"/>
                <w:sz w:val="24"/>
                <w:u w:val="none"/>
                <w:lang w:val="en-US" w:eastAsia="zh-CN"/>
              </w:rPr>
              <w:t>***</w:t>
            </w:r>
            <w:r>
              <w:rPr>
                <w:color w:val="auto"/>
                <w:sz w:val="24"/>
              </w:rPr>
              <w:t>秒，北</w:t>
            </w:r>
            <w:r>
              <w:rPr>
                <w:color w:val="auto"/>
                <w:sz w:val="24"/>
                <w:u w:val="none"/>
              </w:rPr>
              <w:t>纬</w:t>
            </w:r>
            <w:r>
              <w:rPr>
                <w:rFonts w:hint="eastAsia"/>
                <w:color w:val="auto"/>
                <w:sz w:val="24"/>
                <w:u w:val="none"/>
                <w:lang w:val="en-US" w:eastAsia="zh-CN"/>
              </w:rPr>
              <w:t>**</w:t>
            </w:r>
            <w:r>
              <w:rPr>
                <w:color w:val="auto"/>
                <w:sz w:val="24"/>
                <w:u w:val="none"/>
              </w:rPr>
              <w:t>度</w:t>
            </w:r>
            <w:r>
              <w:rPr>
                <w:rFonts w:hint="eastAsia"/>
                <w:color w:val="auto"/>
                <w:sz w:val="24"/>
                <w:u w:val="none"/>
                <w:lang w:val="en-US" w:eastAsia="zh-CN"/>
              </w:rPr>
              <w:t>**</w:t>
            </w:r>
            <w:r>
              <w:rPr>
                <w:color w:val="auto"/>
                <w:sz w:val="24"/>
                <w:u w:val="none"/>
              </w:rPr>
              <w:t>分</w:t>
            </w:r>
            <w:r>
              <w:rPr>
                <w:rFonts w:hint="eastAsia"/>
                <w:color w:val="auto"/>
                <w:sz w:val="24"/>
                <w:u w:val="none"/>
                <w:lang w:val="en-US" w:eastAsia="zh-CN"/>
              </w:rPr>
              <w:t>****</w:t>
            </w:r>
            <w:r>
              <w:rPr>
                <w:color w:val="auto"/>
                <w:sz w:val="24"/>
              </w:rPr>
              <w:t>秒）</w:t>
            </w:r>
          </w:p>
        </w:tc>
      </w:tr>
      <w:tr w14:paraId="61B9F7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2309" w:type="dxa"/>
            <w:gridSpan w:val="2"/>
            <w:noWrap w:val="0"/>
            <w:tcMar>
              <w:top w:w="16" w:type="dxa"/>
              <w:left w:w="16" w:type="dxa"/>
              <w:right w:w="16" w:type="dxa"/>
            </w:tcMar>
            <w:vAlign w:val="center"/>
          </w:tcPr>
          <w:p w14:paraId="68FAD7DE">
            <w:pPr>
              <w:adjustRightInd w:val="0"/>
              <w:snapToGrid w:val="0"/>
              <w:jc w:val="center"/>
              <w:rPr>
                <w:color w:val="auto"/>
                <w:sz w:val="24"/>
              </w:rPr>
            </w:pPr>
            <w:r>
              <w:rPr>
                <w:color w:val="auto"/>
                <w:sz w:val="24"/>
              </w:rPr>
              <w:t>国民经济</w:t>
            </w:r>
          </w:p>
          <w:p w14:paraId="449EFAF6">
            <w:pPr>
              <w:adjustRightInd w:val="0"/>
              <w:snapToGrid w:val="0"/>
              <w:jc w:val="center"/>
              <w:rPr>
                <w:color w:val="auto"/>
                <w:sz w:val="24"/>
              </w:rPr>
            </w:pPr>
            <w:r>
              <w:rPr>
                <w:color w:val="auto"/>
                <w:sz w:val="24"/>
              </w:rPr>
              <w:t>行业类别</w:t>
            </w:r>
          </w:p>
        </w:tc>
        <w:tc>
          <w:tcPr>
            <w:tcW w:w="1710" w:type="dxa"/>
            <w:noWrap w:val="0"/>
            <w:vAlign w:val="center"/>
          </w:tcPr>
          <w:p w14:paraId="4FC26AB5">
            <w:pPr>
              <w:adjustRightInd w:val="0"/>
              <w:snapToGrid w:val="0"/>
              <w:jc w:val="center"/>
              <w:rPr>
                <w:color w:val="auto"/>
                <w:sz w:val="24"/>
              </w:rPr>
            </w:pPr>
            <w:r>
              <w:rPr>
                <w:rFonts w:ascii="Times New Roman" w:hAnsi="Times New Roman" w:eastAsia="宋体" w:cs="Times New Roman"/>
                <w:color w:val="auto"/>
                <w:sz w:val="24"/>
              </w:rPr>
              <w:t>D4411火力发电</w:t>
            </w:r>
          </w:p>
        </w:tc>
        <w:tc>
          <w:tcPr>
            <w:tcW w:w="1917" w:type="dxa"/>
            <w:noWrap w:val="0"/>
            <w:vAlign w:val="center"/>
          </w:tcPr>
          <w:p w14:paraId="534B8441">
            <w:pPr>
              <w:adjustRightInd w:val="0"/>
              <w:snapToGrid w:val="0"/>
              <w:jc w:val="center"/>
              <w:rPr>
                <w:color w:val="auto"/>
                <w:sz w:val="24"/>
              </w:rPr>
            </w:pPr>
            <w:bookmarkStart w:id="0" w:name="_Hlk49843745"/>
            <w:r>
              <w:rPr>
                <w:color w:val="auto"/>
                <w:sz w:val="24"/>
              </w:rPr>
              <w:t>建设项目</w:t>
            </w:r>
          </w:p>
          <w:p w14:paraId="492AF254">
            <w:pPr>
              <w:adjustRightInd w:val="0"/>
              <w:snapToGrid w:val="0"/>
              <w:jc w:val="center"/>
              <w:rPr>
                <w:color w:val="auto"/>
                <w:sz w:val="24"/>
              </w:rPr>
            </w:pPr>
            <w:r>
              <w:rPr>
                <w:color w:val="auto"/>
                <w:sz w:val="24"/>
              </w:rPr>
              <w:t>行业类别</w:t>
            </w:r>
            <w:bookmarkEnd w:id="0"/>
          </w:p>
        </w:tc>
        <w:tc>
          <w:tcPr>
            <w:tcW w:w="2934" w:type="dxa"/>
            <w:noWrap w:val="0"/>
            <w:vAlign w:val="center"/>
          </w:tcPr>
          <w:p w14:paraId="723D992D">
            <w:pPr>
              <w:adjustRightInd w:val="0"/>
              <w:snapToGrid w:val="0"/>
              <w:rPr>
                <w:color w:val="auto"/>
                <w:sz w:val="24"/>
              </w:rPr>
            </w:pPr>
            <w:r>
              <w:rPr>
                <w:color w:val="auto"/>
                <w:sz w:val="24"/>
              </w:rPr>
              <w:t>四十一、87火力发电</w:t>
            </w:r>
          </w:p>
        </w:tc>
      </w:tr>
      <w:tr w14:paraId="48A56D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2309" w:type="dxa"/>
            <w:gridSpan w:val="2"/>
            <w:noWrap w:val="0"/>
            <w:tcMar>
              <w:top w:w="16" w:type="dxa"/>
              <w:left w:w="16" w:type="dxa"/>
              <w:right w:w="16" w:type="dxa"/>
            </w:tcMar>
            <w:vAlign w:val="center"/>
          </w:tcPr>
          <w:p w14:paraId="70C6695A">
            <w:pPr>
              <w:adjustRightInd w:val="0"/>
              <w:snapToGrid w:val="0"/>
              <w:jc w:val="center"/>
              <w:rPr>
                <w:color w:val="auto"/>
                <w:sz w:val="24"/>
              </w:rPr>
            </w:pPr>
            <w:r>
              <w:rPr>
                <w:color w:val="auto"/>
                <w:sz w:val="24"/>
              </w:rPr>
              <w:t>建设性质</w:t>
            </w:r>
          </w:p>
        </w:tc>
        <w:tc>
          <w:tcPr>
            <w:tcW w:w="1710" w:type="dxa"/>
            <w:noWrap w:val="0"/>
            <w:vAlign w:val="center"/>
          </w:tcPr>
          <w:p w14:paraId="566F5513">
            <w:pPr>
              <w:jc w:val="left"/>
              <w:rPr>
                <w:color w:val="auto"/>
                <w:sz w:val="24"/>
              </w:rPr>
            </w:pPr>
            <w:r>
              <w:rPr>
                <w:color w:val="auto"/>
                <w:sz w:val="24"/>
              </w:rPr>
              <w:t>☑新建（迁建）</w:t>
            </w:r>
          </w:p>
          <w:p w14:paraId="1F1EFA96">
            <w:pPr>
              <w:jc w:val="left"/>
              <w:rPr>
                <w:color w:val="auto"/>
                <w:sz w:val="24"/>
              </w:rPr>
            </w:pPr>
            <w:r>
              <w:rPr>
                <w:color w:val="auto"/>
                <w:sz w:val="24"/>
              </w:rPr>
              <w:t>□改建</w:t>
            </w:r>
          </w:p>
          <w:p w14:paraId="39E943FB">
            <w:pPr>
              <w:jc w:val="left"/>
              <w:rPr>
                <w:color w:val="auto"/>
                <w:sz w:val="24"/>
              </w:rPr>
            </w:pPr>
            <w:r>
              <w:rPr>
                <w:color w:val="auto"/>
                <w:sz w:val="24"/>
              </w:rPr>
              <w:t>□扩建</w:t>
            </w:r>
          </w:p>
          <w:p w14:paraId="1C4AAACC">
            <w:pPr>
              <w:jc w:val="left"/>
              <w:rPr>
                <w:color w:val="auto"/>
                <w:sz w:val="24"/>
              </w:rPr>
            </w:pPr>
            <w:r>
              <w:rPr>
                <w:color w:val="auto"/>
                <w:sz w:val="24"/>
              </w:rPr>
              <w:t>□技术改造</w:t>
            </w:r>
          </w:p>
        </w:tc>
        <w:tc>
          <w:tcPr>
            <w:tcW w:w="1917" w:type="dxa"/>
            <w:noWrap w:val="0"/>
            <w:vAlign w:val="center"/>
          </w:tcPr>
          <w:p w14:paraId="3B399668">
            <w:pPr>
              <w:adjustRightInd w:val="0"/>
              <w:snapToGrid w:val="0"/>
              <w:jc w:val="center"/>
              <w:rPr>
                <w:color w:val="auto"/>
                <w:sz w:val="24"/>
              </w:rPr>
            </w:pPr>
            <w:r>
              <w:rPr>
                <w:color w:val="auto"/>
                <w:sz w:val="24"/>
              </w:rPr>
              <w:t>建设项目</w:t>
            </w:r>
          </w:p>
          <w:p w14:paraId="2A86FB9D">
            <w:pPr>
              <w:adjustRightInd w:val="0"/>
              <w:snapToGrid w:val="0"/>
              <w:jc w:val="center"/>
              <w:rPr>
                <w:color w:val="auto"/>
                <w:sz w:val="24"/>
              </w:rPr>
            </w:pPr>
            <w:r>
              <w:rPr>
                <w:color w:val="auto"/>
                <w:sz w:val="24"/>
              </w:rPr>
              <w:t>申报情形</w:t>
            </w:r>
          </w:p>
        </w:tc>
        <w:tc>
          <w:tcPr>
            <w:tcW w:w="2934" w:type="dxa"/>
            <w:noWrap w:val="0"/>
            <w:vAlign w:val="center"/>
          </w:tcPr>
          <w:p w14:paraId="2323705C">
            <w:pPr>
              <w:jc w:val="left"/>
              <w:rPr>
                <w:color w:val="auto"/>
                <w:sz w:val="24"/>
              </w:rPr>
            </w:pPr>
            <w:r>
              <w:rPr>
                <w:color w:val="auto"/>
                <w:sz w:val="24"/>
              </w:rPr>
              <w:sym w:font="Wingdings 2" w:char="0052"/>
            </w:r>
            <w:r>
              <w:rPr>
                <w:color w:val="auto"/>
                <w:sz w:val="24"/>
              </w:rPr>
              <w:t>首次申报项目</w:t>
            </w:r>
          </w:p>
          <w:p w14:paraId="0009D41A">
            <w:pPr>
              <w:jc w:val="left"/>
              <w:rPr>
                <w:color w:val="auto"/>
                <w:sz w:val="24"/>
              </w:rPr>
            </w:pPr>
            <w:r>
              <w:rPr>
                <w:rFonts w:hint="eastAsia"/>
                <w:color w:val="auto"/>
                <w:sz w:val="24"/>
              </w:rPr>
              <w:t>□</w:t>
            </w:r>
            <w:r>
              <w:rPr>
                <w:color w:val="auto"/>
                <w:sz w:val="24"/>
              </w:rPr>
              <w:t>不予批准后再次申报项目</w:t>
            </w:r>
          </w:p>
          <w:p w14:paraId="78318E15">
            <w:pPr>
              <w:jc w:val="left"/>
              <w:rPr>
                <w:color w:val="auto"/>
                <w:sz w:val="24"/>
              </w:rPr>
            </w:pPr>
            <w:r>
              <w:rPr>
                <w:color w:val="auto"/>
                <w:sz w:val="24"/>
              </w:rPr>
              <w:sym w:font="Wingdings 2" w:char="00A3"/>
            </w:r>
            <w:r>
              <w:rPr>
                <w:color w:val="auto"/>
                <w:sz w:val="24"/>
              </w:rPr>
              <w:t>超五年重新审核项目</w:t>
            </w:r>
          </w:p>
          <w:p w14:paraId="280D3BD3">
            <w:pPr>
              <w:jc w:val="left"/>
              <w:rPr>
                <w:color w:val="auto"/>
                <w:sz w:val="24"/>
              </w:rPr>
            </w:pPr>
            <w:r>
              <w:rPr>
                <w:rFonts w:hint="eastAsia"/>
                <w:color w:val="auto"/>
                <w:sz w:val="24"/>
                <w:lang w:eastAsia="zh-CN"/>
              </w:rPr>
              <w:t>□</w:t>
            </w:r>
            <w:r>
              <w:rPr>
                <w:color w:val="auto"/>
                <w:sz w:val="24"/>
              </w:rPr>
              <w:t>重大变动重新报批项目</w:t>
            </w:r>
          </w:p>
        </w:tc>
      </w:tr>
      <w:tr w14:paraId="3E5595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75" w:hRule="atLeast"/>
          <w:jc w:val="center"/>
        </w:trPr>
        <w:tc>
          <w:tcPr>
            <w:tcW w:w="2309" w:type="dxa"/>
            <w:gridSpan w:val="2"/>
            <w:noWrap w:val="0"/>
            <w:tcMar>
              <w:top w:w="16" w:type="dxa"/>
              <w:left w:w="16" w:type="dxa"/>
              <w:right w:w="16" w:type="dxa"/>
            </w:tcMar>
            <w:vAlign w:val="center"/>
          </w:tcPr>
          <w:p w14:paraId="1118805B">
            <w:pPr>
              <w:adjustRightInd w:val="0"/>
              <w:snapToGrid w:val="0"/>
              <w:jc w:val="center"/>
              <w:rPr>
                <w:color w:val="auto"/>
                <w:sz w:val="24"/>
              </w:rPr>
            </w:pPr>
            <w:r>
              <w:rPr>
                <w:color w:val="auto"/>
                <w:sz w:val="24"/>
              </w:rPr>
              <w:t>项目审批（核准/</w:t>
            </w:r>
          </w:p>
          <w:p w14:paraId="6CFE85A6">
            <w:pPr>
              <w:adjustRightInd w:val="0"/>
              <w:snapToGrid w:val="0"/>
              <w:jc w:val="center"/>
              <w:rPr>
                <w:color w:val="auto"/>
                <w:sz w:val="24"/>
              </w:rPr>
            </w:pPr>
            <w:r>
              <w:rPr>
                <w:color w:val="auto"/>
                <w:sz w:val="24"/>
              </w:rPr>
              <w:t>备案）部门（选填）</w:t>
            </w:r>
          </w:p>
        </w:tc>
        <w:tc>
          <w:tcPr>
            <w:tcW w:w="1710" w:type="dxa"/>
            <w:noWrap w:val="0"/>
            <w:vAlign w:val="center"/>
          </w:tcPr>
          <w:p w14:paraId="33215DD3">
            <w:pPr>
              <w:adjustRightInd w:val="0"/>
              <w:snapToGrid w:val="0"/>
              <w:jc w:val="center"/>
              <w:rPr>
                <w:rFonts w:hint="default" w:eastAsia="宋体"/>
                <w:color w:val="auto"/>
                <w:sz w:val="24"/>
                <w:lang w:val="en-US" w:eastAsia="zh-CN"/>
              </w:rPr>
            </w:pPr>
            <w:r>
              <w:rPr>
                <w:sz w:val="24"/>
                <w:highlight w:val="none"/>
              </w:rPr>
              <w:t>壶关经济开发区管理委员会</w:t>
            </w:r>
          </w:p>
        </w:tc>
        <w:tc>
          <w:tcPr>
            <w:tcW w:w="1917" w:type="dxa"/>
            <w:noWrap w:val="0"/>
            <w:vAlign w:val="center"/>
          </w:tcPr>
          <w:p w14:paraId="6C8C1BD6">
            <w:pPr>
              <w:adjustRightInd w:val="0"/>
              <w:snapToGrid w:val="0"/>
              <w:jc w:val="center"/>
              <w:rPr>
                <w:color w:val="auto"/>
                <w:sz w:val="24"/>
              </w:rPr>
            </w:pPr>
            <w:r>
              <w:rPr>
                <w:color w:val="auto"/>
                <w:sz w:val="24"/>
              </w:rPr>
              <w:t>项目审批（核准/</w:t>
            </w:r>
          </w:p>
          <w:p w14:paraId="166D59E5">
            <w:pPr>
              <w:adjustRightInd w:val="0"/>
              <w:snapToGrid w:val="0"/>
              <w:jc w:val="center"/>
              <w:rPr>
                <w:color w:val="auto"/>
                <w:sz w:val="24"/>
              </w:rPr>
            </w:pPr>
            <w:r>
              <w:rPr>
                <w:color w:val="auto"/>
                <w:sz w:val="24"/>
              </w:rPr>
              <w:t>备案）文号（选填）</w:t>
            </w:r>
          </w:p>
        </w:tc>
        <w:tc>
          <w:tcPr>
            <w:tcW w:w="2934" w:type="dxa"/>
            <w:noWrap w:val="0"/>
            <w:vAlign w:val="center"/>
          </w:tcPr>
          <w:p w14:paraId="0C9C2EB8">
            <w:pPr>
              <w:adjustRightInd w:val="0"/>
              <w:snapToGrid w:val="0"/>
              <w:jc w:val="center"/>
              <w:rPr>
                <w:rFonts w:hint="default" w:eastAsia="宋体"/>
                <w:color w:val="auto"/>
                <w:sz w:val="24"/>
                <w:lang w:val="en-US" w:eastAsia="zh-CN"/>
              </w:rPr>
            </w:pPr>
            <w:r>
              <w:rPr>
                <w:rFonts w:hint="eastAsia"/>
                <w:color w:val="auto"/>
                <w:sz w:val="24"/>
                <w:lang w:val="en-US" w:eastAsia="zh-CN"/>
              </w:rPr>
              <w:t>壶经开审批</w:t>
            </w:r>
            <w:r>
              <w:rPr>
                <w:rFonts w:hint="default" w:ascii="Times New Roman" w:hAnsi="Times New Roman" w:eastAsia="宋体" w:cs="Times New Roman"/>
                <w:kern w:val="0"/>
                <w:sz w:val="24"/>
                <w:highlight w:val="none"/>
                <w:lang w:val="en-US" w:eastAsia="zh-CN"/>
              </w:rPr>
              <w:t>〔20</w:t>
            </w:r>
            <w:r>
              <w:rPr>
                <w:rFonts w:hint="eastAsia" w:cs="Times New Roman"/>
                <w:kern w:val="0"/>
                <w:sz w:val="24"/>
                <w:highlight w:val="none"/>
                <w:lang w:val="en-US" w:eastAsia="zh-CN"/>
              </w:rPr>
              <w:t>2</w:t>
            </w:r>
            <w:r>
              <w:rPr>
                <w:rFonts w:hint="default" w:ascii="Times New Roman" w:hAnsi="Times New Roman" w:eastAsia="宋体" w:cs="Times New Roman"/>
                <w:kern w:val="0"/>
                <w:sz w:val="24"/>
                <w:highlight w:val="none"/>
                <w:lang w:val="en-US" w:eastAsia="zh-CN"/>
              </w:rPr>
              <w:t>6〕</w:t>
            </w:r>
            <w:r>
              <w:rPr>
                <w:rFonts w:hint="eastAsia"/>
                <w:color w:val="auto"/>
                <w:sz w:val="24"/>
                <w:lang w:val="en-US" w:eastAsia="zh-CN"/>
              </w:rPr>
              <w:t>3号</w:t>
            </w:r>
          </w:p>
        </w:tc>
      </w:tr>
      <w:tr w14:paraId="26E96E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9" w:hRule="atLeast"/>
          <w:jc w:val="center"/>
        </w:trPr>
        <w:tc>
          <w:tcPr>
            <w:tcW w:w="2309" w:type="dxa"/>
            <w:gridSpan w:val="2"/>
            <w:noWrap w:val="0"/>
            <w:tcMar>
              <w:top w:w="16" w:type="dxa"/>
              <w:left w:w="16" w:type="dxa"/>
              <w:right w:w="16" w:type="dxa"/>
            </w:tcMar>
            <w:vAlign w:val="center"/>
          </w:tcPr>
          <w:p w14:paraId="5470B445">
            <w:pPr>
              <w:adjustRightInd w:val="0"/>
              <w:snapToGrid w:val="0"/>
              <w:jc w:val="center"/>
              <w:rPr>
                <w:color w:val="auto"/>
                <w:sz w:val="24"/>
              </w:rPr>
            </w:pPr>
            <w:r>
              <w:rPr>
                <w:color w:val="auto"/>
                <w:sz w:val="24"/>
              </w:rPr>
              <w:t>总投资（万元）</w:t>
            </w:r>
          </w:p>
        </w:tc>
        <w:tc>
          <w:tcPr>
            <w:tcW w:w="1710" w:type="dxa"/>
            <w:noWrap w:val="0"/>
            <w:vAlign w:val="center"/>
          </w:tcPr>
          <w:p w14:paraId="260C8074">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8000</w:t>
            </w:r>
          </w:p>
        </w:tc>
        <w:tc>
          <w:tcPr>
            <w:tcW w:w="1917" w:type="dxa"/>
            <w:noWrap w:val="0"/>
            <w:tcMar>
              <w:top w:w="16" w:type="dxa"/>
              <w:left w:w="16" w:type="dxa"/>
              <w:right w:w="16" w:type="dxa"/>
            </w:tcMar>
            <w:vAlign w:val="center"/>
          </w:tcPr>
          <w:p w14:paraId="571E357E">
            <w:pPr>
              <w:adjustRightInd w:val="0"/>
              <w:snapToGrid w:val="0"/>
              <w:jc w:val="center"/>
              <w:rPr>
                <w:color w:val="auto"/>
                <w:sz w:val="24"/>
              </w:rPr>
            </w:pPr>
            <w:r>
              <w:rPr>
                <w:color w:val="auto"/>
                <w:sz w:val="24"/>
              </w:rPr>
              <w:t>环保投资（万元）</w:t>
            </w:r>
          </w:p>
        </w:tc>
        <w:tc>
          <w:tcPr>
            <w:tcW w:w="2934" w:type="dxa"/>
            <w:noWrap w:val="0"/>
            <w:vAlign w:val="center"/>
          </w:tcPr>
          <w:p w14:paraId="01822CC2">
            <w:pPr>
              <w:adjustRightInd w:val="0"/>
              <w:snapToGrid w:val="0"/>
              <w:jc w:val="center"/>
              <w:rPr>
                <w:rFonts w:hint="default" w:eastAsia="宋体"/>
                <w:color w:val="auto"/>
                <w:sz w:val="24"/>
                <w:lang w:val="en-US" w:eastAsia="zh-CN"/>
              </w:rPr>
            </w:pPr>
            <w:r>
              <w:rPr>
                <w:rFonts w:hint="eastAsia"/>
                <w:color w:val="auto"/>
                <w:sz w:val="24"/>
                <w:lang w:val="en-US" w:eastAsia="zh-CN"/>
              </w:rPr>
              <w:t>538</w:t>
            </w:r>
          </w:p>
        </w:tc>
      </w:tr>
      <w:tr w14:paraId="61846E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9" w:hRule="atLeast"/>
          <w:jc w:val="center"/>
        </w:trPr>
        <w:tc>
          <w:tcPr>
            <w:tcW w:w="2309" w:type="dxa"/>
            <w:gridSpan w:val="2"/>
            <w:noWrap w:val="0"/>
            <w:tcMar>
              <w:top w:w="16" w:type="dxa"/>
              <w:left w:w="16" w:type="dxa"/>
              <w:right w:w="16" w:type="dxa"/>
            </w:tcMar>
            <w:vAlign w:val="center"/>
          </w:tcPr>
          <w:p w14:paraId="16029D9C">
            <w:pPr>
              <w:adjustRightInd w:val="0"/>
              <w:snapToGrid w:val="0"/>
              <w:jc w:val="center"/>
              <w:rPr>
                <w:color w:val="auto"/>
                <w:sz w:val="24"/>
              </w:rPr>
            </w:pPr>
            <w:r>
              <w:rPr>
                <w:color w:val="auto"/>
                <w:sz w:val="24"/>
              </w:rPr>
              <w:t>环保投资占比（%）</w:t>
            </w:r>
          </w:p>
        </w:tc>
        <w:tc>
          <w:tcPr>
            <w:tcW w:w="1710" w:type="dxa"/>
            <w:noWrap w:val="0"/>
            <w:vAlign w:val="center"/>
          </w:tcPr>
          <w:p w14:paraId="27A4098D">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6.725</w:t>
            </w:r>
          </w:p>
        </w:tc>
        <w:tc>
          <w:tcPr>
            <w:tcW w:w="1917" w:type="dxa"/>
            <w:noWrap w:val="0"/>
            <w:tcMar>
              <w:top w:w="16" w:type="dxa"/>
              <w:left w:w="16" w:type="dxa"/>
              <w:right w:w="16" w:type="dxa"/>
            </w:tcMar>
            <w:vAlign w:val="center"/>
          </w:tcPr>
          <w:p w14:paraId="2F47768A">
            <w:pPr>
              <w:adjustRightInd w:val="0"/>
              <w:snapToGrid w:val="0"/>
              <w:jc w:val="center"/>
              <w:rPr>
                <w:color w:val="auto"/>
                <w:sz w:val="24"/>
              </w:rPr>
            </w:pPr>
            <w:r>
              <w:rPr>
                <w:color w:val="auto"/>
                <w:sz w:val="24"/>
              </w:rPr>
              <w:t>施工工期</w:t>
            </w:r>
          </w:p>
        </w:tc>
        <w:tc>
          <w:tcPr>
            <w:tcW w:w="2934" w:type="dxa"/>
            <w:noWrap w:val="0"/>
            <w:vAlign w:val="center"/>
          </w:tcPr>
          <w:p w14:paraId="4DB4DD9C">
            <w:pPr>
              <w:adjustRightInd w:val="0"/>
              <w:snapToGrid w:val="0"/>
              <w:jc w:val="center"/>
              <w:rPr>
                <w:color w:val="auto"/>
                <w:sz w:val="24"/>
              </w:rPr>
            </w:pPr>
            <w:r>
              <w:rPr>
                <w:rFonts w:hint="eastAsia"/>
                <w:color w:val="auto"/>
                <w:sz w:val="24"/>
              </w:rPr>
              <w:t>6</w:t>
            </w:r>
            <w:r>
              <w:rPr>
                <w:color w:val="auto"/>
                <w:sz w:val="24"/>
              </w:rPr>
              <w:t>个月</w:t>
            </w:r>
          </w:p>
        </w:tc>
      </w:tr>
      <w:tr w14:paraId="694E59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09" w:type="dxa"/>
            <w:gridSpan w:val="2"/>
            <w:noWrap w:val="0"/>
            <w:tcMar>
              <w:top w:w="16" w:type="dxa"/>
              <w:left w:w="16" w:type="dxa"/>
              <w:right w:w="16" w:type="dxa"/>
            </w:tcMar>
            <w:vAlign w:val="center"/>
          </w:tcPr>
          <w:p w14:paraId="6445EEAE">
            <w:pPr>
              <w:adjustRightInd w:val="0"/>
              <w:snapToGrid w:val="0"/>
              <w:jc w:val="center"/>
              <w:rPr>
                <w:color w:val="auto"/>
                <w:sz w:val="24"/>
              </w:rPr>
            </w:pPr>
            <w:r>
              <w:rPr>
                <w:color w:val="auto"/>
                <w:sz w:val="24"/>
              </w:rPr>
              <w:t>是否开工建设</w:t>
            </w:r>
          </w:p>
        </w:tc>
        <w:tc>
          <w:tcPr>
            <w:tcW w:w="1710" w:type="dxa"/>
            <w:noWrap w:val="0"/>
            <w:vAlign w:val="center"/>
          </w:tcPr>
          <w:p w14:paraId="355F0B28">
            <w:pPr>
              <w:adjustRightInd w:val="0"/>
              <w:snapToGrid w:val="0"/>
              <w:rPr>
                <w:color w:val="auto"/>
                <w:sz w:val="24"/>
              </w:rPr>
            </w:pPr>
            <w:r>
              <w:rPr>
                <w:color w:val="auto"/>
                <w:sz w:val="24"/>
              </w:rPr>
              <w:sym w:font="Wingdings 2" w:char="0052"/>
            </w:r>
            <w:r>
              <w:rPr>
                <w:color w:val="auto"/>
                <w:sz w:val="24"/>
              </w:rPr>
              <w:t>否</w:t>
            </w:r>
          </w:p>
          <w:p w14:paraId="0E66626F">
            <w:pPr>
              <w:adjustRightInd w:val="0"/>
              <w:snapToGrid w:val="0"/>
              <w:rPr>
                <w:color w:val="auto"/>
                <w:sz w:val="24"/>
              </w:rPr>
            </w:pPr>
            <w:r>
              <w:rPr>
                <w:color w:val="auto"/>
                <w:sz w:val="24"/>
              </w:rPr>
              <w:sym w:font="Wingdings 2" w:char="00A3"/>
            </w:r>
            <w:r>
              <w:rPr>
                <w:color w:val="auto"/>
                <w:sz w:val="24"/>
              </w:rPr>
              <w:t>是：</w:t>
            </w:r>
          </w:p>
        </w:tc>
        <w:tc>
          <w:tcPr>
            <w:tcW w:w="1917" w:type="dxa"/>
            <w:noWrap w:val="0"/>
            <w:tcMar>
              <w:top w:w="16" w:type="dxa"/>
              <w:left w:w="16" w:type="dxa"/>
              <w:right w:w="16" w:type="dxa"/>
            </w:tcMar>
            <w:vAlign w:val="center"/>
          </w:tcPr>
          <w:p w14:paraId="29288E80">
            <w:pPr>
              <w:adjustRightInd w:val="0"/>
              <w:snapToGrid w:val="0"/>
              <w:jc w:val="center"/>
              <w:rPr>
                <w:color w:val="auto"/>
                <w:spacing w:val="-6"/>
                <w:sz w:val="24"/>
              </w:rPr>
            </w:pPr>
            <w:r>
              <w:rPr>
                <w:color w:val="auto"/>
                <w:spacing w:val="-6"/>
                <w:sz w:val="24"/>
              </w:rPr>
              <w:t>用地（用海）</w:t>
            </w:r>
          </w:p>
          <w:p w14:paraId="461781F0">
            <w:pPr>
              <w:adjustRightInd w:val="0"/>
              <w:snapToGrid w:val="0"/>
              <w:jc w:val="center"/>
              <w:rPr>
                <w:color w:val="auto"/>
                <w:sz w:val="24"/>
              </w:rPr>
            </w:pPr>
            <w:r>
              <w:rPr>
                <w:color w:val="auto"/>
                <w:spacing w:val="-6"/>
                <w:sz w:val="24"/>
              </w:rPr>
              <w:t>面积（m</w:t>
            </w:r>
            <w:r>
              <w:rPr>
                <w:color w:val="auto"/>
                <w:spacing w:val="-6"/>
                <w:sz w:val="24"/>
                <w:vertAlign w:val="superscript"/>
              </w:rPr>
              <w:t>2</w:t>
            </w:r>
            <w:r>
              <w:rPr>
                <w:color w:val="auto"/>
                <w:spacing w:val="-6"/>
                <w:sz w:val="24"/>
              </w:rPr>
              <w:t>）</w:t>
            </w:r>
          </w:p>
        </w:tc>
        <w:tc>
          <w:tcPr>
            <w:tcW w:w="2934" w:type="dxa"/>
            <w:noWrap w:val="0"/>
            <w:vAlign w:val="center"/>
          </w:tcPr>
          <w:p w14:paraId="13975BB5">
            <w:pPr>
              <w:adjustRightInd w:val="0"/>
              <w:snapToGrid w:val="0"/>
              <w:jc w:val="center"/>
              <w:rPr>
                <w:rFonts w:hint="default" w:eastAsia="宋体"/>
                <w:color w:val="auto"/>
                <w:sz w:val="24"/>
                <w:lang w:val="en-US" w:eastAsia="zh-CN"/>
              </w:rPr>
            </w:pPr>
            <w:r>
              <w:rPr>
                <w:rFonts w:hint="eastAsia" w:ascii="Times New Roman" w:hAnsi="Times New Roman" w:eastAsia="宋体" w:cs="Times New Roman"/>
                <w:color w:val="auto"/>
                <w:sz w:val="24"/>
                <w:lang w:val="en-US" w:eastAsia="zh-CN"/>
              </w:rPr>
              <w:t>占地面积4000m</w:t>
            </w:r>
            <w:r>
              <w:rPr>
                <w:rFonts w:hint="eastAsia" w:ascii="Times New Roman" w:hAnsi="Times New Roman" w:eastAsia="宋体" w:cs="Times New Roman"/>
                <w:color w:val="auto"/>
                <w:sz w:val="24"/>
                <w:vertAlign w:val="superscript"/>
                <w:lang w:val="en-US" w:eastAsia="zh-CN"/>
              </w:rPr>
              <w:t>2</w:t>
            </w:r>
            <w:r>
              <w:rPr>
                <w:rFonts w:hint="eastAsia" w:cs="Times New Roman"/>
                <w:color w:val="auto"/>
                <w:sz w:val="24"/>
                <w:lang w:val="en-US" w:eastAsia="zh-CN"/>
              </w:rPr>
              <w:t>（</w:t>
            </w:r>
            <w:r>
              <w:rPr>
                <w:rFonts w:hint="eastAsia" w:ascii="Times New Roman" w:hAnsi="Times New Roman" w:eastAsia="宋体" w:cs="Times New Roman"/>
                <w:color w:val="auto"/>
                <w:sz w:val="24"/>
                <w:lang w:val="en-US" w:eastAsia="zh-CN"/>
              </w:rPr>
              <w:t>利用厂区内部空地，不新增占地</w:t>
            </w:r>
            <w:r>
              <w:rPr>
                <w:rFonts w:hint="eastAsia" w:cs="Times New Roman"/>
                <w:color w:val="auto"/>
                <w:sz w:val="24"/>
                <w:lang w:val="en-US" w:eastAsia="zh-CN"/>
              </w:rPr>
              <w:t>）</w:t>
            </w:r>
          </w:p>
        </w:tc>
      </w:tr>
      <w:tr w14:paraId="1961E7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4" w:hRule="atLeast"/>
          <w:jc w:val="center"/>
        </w:trPr>
        <w:tc>
          <w:tcPr>
            <w:tcW w:w="2309" w:type="dxa"/>
            <w:gridSpan w:val="2"/>
            <w:noWrap w:val="0"/>
            <w:vAlign w:val="center"/>
          </w:tcPr>
          <w:p w14:paraId="65DC0181">
            <w:pPr>
              <w:autoSpaceDE w:val="0"/>
              <w:autoSpaceDN w:val="0"/>
              <w:adjustRightInd w:val="0"/>
              <w:snapToGrid w:val="0"/>
              <w:jc w:val="center"/>
              <w:rPr>
                <w:color w:val="auto"/>
                <w:kern w:val="0"/>
                <w:sz w:val="24"/>
              </w:rPr>
            </w:pPr>
            <w:r>
              <w:rPr>
                <w:color w:val="auto"/>
                <w:kern w:val="0"/>
                <w:sz w:val="24"/>
              </w:rPr>
              <w:t>专项评价设置情况</w:t>
            </w:r>
          </w:p>
        </w:tc>
        <w:tc>
          <w:tcPr>
            <w:tcW w:w="6561" w:type="dxa"/>
            <w:gridSpan w:val="3"/>
            <w:noWrap w:val="0"/>
            <w:vAlign w:val="center"/>
          </w:tcPr>
          <w:p w14:paraId="142BEF15">
            <w:pPr>
              <w:widowControl/>
              <w:jc w:val="center"/>
              <w:rPr>
                <w:color w:val="auto"/>
                <w:kern w:val="0"/>
                <w:sz w:val="24"/>
              </w:rPr>
            </w:pPr>
            <w:r>
              <w:rPr>
                <w:rFonts w:hint="eastAsia"/>
                <w:color w:val="auto"/>
                <w:kern w:val="0"/>
                <w:sz w:val="24"/>
              </w:rPr>
              <w:t>无</w:t>
            </w:r>
          </w:p>
        </w:tc>
      </w:tr>
      <w:tr w14:paraId="7C711E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4" w:hRule="atLeast"/>
          <w:jc w:val="center"/>
        </w:trPr>
        <w:tc>
          <w:tcPr>
            <w:tcW w:w="2309" w:type="dxa"/>
            <w:gridSpan w:val="2"/>
            <w:noWrap w:val="0"/>
            <w:vAlign w:val="center"/>
          </w:tcPr>
          <w:p w14:paraId="606896B6">
            <w:pPr>
              <w:autoSpaceDE w:val="0"/>
              <w:autoSpaceDN w:val="0"/>
              <w:adjustRightInd w:val="0"/>
              <w:snapToGrid w:val="0"/>
              <w:jc w:val="center"/>
              <w:rPr>
                <w:color w:val="auto"/>
                <w:kern w:val="0"/>
                <w:sz w:val="24"/>
              </w:rPr>
            </w:pPr>
            <w:r>
              <w:rPr>
                <w:color w:val="auto"/>
                <w:sz w:val="24"/>
              </w:rPr>
              <w:t>规划情况</w:t>
            </w:r>
          </w:p>
        </w:tc>
        <w:tc>
          <w:tcPr>
            <w:tcW w:w="6561" w:type="dxa"/>
            <w:gridSpan w:val="3"/>
            <w:noWrap w:val="0"/>
            <w:vAlign w:val="center"/>
          </w:tcPr>
          <w:p w14:paraId="18F13192">
            <w:pPr>
              <w:autoSpaceDE w:val="0"/>
              <w:autoSpaceDN w:val="0"/>
              <w:adjustRightInd w:val="0"/>
              <w:snapToGrid w:val="0"/>
              <w:rPr>
                <w:kern w:val="0"/>
                <w:sz w:val="24"/>
                <w:highlight w:val="none"/>
              </w:rPr>
            </w:pPr>
            <w:r>
              <w:rPr>
                <w:kern w:val="0"/>
                <w:sz w:val="24"/>
                <w:highlight w:val="none"/>
              </w:rPr>
              <w:t>规划名称：《山西省壶关经济开发区扩区总体规划（2020-2035）》</w:t>
            </w:r>
          </w:p>
          <w:p w14:paraId="33920DAD">
            <w:pPr>
              <w:autoSpaceDE w:val="0"/>
              <w:autoSpaceDN w:val="0"/>
              <w:adjustRightInd w:val="0"/>
              <w:snapToGrid w:val="0"/>
              <w:rPr>
                <w:kern w:val="0"/>
                <w:sz w:val="24"/>
                <w:highlight w:val="none"/>
              </w:rPr>
            </w:pPr>
            <w:r>
              <w:rPr>
                <w:kern w:val="0"/>
                <w:sz w:val="24"/>
                <w:highlight w:val="none"/>
              </w:rPr>
              <w:t>审批机关：山西省人民政府</w:t>
            </w:r>
          </w:p>
          <w:p w14:paraId="166A789A">
            <w:pPr>
              <w:autoSpaceDE w:val="0"/>
              <w:autoSpaceDN w:val="0"/>
              <w:adjustRightInd w:val="0"/>
              <w:snapToGrid w:val="0"/>
              <w:rPr>
                <w:color w:val="auto"/>
                <w:kern w:val="0"/>
                <w:sz w:val="24"/>
              </w:rPr>
            </w:pPr>
            <w:r>
              <w:rPr>
                <w:kern w:val="0"/>
                <w:sz w:val="24"/>
                <w:highlight w:val="none"/>
              </w:rPr>
              <w:t>审批文件文号：</w:t>
            </w:r>
            <w:r>
              <w:rPr>
                <w:rFonts w:hint="eastAsia"/>
                <w:kern w:val="0"/>
                <w:sz w:val="24"/>
                <w:highlight w:val="none"/>
                <w:lang w:eastAsia="zh-CN"/>
              </w:rPr>
              <w:t>《</w:t>
            </w:r>
            <w:r>
              <w:rPr>
                <w:kern w:val="0"/>
                <w:sz w:val="24"/>
                <w:highlight w:val="none"/>
              </w:rPr>
              <w:t>山西省人民政府关于同意壶关经济开发区扩区的批复</w:t>
            </w:r>
            <w:r>
              <w:rPr>
                <w:rFonts w:hint="eastAsia"/>
                <w:kern w:val="0"/>
                <w:sz w:val="24"/>
                <w:highlight w:val="none"/>
                <w:lang w:eastAsia="zh-CN"/>
              </w:rPr>
              <w:t>》</w:t>
            </w:r>
            <w:r>
              <w:rPr>
                <w:kern w:val="0"/>
                <w:sz w:val="24"/>
                <w:highlight w:val="none"/>
              </w:rPr>
              <w:t>（晋政函</w:t>
            </w:r>
            <w:r>
              <w:rPr>
                <w:rFonts w:hint="eastAsia"/>
                <w:kern w:val="0"/>
                <w:sz w:val="24"/>
                <w:highlight w:val="none"/>
                <w:lang w:eastAsia="zh-CN"/>
              </w:rPr>
              <w:t>〔2017〕117号</w:t>
            </w:r>
            <w:r>
              <w:rPr>
                <w:kern w:val="0"/>
                <w:sz w:val="24"/>
                <w:highlight w:val="none"/>
              </w:rPr>
              <w:t>）</w:t>
            </w:r>
          </w:p>
        </w:tc>
      </w:tr>
      <w:tr w14:paraId="68CDAF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2309" w:type="dxa"/>
            <w:gridSpan w:val="2"/>
            <w:noWrap w:val="0"/>
            <w:vAlign w:val="center"/>
          </w:tcPr>
          <w:p w14:paraId="5538946B">
            <w:pPr>
              <w:adjustRightInd w:val="0"/>
              <w:snapToGrid w:val="0"/>
              <w:jc w:val="center"/>
              <w:rPr>
                <w:color w:val="auto"/>
                <w:sz w:val="24"/>
              </w:rPr>
            </w:pPr>
            <w:r>
              <w:rPr>
                <w:color w:val="auto"/>
                <w:sz w:val="24"/>
              </w:rPr>
              <w:t>规划环境影响</w:t>
            </w:r>
          </w:p>
          <w:p w14:paraId="4F66E6E8">
            <w:pPr>
              <w:adjustRightInd w:val="0"/>
              <w:snapToGrid w:val="0"/>
              <w:jc w:val="center"/>
              <w:rPr>
                <w:color w:val="auto"/>
                <w:kern w:val="0"/>
                <w:sz w:val="24"/>
              </w:rPr>
            </w:pPr>
            <w:r>
              <w:rPr>
                <w:color w:val="auto"/>
                <w:sz w:val="24"/>
              </w:rPr>
              <w:t>评价情况</w:t>
            </w:r>
          </w:p>
        </w:tc>
        <w:tc>
          <w:tcPr>
            <w:tcW w:w="6561" w:type="dxa"/>
            <w:gridSpan w:val="3"/>
            <w:noWrap w:val="0"/>
            <w:vAlign w:val="center"/>
          </w:tcPr>
          <w:p w14:paraId="5DE96073">
            <w:pPr>
              <w:autoSpaceDE w:val="0"/>
              <w:autoSpaceDN w:val="0"/>
              <w:adjustRightInd w:val="0"/>
              <w:snapToGrid w:val="0"/>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规划</w:t>
            </w:r>
            <w:r>
              <w:rPr>
                <w:rFonts w:hint="eastAsia" w:ascii="Times New Roman" w:hAnsi="Times New Roman" w:eastAsia="宋体" w:cs="Times New Roman"/>
                <w:kern w:val="0"/>
                <w:sz w:val="24"/>
                <w:highlight w:val="none"/>
                <w:lang w:eastAsia="zh-CN"/>
              </w:rPr>
              <w:t>环境影响评价</w:t>
            </w:r>
            <w:r>
              <w:rPr>
                <w:rFonts w:ascii="Times New Roman" w:hAnsi="Times New Roman" w:eastAsia="宋体" w:cs="Times New Roman"/>
                <w:kern w:val="0"/>
                <w:sz w:val="24"/>
                <w:highlight w:val="none"/>
              </w:rPr>
              <w:t>报告：《壶关经济开发区扩区总体规划（2020-2035）环境影响报告书》</w:t>
            </w:r>
          </w:p>
          <w:p w14:paraId="4BF4F2C1">
            <w:pPr>
              <w:autoSpaceDE w:val="0"/>
              <w:autoSpaceDN w:val="0"/>
              <w:adjustRightInd w:val="0"/>
              <w:snapToGrid w:val="0"/>
              <w:rPr>
                <w:rFonts w:ascii="Times New Roman" w:hAnsi="Times New Roman" w:eastAsia="宋体" w:cs="Times New Roman"/>
                <w:kern w:val="0"/>
                <w:sz w:val="24"/>
                <w:highlight w:val="none"/>
              </w:rPr>
            </w:pPr>
            <w:r>
              <w:rPr>
                <w:rFonts w:ascii="Times New Roman" w:hAnsi="Times New Roman" w:eastAsia="宋体" w:cs="Times New Roman"/>
                <w:kern w:val="0"/>
                <w:sz w:val="24"/>
                <w:highlight w:val="none"/>
              </w:rPr>
              <w:t>审查机关：山西省生态环境厅</w:t>
            </w:r>
          </w:p>
          <w:p w14:paraId="7B4C52D0">
            <w:pPr>
              <w:autoSpaceDE w:val="0"/>
              <w:autoSpaceDN w:val="0"/>
              <w:adjustRightInd w:val="0"/>
              <w:snapToGrid w:val="0"/>
              <w:rPr>
                <w:color w:val="auto"/>
              </w:rPr>
            </w:pPr>
            <w:r>
              <w:rPr>
                <w:rFonts w:ascii="Times New Roman" w:hAnsi="Times New Roman" w:eastAsia="宋体" w:cs="Times New Roman"/>
                <w:kern w:val="0"/>
                <w:sz w:val="24"/>
                <w:highlight w:val="none"/>
              </w:rPr>
              <w:t>审批文件文号：《山西省生态环境厅关于壶关经济开发区扩区总体规划（2020-2035）环境影响报告书》的审查意见（晋环函</w:t>
            </w:r>
            <w:r>
              <w:rPr>
                <w:rFonts w:hint="eastAsia" w:ascii="Times New Roman" w:hAnsi="Times New Roman" w:eastAsia="宋体" w:cs="Times New Roman"/>
                <w:kern w:val="0"/>
                <w:sz w:val="24"/>
                <w:highlight w:val="none"/>
                <w:lang w:eastAsia="zh-CN"/>
              </w:rPr>
              <w:t>〔2023〕573号</w:t>
            </w:r>
            <w:r>
              <w:rPr>
                <w:rFonts w:ascii="Times New Roman" w:hAnsi="Times New Roman" w:eastAsia="宋体" w:cs="Times New Roman"/>
                <w:kern w:val="0"/>
                <w:sz w:val="24"/>
                <w:highlight w:val="none"/>
              </w:rPr>
              <w:t>）</w:t>
            </w:r>
          </w:p>
        </w:tc>
      </w:tr>
      <w:tr w14:paraId="479823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4" w:hRule="atLeast"/>
          <w:jc w:val="center"/>
        </w:trPr>
        <w:tc>
          <w:tcPr>
            <w:tcW w:w="1035" w:type="dxa"/>
            <w:noWrap w:val="0"/>
            <w:vAlign w:val="center"/>
          </w:tcPr>
          <w:p w14:paraId="476AAEBB">
            <w:pPr>
              <w:autoSpaceDE w:val="0"/>
              <w:autoSpaceDN w:val="0"/>
              <w:adjustRightInd w:val="0"/>
              <w:snapToGrid w:val="0"/>
              <w:jc w:val="center"/>
              <w:rPr>
                <w:color w:val="auto"/>
                <w:kern w:val="0"/>
                <w:sz w:val="24"/>
              </w:rPr>
            </w:pPr>
            <w:r>
              <w:rPr>
                <w:color w:val="auto"/>
                <w:kern w:val="0"/>
                <w:sz w:val="24"/>
              </w:rPr>
              <w:t>规划及规划环境影响评价符合性分析</w:t>
            </w:r>
          </w:p>
        </w:tc>
        <w:tc>
          <w:tcPr>
            <w:tcW w:w="7835" w:type="dxa"/>
            <w:gridSpan w:val="4"/>
            <w:noWrap w:val="0"/>
            <w:vAlign w:val="center"/>
          </w:tcPr>
          <w:p w14:paraId="1EE4C00E">
            <w:pPr>
              <w:autoSpaceDE w:val="0"/>
              <w:autoSpaceDN w:val="0"/>
              <w:adjustRightInd w:val="0"/>
              <w:snapToGrid w:val="0"/>
              <w:spacing w:line="360" w:lineRule="auto"/>
              <w:jc w:val="left"/>
              <w:rPr>
                <w:color w:val="auto"/>
                <w:kern w:val="0"/>
                <w:sz w:val="24"/>
              </w:rPr>
            </w:pPr>
            <w:r>
              <w:rPr>
                <w:b/>
                <w:bCs/>
                <w:color w:val="auto"/>
                <w:kern w:val="0"/>
                <w:sz w:val="24"/>
              </w:rPr>
              <w:t>1、与《山西省壶关经济开发区扩区总体规划（2020-2035）》符合性分析</w:t>
            </w:r>
          </w:p>
          <w:p w14:paraId="649FC11C">
            <w:pPr>
              <w:autoSpaceDE w:val="0"/>
              <w:autoSpaceDN w:val="0"/>
              <w:adjustRightInd w:val="0"/>
              <w:snapToGrid w:val="0"/>
              <w:spacing w:line="360" w:lineRule="auto"/>
              <w:ind w:firstLine="480" w:firstLineChars="200"/>
              <w:jc w:val="left"/>
              <w:rPr>
                <w:color w:val="auto"/>
                <w:kern w:val="0"/>
                <w:sz w:val="24"/>
              </w:rPr>
            </w:pPr>
            <w:r>
              <w:rPr>
                <w:color w:val="auto"/>
                <w:kern w:val="0"/>
                <w:sz w:val="24"/>
              </w:rPr>
              <w:t>与《山西省壶关经济开发区扩区总体规划（2020-2035）》的符合性分析</w:t>
            </w:r>
          </w:p>
          <w:p w14:paraId="52F73BF7">
            <w:pPr>
              <w:autoSpaceDE w:val="0"/>
              <w:autoSpaceDN w:val="0"/>
              <w:adjustRightInd w:val="0"/>
              <w:snapToGrid w:val="0"/>
              <w:spacing w:line="360" w:lineRule="auto"/>
              <w:ind w:firstLine="480" w:firstLineChars="200"/>
              <w:jc w:val="left"/>
              <w:rPr>
                <w:color w:val="auto"/>
                <w:kern w:val="0"/>
                <w:sz w:val="24"/>
              </w:rPr>
            </w:pPr>
            <w:r>
              <w:rPr>
                <w:color w:val="auto"/>
                <w:kern w:val="0"/>
                <w:sz w:val="24"/>
                <w:lang w:val="en-US" w:eastAsia="zh-CN"/>
              </w:rPr>
              <w:t>（1）</w:t>
            </w:r>
            <w:r>
              <w:rPr>
                <w:color w:val="auto"/>
                <w:kern w:val="0"/>
                <w:sz w:val="24"/>
              </w:rPr>
              <w:t>规划范围</w:t>
            </w:r>
          </w:p>
          <w:p w14:paraId="193ED568">
            <w:pPr>
              <w:autoSpaceDE w:val="0"/>
              <w:autoSpaceDN w:val="0"/>
              <w:adjustRightInd w:val="0"/>
              <w:snapToGrid w:val="0"/>
              <w:spacing w:line="360" w:lineRule="auto"/>
              <w:ind w:firstLine="480" w:firstLineChars="200"/>
              <w:jc w:val="left"/>
              <w:rPr>
                <w:color w:val="auto"/>
                <w:kern w:val="0"/>
                <w:sz w:val="24"/>
              </w:rPr>
            </w:pPr>
            <w:r>
              <w:rPr>
                <w:color w:val="auto"/>
                <w:kern w:val="0"/>
                <w:sz w:val="24"/>
              </w:rPr>
              <w:t>山西省壶关经济开发区规划范围：东至长治绕城高速，南至石子河北岸，西至中南铁路壶关段，北至壶关与平顺县界，面积30.49平方公里（2020年9月，</w:t>
            </w:r>
            <w:r>
              <w:rPr>
                <w:rFonts w:hint="eastAsia"/>
                <w:color w:val="auto"/>
                <w:kern w:val="0"/>
                <w:sz w:val="24"/>
                <w:lang w:eastAsia="zh-CN"/>
              </w:rPr>
              <w:t>山西省</w:t>
            </w:r>
            <w:r>
              <w:rPr>
                <w:color w:val="auto"/>
                <w:kern w:val="0"/>
                <w:sz w:val="24"/>
              </w:rPr>
              <w:t>自然资源厅印发了《关于核定壶关经济开发区四至范围有关问题的函》（晋自然资函</w:t>
            </w:r>
            <w:r>
              <w:rPr>
                <w:rFonts w:hint="eastAsia"/>
                <w:color w:val="auto"/>
                <w:kern w:val="0"/>
                <w:sz w:val="24"/>
                <w:lang w:eastAsia="zh-CN"/>
              </w:rPr>
              <w:t>〔2020〕877号</w:t>
            </w:r>
            <w:r>
              <w:rPr>
                <w:color w:val="auto"/>
                <w:kern w:val="0"/>
                <w:sz w:val="24"/>
              </w:rPr>
              <w:t>），核定壶关经济开发区面积为29.65平方公里）。</w:t>
            </w:r>
          </w:p>
          <w:p w14:paraId="1D756A8B">
            <w:pPr>
              <w:autoSpaceDE w:val="0"/>
              <w:autoSpaceDN w:val="0"/>
              <w:adjustRightInd w:val="0"/>
              <w:snapToGrid w:val="0"/>
              <w:spacing w:line="360" w:lineRule="auto"/>
              <w:ind w:firstLine="480" w:firstLineChars="200"/>
              <w:jc w:val="left"/>
              <w:rPr>
                <w:color w:val="auto"/>
                <w:kern w:val="0"/>
                <w:sz w:val="24"/>
                <w:lang w:val="en-US" w:eastAsia="zh-CN"/>
              </w:rPr>
            </w:pPr>
            <w:r>
              <w:rPr>
                <w:color w:val="auto"/>
                <w:kern w:val="0"/>
                <w:sz w:val="24"/>
                <w:lang w:val="en-US" w:eastAsia="zh-CN"/>
              </w:rPr>
              <w:t>（2）规划期限</w:t>
            </w:r>
          </w:p>
          <w:p w14:paraId="6683E390">
            <w:pPr>
              <w:autoSpaceDE w:val="0"/>
              <w:autoSpaceDN w:val="0"/>
              <w:adjustRightInd w:val="0"/>
              <w:snapToGrid w:val="0"/>
              <w:spacing w:line="360" w:lineRule="auto"/>
              <w:ind w:firstLine="480" w:firstLineChars="200"/>
              <w:jc w:val="left"/>
              <w:rPr>
                <w:color w:val="auto"/>
                <w:kern w:val="0"/>
                <w:sz w:val="24"/>
              </w:rPr>
            </w:pPr>
            <w:r>
              <w:rPr>
                <w:color w:val="auto"/>
                <w:kern w:val="0"/>
                <w:sz w:val="24"/>
              </w:rPr>
              <w:t>规划期限为</w:t>
            </w:r>
            <w:r>
              <w:rPr>
                <w:rFonts w:hint="eastAsia"/>
                <w:color w:val="auto"/>
                <w:kern w:val="0"/>
                <w:sz w:val="24"/>
                <w:lang w:eastAsia="zh-CN"/>
              </w:rPr>
              <w:t>2020—2035</w:t>
            </w:r>
            <w:r>
              <w:rPr>
                <w:color w:val="auto"/>
                <w:kern w:val="0"/>
                <w:sz w:val="24"/>
              </w:rPr>
              <w:t>年，其中：近期：2020</w:t>
            </w:r>
            <w:r>
              <w:rPr>
                <w:rFonts w:hint="eastAsia"/>
                <w:color w:val="auto"/>
                <w:kern w:val="0"/>
                <w:sz w:val="24"/>
                <w:lang w:eastAsia="zh-CN"/>
              </w:rPr>
              <w:t>—</w:t>
            </w:r>
            <w:r>
              <w:rPr>
                <w:color w:val="auto"/>
                <w:kern w:val="0"/>
                <w:sz w:val="24"/>
              </w:rPr>
              <w:t>2025年；远期：2026</w:t>
            </w:r>
            <w:r>
              <w:rPr>
                <w:rFonts w:hint="eastAsia"/>
                <w:color w:val="auto"/>
                <w:kern w:val="0"/>
                <w:sz w:val="24"/>
                <w:lang w:eastAsia="zh-CN"/>
              </w:rPr>
              <w:t>—</w:t>
            </w:r>
            <w:r>
              <w:rPr>
                <w:color w:val="auto"/>
                <w:kern w:val="0"/>
                <w:sz w:val="24"/>
              </w:rPr>
              <w:t>2035年。</w:t>
            </w:r>
          </w:p>
          <w:p w14:paraId="752738DE">
            <w:pPr>
              <w:autoSpaceDE w:val="0"/>
              <w:autoSpaceDN w:val="0"/>
              <w:adjustRightInd w:val="0"/>
              <w:snapToGrid w:val="0"/>
              <w:spacing w:line="360" w:lineRule="auto"/>
              <w:ind w:firstLine="480" w:firstLineChars="200"/>
              <w:jc w:val="left"/>
              <w:rPr>
                <w:color w:val="auto"/>
                <w:kern w:val="0"/>
                <w:sz w:val="24"/>
                <w:lang w:val="en-US" w:eastAsia="zh-CN"/>
              </w:rPr>
            </w:pPr>
            <w:r>
              <w:rPr>
                <w:color w:val="auto"/>
                <w:kern w:val="0"/>
                <w:sz w:val="24"/>
                <w:lang w:val="en-US" w:eastAsia="zh-CN"/>
              </w:rPr>
              <w:t>（3）规划定位</w:t>
            </w:r>
          </w:p>
          <w:p w14:paraId="4726BEB4">
            <w:pPr>
              <w:autoSpaceDE w:val="0"/>
              <w:autoSpaceDN w:val="0"/>
              <w:adjustRightInd w:val="0"/>
              <w:snapToGrid w:val="0"/>
              <w:spacing w:line="360" w:lineRule="auto"/>
              <w:ind w:firstLine="480" w:firstLineChars="200"/>
              <w:jc w:val="left"/>
              <w:rPr>
                <w:color w:val="auto"/>
                <w:kern w:val="0"/>
                <w:sz w:val="24"/>
              </w:rPr>
            </w:pPr>
            <w:r>
              <w:rPr>
                <w:color w:val="auto"/>
                <w:kern w:val="0"/>
                <w:sz w:val="24"/>
              </w:rPr>
              <w:t>全国特色产业基地，壶关生态新城。以新材料、装备制造业、文化旅游为特色的产业基地，壶关生态新城。</w:t>
            </w:r>
          </w:p>
          <w:p w14:paraId="3A16CB91">
            <w:pPr>
              <w:autoSpaceDE w:val="0"/>
              <w:autoSpaceDN w:val="0"/>
              <w:adjustRightInd w:val="0"/>
              <w:snapToGrid w:val="0"/>
              <w:spacing w:line="360" w:lineRule="auto"/>
              <w:ind w:firstLine="480" w:firstLineChars="200"/>
              <w:jc w:val="left"/>
              <w:rPr>
                <w:color w:val="auto"/>
                <w:kern w:val="0"/>
                <w:sz w:val="24"/>
                <w:lang w:val="en-US" w:eastAsia="zh-CN"/>
              </w:rPr>
            </w:pPr>
            <w:r>
              <w:rPr>
                <w:color w:val="auto"/>
                <w:kern w:val="0"/>
                <w:sz w:val="24"/>
                <w:lang w:val="en-US" w:eastAsia="zh-CN"/>
              </w:rPr>
              <w:t>（4）产业发展规划</w:t>
            </w:r>
          </w:p>
          <w:p w14:paraId="70A72229">
            <w:pPr>
              <w:autoSpaceDE w:val="0"/>
              <w:autoSpaceDN w:val="0"/>
              <w:adjustRightInd w:val="0"/>
              <w:snapToGrid w:val="0"/>
              <w:spacing w:line="360" w:lineRule="auto"/>
              <w:ind w:firstLine="480" w:firstLineChars="200"/>
              <w:jc w:val="left"/>
              <w:rPr>
                <w:color w:val="auto"/>
                <w:kern w:val="0"/>
                <w:sz w:val="24"/>
              </w:rPr>
            </w:pPr>
            <w:r>
              <w:rPr>
                <w:color w:val="auto"/>
                <w:kern w:val="0"/>
                <w:sz w:val="24"/>
              </w:rPr>
              <w:t>①主导产业体系</w:t>
            </w:r>
          </w:p>
          <w:p w14:paraId="02343122">
            <w:pPr>
              <w:autoSpaceDE w:val="0"/>
              <w:autoSpaceDN w:val="0"/>
              <w:adjustRightInd w:val="0"/>
              <w:snapToGrid w:val="0"/>
              <w:spacing w:line="360" w:lineRule="auto"/>
              <w:ind w:firstLine="480" w:firstLineChars="200"/>
              <w:jc w:val="left"/>
              <w:rPr>
                <w:color w:val="auto"/>
                <w:kern w:val="0"/>
                <w:sz w:val="24"/>
              </w:rPr>
            </w:pPr>
            <w:r>
              <w:rPr>
                <w:rFonts w:hint="eastAsia"/>
                <w:color w:val="auto"/>
                <w:kern w:val="0"/>
                <w:sz w:val="24"/>
                <w:lang w:eastAsia="zh-CN"/>
              </w:rPr>
              <w:t>构建</w:t>
            </w:r>
            <w:r>
              <w:rPr>
                <w:color w:val="auto"/>
                <w:kern w:val="0"/>
                <w:sz w:val="24"/>
              </w:rPr>
              <w:t>“1+2+1”的主导产业体系，以新材料产业为引擎产业；以先进装备制造产业和文化旅游产业为支柱产业；以现代服务业为支撑产业。</w:t>
            </w:r>
          </w:p>
          <w:p w14:paraId="356A8534">
            <w:pPr>
              <w:autoSpaceDE w:val="0"/>
              <w:autoSpaceDN w:val="0"/>
              <w:adjustRightInd w:val="0"/>
              <w:snapToGrid w:val="0"/>
              <w:spacing w:line="360" w:lineRule="auto"/>
              <w:ind w:firstLine="480" w:firstLineChars="200"/>
              <w:jc w:val="left"/>
              <w:rPr>
                <w:color w:val="auto"/>
                <w:kern w:val="0"/>
                <w:sz w:val="24"/>
              </w:rPr>
            </w:pPr>
            <w:r>
              <w:rPr>
                <w:color w:val="auto"/>
                <w:kern w:val="0"/>
                <w:sz w:val="24"/>
              </w:rPr>
              <w:t>②产业发展路径</w:t>
            </w:r>
          </w:p>
          <w:p w14:paraId="0F475F64">
            <w:pPr>
              <w:autoSpaceDE w:val="0"/>
              <w:autoSpaceDN w:val="0"/>
              <w:adjustRightInd w:val="0"/>
              <w:snapToGrid w:val="0"/>
              <w:spacing w:line="360" w:lineRule="auto"/>
              <w:ind w:firstLine="480" w:firstLineChars="200"/>
              <w:jc w:val="left"/>
              <w:rPr>
                <w:color w:val="auto"/>
                <w:kern w:val="0"/>
                <w:sz w:val="24"/>
              </w:rPr>
            </w:pPr>
            <w:r>
              <w:rPr>
                <w:color w:val="auto"/>
                <w:kern w:val="0"/>
                <w:sz w:val="24"/>
              </w:rPr>
              <w:t>1）先进装备制造产业：着重发展汽车、摩托车、电动车等机动车零部件产业以及自行车零部件产业。</w:t>
            </w:r>
          </w:p>
          <w:p w14:paraId="4C3F5F7C">
            <w:pPr>
              <w:autoSpaceDE w:val="0"/>
              <w:autoSpaceDN w:val="0"/>
              <w:adjustRightInd w:val="0"/>
              <w:snapToGrid w:val="0"/>
              <w:spacing w:line="360" w:lineRule="auto"/>
              <w:ind w:firstLine="480" w:firstLineChars="200"/>
              <w:jc w:val="left"/>
              <w:rPr>
                <w:color w:val="auto"/>
                <w:kern w:val="0"/>
                <w:sz w:val="24"/>
              </w:rPr>
            </w:pPr>
            <w:r>
              <w:rPr>
                <w:color w:val="auto"/>
                <w:kern w:val="0"/>
                <w:sz w:val="24"/>
              </w:rPr>
              <w:t>2）新材料产业：引导现有钢铁深加工、永磁材料产业基础向先进金属材料（特种钢材、镁铝合金、钕铁硼永磁材料）和新型建材（塑钢型材、管材管件、低耗能建材）产业发展。推动钢铁深加工产业转型升级，延展产业链，优化产品结构、推进技术创新。依托现有永磁材料产业基础，延展产业链，提升生产深度、广度，推进技术创新。</w:t>
            </w:r>
          </w:p>
          <w:p w14:paraId="092CD0D3">
            <w:pPr>
              <w:autoSpaceDE w:val="0"/>
              <w:autoSpaceDN w:val="0"/>
              <w:adjustRightInd w:val="0"/>
              <w:snapToGrid w:val="0"/>
              <w:spacing w:line="360" w:lineRule="auto"/>
              <w:ind w:firstLine="480" w:firstLineChars="200"/>
              <w:jc w:val="left"/>
              <w:rPr>
                <w:rFonts w:hint="eastAsia"/>
                <w:color w:val="auto"/>
                <w:kern w:val="0"/>
                <w:sz w:val="24"/>
                <w:lang w:eastAsia="zh-CN"/>
              </w:rPr>
            </w:pPr>
            <w:r>
              <w:rPr>
                <w:color w:val="auto"/>
                <w:kern w:val="0"/>
                <w:sz w:val="24"/>
              </w:rPr>
              <w:t>3）文化旅游产业：形成主题公园旅游、特色小镇旅游、工业遗产旅游、绿色休闲旅游发展多元一体的综合文化旅游产业。</w:t>
            </w:r>
          </w:p>
          <w:p w14:paraId="44A4428A">
            <w:pPr>
              <w:autoSpaceDE w:val="0"/>
              <w:autoSpaceDN w:val="0"/>
              <w:adjustRightInd w:val="0"/>
              <w:snapToGrid w:val="0"/>
              <w:spacing w:line="360" w:lineRule="auto"/>
              <w:ind w:firstLine="480" w:firstLineChars="200"/>
              <w:jc w:val="left"/>
              <w:rPr>
                <w:color w:val="auto"/>
                <w:kern w:val="0"/>
                <w:sz w:val="24"/>
              </w:rPr>
            </w:pPr>
            <w:r>
              <w:rPr>
                <w:color w:val="auto"/>
                <w:kern w:val="0"/>
                <w:sz w:val="24"/>
              </w:rPr>
              <w:t>4）现代服务业：引导现代服务产业综合发展，形成现代物流、产学研平台、信息服务及综合服务发展四位一体的产业格局。</w:t>
            </w:r>
          </w:p>
          <w:p w14:paraId="14854D2D">
            <w:pPr>
              <w:autoSpaceDE w:val="0"/>
              <w:autoSpaceDN w:val="0"/>
              <w:adjustRightInd w:val="0"/>
              <w:snapToGrid w:val="0"/>
              <w:spacing w:line="360" w:lineRule="auto"/>
              <w:ind w:firstLine="480" w:firstLineChars="200"/>
              <w:jc w:val="left"/>
              <w:rPr>
                <w:color w:val="auto"/>
                <w:kern w:val="0"/>
                <w:sz w:val="24"/>
                <w:lang w:val="en-US" w:eastAsia="zh-CN"/>
              </w:rPr>
            </w:pPr>
            <w:r>
              <w:rPr>
                <w:color w:val="auto"/>
                <w:kern w:val="0"/>
                <w:sz w:val="24"/>
                <w:lang w:val="en-US" w:eastAsia="zh-CN"/>
              </w:rPr>
              <w:t>（5）空间结构布局</w:t>
            </w:r>
          </w:p>
          <w:p w14:paraId="6B66C89B">
            <w:pPr>
              <w:autoSpaceDE w:val="0"/>
              <w:autoSpaceDN w:val="0"/>
              <w:adjustRightInd w:val="0"/>
              <w:snapToGrid w:val="0"/>
              <w:spacing w:line="360" w:lineRule="auto"/>
              <w:ind w:firstLine="480" w:firstLineChars="200"/>
              <w:jc w:val="left"/>
              <w:rPr>
                <w:color w:val="auto"/>
                <w:kern w:val="0"/>
                <w:sz w:val="24"/>
              </w:rPr>
            </w:pPr>
            <w:r>
              <w:rPr>
                <w:color w:val="auto"/>
                <w:kern w:val="0"/>
                <w:sz w:val="24"/>
              </w:rPr>
              <w:t>根据开发区产业发展的要求，按照整体协调、有序开发的总体思路，进行具体的空间组织与落实。规划开发区形成“一核、一轴、一廊、四区”的空间结构。</w:t>
            </w:r>
          </w:p>
          <w:p w14:paraId="473B212B">
            <w:pPr>
              <w:autoSpaceDE w:val="0"/>
              <w:autoSpaceDN w:val="0"/>
              <w:adjustRightInd w:val="0"/>
              <w:snapToGrid w:val="0"/>
              <w:spacing w:line="360" w:lineRule="auto"/>
              <w:ind w:firstLine="480" w:firstLineChars="200"/>
              <w:jc w:val="left"/>
              <w:rPr>
                <w:color w:val="auto"/>
                <w:kern w:val="0"/>
                <w:sz w:val="24"/>
              </w:rPr>
            </w:pPr>
            <w:r>
              <w:rPr>
                <w:color w:val="auto"/>
                <w:kern w:val="0"/>
                <w:sz w:val="24"/>
              </w:rPr>
              <w:t>一核：综合服务核，位于长平高速连接线与西城北路交汇处，依托优越的交通地理位置和现有发展基础，规划为整个开发区提供城市综合服务的集行政办公、商业商务、企业总部、居住生活、科创研发、旅游接待等功能于一体的综合服务核心，带动城市与产业共生发展。</w:t>
            </w:r>
          </w:p>
          <w:p w14:paraId="66E1E824">
            <w:pPr>
              <w:autoSpaceDE w:val="0"/>
              <w:autoSpaceDN w:val="0"/>
              <w:adjustRightInd w:val="0"/>
              <w:snapToGrid w:val="0"/>
              <w:spacing w:line="360" w:lineRule="auto"/>
              <w:ind w:firstLine="480" w:firstLineChars="200"/>
              <w:jc w:val="left"/>
              <w:rPr>
                <w:color w:val="auto"/>
                <w:kern w:val="0"/>
                <w:sz w:val="24"/>
              </w:rPr>
            </w:pPr>
            <w:r>
              <w:rPr>
                <w:color w:val="auto"/>
                <w:kern w:val="0"/>
                <w:sz w:val="24"/>
              </w:rPr>
              <w:t>一轴：依托西城北路和北部水系形成贯穿开发区南北产城融合发展轴，该轴线是壶关县域重要的城镇发展轴，是联系县城与开发区的重要发展轴带，在开发区内部串联各大功能片区，连接生活配套、商业商务、产业片区等多个发展组团。</w:t>
            </w:r>
          </w:p>
          <w:p w14:paraId="1727E68A">
            <w:pPr>
              <w:autoSpaceDE w:val="0"/>
              <w:autoSpaceDN w:val="0"/>
              <w:adjustRightInd w:val="0"/>
              <w:snapToGrid w:val="0"/>
              <w:spacing w:line="360" w:lineRule="auto"/>
              <w:ind w:firstLine="480" w:firstLineChars="200"/>
              <w:jc w:val="left"/>
              <w:rPr>
                <w:color w:val="auto"/>
                <w:kern w:val="0"/>
                <w:sz w:val="24"/>
              </w:rPr>
            </w:pPr>
            <w:r>
              <w:rPr>
                <w:color w:val="auto"/>
                <w:kern w:val="0"/>
                <w:sz w:val="24"/>
              </w:rPr>
              <w:t>一廊：依托石子河形成石子河生态廊道，保障生态基流，提升河流防洪排涝能力，保护和修复水生态系统，加强滨水地区生态化治理，营造水清、岸绿、安全、宜人的滨水空间。</w:t>
            </w:r>
          </w:p>
          <w:p w14:paraId="6130EF62">
            <w:pPr>
              <w:autoSpaceDE w:val="0"/>
              <w:autoSpaceDN w:val="0"/>
              <w:adjustRightInd w:val="0"/>
              <w:snapToGrid w:val="0"/>
              <w:spacing w:line="360" w:lineRule="auto"/>
              <w:ind w:firstLine="480" w:firstLineChars="200"/>
              <w:jc w:val="left"/>
              <w:rPr>
                <w:color w:val="auto"/>
                <w:kern w:val="0"/>
                <w:sz w:val="24"/>
              </w:rPr>
            </w:pPr>
            <w:r>
              <w:rPr>
                <w:color w:val="auto"/>
                <w:kern w:val="0"/>
                <w:sz w:val="24"/>
              </w:rPr>
              <w:t>四区：即中部综合配套服务区、南部产业集聚区、北部产业集聚区、乡村振兴及生态涵养区。</w:t>
            </w:r>
          </w:p>
          <w:p w14:paraId="457D0D2F">
            <w:pPr>
              <w:autoSpaceDE w:val="0"/>
              <w:autoSpaceDN w:val="0"/>
              <w:adjustRightInd w:val="0"/>
              <w:snapToGrid w:val="0"/>
              <w:spacing w:line="360" w:lineRule="auto"/>
              <w:ind w:firstLine="480" w:firstLineChars="200"/>
              <w:jc w:val="left"/>
              <w:rPr>
                <w:color w:val="auto"/>
                <w:kern w:val="0"/>
                <w:sz w:val="24"/>
                <w:lang w:val="en-US" w:eastAsia="zh-CN"/>
              </w:rPr>
            </w:pPr>
            <w:r>
              <w:rPr>
                <w:color w:val="auto"/>
                <w:kern w:val="0"/>
                <w:sz w:val="24"/>
                <w:lang w:val="en-US" w:eastAsia="zh-CN"/>
              </w:rPr>
              <w:t>（6）产业空间布局</w:t>
            </w:r>
          </w:p>
          <w:p w14:paraId="7E43DE3E">
            <w:pPr>
              <w:autoSpaceDE w:val="0"/>
              <w:autoSpaceDN w:val="0"/>
              <w:adjustRightInd w:val="0"/>
              <w:snapToGrid w:val="0"/>
              <w:spacing w:line="360" w:lineRule="auto"/>
              <w:ind w:firstLine="480" w:firstLineChars="200"/>
              <w:jc w:val="left"/>
              <w:rPr>
                <w:rFonts w:hint="eastAsia"/>
                <w:color w:val="auto"/>
                <w:kern w:val="0"/>
                <w:sz w:val="24"/>
                <w:lang w:eastAsia="zh-CN"/>
              </w:rPr>
            </w:pPr>
            <w:r>
              <w:rPr>
                <w:color w:val="auto"/>
                <w:kern w:val="0"/>
                <w:sz w:val="24"/>
              </w:rPr>
              <w:t>山西省壶关经济开发区功能分区划分</w:t>
            </w:r>
            <w:r>
              <w:rPr>
                <w:rFonts w:hint="eastAsia"/>
                <w:color w:val="auto"/>
                <w:kern w:val="0"/>
                <w:sz w:val="24"/>
                <w:lang w:eastAsia="zh-CN"/>
              </w:rPr>
              <w:t>有</w:t>
            </w:r>
            <w:r>
              <w:rPr>
                <w:color w:val="auto"/>
                <w:kern w:val="0"/>
                <w:sz w:val="24"/>
              </w:rPr>
              <w:t>12个功能片区。</w:t>
            </w:r>
          </w:p>
          <w:p w14:paraId="6CD5C1BE">
            <w:pPr>
              <w:autoSpaceDE w:val="0"/>
              <w:autoSpaceDN w:val="0"/>
              <w:adjustRightInd w:val="0"/>
              <w:snapToGrid w:val="0"/>
              <w:spacing w:line="360" w:lineRule="auto"/>
              <w:ind w:firstLine="480" w:firstLineChars="200"/>
              <w:jc w:val="left"/>
              <w:rPr>
                <w:rFonts w:hint="eastAsia"/>
                <w:color w:val="auto"/>
                <w:kern w:val="0"/>
                <w:sz w:val="24"/>
                <w:lang w:eastAsia="zh-CN"/>
              </w:rPr>
            </w:pPr>
            <w:r>
              <w:rPr>
                <w:color w:val="auto"/>
                <w:kern w:val="0"/>
                <w:sz w:val="24"/>
              </w:rPr>
              <w:t>1）综合服务配套片区：片区位于开发区中部，高速连接线南侧。规划布局安排管委会大楼、商务办公、研发中心、酒店宾馆、医院等公服设施，以及少量的配套居住用地。</w:t>
            </w:r>
          </w:p>
          <w:p w14:paraId="42666A50">
            <w:pPr>
              <w:autoSpaceDE w:val="0"/>
              <w:autoSpaceDN w:val="0"/>
              <w:adjustRightInd w:val="0"/>
              <w:snapToGrid w:val="0"/>
              <w:spacing w:line="360" w:lineRule="auto"/>
              <w:ind w:firstLine="480" w:firstLineChars="200"/>
              <w:jc w:val="left"/>
              <w:rPr>
                <w:rFonts w:hint="eastAsia"/>
                <w:color w:val="auto"/>
                <w:kern w:val="0"/>
                <w:sz w:val="24"/>
                <w:lang w:eastAsia="zh-CN"/>
              </w:rPr>
            </w:pPr>
            <w:r>
              <w:rPr>
                <w:color w:val="auto"/>
                <w:kern w:val="0"/>
                <w:sz w:val="24"/>
              </w:rPr>
              <w:t>2）欢乐谷旅游配套片区：位于综合服务配套片区北侧，长平高速连接线南侧。规划欢乐谷景区逐步扩建到项目规划规模，在其南部安排一处商业设施用地，作为奥特莱斯项目用地。</w:t>
            </w:r>
          </w:p>
          <w:p w14:paraId="479B50CD">
            <w:pPr>
              <w:autoSpaceDE w:val="0"/>
              <w:autoSpaceDN w:val="0"/>
              <w:adjustRightInd w:val="0"/>
              <w:snapToGrid w:val="0"/>
              <w:spacing w:line="360" w:lineRule="auto"/>
              <w:ind w:firstLine="480" w:firstLineChars="200"/>
              <w:jc w:val="left"/>
              <w:rPr>
                <w:rFonts w:hint="eastAsia"/>
                <w:color w:val="auto"/>
                <w:kern w:val="0"/>
                <w:sz w:val="24"/>
                <w:lang w:eastAsia="zh-CN"/>
              </w:rPr>
            </w:pPr>
            <w:r>
              <w:rPr>
                <w:color w:val="auto"/>
                <w:kern w:val="0"/>
                <w:sz w:val="24"/>
              </w:rPr>
              <w:t>3）站前物流片区：位于中南铁路东侧，长平高速连接线北侧。规划结合长治一运项目，布局仓储物流用地，在站前广场两侧各布置一处商业设施用地。</w:t>
            </w:r>
          </w:p>
          <w:p w14:paraId="7ECF617A">
            <w:pPr>
              <w:autoSpaceDE w:val="0"/>
              <w:autoSpaceDN w:val="0"/>
              <w:adjustRightInd w:val="0"/>
              <w:snapToGrid w:val="0"/>
              <w:spacing w:line="360" w:lineRule="auto"/>
              <w:ind w:firstLine="480" w:firstLineChars="200"/>
              <w:jc w:val="left"/>
              <w:rPr>
                <w:rFonts w:hint="eastAsia"/>
                <w:color w:val="auto"/>
                <w:kern w:val="0"/>
                <w:sz w:val="24"/>
                <w:lang w:eastAsia="zh-CN"/>
              </w:rPr>
            </w:pPr>
            <w:r>
              <w:rPr>
                <w:color w:val="auto"/>
                <w:kern w:val="0"/>
                <w:sz w:val="24"/>
              </w:rPr>
              <w:t>4）新材料产业片区：位于长钢货运专用线南侧，石子河北侧，规划特种钢产能控制在200万吨，积极盘活常平街两侧原常平集团老旧工业存量用地，实现工业用地二次开发和集约利用，培育新材料集群，布置新材料上下游企业。在中钢西部厂区（集店）南侧增加布置工业用地，安排中钢冷轧厂及配套项目用地。</w:t>
            </w:r>
          </w:p>
          <w:p w14:paraId="53B10116">
            <w:pPr>
              <w:autoSpaceDE w:val="0"/>
              <w:autoSpaceDN w:val="0"/>
              <w:adjustRightInd w:val="0"/>
              <w:snapToGrid w:val="0"/>
              <w:spacing w:line="360" w:lineRule="auto"/>
              <w:ind w:firstLine="480" w:firstLineChars="200"/>
              <w:jc w:val="left"/>
              <w:rPr>
                <w:rFonts w:hint="eastAsia"/>
                <w:color w:val="auto"/>
                <w:kern w:val="0"/>
                <w:sz w:val="24"/>
                <w:lang w:eastAsia="zh-CN"/>
              </w:rPr>
            </w:pPr>
            <w:r>
              <w:rPr>
                <w:color w:val="auto"/>
                <w:kern w:val="0"/>
                <w:sz w:val="24"/>
              </w:rPr>
              <w:t>5）新材料及物流片区：位于中钢货运专用线北侧，综合服务配套片区南部，西城。规划在西部布置新材料产业用地、物流仓储用地以及配套的商业、商务办公设施。东部布局新材料工业用地。围绕科研用地周围布置一类工业用地，建设相关产业双创基地。</w:t>
            </w:r>
          </w:p>
          <w:p w14:paraId="231A5D51">
            <w:pPr>
              <w:autoSpaceDE w:val="0"/>
              <w:autoSpaceDN w:val="0"/>
              <w:adjustRightInd w:val="0"/>
              <w:snapToGrid w:val="0"/>
              <w:spacing w:line="360" w:lineRule="auto"/>
              <w:ind w:firstLine="480" w:firstLineChars="200"/>
              <w:jc w:val="left"/>
              <w:rPr>
                <w:color w:val="auto"/>
                <w:kern w:val="0"/>
                <w:sz w:val="24"/>
              </w:rPr>
            </w:pPr>
            <w:r>
              <w:rPr>
                <w:color w:val="auto"/>
                <w:kern w:val="0"/>
                <w:sz w:val="24"/>
              </w:rPr>
              <w:t>6）装备制造业片区：位于长平高速连接线以北，规划布置二类工业用地，作为装备制造企业用地。在高速出入口的西南侧布局一处仓储物流用地。</w:t>
            </w:r>
          </w:p>
          <w:p w14:paraId="6D947545">
            <w:pPr>
              <w:autoSpaceDE w:val="0"/>
              <w:autoSpaceDN w:val="0"/>
              <w:adjustRightInd w:val="0"/>
              <w:snapToGrid w:val="0"/>
              <w:spacing w:line="360" w:lineRule="auto"/>
              <w:ind w:firstLine="480" w:firstLineChars="200"/>
              <w:jc w:val="left"/>
              <w:rPr>
                <w:rFonts w:hint="eastAsia"/>
                <w:color w:val="auto"/>
                <w:kern w:val="0"/>
                <w:sz w:val="24"/>
                <w:lang w:eastAsia="zh-CN"/>
              </w:rPr>
            </w:pPr>
            <w:r>
              <w:rPr>
                <w:color w:val="auto"/>
                <w:kern w:val="0"/>
                <w:sz w:val="24"/>
              </w:rPr>
              <w:t>7）民爆产业片区：片区位于开发区最南端，石子河南岸。规划布局为工业用地，为壶化集团关联项目用地。</w:t>
            </w:r>
          </w:p>
          <w:p w14:paraId="3E159135">
            <w:pPr>
              <w:autoSpaceDE w:val="0"/>
              <w:autoSpaceDN w:val="0"/>
              <w:adjustRightInd w:val="0"/>
              <w:snapToGrid w:val="0"/>
              <w:spacing w:line="360" w:lineRule="auto"/>
              <w:ind w:firstLine="480" w:firstLineChars="200"/>
              <w:jc w:val="left"/>
              <w:rPr>
                <w:rFonts w:hint="eastAsia"/>
                <w:color w:val="auto"/>
                <w:kern w:val="0"/>
                <w:sz w:val="24"/>
                <w:lang w:eastAsia="zh-CN"/>
              </w:rPr>
            </w:pPr>
            <w:r>
              <w:rPr>
                <w:color w:val="auto"/>
                <w:kern w:val="0"/>
                <w:sz w:val="24"/>
              </w:rPr>
              <w:t>8）太行风情文旅片区：位于元宝山南麓，石子河以北。规划结合现有的小镇项目及元宝山生态修复与整治，与太行欢乐谷项目联动发展，着力提升品质档次，让太行风情文旅融合更有深度。</w:t>
            </w:r>
          </w:p>
          <w:p w14:paraId="08E5A81E">
            <w:pPr>
              <w:autoSpaceDE w:val="0"/>
              <w:autoSpaceDN w:val="0"/>
              <w:adjustRightInd w:val="0"/>
              <w:snapToGrid w:val="0"/>
              <w:spacing w:line="360" w:lineRule="auto"/>
              <w:ind w:firstLine="480" w:firstLineChars="200"/>
              <w:jc w:val="left"/>
              <w:rPr>
                <w:rFonts w:hint="eastAsia"/>
                <w:color w:val="auto"/>
                <w:kern w:val="0"/>
                <w:sz w:val="24"/>
                <w:lang w:eastAsia="zh-CN"/>
              </w:rPr>
            </w:pPr>
            <w:r>
              <w:rPr>
                <w:color w:val="auto"/>
                <w:kern w:val="0"/>
                <w:sz w:val="24"/>
              </w:rPr>
              <w:t>9）集店、常平居住片区：主要结合集店乡</w:t>
            </w:r>
            <w:r>
              <w:rPr>
                <w:rFonts w:hint="eastAsia"/>
                <w:color w:val="auto"/>
                <w:kern w:val="0"/>
                <w:sz w:val="24"/>
                <w:lang w:eastAsia="zh-CN"/>
              </w:rPr>
              <w:t>（</w:t>
            </w:r>
            <w:r>
              <w:rPr>
                <w:rFonts w:hint="eastAsia"/>
                <w:color w:val="auto"/>
                <w:kern w:val="0"/>
                <w:sz w:val="24"/>
                <w:lang w:val="en-US" w:eastAsia="zh-CN"/>
              </w:rPr>
              <w:t>现为集店镇）</w:t>
            </w:r>
            <w:r>
              <w:rPr>
                <w:color w:val="auto"/>
                <w:kern w:val="0"/>
                <w:sz w:val="24"/>
              </w:rPr>
              <w:t>和常平村规划以居住为主的生活组团。规划主要布置行政办公用地、商业设施用地、居住用地、中小学用地、公共绿地等。常平居住片区主要在现状基础上增加商业设施和公园绿地。</w:t>
            </w:r>
          </w:p>
          <w:p w14:paraId="78E63357">
            <w:pPr>
              <w:autoSpaceDE w:val="0"/>
              <w:autoSpaceDN w:val="0"/>
              <w:adjustRightInd w:val="0"/>
              <w:snapToGrid w:val="0"/>
              <w:spacing w:line="360" w:lineRule="auto"/>
              <w:ind w:firstLine="480" w:firstLineChars="200"/>
              <w:jc w:val="left"/>
              <w:rPr>
                <w:rFonts w:hint="eastAsia"/>
                <w:color w:val="auto"/>
                <w:kern w:val="0"/>
                <w:sz w:val="24"/>
                <w:lang w:eastAsia="zh-CN"/>
              </w:rPr>
            </w:pPr>
            <w:r>
              <w:rPr>
                <w:color w:val="auto"/>
                <w:kern w:val="0"/>
                <w:sz w:val="24"/>
              </w:rPr>
              <w:t>10）乡村振兴示范片区：位于高速连接线与欢乐谷景区以东。规划保留现有三座村庄，深化与开发区产业融合，按照发展全域全季旅游的要求，结合现有的凤凰山庄项目，拓展“农文旅”的融合发展之路，推动康养结合的乡村旅游模式，积极培育家庭工场、手工作坊、乡村车间，就地吸纳农业人口。</w:t>
            </w:r>
          </w:p>
          <w:p w14:paraId="077313CC">
            <w:pPr>
              <w:autoSpaceDE w:val="0"/>
              <w:autoSpaceDN w:val="0"/>
              <w:adjustRightInd w:val="0"/>
              <w:snapToGrid w:val="0"/>
              <w:spacing w:line="360" w:lineRule="auto"/>
              <w:ind w:firstLine="480" w:firstLineChars="200"/>
              <w:jc w:val="left"/>
              <w:rPr>
                <w:color w:val="auto"/>
                <w:kern w:val="0"/>
                <w:sz w:val="24"/>
              </w:rPr>
            </w:pPr>
            <w:r>
              <w:rPr>
                <w:color w:val="auto"/>
                <w:kern w:val="0"/>
                <w:sz w:val="24"/>
              </w:rPr>
              <w:t>11）美丽乡村与生态涵养区：片区位于开发区北部。规划推进人居环境整治，围绕精品民宿、文旅体验、户外运动、健康养老等绿色项目，推进美丽乡村建设。通过生态手段，推进南大河生态治理与修复。</w:t>
            </w:r>
          </w:p>
          <w:p w14:paraId="5AD65649">
            <w:pPr>
              <w:autoSpaceDE w:val="0"/>
              <w:autoSpaceDN w:val="0"/>
              <w:adjustRightInd w:val="0"/>
              <w:snapToGrid w:val="0"/>
              <w:spacing w:line="360" w:lineRule="auto"/>
              <w:ind w:firstLine="480" w:firstLineChars="200"/>
              <w:jc w:val="left"/>
              <w:rPr>
                <w:color w:val="auto"/>
                <w:kern w:val="0"/>
                <w:sz w:val="24"/>
              </w:rPr>
            </w:pPr>
            <w:r>
              <w:rPr>
                <w:color w:val="auto"/>
                <w:kern w:val="0"/>
                <w:sz w:val="24"/>
              </w:rPr>
              <w:t>本项目位于山西省壶关经济开发区，属于新材料产业片区内（功能分区图见附图</w:t>
            </w:r>
            <w:r>
              <w:rPr>
                <w:rFonts w:hint="eastAsia"/>
                <w:color w:val="auto"/>
                <w:kern w:val="0"/>
                <w:sz w:val="24"/>
                <w:lang w:val="en-US" w:eastAsia="zh-CN"/>
              </w:rPr>
              <w:t>5</w:t>
            </w:r>
            <w:r>
              <w:rPr>
                <w:color w:val="auto"/>
                <w:kern w:val="0"/>
                <w:sz w:val="24"/>
              </w:rPr>
              <w:t>）</w:t>
            </w:r>
            <w:r>
              <w:rPr>
                <w:rFonts w:hint="eastAsia"/>
                <w:color w:val="auto"/>
                <w:kern w:val="0"/>
                <w:sz w:val="24"/>
                <w:lang w:eastAsia="zh-CN"/>
              </w:rPr>
              <w:t>，</w:t>
            </w:r>
            <w:r>
              <w:rPr>
                <w:rFonts w:hint="eastAsia"/>
                <w:color w:val="auto"/>
                <w:kern w:val="0"/>
                <w:sz w:val="24"/>
                <w:lang w:val="en-US" w:eastAsia="zh-CN"/>
              </w:rPr>
              <w:t>规划定位为：</w:t>
            </w:r>
            <w:r>
              <w:rPr>
                <w:color w:val="auto"/>
                <w:kern w:val="0"/>
                <w:sz w:val="24"/>
              </w:rPr>
              <w:t>引导现有钢铁深加工、永磁材</w:t>
            </w:r>
            <w:r>
              <w:rPr>
                <w:rFonts w:hint="eastAsia"/>
                <w:color w:val="auto"/>
                <w:kern w:val="0"/>
                <w:sz w:val="24"/>
                <w:lang w:eastAsia="zh-CN"/>
              </w:rPr>
              <w:t>料等</w:t>
            </w:r>
            <w:r>
              <w:rPr>
                <w:color w:val="auto"/>
                <w:kern w:val="0"/>
                <w:sz w:val="24"/>
              </w:rPr>
              <w:t>产业基础向先进金属材料（特种钢材、镁铝合金、钕铁硼永磁材料）和新型建材（塑钢型材、管材管件、低耗能建材）产业发展。项目</w:t>
            </w:r>
            <w:r>
              <w:rPr>
                <w:rFonts w:hint="eastAsia"/>
                <w:color w:val="auto"/>
                <w:kern w:val="0"/>
                <w:sz w:val="24"/>
                <w:lang w:val="en-US" w:eastAsia="zh-CN"/>
              </w:rPr>
              <w:t>位于现有钢铁企业金烨钢铁集团有限公司生产厂区内</w:t>
            </w:r>
            <w:r>
              <w:rPr>
                <w:rFonts w:hint="eastAsia"/>
                <w:color w:val="auto"/>
                <w:kern w:val="0"/>
                <w:sz w:val="24"/>
                <w:lang w:eastAsia="zh-CN"/>
              </w:rPr>
              <w:t>，</w:t>
            </w:r>
            <w:r>
              <w:rPr>
                <w:rFonts w:hint="eastAsia"/>
                <w:color w:val="auto"/>
                <w:kern w:val="0"/>
                <w:sz w:val="24"/>
                <w:lang w:val="en-US" w:eastAsia="zh-CN"/>
              </w:rPr>
              <w:t>占地为工业用地</w:t>
            </w:r>
            <w:r>
              <w:rPr>
                <w:color w:val="auto"/>
                <w:kern w:val="0"/>
                <w:sz w:val="24"/>
              </w:rPr>
              <w:t>，</w:t>
            </w:r>
            <w:r>
              <w:rPr>
                <w:rFonts w:ascii="Segoe UI" w:hAnsi="Segoe UI" w:eastAsia="Segoe UI" w:cs="Segoe UI"/>
                <w:i w:val="0"/>
                <w:iCs w:val="0"/>
                <w:caps w:val="0"/>
                <w:color w:val="0F1115"/>
                <w:spacing w:val="0"/>
                <w:sz w:val="24"/>
                <w:szCs w:val="24"/>
                <w:shd w:val="clear" w:color="auto" w:fill="FFFFFF"/>
              </w:rPr>
              <w:t>将钢铁生产过程中产生的富余煤气高效转化为电能</w:t>
            </w:r>
            <w:r>
              <w:rPr>
                <w:rFonts w:hint="eastAsia" w:ascii="Segoe UI" w:hAnsi="Segoe UI" w:cs="Segoe UI"/>
                <w:i w:val="0"/>
                <w:iCs w:val="0"/>
                <w:caps w:val="0"/>
                <w:color w:val="0F1115"/>
                <w:spacing w:val="0"/>
                <w:sz w:val="24"/>
                <w:szCs w:val="24"/>
                <w:shd w:val="clear" w:color="auto" w:fill="FFFFFF"/>
                <w:lang w:eastAsia="zh-CN"/>
              </w:rPr>
              <w:t>，</w:t>
            </w:r>
            <w:r>
              <w:rPr>
                <w:rFonts w:hint="eastAsia" w:ascii="Segoe UI" w:hAnsi="Segoe UI" w:cs="Segoe UI"/>
                <w:i w:val="0"/>
                <w:iCs w:val="0"/>
                <w:caps w:val="0"/>
                <w:color w:val="0F1115"/>
                <w:spacing w:val="0"/>
                <w:sz w:val="24"/>
                <w:szCs w:val="24"/>
                <w:shd w:val="clear" w:color="auto" w:fill="FFFFFF"/>
                <w:lang w:val="en-US" w:eastAsia="zh-CN"/>
              </w:rPr>
              <w:t>提高了资源利用率</w:t>
            </w:r>
            <w:r>
              <w:rPr>
                <w:rFonts w:hint="default" w:ascii="Segoe UI" w:hAnsi="Segoe UI" w:eastAsia="Segoe UI" w:cs="Segoe UI"/>
                <w:i w:val="0"/>
                <w:iCs w:val="0"/>
                <w:caps w:val="0"/>
                <w:color w:val="3964FE"/>
                <w:spacing w:val="0"/>
                <w:sz w:val="24"/>
                <w:szCs w:val="24"/>
                <w:u w:val="none"/>
                <w:bdr w:val="single" w:color="auto" w:sz="18" w:space="0"/>
                <w:shd w:val="clear" w:color="auto" w:fill="FFFFFF"/>
              </w:rPr>
              <w:fldChar w:fldCharType="begin"/>
            </w:r>
            <w:r>
              <w:rPr>
                <w:rFonts w:hint="default" w:ascii="Segoe UI" w:hAnsi="Segoe UI" w:eastAsia="Segoe UI" w:cs="Segoe UI"/>
                <w:i w:val="0"/>
                <w:iCs w:val="0"/>
                <w:caps w:val="0"/>
                <w:color w:val="3964FE"/>
                <w:spacing w:val="0"/>
                <w:sz w:val="24"/>
                <w:szCs w:val="24"/>
                <w:u w:val="none"/>
                <w:bdr w:val="single" w:color="auto" w:sz="18" w:space="0"/>
                <w:shd w:val="clear" w:color="auto" w:fill="FFFFFF"/>
              </w:rPr>
              <w:instrText xml:space="preserve"> HYPERLINK "http://www.csteelnews.com/qypd/qydt/202507/t20250731_102477.html" \t "https://chat.deepseek.com/a/chat/s/_blank" </w:instrText>
            </w:r>
            <w:r>
              <w:rPr>
                <w:rFonts w:hint="default" w:ascii="Segoe UI" w:hAnsi="Segoe UI" w:eastAsia="Segoe UI" w:cs="Segoe UI"/>
                <w:i w:val="0"/>
                <w:iCs w:val="0"/>
                <w:caps w:val="0"/>
                <w:color w:val="3964FE"/>
                <w:spacing w:val="0"/>
                <w:sz w:val="24"/>
                <w:szCs w:val="24"/>
                <w:u w:val="none"/>
                <w:bdr w:val="single" w:color="auto" w:sz="18" w:space="0"/>
                <w:shd w:val="clear" w:color="auto" w:fill="FFFFFF"/>
              </w:rPr>
              <w:fldChar w:fldCharType="separate"/>
            </w:r>
            <w:r>
              <w:rPr>
                <w:rFonts w:hint="default" w:ascii="Segoe UI" w:hAnsi="Segoe UI" w:eastAsia="Segoe UI" w:cs="Segoe UI"/>
                <w:i w:val="0"/>
                <w:iCs w:val="0"/>
                <w:caps w:val="0"/>
                <w:color w:val="3964FE"/>
                <w:spacing w:val="0"/>
                <w:sz w:val="24"/>
                <w:szCs w:val="24"/>
                <w:u w:val="none"/>
                <w:bdr w:val="single" w:color="auto" w:sz="18" w:space="0"/>
                <w:shd w:val="clear" w:color="auto" w:fill="FFFFFF"/>
              </w:rPr>
              <w:fldChar w:fldCharType="end"/>
            </w:r>
            <w:r>
              <w:rPr>
                <w:rFonts w:hint="default" w:ascii="Segoe UI" w:hAnsi="Segoe UI" w:eastAsia="Segoe UI" w:cs="Segoe UI"/>
                <w:i w:val="0"/>
                <w:iCs w:val="0"/>
                <w:caps w:val="0"/>
                <w:color w:val="0F1115"/>
                <w:spacing w:val="0"/>
                <w:sz w:val="24"/>
                <w:szCs w:val="24"/>
                <w:shd w:val="clear" w:color="auto" w:fill="FFFFFF"/>
              </w:rPr>
              <w:t>。所发电量可直接供给厂区内的深加工生产线</w:t>
            </w:r>
            <w:r>
              <w:rPr>
                <w:rFonts w:hint="default" w:ascii="Segoe UI" w:hAnsi="Segoe UI" w:eastAsia="Segoe UI" w:cs="Segoe UI"/>
                <w:i w:val="0"/>
                <w:iCs w:val="0"/>
                <w:caps w:val="0"/>
                <w:color w:val="3964FE"/>
                <w:spacing w:val="0"/>
                <w:sz w:val="24"/>
                <w:szCs w:val="24"/>
                <w:u w:val="none"/>
                <w:bdr w:val="single" w:color="auto" w:sz="18" w:space="0"/>
                <w:shd w:val="clear" w:color="auto" w:fill="FFFFFF"/>
              </w:rPr>
              <w:fldChar w:fldCharType="begin"/>
            </w:r>
            <w:r>
              <w:rPr>
                <w:rFonts w:hint="default" w:ascii="Segoe UI" w:hAnsi="Segoe UI" w:eastAsia="Segoe UI" w:cs="Segoe UI"/>
                <w:i w:val="0"/>
                <w:iCs w:val="0"/>
                <w:caps w:val="0"/>
                <w:color w:val="3964FE"/>
                <w:spacing w:val="0"/>
                <w:sz w:val="24"/>
                <w:szCs w:val="24"/>
                <w:u w:val="none"/>
                <w:bdr w:val="single" w:color="auto" w:sz="18" w:space="0"/>
                <w:shd w:val="clear" w:color="auto" w:fill="FFFFFF"/>
              </w:rPr>
              <w:instrText xml:space="preserve"> HYPERLINK "http://www.csteelnews.com/qypd/qydt/202507/t20250731_102477.html" \t "https://chat.deepseek.com/a/chat/s/_blank" </w:instrText>
            </w:r>
            <w:r>
              <w:rPr>
                <w:rFonts w:hint="default" w:ascii="Segoe UI" w:hAnsi="Segoe UI" w:eastAsia="Segoe UI" w:cs="Segoe UI"/>
                <w:i w:val="0"/>
                <w:iCs w:val="0"/>
                <w:caps w:val="0"/>
                <w:color w:val="3964FE"/>
                <w:spacing w:val="0"/>
                <w:sz w:val="24"/>
                <w:szCs w:val="24"/>
                <w:u w:val="none"/>
                <w:bdr w:val="single" w:color="auto" w:sz="18" w:space="0"/>
                <w:shd w:val="clear" w:color="auto" w:fill="FFFFFF"/>
              </w:rPr>
              <w:fldChar w:fldCharType="separate"/>
            </w:r>
            <w:r>
              <w:rPr>
                <w:rFonts w:hint="default" w:ascii="Segoe UI" w:hAnsi="Segoe UI" w:eastAsia="Segoe UI" w:cs="Segoe UI"/>
                <w:i w:val="0"/>
                <w:iCs w:val="0"/>
                <w:caps w:val="0"/>
                <w:color w:val="3964FE"/>
                <w:spacing w:val="0"/>
                <w:sz w:val="24"/>
                <w:szCs w:val="24"/>
                <w:u w:val="none"/>
                <w:bdr w:val="single" w:color="auto" w:sz="18" w:space="0"/>
                <w:shd w:val="clear" w:color="auto" w:fill="FFFFFF"/>
              </w:rPr>
              <w:fldChar w:fldCharType="end"/>
            </w:r>
            <w:r>
              <w:rPr>
                <w:rFonts w:hint="default" w:ascii="Segoe UI" w:hAnsi="Segoe UI" w:eastAsia="Segoe UI" w:cs="Segoe UI"/>
                <w:i w:val="0"/>
                <w:iCs w:val="0"/>
                <w:caps w:val="0"/>
                <w:color w:val="0F1115"/>
                <w:spacing w:val="0"/>
                <w:sz w:val="24"/>
                <w:szCs w:val="24"/>
                <w:shd w:val="clear" w:color="auto" w:fill="FFFFFF"/>
              </w:rPr>
              <w:t>，为</w:t>
            </w:r>
            <w:r>
              <w:rPr>
                <w:rFonts w:hint="eastAsia" w:ascii="Segoe UI" w:hAnsi="Segoe UI" w:cs="Segoe UI"/>
                <w:i w:val="0"/>
                <w:iCs w:val="0"/>
                <w:caps w:val="0"/>
                <w:color w:val="0F1115"/>
                <w:spacing w:val="0"/>
                <w:sz w:val="24"/>
                <w:szCs w:val="24"/>
                <w:shd w:val="clear" w:color="auto" w:fill="FFFFFF"/>
                <w:lang w:val="en-US" w:eastAsia="zh-CN"/>
              </w:rPr>
              <w:t>现有钢铁深加工</w:t>
            </w:r>
            <w:r>
              <w:rPr>
                <w:rFonts w:hint="default" w:ascii="Segoe UI" w:hAnsi="Segoe UI" w:eastAsia="Segoe UI" w:cs="Segoe UI"/>
                <w:i w:val="0"/>
                <w:iCs w:val="0"/>
                <w:caps w:val="0"/>
                <w:color w:val="0F1115"/>
                <w:spacing w:val="0"/>
                <w:sz w:val="24"/>
                <w:szCs w:val="24"/>
                <w:shd w:val="clear" w:color="auto" w:fill="FFFFFF"/>
              </w:rPr>
              <w:t>提供稳定、可靠的电力保障</w:t>
            </w:r>
            <w:r>
              <w:rPr>
                <w:rFonts w:hint="eastAsia" w:ascii="Segoe UI" w:hAnsi="Segoe UI" w:cs="Segoe UI"/>
                <w:i w:val="0"/>
                <w:iCs w:val="0"/>
                <w:caps w:val="0"/>
                <w:color w:val="0F1115"/>
                <w:spacing w:val="0"/>
                <w:sz w:val="24"/>
                <w:szCs w:val="24"/>
                <w:shd w:val="clear" w:color="auto" w:fill="FFFFFF"/>
                <w:lang w:eastAsia="zh-CN"/>
              </w:rPr>
              <w:t>，</w:t>
            </w:r>
            <w:r>
              <w:rPr>
                <w:color w:val="auto"/>
                <w:kern w:val="0"/>
                <w:sz w:val="24"/>
              </w:rPr>
              <w:t>符合《山西省壶关经济开发区扩区总体规划（2020-2035）》的要求。</w:t>
            </w:r>
          </w:p>
          <w:p w14:paraId="02D8AD07">
            <w:pPr>
              <w:numPr>
                <w:ilvl w:val="0"/>
                <w:numId w:val="0"/>
              </w:numPr>
              <w:autoSpaceDE w:val="0"/>
              <w:autoSpaceDN w:val="0"/>
              <w:adjustRightInd w:val="0"/>
              <w:snapToGrid w:val="0"/>
              <w:spacing w:line="360" w:lineRule="auto"/>
              <w:jc w:val="left"/>
              <w:rPr>
                <w:b/>
                <w:bCs/>
                <w:kern w:val="0"/>
                <w:sz w:val="24"/>
                <w:highlight w:val="none"/>
              </w:rPr>
            </w:pPr>
            <w:r>
              <w:rPr>
                <w:b/>
                <w:bCs/>
                <w:color w:val="auto"/>
                <w:kern w:val="0"/>
                <w:sz w:val="24"/>
              </w:rPr>
              <w:t>2、</w:t>
            </w:r>
            <w:r>
              <w:rPr>
                <w:b/>
                <w:bCs/>
                <w:kern w:val="0"/>
                <w:sz w:val="24"/>
                <w:highlight w:val="none"/>
              </w:rPr>
              <w:t>与《壶关经济开发区扩区总体规划（2020-2035）环境影响报告书》的符合性分析</w:t>
            </w:r>
          </w:p>
          <w:p w14:paraId="43385B04">
            <w:pPr>
              <w:keepNext w:val="0"/>
              <w:keepLines w:val="0"/>
              <w:pageBreakBefore w:val="0"/>
              <w:widowControl w:val="0"/>
              <w:kinsoku/>
              <w:wordWrap/>
              <w:overflowPunct/>
              <w:topLinePunct w:val="0"/>
              <w:autoSpaceDE w:val="0"/>
              <w:autoSpaceDN w:val="0"/>
              <w:bidi w:val="0"/>
              <w:adjustRightInd w:val="0"/>
              <w:snapToGrid w:val="0"/>
              <w:ind w:firstLine="482" w:firstLineChars="200"/>
              <w:jc w:val="center"/>
              <w:textAlignment w:val="auto"/>
              <w:rPr>
                <w:rFonts w:ascii="Times New Roman" w:hAnsi="Times New Roman" w:eastAsia="宋体" w:cs="Times New Roman"/>
                <w:b/>
                <w:bCs/>
                <w:sz w:val="24"/>
                <w:highlight w:val="none"/>
              </w:rPr>
            </w:pPr>
            <w:r>
              <w:rPr>
                <w:rFonts w:hint="eastAsia" w:ascii="Times New Roman" w:hAnsi="Times New Roman" w:eastAsia="宋体" w:cs="Times New Roman"/>
                <w:b/>
                <w:bCs/>
                <w:sz w:val="24"/>
                <w:highlight w:val="none"/>
                <w:lang w:eastAsia="zh-CN"/>
              </w:rPr>
              <w:t>表1-2与项目与规划环评审查意见的符合性分析一览表</w:t>
            </w:r>
          </w:p>
          <w:tbl>
            <w:tblPr>
              <w:tblStyle w:val="27"/>
              <w:tblW w:w="0" w:type="auto"/>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311"/>
              <w:gridCol w:w="1852"/>
              <w:gridCol w:w="456"/>
            </w:tblGrid>
            <w:tr w14:paraId="6E39D93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85" w:type="dxa"/>
                  <w:tcBorders>
                    <w:top w:val="single" w:color="000000" w:sz="12" w:space="0"/>
                    <w:left w:val="nil"/>
                    <w:tl2br w:val="nil"/>
                    <w:tr2bl w:val="nil"/>
                  </w:tcBorders>
                  <w:shd w:val="clear" w:color="auto" w:fill="FFFFFF"/>
                  <w:noWrap w:val="0"/>
                  <w:vAlign w:val="center"/>
                </w:tcPr>
                <w:p w14:paraId="0C0AD4BC">
                  <w:pPr>
                    <w:autoSpaceDE w:val="0"/>
                    <w:autoSpaceDN w:val="0"/>
                    <w:adjustRightInd w:val="0"/>
                    <w:snapToGrid w:val="0"/>
                    <w:jc w:val="center"/>
                    <w:rPr>
                      <w:b w:val="0"/>
                      <w:color w:val="000000"/>
                      <w:kern w:val="0"/>
                      <w:sz w:val="24"/>
                      <w:highlight w:val="none"/>
                    </w:rPr>
                  </w:pPr>
                  <w:r>
                    <w:rPr>
                      <w:b w:val="0"/>
                      <w:color w:val="000000"/>
                      <w:kern w:val="0"/>
                      <w:sz w:val="24"/>
                      <w:highlight w:val="none"/>
                    </w:rPr>
                    <w:t>规划要求</w:t>
                  </w:r>
                </w:p>
              </w:tc>
              <w:tc>
                <w:tcPr>
                  <w:tcW w:w="2087" w:type="dxa"/>
                  <w:tcBorders>
                    <w:top w:val="single" w:color="000000" w:sz="12" w:space="0"/>
                    <w:tl2br w:val="nil"/>
                    <w:tr2bl w:val="nil"/>
                  </w:tcBorders>
                  <w:shd w:val="clear" w:color="auto" w:fill="FFFFFF"/>
                  <w:noWrap w:val="0"/>
                  <w:vAlign w:val="center"/>
                </w:tcPr>
                <w:p w14:paraId="04367743">
                  <w:pPr>
                    <w:autoSpaceDE w:val="0"/>
                    <w:autoSpaceDN w:val="0"/>
                    <w:adjustRightInd w:val="0"/>
                    <w:snapToGrid w:val="0"/>
                    <w:jc w:val="center"/>
                    <w:rPr>
                      <w:b w:val="0"/>
                      <w:color w:val="000000"/>
                      <w:kern w:val="0"/>
                      <w:sz w:val="24"/>
                      <w:highlight w:val="none"/>
                    </w:rPr>
                  </w:pPr>
                  <w:r>
                    <w:rPr>
                      <w:b w:val="0"/>
                      <w:color w:val="000000"/>
                      <w:kern w:val="0"/>
                      <w:sz w:val="24"/>
                      <w:highlight w:val="none"/>
                    </w:rPr>
                    <w:t>本项目情况</w:t>
                  </w:r>
                </w:p>
              </w:tc>
              <w:tc>
                <w:tcPr>
                  <w:tcW w:w="0" w:type="auto"/>
                  <w:tcBorders>
                    <w:top w:val="single" w:color="000000" w:sz="12" w:space="0"/>
                    <w:right w:val="nil"/>
                    <w:tl2br w:val="nil"/>
                    <w:tr2bl w:val="nil"/>
                  </w:tcBorders>
                  <w:shd w:val="clear" w:color="auto" w:fill="FFFFFF"/>
                  <w:noWrap w:val="0"/>
                  <w:vAlign w:val="center"/>
                </w:tcPr>
                <w:p w14:paraId="1ED21651">
                  <w:pPr>
                    <w:autoSpaceDE w:val="0"/>
                    <w:autoSpaceDN w:val="0"/>
                    <w:adjustRightInd w:val="0"/>
                    <w:snapToGrid w:val="0"/>
                    <w:jc w:val="center"/>
                    <w:rPr>
                      <w:b w:val="0"/>
                      <w:color w:val="000000"/>
                      <w:kern w:val="0"/>
                      <w:sz w:val="24"/>
                      <w:highlight w:val="none"/>
                    </w:rPr>
                  </w:pPr>
                  <w:r>
                    <w:rPr>
                      <w:b w:val="0"/>
                      <w:color w:val="000000"/>
                      <w:kern w:val="0"/>
                      <w:sz w:val="24"/>
                      <w:highlight w:val="none"/>
                    </w:rPr>
                    <w:t>符合性</w:t>
                  </w:r>
                </w:p>
              </w:tc>
            </w:tr>
            <w:tr w14:paraId="511D120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85" w:type="dxa"/>
                  <w:tcBorders>
                    <w:left w:val="nil"/>
                    <w:tl2br w:val="nil"/>
                    <w:tr2bl w:val="nil"/>
                  </w:tcBorders>
                  <w:shd w:val="clear" w:color="auto" w:fill="FFFFFF"/>
                  <w:noWrap w:val="0"/>
                  <w:vAlign w:val="center"/>
                </w:tcPr>
                <w:p w14:paraId="0F70933C">
                  <w:pPr>
                    <w:widowControl/>
                    <w:rPr>
                      <w:b w:val="0"/>
                      <w:color w:val="000000"/>
                      <w:highlight w:val="none"/>
                    </w:rPr>
                  </w:pPr>
                  <w:r>
                    <w:rPr>
                      <w:b w:val="0"/>
                      <w:color w:val="000000"/>
                      <w:kern w:val="0"/>
                      <w:sz w:val="24"/>
                      <w:highlight w:val="none"/>
                      <w:lang w:bidi="ar"/>
                    </w:rPr>
                    <w:t>对易产生扬尘的粉状、粒状物料密闭储存，采用密闭皮带、封闭通廊、管状带式输送机或密闭车厢、真空罐车、气力输送等密闭输送方式运输；块状物料采用入棚入仓或建设防风抑尘网等方式进行存储，并设有洒水、喷淋、苫盖等综合措施进行抑尘。</w:t>
                  </w:r>
                </w:p>
                <w:p w14:paraId="0125AEBD">
                  <w:pPr>
                    <w:autoSpaceDE w:val="0"/>
                    <w:autoSpaceDN w:val="0"/>
                    <w:adjustRightInd w:val="0"/>
                    <w:snapToGrid w:val="0"/>
                    <w:rPr>
                      <w:b w:val="0"/>
                      <w:color w:val="000000"/>
                      <w:kern w:val="0"/>
                      <w:sz w:val="24"/>
                      <w:highlight w:val="none"/>
                    </w:rPr>
                  </w:pPr>
                  <w:r>
                    <w:rPr>
                      <w:b w:val="0"/>
                      <w:color w:val="000000"/>
                      <w:kern w:val="0"/>
                      <w:sz w:val="24"/>
                      <w:highlight w:val="none"/>
                    </w:rPr>
                    <w:t>生产工艺产尘点（装置）应加盖封闭，设置集气罩并配备除尘设施；生产现场和料场路面应实施硬化，出口处配备车轮和车身清洗装置。</w:t>
                  </w:r>
                </w:p>
                <w:p w14:paraId="673E5519">
                  <w:pPr>
                    <w:autoSpaceDE w:val="0"/>
                    <w:autoSpaceDN w:val="0"/>
                    <w:adjustRightInd w:val="0"/>
                    <w:snapToGrid w:val="0"/>
                    <w:rPr>
                      <w:b w:val="0"/>
                      <w:color w:val="000000"/>
                      <w:kern w:val="0"/>
                      <w:sz w:val="24"/>
                      <w:highlight w:val="none"/>
                    </w:rPr>
                  </w:pPr>
                  <w:r>
                    <w:rPr>
                      <w:b w:val="0"/>
                      <w:color w:val="000000"/>
                      <w:kern w:val="0"/>
                      <w:sz w:val="24"/>
                      <w:highlight w:val="none"/>
                    </w:rPr>
                    <w:t>园区内企业依法使用排放合格的机械设备，鼓励优先使用新能源或清洁能源非道路移动机械。开发区内新增和更换的场吊、吊车等作业机械，主要采用新能源或清洁能源机械。提高机动车船和非道路移动机械绿色低碳水平。</w:t>
                  </w:r>
                </w:p>
              </w:tc>
              <w:tc>
                <w:tcPr>
                  <w:tcW w:w="2087" w:type="dxa"/>
                  <w:tcBorders>
                    <w:tl2br w:val="nil"/>
                    <w:tr2bl w:val="nil"/>
                  </w:tcBorders>
                  <w:shd w:val="clear" w:color="auto" w:fill="FFFFFF"/>
                  <w:noWrap w:val="0"/>
                  <w:vAlign w:val="center"/>
                </w:tcPr>
                <w:p w14:paraId="629A8BFB">
                  <w:pPr>
                    <w:autoSpaceDE w:val="0"/>
                    <w:autoSpaceDN w:val="0"/>
                    <w:adjustRightInd w:val="0"/>
                    <w:snapToGrid w:val="0"/>
                    <w:rPr>
                      <w:b w:val="0"/>
                      <w:color w:val="000000"/>
                      <w:kern w:val="0"/>
                      <w:sz w:val="24"/>
                      <w:highlight w:val="none"/>
                    </w:rPr>
                  </w:pPr>
                  <w:r>
                    <w:rPr>
                      <w:b w:val="0"/>
                      <w:color w:val="000000"/>
                      <w:kern w:val="0"/>
                      <w:sz w:val="24"/>
                      <w:highlight w:val="none"/>
                    </w:rPr>
                    <w:t>本项目</w:t>
                  </w:r>
                  <w:r>
                    <w:rPr>
                      <w:rFonts w:hint="eastAsia"/>
                      <w:b w:val="0"/>
                      <w:color w:val="000000"/>
                      <w:kern w:val="0"/>
                      <w:sz w:val="24"/>
                      <w:highlight w:val="none"/>
                      <w:lang w:val="en-US" w:eastAsia="zh-CN"/>
                    </w:rPr>
                    <w:t>无粉状、粒状物料</w:t>
                  </w:r>
                  <w:r>
                    <w:rPr>
                      <w:b w:val="0"/>
                      <w:color w:val="000000"/>
                      <w:kern w:val="0"/>
                      <w:sz w:val="24"/>
                      <w:highlight w:val="none"/>
                    </w:rPr>
                    <w:t>；路面进行</w:t>
                  </w:r>
                  <w:r>
                    <w:rPr>
                      <w:rFonts w:hint="eastAsia"/>
                      <w:b w:val="0"/>
                      <w:color w:val="000000"/>
                      <w:kern w:val="0"/>
                      <w:sz w:val="24"/>
                      <w:highlight w:val="none"/>
                      <w:lang w:eastAsia="zh-CN"/>
                    </w:rPr>
                    <w:t>了</w:t>
                  </w:r>
                  <w:r>
                    <w:rPr>
                      <w:b w:val="0"/>
                      <w:color w:val="000000"/>
                      <w:kern w:val="0"/>
                      <w:sz w:val="24"/>
                      <w:highlight w:val="none"/>
                    </w:rPr>
                    <w:t>硬化处理。环评要求使用排放合格的机械设备</w:t>
                  </w:r>
                  <w:r>
                    <w:rPr>
                      <w:rFonts w:hint="eastAsia"/>
                      <w:b w:val="0"/>
                      <w:color w:val="000000"/>
                      <w:kern w:val="0"/>
                      <w:sz w:val="24"/>
                      <w:highlight w:val="none"/>
                      <w:lang w:eastAsia="zh-CN"/>
                    </w:rPr>
                    <w:t>，</w:t>
                  </w:r>
                  <w:r>
                    <w:rPr>
                      <w:rFonts w:hint="eastAsia"/>
                      <w:b w:val="0"/>
                      <w:color w:val="000000"/>
                      <w:kern w:val="0"/>
                      <w:sz w:val="24"/>
                      <w:highlight w:val="none"/>
                      <w:lang w:val="en-US" w:eastAsia="zh-CN"/>
                    </w:rPr>
                    <w:t>优先使用</w:t>
                  </w:r>
                  <w:r>
                    <w:rPr>
                      <w:b w:val="0"/>
                      <w:color w:val="000000"/>
                      <w:kern w:val="0"/>
                      <w:sz w:val="24"/>
                      <w:highlight w:val="none"/>
                    </w:rPr>
                    <w:t>新能源或清洁能源非道路移动机械。</w:t>
                  </w:r>
                </w:p>
              </w:tc>
              <w:tc>
                <w:tcPr>
                  <w:tcW w:w="0" w:type="auto"/>
                  <w:tcBorders>
                    <w:right w:val="nil"/>
                    <w:tl2br w:val="nil"/>
                    <w:tr2bl w:val="nil"/>
                  </w:tcBorders>
                  <w:shd w:val="clear" w:color="auto" w:fill="FFFFFF"/>
                  <w:noWrap w:val="0"/>
                  <w:vAlign w:val="center"/>
                </w:tcPr>
                <w:p w14:paraId="536F0FA3">
                  <w:pPr>
                    <w:autoSpaceDE w:val="0"/>
                    <w:autoSpaceDN w:val="0"/>
                    <w:adjustRightInd w:val="0"/>
                    <w:snapToGrid w:val="0"/>
                    <w:jc w:val="center"/>
                    <w:rPr>
                      <w:b w:val="0"/>
                      <w:color w:val="000000"/>
                      <w:kern w:val="0"/>
                      <w:sz w:val="24"/>
                      <w:highlight w:val="none"/>
                    </w:rPr>
                  </w:pPr>
                  <w:r>
                    <w:rPr>
                      <w:b w:val="0"/>
                      <w:color w:val="000000"/>
                      <w:kern w:val="0"/>
                      <w:sz w:val="24"/>
                      <w:highlight w:val="none"/>
                    </w:rPr>
                    <w:t>符合</w:t>
                  </w:r>
                </w:p>
              </w:tc>
            </w:tr>
            <w:tr w14:paraId="7FBA865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85" w:type="dxa"/>
                  <w:tcBorders>
                    <w:left w:val="nil"/>
                    <w:tl2br w:val="nil"/>
                    <w:tr2bl w:val="nil"/>
                  </w:tcBorders>
                  <w:shd w:val="clear" w:color="auto" w:fill="FFFFFF"/>
                  <w:noWrap w:val="0"/>
                  <w:vAlign w:val="center"/>
                </w:tcPr>
                <w:p w14:paraId="4C150E3C">
                  <w:pPr>
                    <w:autoSpaceDE w:val="0"/>
                    <w:autoSpaceDN w:val="0"/>
                    <w:adjustRightInd w:val="0"/>
                    <w:snapToGrid w:val="0"/>
                    <w:jc w:val="left"/>
                    <w:rPr>
                      <w:b w:val="0"/>
                      <w:color w:val="000000"/>
                      <w:kern w:val="0"/>
                      <w:sz w:val="24"/>
                      <w:highlight w:val="none"/>
                    </w:rPr>
                  </w:pPr>
                  <w:r>
                    <w:rPr>
                      <w:b w:val="0"/>
                      <w:color w:val="000000"/>
                      <w:kern w:val="0"/>
                      <w:sz w:val="24"/>
                      <w:highlight w:val="none"/>
                    </w:rPr>
                    <w:t>强化入区企业和开发区层面的雨污分流、清污分流管网建设，加大各类废水的收集率，为节约水资源，实现水的处理和回用提供条件，做到分质利用。规划入区企业产生的含污染废水收集率达 100%，处理率达 100%。入区企业内部及开发区排水体制均采取清污分流、雨污分流。企业内部分别设置污水管网和雨水管网，分别收集各类污废水，尽可能实现企业内部分质回用。</w:t>
                  </w:r>
                </w:p>
                <w:p w14:paraId="67EE6B70">
                  <w:pPr>
                    <w:autoSpaceDE w:val="0"/>
                    <w:autoSpaceDN w:val="0"/>
                    <w:adjustRightInd w:val="0"/>
                    <w:snapToGrid w:val="0"/>
                    <w:jc w:val="left"/>
                    <w:rPr>
                      <w:b w:val="0"/>
                      <w:color w:val="000000"/>
                      <w:kern w:val="0"/>
                      <w:sz w:val="24"/>
                      <w:highlight w:val="none"/>
                    </w:rPr>
                  </w:pPr>
                  <w:r>
                    <w:rPr>
                      <w:b w:val="0"/>
                      <w:color w:val="000000"/>
                      <w:kern w:val="0"/>
                      <w:sz w:val="24"/>
                      <w:highlight w:val="none"/>
                    </w:rPr>
                    <w:t>入区企业内部应设置合理规模的事故池，用于收集事故废水和初期雨水，确保事故情况下污水不外排。</w:t>
                  </w:r>
                </w:p>
              </w:tc>
              <w:tc>
                <w:tcPr>
                  <w:tcW w:w="2087" w:type="dxa"/>
                  <w:tcBorders>
                    <w:tl2br w:val="nil"/>
                    <w:tr2bl w:val="nil"/>
                  </w:tcBorders>
                  <w:shd w:val="clear" w:color="auto" w:fill="FFFFFF"/>
                  <w:noWrap w:val="0"/>
                  <w:vAlign w:val="center"/>
                </w:tcPr>
                <w:p w14:paraId="083B36F6">
                  <w:pPr>
                    <w:autoSpaceDE w:val="0"/>
                    <w:autoSpaceDN w:val="0"/>
                    <w:adjustRightInd w:val="0"/>
                    <w:snapToGrid w:val="0"/>
                    <w:jc w:val="left"/>
                    <w:rPr>
                      <w:b w:val="0"/>
                      <w:color w:val="000000"/>
                      <w:kern w:val="0"/>
                      <w:sz w:val="24"/>
                      <w:highlight w:val="none"/>
                    </w:rPr>
                  </w:pPr>
                  <w:r>
                    <w:rPr>
                      <w:b w:val="0"/>
                      <w:color w:val="000000"/>
                      <w:kern w:val="0"/>
                      <w:sz w:val="24"/>
                      <w:highlight w:val="none"/>
                    </w:rPr>
                    <w:t>本项目</w:t>
                  </w:r>
                  <w:r>
                    <w:rPr>
                      <w:rFonts w:hint="eastAsia"/>
                      <w:b w:val="0"/>
                      <w:color w:val="000000"/>
                      <w:kern w:val="0"/>
                      <w:sz w:val="24"/>
                      <w:highlight w:val="none"/>
                      <w:lang w:val="en-US" w:eastAsia="zh-CN"/>
                    </w:rPr>
                    <w:t>厂</w:t>
                  </w:r>
                  <w:r>
                    <w:rPr>
                      <w:b w:val="0"/>
                      <w:color w:val="000000"/>
                      <w:kern w:val="0"/>
                      <w:sz w:val="24"/>
                      <w:highlight w:val="none"/>
                    </w:rPr>
                    <w:t>区内</w:t>
                  </w:r>
                  <w:r>
                    <w:rPr>
                      <w:rFonts w:hint="eastAsia"/>
                      <w:b w:val="0"/>
                      <w:color w:val="000000"/>
                      <w:kern w:val="0"/>
                      <w:sz w:val="24"/>
                      <w:highlight w:val="none"/>
                      <w:lang w:val="en-US" w:eastAsia="zh-CN"/>
                    </w:rPr>
                    <w:t>铺设有雨水管网，雨污分流</w:t>
                  </w:r>
                  <w:r>
                    <w:rPr>
                      <w:b w:val="0"/>
                      <w:color w:val="000000"/>
                      <w:kern w:val="0"/>
                      <w:sz w:val="24"/>
                      <w:highlight w:val="none"/>
                    </w:rPr>
                    <w:t>。</w:t>
                  </w:r>
                </w:p>
                <w:p w14:paraId="15D98FAA">
                  <w:pPr>
                    <w:autoSpaceDE w:val="0"/>
                    <w:autoSpaceDN w:val="0"/>
                    <w:adjustRightInd w:val="0"/>
                    <w:snapToGrid w:val="0"/>
                    <w:jc w:val="left"/>
                    <w:rPr>
                      <w:rFonts w:hint="eastAsia"/>
                      <w:b w:val="0"/>
                      <w:color w:val="000000"/>
                      <w:kern w:val="0"/>
                      <w:sz w:val="24"/>
                      <w:highlight w:val="none"/>
                      <w:lang w:val="en-US" w:eastAsia="zh-CN"/>
                    </w:rPr>
                  </w:pPr>
                  <w:r>
                    <w:rPr>
                      <w:rFonts w:hint="eastAsia"/>
                      <w:b w:val="0"/>
                      <w:color w:val="000000"/>
                      <w:kern w:val="0"/>
                      <w:sz w:val="24"/>
                      <w:highlight w:val="none"/>
                      <w:lang w:val="en-US" w:eastAsia="zh-CN"/>
                    </w:rPr>
                    <w:t>生产废水全部循环利用，不外排。</w:t>
                  </w:r>
                </w:p>
                <w:p w14:paraId="545B1B26">
                  <w:pPr>
                    <w:pStyle w:val="9"/>
                    <w:ind w:left="0" w:leftChars="0" w:firstLine="0" w:firstLineChars="0"/>
                    <w:rPr>
                      <w:rFonts w:hint="default"/>
                      <w:lang w:val="en-US"/>
                    </w:rPr>
                  </w:pPr>
                  <w:r>
                    <w:rPr>
                      <w:rFonts w:hint="eastAsia"/>
                      <w:b w:val="0"/>
                      <w:color w:val="000000"/>
                      <w:kern w:val="0"/>
                      <w:sz w:val="24"/>
                      <w:highlight w:val="none"/>
                      <w:lang w:val="en-US" w:eastAsia="zh-CN"/>
                    </w:rPr>
                    <w:t>项目设置有事故池，用于收集事故废水。</w:t>
                  </w:r>
                </w:p>
              </w:tc>
              <w:tc>
                <w:tcPr>
                  <w:tcW w:w="0" w:type="auto"/>
                  <w:tcBorders>
                    <w:right w:val="nil"/>
                    <w:tl2br w:val="nil"/>
                    <w:tr2bl w:val="nil"/>
                  </w:tcBorders>
                  <w:shd w:val="clear" w:color="auto" w:fill="FFFFFF"/>
                  <w:noWrap w:val="0"/>
                  <w:vAlign w:val="center"/>
                </w:tcPr>
                <w:p w14:paraId="6BC94F0C">
                  <w:pPr>
                    <w:autoSpaceDE w:val="0"/>
                    <w:autoSpaceDN w:val="0"/>
                    <w:adjustRightInd w:val="0"/>
                    <w:snapToGrid w:val="0"/>
                    <w:jc w:val="center"/>
                    <w:rPr>
                      <w:b w:val="0"/>
                      <w:color w:val="000000"/>
                      <w:kern w:val="0"/>
                      <w:sz w:val="24"/>
                      <w:highlight w:val="none"/>
                    </w:rPr>
                  </w:pPr>
                  <w:r>
                    <w:rPr>
                      <w:b w:val="0"/>
                      <w:color w:val="000000"/>
                      <w:kern w:val="0"/>
                      <w:sz w:val="24"/>
                      <w:highlight w:val="none"/>
                    </w:rPr>
                    <w:t>符合</w:t>
                  </w:r>
                </w:p>
              </w:tc>
            </w:tr>
            <w:tr w14:paraId="1D3EE6A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85" w:type="dxa"/>
                  <w:tcBorders>
                    <w:left w:val="nil"/>
                    <w:tl2br w:val="nil"/>
                    <w:tr2bl w:val="nil"/>
                  </w:tcBorders>
                  <w:shd w:val="clear" w:color="auto" w:fill="FFFFFF"/>
                  <w:noWrap w:val="0"/>
                  <w:vAlign w:val="center"/>
                </w:tcPr>
                <w:p w14:paraId="4E3DB0CE">
                  <w:pPr>
                    <w:autoSpaceDE w:val="0"/>
                    <w:autoSpaceDN w:val="0"/>
                    <w:adjustRightInd w:val="0"/>
                    <w:snapToGrid w:val="0"/>
                    <w:rPr>
                      <w:b w:val="0"/>
                      <w:color w:val="000000"/>
                      <w:kern w:val="0"/>
                      <w:sz w:val="24"/>
                      <w:highlight w:val="none"/>
                    </w:rPr>
                  </w:pPr>
                  <w:r>
                    <w:rPr>
                      <w:b w:val="0"/>
                      <w:color w:val="000000"/>
                      <w:kern w:val="0"/>
                      <w:sz w:val="24"/>
                      <w:highlight w:val="none"/>
                    </w:rPr>
                    <w:t>入区项目的噪声设备应选择低噪声先进设备，因地制宜安装消声器、隔声罩、减震底座，建隔声间、隔声门窗、车间装设吸声材料等多种措施，严格按照经批准的环境影响评价报告书（表）中规定的噪声污染防治措施实施。</w:t>
                  </w:r>
                </w:p>
                <w:p w14:paraId="3E6CA9EF">
                  <w:pPr>
                    <w:autoSpaceDE w:val="0"/>
                    <w:autoSpaceDN w:val="0"/>
                    <w:adjustRightInd w:val="0"/>
                    <w:snapToGrid w:val="0"/>
                    <w:rPr>
                      <w:b w:val="0"/>
                      <w:color w:val="000000"/>
                      <w:kern w:val="0"/>
                      <w:sz w:val="24"/>
                      <w:highlight w:val="none"/>
                    </w:rPr>
                  </w:pPr>
                  <w:r>
                    <w:rPr>
                      <w:b w:val="0"/>
                      <w:color w:val="000000"/>
                      <w:kern w:val="0"/>
                      <w:sz w:val="24"/>
                      <w:highlight w:val="none"/>
                    </w:rPr>
                    <w:t>加强厂区绿化，特别是在有高噪声设备处和厂界之间应设置绿化带，利用树木的吸声、消声作用减小厂界噪声影响。在工业区和居住区之间应建立绿化隔离带，并加强对影响周围居民的噪声超标单位进行限期治理。</w:t>
                  </w:r>
                </w:p>
              </w:tc>
              <w:tc>
                <w:tcPr>
                  <w:tcW w:w="2087" w:type="dxa"/>
                  <w:tcBorders>
                    <w:tl2br w:val="nil"/>
                    <w:tr2bl w:val="nil"/>
                  </w:tcBorders>
                  <w:shd w:val="clear" w:color="auto" w:fill="FFFFFF"/>
                  <w:noWrap w:val="0"/>
                  <w:vAlign w:val="center"/>
                </w:tcPr>
                <w:p w14:paraId="20FCA3EE">
                  <w:pPr>
                    <w:autoSpaceDE w:val="0"/>
                    <w:autoSpaceDN w:val="0"/>
                    <w:adjustRightInd w:val="0"/>
                    <w:snapToGrid w:val="0"/>
                    <w:jc w:val="both"/>
                    <w:rPr>
                      <w:b w:val="0"/>
                      <w:color w:val="000000"/>
                      <w:kern w:val="0"/>
                      <w:sz w:val="24"/>
                      <w:highlight w:val="none"/>
                    </w:rPr>
                  </w:pPr>
                  <w:r>
                    <w:rPr>
                      <w:b w:val="0"/>
                      <w:color w:val="000000"/>
                      <w:kern w:val="0"/>
                      <w:sz w:val="24"/>
                      <w:highlight w:val="none"/>
                    </w:rPr>
                    <w:t>本项目采用了低噪声先进设备，采取了减震、密闭车间隔声等措施。厂区内</w:t>
                  </w:r>
                  <w:r>
                    <w:rPr>
                      <w:rFonts w:hint="eastAsia"/>
                      <w:b w:val="0"/>
                      <w:color w:val="000000"/>
                      <w:kern w:val="0"/>
                      <w:sz w:val="24"/>
                      <w:highlight w:val="none"/>
                      <w:lang w:val="en-US" w:eastAsia="zh-CN"/>
                    </w:rPr>
                    <w:t>设有</w:t>
                  </w:r>
                  <w:r>
                    <w:rPr>
                      <w:b w:val="0"/>
                      <w:color w:val="000000"/>
                      <w:kern w:val="0"/>
                      <w:sz w:val="24"/>
                      <w:highlight w:val="none"/>
                    </w:rPr>
                    <w:t>绿化，以减少噪声影响。</w:t>
                  </w:r>
                </w:p>
              </w:tc>
              <w:tc>
                <w:tcPr>
                  <w:tcW w:w="0" w:type="auto"/>
                  <w:tcBorders>
                    <w:right w:val="nil"/>
                    <w:tl2br w:val="nil"/>
                    <w:tr2bl w:val="nil"/>
                  </w:tcBorders>
                  <w:shd w:val="clear" w:color="auto" w:fill="FFFFFF"/>
                  <w:noWrap w:val="0"/>
                  <w:vAlign w:val="center"/>
                </w:tcPr>
                <w:p w14:paraId="5800B42F">
                  <w:pPr>
                    <w:autoSpaceDE w:val="0"/>
                    <w:autoSpaceDN w:val="0"/>
                    <w:adjustRightInd w:val="0"/>
                    <w:snapToGrid w:val="0"/>
                    <w:jc w:val="center"/>
                    <w:rPr>
                      <w:b w:val="0"/>
                      <w:color w:val="000000"/>
                      <w:kern w:val="0"/>
                      <w:sz w:val="24"/>
                      <w:highlight w:val="none"/>
                    </w:rPr>
                  </w:pPr>
                  <w:r>
                    <w:rPr>
                      <w:b w:val="0"/>
                      <w:color w:val="000000"/>
                      <w:kern w:val="0"/>
                      <w:sz w:val="24"/>
                      <w:highlight w:val="none"/>
                    </w:rPr>
                    <w:t>符合</w:t>
                  </w:r>
                </w:p>
              </w:tc>
            </w:tr>
            <w:tr w14:paraId="38E45D86">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85" w:type="dxa"/>
                  <w:tcBorders>
                    <w:left w:val="nil"/>
                    <w:bottom w:val="single" w:color="000000" w:sz="12" w:space="0"/>
                    <w:tl2br w:val="nil"/>
                    <w:tr2bl w:val="nil"/>
                  </w:tcBorders>
                  <w:shd w:val="clear" w:color="auto" w:fill="FFFFFF"/>
                  <w:noWrap w:val="0"/>
                  <w:vAlign w:val="center"/>
                </w:tcPr>
                <w:p w14:paraId="1A8718C1">
                  <w:pPr>
                    <w:autoSpaceDE w:val="0"/>
                    <w:autoSpaceDN w:val="0"/>
                    <w:adjustRightInd w:val="0"/>
                    <w:snapToGrid w:val="0"/>
                    <w:rPr>
                      <w:rFonts w:hint="eastAsia" w:eastAsia="宋体"/>
                      <w:b w:val="0"/>
                      <w:color w:val="000000"/>
                      <w:kern w:val="0"/>
                      <w:sz w:val="24"/>
                      <w:highlight w:val="none"/>
                      <w:lang w:eastAsia="zh-CN"/>
                    </w:rPr>
                  </w:pPr>
                  <w:r>
                    <w:rPr>
                      <w:b w:val="0"/>
                      <w:color w:val="000000"/>
                      <w:kern w:val="0"/>
                      <w:sz w:val="24"/>
                      <w:highlight w:val="none"/>
                    </w:rPr>
                    <w:t>开发区可通过调整工业结构，废金属、废塑料等固体废物的综合利用，积极拓展和延伸废物综合利用的产业链，实现对一般工业固体废物排放和处置的控制。</w:t>
                  </w:r>
                </w:p>
                <w:p w14:paraId="7BCE4F39">
                  <w:pPr>
                    <w:autoSpaceDE w:val="0"/>
                    <w:autoSpaceDN w:val="0"/>
                    <w:adjustRightInd w:val="0"/>
                    <w:snapToGrid w:val="0"/>
                    <w:rPr>
                      <w:rFonts w:hint="eastAsia" w:eastAsia="宋体"/>
                      <w:b w:val="0"/>
                      <w:color w:val="000000"/>
                      <w:kern w:val="0"/>
                      <w:sz w:val="24"/>
                      <w:highlight w:val="none"/>
                      <w:lang w:eastAsia="zh-CN"/>
                    </w:rPr>
                  </w:pPr>
                  <w:r>
                    <w:rPr>
                      <w:b w:val="0"/>
                      <w:color w:val="000000"/>
                      <w:kern w:val="0"/>
                      <w:sz w:val="24"/>
                      <w:highlight w:val="none"/>
                    </w:rPr>
                    <w:t>1）强化源头管理</w:t>
                  </w:r>
                </w:p>
                <w:p w14:paraId="03759C82">
                  <w:pPr>
                    <w:autoSpaceDE w:val="0"/>
                    <w:autoSpaceDN w:val="0"/>
                    <w:adjustRightInd w:val="0"/>
                    <w:snapToGrid w:val="0"/>
                    <w:rPr>
                      <w:b w:val="0"/>
                      <w:color w:val="000000"/>
                      <w:kern w:val="0"/>
                      <w:sz w:val="24"/>
                      <w:highlight w:val="none"/>
                    </w:rPr>
                  </w:pPr>
                  <w:r>
                    <w:rPr>
                      <w:b w:val="0"/>
                      <w:color w:val="000000"/>
                      <w:kern w:val="0"/>
                      <w:sz w:val="24"/>
                      <w:highlight w:val="none"/>
                    </w:rPr>
                    <w:t>加强对开发区新材料、装备制造等重点行业的能源、原材料、水等资源的消耗管理，实现能源的梯级利用、资源的高效循环利用，努力提高资源的产出效益。要从产品设计入手，优化采用资源利用率高、污染物产生量少以及有利于产品废弃后回收利用的技术和工艺，提高设备制造技术水平</w:t>
                  </w:r>
                </w:p>
                <w:p w14:paraId="2480A470">
                  <w:pPr>
                    <w:autoSpaceDE w:val="0"/>
                    <w:autoSpaceDN w:val="0"/>
                    <w:adjustRightInd w:val="0"/>
                    <w:snapToGrid w:val="0"/>
                    <w:rPr>
                      <w:b w:val="0"/>
                      <w:color w:val="000000"/>
                      <w:kern w:val="0"/>
                      <w:sz w:val="24"/>
                      <w:highlight w:val="none"/>
                    </w:rPr>
                  </w:pPr>
                  <w:r>
                    <w:rPr>
                      <w:b w:val="0"/>
                      <w:color w:val="000000"/>
                      <w:kern w:val="0"/>
                      <w:sz w:val="24"/>
                      <w:highlight w:val="none"/>
                    </w:rPr>
                    <w:t>2）合理处置一般工业固体废弃物强化废弃物在企业内部的循环使用和综合利用，减少废弃物产生量。开发区工业主要以炉渣、金属、塑料为原料，因此应积极拓展和延伸炉渣、废金属、废塑料综合利用的产业链。</w:t>
                  </w:r>
                </w:p>
                <w:p w14:paraId="46D969ED">
                  <w:pPr>
                    <w:autoSpaceDE w:val="0"/>
                    <w:autoSpaceDN w:val="0"/>
                    <w:adjustRightInd w:val="0"/>
                    <w:snapToGrid w:val="0"/>
                    <w:rPr>
                      <w:rFonts w:hint="eastAsia" w:eastAsia="宋体"/>
                      <w:b w:val="0"/>
                      <w:color w:val="000000"/>
                      <w:kern w:val="0"/>
                      <w:sz w:val="24"/>
                      <w:highlight w:val="none"/>
                      <w:lang w:eastAsia="zh-CN"/>
                    </w:rPr>
                  </w:pPr>
                  <w:r>
                    <w:rPr>
                      <w:b w:val="0"/>
                      <w:color w:val="000000"/>
                      <w:kern w:val="0"/>
                      <w:sz w:val="24"/>
                      <w:highlight w:val="none"/>
                    </w:rPr>
                    <w:t>由于危险废物的危害性较大，所以降低其危害性的最好措施就是控制危险废物的</w:t>
                  </w:r>
                </w:p>
                <w:p w14:paraId="5370F5B4">
                  <w:pPr>
                    <w:autoSpaceDE w:val="0"/>
                    <w:autoSpaceDN w:val="0"/>
                    <w:adjustRightInd w:val="0"/>
                    <w:snapToGrid w:val="0"/>
                    <w:rPr>
                      <w:b w:val="0"/>
                      <w:color w:val="000000"/>
                      <w:kern w:val="0"/>
                      <w:sz w:val="24"/>
                      <w:highlight w:val="none"/>
                    </w:rPr>
                  </w:pPr>
                  <w:r>
                    <w:rPr>
                      <w:b w:val="0"/>
                      <w:color w:val="000000"/>
                      <w:kern w:val="0"/>
                      <w:sz w:val="24"/>
                      <w:highlight w:val="none"/>
                    </w:rPr>
                    <w:t>产生，实施源头控制。对产生危险废物的主要行业的工艺流程进行严格监督管理，通过改善生产工艺、提高资源利用率、优化产业结构等方式减少危险废物的产量。对危险废物的控制由末端控制逐渐转为源头控制，并对产生的废物进行分类处理，避免危险废物混入一般生活垃圾中。加强危险废物产生和处置单位规范化整治，大力削减危险废物产生量，实施危险废物的收集、贮存、运输、利用和处理处置全过程管理，防止危险废物随意倾倒和非法转移。</w:t>
                  </w:r>
                </w:p>
                <w:p w14:paraId="26CF0ABF">
                  <w:pPr>
                    <w:autoSpaceDE w:val="0"/>
                    <w:autoSpaceDN w:val="0"/>
                    <w:adjustRightInd w:val="0"/>
                    <w:snapToGrid w:val="0"/>
                    <w:rPr>
                      <w:b w:val="0"/>
                      <w:color w:val="000000"/>
                      <w:kern w:val="0"/>
                      <w:sz w:val="24"/>
                      <w:highlight w:val="none"/>
                    </w:rPr>
                  </w:pPr>
                  <w:r>
                    <w:rPr>
                      <w:b w:val="0"/>
                      <w:color w:val="000000"/>
                      <w:kern w:val="0"/>
                      <w:sz w:val="24"/>
                      <w:highlight w:val="none"/>
                    </w:rPr>
                    <w:t>区内企业、商业设施、居住区等应当按照环境卫生专业规划和环境卫生标准，配套建设生活垃圾收集设施。</w:t>
                  </w:r>
                </w:p>
              </w:tc>
              <w:tc>
                <w:tcPr>
                  <w:tcW w:w="2087" w:type="dxa"/>
                  <w:tcBorders>
                    <w:bottom w:val="single" w:color="000000" w:sz="12" w:space="0"/>
                    <w:tl2br w:val="nil"/>
                    <w:tr2bl w:val="nil"/>
                  </w:tcBorders>
                  <w:shd w:val="clear" w:color="auto" w:fill="FFFFFF"/>
                  <w:noWrap w:val="0"/>
                  <w:vAlign w:val="center"/>
                </w:tcPr>
                <w:p w14:paraId="0BD88ED0">
                  <w:pPr>
                    <w:autoSpaceDE w:val="0"/>
                    <w:autoSpaceDN w:val="0"/>
                    <w:adjustRightInd w:val="0"/>
                    <w:snapToGrid w:val="0"/>
                    <w:jc w:val="both"/>
                    <w:rPr>
                      <w:b w:val="0"/>
                      <w:color w:val="000000"/>
                      <w:kern w:val="0"/>
                      <w:sz w:val="24"/>
                      <w:highlight w:val="none"/>
                    </w:rPr>
                  </w:pPr>
                  <w:r>
                    <w:rPr>
                      <w:b w:val="0"/>
                      <w:color w:val="000000"/>
                      <w:kern w:val="0"/>
                      <w:sz w:val="24"/>
                      <w:highlight w:val="none"/>
                    </w:rPr>
                    <w:t>本项目</w:t>
                  </w:r>
                  <w:r>
                    <w:rPr>
                      <w:rFonts w:hint="eastAsia"/>
                      <w:b w:val="0"/>
                      <w:color w:val="000000"/>
                      <w:kern w:val="0"/>
                      <w:sz w:val="24"/>
                      <w:highlight w:val="none"/>
                      <w:lang w:val="en-US" w:eastAsia="zh-CN"/>
                    </w:rPr>
                    <w:t>依托金烨钢铁厂</w:t>
                  </w:r>
                  <w:r>
                    <w:rPr>
                      <w:rFonts w:hint="eastAsia"/>
                      <w:b w:val="0"/>
                      <w:color w:val="000000"/>
                      <w:kern w:val="0"/>
                      <w:sz w:val="24"/>
                      <w:highlight w:val="none"/>
                    </w:rPr>
                    <w:t>危废贮存库</w:t>
                  </w:r>
                  <w:r>
                    <w:rPr>
                      <w:b w:val="0"/>
                      <w:color w:val="000000"/>
                      <w:kern w:val="0"/>
                      <w:sz w:val="24"/>
                      <w:highlight w:val="none"/>
                    </w:rPr>
                    <w:t>，用于暂存废机油等危险废物，危废定期交由有资质单位处理。</w:t>
                  </w:r>
                </w:p>
                <w:p w14:paraId="35974728">
                  <w:pPr>
                    <w:autoSpaceDE w:val="0"/>
                    <w:autoSpaceDN w:val="0"/>
                    <w:adjustRightInd w:val="0"/>
                    <w:snapToGrid w:val="0"/>
                    <w:jc w:val="left"/>
                    <w:rPr>
                      <w:b w:val="0"/>
                      <w:color w:val="000000"/>
                      <w:kern w:val="0"/>
                      <w:sz w:val="24"/>
                      <w:highlight w:val="none"/>
                    </w:rPr>
                  </w:pPr>
                  <w:r>
                    <w:rPr>
                      <w:b w:val="0"/>
                      <w:color w:val="000000"/>
                      <w:kern w:val="0"/>
                      <w:sz w:val="24"/>
                      <w:highlight w:val="none"/>
                    </w:rPr>
                    <w:t>厂区内设有垃圾桶，对生活垃圾分类收集后，定期交由环卫部门处理。</w:t>
                  </w:r>
                </w:p>
              </w:tc>
              <w:tc>
                <w:tcPr>
                  <w:tcW w:w="0" w:type="auto"/>
                  <w:tcBorders>
                    <w:bottom w:val="single" w:color="000000" w:sz="12" w:space="0"/>
                    <w:right w:val="nil"/>
                    <w:tl2br w:val="nil"/>
                    <w:tr2bl w:val="nil"/>
                  </w:tcBorders>
                  <w:shd w:val="clear" w:color="auto" w:fill="FFFFFF"/>
                  <w:noWrap w:val="0"/>
                  <w:vAlign w:val="center"/>
                </w:tcPr>
                <w:p w14:paraId="6357AFCF">
                  <w:pPr>
                    <w:autoSpaceDE w:val="0"/>
                    <w:autoSpaceDN w:val="0"/>
                    <w:adjustRightInd w:val="0"/>
                    <w:snapToGrid w:val="0"/>
                    <w:jc w:val="center"/>
                    <w:rPr>
                      <w:b w:val="0"/>
                      <w:color w:val="000000"/>
                      <w:kern w:val="0"/>
                      <w:sz w:val="24"/>
                      <w:highlight w:val="none"/>
                    </w:rPr>
                  </w:pPr>
                  <w:r>
                    <w:rPr>
                      <w:b w:val="0"/>
                      <w:color w:val="000000"/>
                      <w:kern w:val="0"/>
                      <w:sz w:val="24"/>
                      <w:highlight w:val="none"/>
                    </w:rPr>
                    <w:t>符合</w:t>
                  </w:r>
                </w:p>
              </w:tc>
            </w:tr>
          </w:tbl>
          <w:p w14:paraId="62E6D40A">
            <w:pPr>
              <w:autoSpaceDE w:val="0"/>
              <w:autoSpaceDN w:val="0"/>
              <w:adjustRightInd w:val="0"/>
              <w:snapToGrid w:val="0"/>
              <w:jc w:val="center"/>
              <w:rPr>
                <w:b/>
                <w:bCs/>
                <w:color w:val="auto"/>
                <w:kern w:val="0"/>
                <w:sz w:val="24"/>
              </w:rPr>
            </w:pPr>
            <w:r>
              <w:rPr>
                <w:rFonts w:hint="eastAsia"/>
                <w:b/>
                <w:bCs/>
                <w:color w:val="auto"/>
                <w:kern w:val="0"/>
                <w:sz w:val="24"/>
              </w:rPr>
              <w:t>表1-2与项目与规划环评审查意见的符合性分析一览表</w:t>
            </w:r>
          </w:p>
          <w:tbl>
            <w:tblPr>
              <w:tblStyle w:val="27"/>
              <w:tblW w:w="0" w:type="auto"/>
              <w:jc w:val="center"/>
              <w:tblBorders>
                <w:top w:val="single" w:color="000000"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2"/>
              <w:gridCol w:w="1891"/>
              <w:gridCol w:w="456"/>
            </w:tblGrid>
            <w:tr w14:paraId="3300C445">
              <w:tblPrEx>
                <w:tblBorders>
                  <w:top w:val="single" w:color="000000"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0" w:type="dxa"/>
                  <w:tcBorders>
                    <w:top w:val="single" w:color="000000" w:sz="12" w:space="0"/>
                    <w:left w:val="nil"/>
                    <w:tl2br w:val="nil"/>
                  </w:tcBorders>
                  <w:shd w:val="clear" w:color="auto" w:fill="FFFFFF"/>
                  <w:noWrap w:val="0"/>
                  <w:vAlign w:val="center"/>
                </w:tcPr>
                <w:p w14:paraId="7A929FC5">
                  <w:pPr>
                    <w:autoSpaceDE w:val="0"/>
                    <w:autoSpaceDN w:val="0"/>
                    <w:adjustRightInd w:val="0"/>
                    <w:snapToGrid w:val="0"/>
                    <w:jc w:val="center"/>
                    <w:rPr>
                      <w:b w:val="0"/>
                      <w:color w:val="000000"/>
                      <w:kern w:val="0"/>
                      <w:sz w:val="24"/>
                      <w:highlight w:val="none"/>
                    </w:rPr>
                  </w:pPr>
                  <w:r>
                    <w:rPr>
                      <w:b w:val="0"/>
                      <w:color w:val="000000"/>
                      <w:kern w:val="0"/>
                      <w:sz w:val="24"/>
                      <w:highlight w:val="none"/>
                    </w:rPr>
                    <w:t>审查意见要求</w:t>
                  </w:r>
                </w:p>
              </w:tc>
              <w:tc>
                <w:tcPr>
                  <w:tcW w:w="2080" w:type="dxa"/>
                  <w:tcBorders>
                    <w:top w:val="single" w:color="000000" w:sz="12" w:space="0"/>
                  </w:tcBorders>
                  <w:shd w:val="clear" w:color="auto" w:fill="FFFFFF"/>
                  <w:noWrap w:val="0"/>
                  <w:vAlign w:val="center"/>
                </w:tcPr>
                <w:p w14:paraId="2D35A384">
                  <w:pPr>
                    <w:autoSpaceDE w:val="0"/>
                    <w:autoSpaceDN w:val="0"/>
                    <w:adjustRightInd w:val="0"/>
                    <w:snapToGrid w:val="0"/>
                    <w:jc w:val="both"/>
                    <w:rPr>
                      <w:b w:val="0"/>
                      <w:color w:val="000000"/>
                      <w:kern w:val="0"/>
                      <w:sz w:val="24"/>
                      <w:highlight w:val="none"/>
                    </w:rPr>
                  </w:pPr>
                  <w:r>
                    <w:rPr>
                      <w:b w:val="0"/>
                      <w:color w:val="000000"/>
                      <w:kern w:val="0"/>
                      <w:sz w:val="24"/>
                      <w:highlight w:val="none"/>
                    </w:rPr>
                    <w:t>本项目情况</w:t>
                  </w:r>
                </w:p>
              </w:tc>
              <w:tc>
                <w:tcPr>
                  <w:tcW w:w="0" w:type="auto"/>
                  <w:tcBorders>
                    <w:top w:val="single" w:color="000000" w:sz="12" w:space="0"/>
                    <w:right w:val="nil"/>
                  </w:tcBorders>
                  <w:shd w:val="clear" w:color="auto" w:fill="FFFFFF"/>
                  <w:noWrap w:val="0"/>
                  <w:vAlign w:val="center"/>
                </w:tcPr>
                <w:p w14:paraId="6385F57A">
                  <w:pPr>
                    <w:autoSpaceDE w:val="0"/>
                    <w:autoSpaceDN w:val="0"/>
                    <w:adjustRightInd w:val="0"/>
                    <w:snapToGrid w:val="0"/>
                    <w:jc w:val="center"/>
                    <w:rPr>
                      <w:b w:val="0"/>
                      <w:color w:val="000000"/>
                      <w:kern w:val="0"/>
                      <w:sz w:val="24"/>
                      <w:highlight w:val="none"/>
                    </w:rPr>
                  </w:pPr>
                  <w:r>
                    <w:rPr>
                      <w:b w:val="0"/>
                      <w:color w:val="000000"/>
                      <w:kern w:val="0"/>
                      <w:sz w:val="24"/>
                      <w:highlight w:val="none"/>
                    </w:rPr>
                    <w:t>符合性</w:t>
                  </w:r>
                </w:p>
              </w:tc>
            </w:tr>
            <w:tr w14:paraId="1135DCA2">
              <w:tblPrEx>
                <w:tblBorders>
                  <w:top w:val="single" w:color="000000"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0" w:type="dxa"/>
                  <w:tcBorders>
                    <w:left w:val="nil"/>
                  </w:tcBorders>
                  <w:shd w:val="clear" w:color="auto" w:fill="FFFFFF"/>
                  <w:noWrap w:val="0"/>
                  <w:vAlign w:val="center"/>
                </w:tcPr>
                <w:p w14:paraId="6BF2FC21">
                  <w:pPr>
                    <w:autoSpaceDE w:val="0"/>
                    <w:autoSpaceDN w:val="0"/>
                    <w:adjustRightInd w:val="0"/>
                    <w:snapToGrid w:val="0"/>
                    <w:rPr>
                      <w:b w:val="0"/>
                      <w:color w:val="000000"/>
                      <w:kern w:val="0"/>
                      <w:sz w:val="24"/>
                      <w:highlight w:val="none"/>
                    </w:rPr>
                  </w:pPr>
                  <w:r>
                    <w:rPr>
                      <w:rFonts w:hint="eastAsia"/>
                      <w:b w:val="0"/>
                      <w:color w:val="000000"/>
                      <w:kern w:val="0"/>
                      <w:sz w:val="24"/>
                      <w:highlight w:val="none"/>
                      <w:lang w:eastAsia="zh-CN"/>
                    </w:rPr>
                    <w:t>（一）</w:t>
                  </w:r>
                  <w:r>
                    <w:rPr>
                      <w:b w:val="0"/>
                      <w:color w:val="000000"/>
                      <w:kern w:val="0"/>
                      <w:sz w:val="24"/>
                      <w:highlight w:val="none"/>
                    </w:rPr>
                    <w:t>坚持生态优先，促进绿色低碳发展。立足开发区产业定位，坚决遏制“两高”项目盲目发展，规划实施的项目应符合国家产业政策、生态环境分区管控和污染物排放区域削减等要求，依托区域产业优势，推动开发区产业链向下游延伸，产品向高端转型，构建园区循环经济产业体系</w:t>
                  </w:r>
                  <w:r>
                    <w:rPr>
                      <w:rFonts w:hint="eastAsia"/>
                      <w:b w:val="0"/>
                      <w:color w:val="000000"/>
                      <w:kern w:val="0"/>
                      <w:sz w:val="24"/>
                      <w:highlight w:val="none"/>
                      <w:lang w:eastAsia="zh-CN"/>
                    </w:rPr>
                    <w:t>。</w:t>
                  </w:r>
                  <w:r>
                    <w:rPr>
                      <w:b w:val="0"/>
                      <w:color w:val="000000"/>
                      <w:kern w:val="0"/>
                      <w:sz w:val="24"/>
                      <w:highlight w:val="none"/>
                    </w:rPr>
                    <w:t>根据区域资源环境承载力，进一步优化调整《规划》的产业定位、规模、布局和开发建设时序，以生态环境高水平保护助推开发区高质量发展。</w:t>
                  </w:r>
                </w:p>
              </w:tc>
              <w:tc>
                <w:tcPr>
                  <w:tcW w:w="2080" w:type="dxa"/>
                  <w:shd w:val="clear" w:color="auto" w:fill="FFFFFF"/>
                  <w:noWrap w:val="0"/>
                  <w:vAlign w:val="center"/>
                </w:tcPr>
                <w:p w14:paraId="7F75A3A1">
                  <w:pPr>
                    <w:autoSpaceDE w:val="0"/>
                    <w:autoSpaceDN w:val="0"/>
                    <w:adjustRightInd w:val="0"/>
                    <w:snapToGrid w:val="0"/>
                    <w:jc w:val="both"/>
                    <w:rPr>
                      <w:b w:val="0"/>
                      <w:color w:val="000000"/>
                      <w:kern w:val="0"/>
                      <w:sz w:val="24"/>
                      <w:highlight w:val="none"/>
                    </w:rPr>
                  </w:pPr>
                  <w:r>
                    <w:rPr>
                      <w:b w:val="0"/>
                      <w:color w:val="000000"/>
                      <w:kern w:val="0"/>
                      <w:sz w:val="24"/>
                      <w:highlight w:val="none"/>
                    </w:rPr>
                    <w:t>本项目</w:t>
                  </w:r>
                  <w:r>
                    <w:rPr>
                      <w:rFonts w:hint="eastAsia"/>
                      <w:b w:val="0"/>
                      <w:color w:val="000000"/>
                      <w:kern w:val="0"/>
                      <w:sz w:val="24"/>
                      <w:highlight w:val="none"/>
                      <w:lang w:val="en-US" w:eastAsia="zh-CN"/>
                    </w:rPr>
                    <w:t>为余气发电项目，促进了绿色低碳发展。</w:t>
                  </w:r>
                  <w:r>
                    <w:rPr>
                      <w:b w:val="0"/>
                      <w:color w:val="000000"/>
                      <w:kern w:val="0"/>
                      <w:sz w:val="24"/>
                      <w:highlight w:val="none"/>
                    </w:rPr>
                    <w:t>符合开发区产业定位，不属于“两高”项目。</w:t>
                  </w:r>
                </w:p>
              </w:tc>
              <w:tc>
                <w:tcPr>
                  <w:tcW w:w="0" w:type="auto"/>
                  <w:tcBorders>
                    <w:right w:val="nil"/>
                  </w:tcBorders>
                  <w:shd w:val="clear" w:color="auto" w:fill="FFFFFF"/>
                  <w:noWrap w:val="0"/>
                  <w:vAlign w:val="center"/>
                </w:tcPr>
                <w:p w14:paraId="5FF3DC78">
                  <w:pPr>
                    <w:autoSpaceDE w:val="0"/>
                    <w:autoSpaceDN w:val="0"/>
                    <w:adjustRightInd w:val="0"/>
                    <w:snapToGrid w:val="0"/>
                    <w:jc w:val="center"/>
                    <w:rPr>
                      <w:b w:val="0"/>
                      <w:color w:val="000000"/>
                      <w:kern w:val="0"/>
                      <w:sz w:val="24"/>
                      <w:highlight w:val="none"/>
                    </w:rPr>
                  </w:pPr>
                  <w:r>
                    <w:rPr>
                      <w:b w:val="0"/>
                      <w:color w:val="000000"/>
                      <w:kern w:val="0"/>
                      <w:sz w:val="24"/>
                      <w:highlight w:val="none"/>
                    </w:rPr>
                    <w:t>符合</w:t>
                  </w:r>
                </w:p>
              </w:tc>
            </w:tr>
            <w:tr w14:paraId="44BC9A73">
              <w:tblPrEx>
                <w:tblBorders>
                  <w:top w:val="single" w:color="000000"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0" w:type="dxa"/>
                  <w:tcBorders>
                    <w:left w:val="nil"/>
                  </w:tcBorders>
                  <w:shd w:val="clear" w:color="auto" w:fill="FFFFFF"/>
                  <w:noWrap w:val="0"/>
                  <w:vAlign w:val="center"/>
                </w:tcPr>
                <w:p w14:paraId="6504525B">
                  <w:pPr>
                    <w:numPr>
                      <w:ilvl w:val="0"/>
                      <w:numId w:val="1"/>
                    </w:numPr>
                    <w:autoSpaceDE w:val="0"/>
                    <w:autoSpaceDN w:val="0"/>
                    <w:adjustRightInd w:val="0"/>
                    <w:snapToGrid w:val="0"/>
                    <w:rPr>
                      <w:b w:val="0"/>
                      <w:color w:val="000000"/>
                      <w:kern w:val="0"/>
                      <w:sz w:val="24"/>
                      <w:highlight w:val="none"/>
                    </w:rPr>
                  </w:pPr>
                  <w:r>
                    <w:rPr>
                      <w:b w:val="0"/>
                      <w:color w:val="000000"/>
                      <w:kern w:val="0"/>
                      <w:sz w:val="24"/>
                      <w:highlight w:val="none"/>
                    </w:rPr>
                    <w:t>强化规划约束，优化空间布局。做好与国土空间规划的衔接，严守城镇开发边界，落实《规划》提出的四区空间管制和建设引导，统筹保护好水陆域生态空间。石子河、南大河留设满足要求的生态防护廊道，保护河流生态环境。民爆产业片区距离县城较近，建议控制现有生产规模，逐步有序搬迁。</w:t>
                  </w:r>
                </w:p>
                <w:p w14:paraId="33CADE90">
                  <w:pPr>
                    <w:autoSpaceDE w:val="0"/>
                    <w:autoSpaceDN w:val="0"/>
                    <w:adjustRightInd w:val="0"/>
                    <w:snapToGrid w:val="0"/>
                    <w:rPr>
                      <w:b w:val="0"/>
                      <w:color w:val="000000"/>
                      <w:kern w:val="0"/>
                      <w:sz w:val="24"/>
                      <w:highlight w:val="none"/>
                    </w:rPr>
                  </w:pPr>
                  <w:r>
                    <w:rPr>
                      <w:b w:val="0"/>
                      <w:color w:val="000000"/>
                      <w:kern w:val="0"/>
                      <w:sz w:val="24"/>
                      <w:highlight w:val="none"/>
                    </w:rPr>
                    <w:t>中钢特材周围居民区分布较多，要充分考虑对周边居民和村庄的环境影响，避免造成不良环境影响。</w:t>
                  </w:r>
                </w:p>
              </w:tc>
              <w:tc>
                <w:tcPr>
                  <w:tcW w:w="2080" w:type="dxa"/>
                  <w:shd w:val="clear" w:color="auto" w:fill="FFFFFF"/>
                  <w:noWrap w:val="0"/>
                  <w:vAlign w:val="center"/>
                </w:tcPr>
                <w:p w14:paraId="21465086">
                  <w:pPr>
                    <w:autoSpaceDE w:val="0"/>
                    <w:autoSpaceDN w:val="0"/>
                    <w:adjustRightInd w:val="0"/>
                    <w:snapToGrid w:val="0"/>
                    <w:jc w:val="both"/>
                    <w:rPr>
                      <w:b w:val="0"/>
                      <w:color w:val="000000"/>
                      <w:kern w:val="0"/>
                      <w:sz w:val="24"/>
                      <w:highlight w:val="none"/>
                    </w:rPr>
                  </w:pPr>
                  <w:r>
                    <w:rPr>
                      <w:b w:val="0"/>
                      <w:color w:val="000000"/>
                      <w:kern w:val="0"/>
                      <w:sz w:val="24"/>
                      <w:highlight w:val="none"/>
                    </w:rPr>
                    <w:t>本项目不在美丽乡村及生态涵养区、乡村振兴示范区以及太行风情文旅片区等限建区。与石子河距离</w:t>
                  </w:r>
                  <w:r>
                    <w:rPr>
                      <w:rFonts w:hint="eastAsia"/>
                      <w:b w:val="0"/>
                      <w:color w:val="000000"/>
                      <w:kern w:val="0"/>
                      <w:sz w:val="24"/>
                      <w:highlight w:val="none"/>
                      <w:lang w:val="en-US" w:eastAsia="zh-CN"/>
                    </w:rPr>
                    <w:t>760m，距离</w:t>
                  </w:r>
                  <w:r>
                    <w:rPr>
                      <w:b w:val="0"/>
                      <w:color w:val="000000"/>
                      <w:kern w:val="0"/>
                      <w:sz w:val="24"/>
                      <w:highlight w:val="none"/>
                    </w:rPr>
                    <w:t>较远，</w:t>
                  </w:r>
                  <w:r>
                    <w:rPr>
                      <w:rFonts w:hint="eastAsia"/>
                      <w:b w:val="0"/>
                      <w:color w:val="000000"/>
                      <w:kern w:val="0"/>
                      <w:sz w:val="24"/>
                      <w:highlight w:val="none"/>
                      <w:lang w:val="en-US" w:eastAsia="zh-CN"/>
                    </w:rPr>
                    <w:t>同时废水全部回用不外排，</w:t>
                  </w:r>
                  <w:r>
                    <w:rPr>
                      <w:b w:val="0"/>
                      <w:color w:val="000000"/>
                      <w:kern w:val="0"/>
                      <w:sz w:val="24"/>
                      <w:highlight w:val="none"/>
                    </w:rPr>
                    <w:t>不会影响河流生态环境。</w:t>
                  </w:r>
                </w:p>
              </w:tc>
              <w:tc>
                <w:tcPr>
                  <w:tcW w:w="0" w:type="auto"/>
                  <w:tcBorders>
                    <w:right w:val="nil"/>
                  </w:tcBorders>
                  <w:shd w:val="clear" w:color="auto" w:fill="FFFFFF"/>
                  <w:noWrap w:val="0"/>
                  <w:vAlign w:val="center"/>
                </w:tcPr>
                <w:p w14:paraId="172C4A87">
                  <w:pPr>
                    <w:autoSpaceDE w:val="0"/>
                    <w:autoSpaceDN w:val="0"/>
                    <w:adjustRightInd w:val="0"/>
                    <w:snapToGrid w:val="0"/>
                    <w:jc w:val="center"/>
                    <w:rPr>
                      <w:b w:val="0"/>
                      <w:color w:val="000000"/>
                      <w:kern w:val="0"/>
                      <w:sz w:val="24"/>
                      <w:highlight w:val="none"/>
                    </w:rPr>
                  </w:pPr>
                  <w:r>
                    <w:rPr>
                      <w:b w:val="0"/>
                      <w:color w:val="000000"/>
                      <w:kern w:val="0"/>
                      <w:sz w:val="24"/>
                      <w:highlight w:val="none"/>
                    </w:rPr>
                    <w:t>符合</w:t>
                  </w:r>
                </w:p>
              </w:tc>
            </w:tr>
            <w:tr w14:paraId="5DBC37BF">
              <w:tblPrEx>
                <w:tblBorders>
                  <w:top w:val="single" w:color="000000"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0" w:type="dxa"/>
                  <w:tcBorders>
                    <w:left w:val="nil"/>
                  </w:tcBorders>
                  <w:shd w:val="clear" w:color="auto" w:fill="FFFFFF"/>
                  <w:noWrap w:val="0"/>
                  <w:vAlign w:val="center"/>
                </w:tcPr>
                <w:p w14:paraId="536EA763">
                  <w:pPr>
                    <w:autoSpaceDE w:val="0"/>
                    <w:autoSpaceDN w:val="0"/>
                    <w:adjustRightInd w:val="0"/>
                    <w:snapToGrid w:val="0"/>
                    <w:rPr>
                      <w:b w:val="0"/>
                      <w:color w:val="000000"/>
                      <w:kern w:val="0"/>
                      <w:sz w:val="24"/>
                      <w:highlight w:val="none"/>
                    </w:rPr>
                  </w:pPr>
                  <w:r>
                    <w:rPr>
                      <w:rFonts w:hint="eastAsia"/>
                      <w:b w:val="0"/>
                      <w:color w:val="000000"/>
                      <w:kern w:val="0"/>
                      <w:sz w:val="24"/>
                      <w:highlight w:val="none"/>
                      <w:lang w:eastAsia="zh-CN"/>
                    </w:rPr>
                    <w:t>（三）</w:t>
                  </w:r>
                  <w:r>
                    <w:rPr>
                      <w:b w:val="0"/>
                      <w:color w:val="000000"/>
                      <w:kern w:val="0"/>
                      <w:sz w:val="24"/>
                      <w:highlight w:val="none"/>
                    </w:rPr>
                    <w:t>对标先进水平，持续改善环境质量。新建、扩建项目应采用先进适用的工艺技术和装备，单位产品物耗、能耗、水耗等达到清洁生产先进水平，推进现有钢铁企业深度治理改造。优化文旅片区、乡村片区和周边村庄的基础设施建设，因地制宜推进清洁取暖设施建设，加大现有工业余热利用项目推进力度。积极推进大宗物料“公转铁”，落实路铁联运式的物流产业发展，公路运输时应采用新能源汽车或符合国六标准的车辆。强化挥发性有机物全过程管控，推进低挥发性有机物原辅料替代，配备高效收集处理装置，确保区域环境质量持续改善。</w:t>
                  </w:r>
                </w:p>
              </w:tc>
              <w:tc>
                <w:tcPr>
                  <w:tcW w:w="2080" w:type="dxa"/>
                  <w:shd w:val="clear" w:color="auto" w:fill="FFFFFF"/>
                  <w:noWrap w:val="0"/>
                  <w:vAlign w:val="center"/>
                </w:tcPr>
                <w:p w14:paraId="742F687B">
                  <w:pPr>
                    <w:autoSpaceDE w:val="0"/>
                    <w:autoSpaceDN w:val="0"/>
                    <w:adjustRightInd w:val="0"/>
                    <w:snapToGrid w:val="0"/>
                    <w:jc w:val="both"/>
                    <w:rPr>
                      <w:b w:val="0"/>
                      <w:color w:val="000000"/>
                      <w:kern w:val="0"/>
                      <w:sz w:val="24"/>
                      <w:highlight w:val="none"/>
                    </w:rPr>
                  </w:pPr>
                  <w:r>
                    <w:rPr>
                      <w:b w:val="0"/>
                      <w:color w:val="000000"/>
                      <w:kern w:val="0"/>
                      <w:sz w:val="24"/>
                      <w:highlight w:val="none"/>
                    </w:rPr>
                    <w:t>本项目采用了先进适用的工艺技术和装备；不涉及挥发性有机物的使用。</w:t>
                  </w:r>
                </w:p>
              </w:tc>
              <w:tc>
                <w:tcPr>
                  <w:tcW w:w="0" w:type="auto"/>
                  <w:tcBorders>
                    <w:right w:val="nil"/>
                  </w:tcBorders>
                  <w:shd w:val="clear" w:color="auto" w:fill="FFFFFF"/>
                  <w:noWrap w:val="0"/>
                  <w:vAlign w:val="center"/>
                </w:tcPr>
                <w:p w14:paraId="0E896AB7">
                  <w:pPr>
                    <w:autoSpaceDE w:val="0"/>
                    <w:autoSpaceDN w:val="0"/>
                    <w:adjustRightInd w:val="0"/>
                    <w:snapToGrid w:val="0"/>
                    <w:jc w:val="center"/>
                    <w:rPr>
                      <w:b w:val="0"/>
                      <w:color w:val="000000"/>
                      <w:kern w:val="0"/>
                      <w:sz w:val="24"/>
                      <w:highlight w:val="none"/>
                    </w:rPr>
                  </w:pPr>
                  <w:r>
                    <w:rPr>
                      <w:b w:val="0"/>
                      <w:color w:val="000000"/>
                      <w:kern w:val="0"/>
                      <w:sz w:val="24"/>
                      <w:highlight w:val="none"/>
                    </w:rPr>
                    <w:t>符合</w:t>
                  </w:r>
                </w:p>
              </w:tc>
            </w:tr>
            <w:tr w14:paraId="1FAC99B8">
              <w:tblPrEx>
                <w:tblBorders>
                  <w:top w:val="single" w:color="000000"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0" w:type="dxa"/>
                  <w:tcBorders>
                    <w:left w:val="nil"/>
                  </w:tcBorders>
                  <w:shd w:val="clear" w:color="auto" w:fill="FFFFFF"/>
                  <w:noWrap w:val="0"/>
                  <w:vAlign w:val="center"/>
                </w:tcPr>
                <w:p w14:paraId="5F572B65">
                  <w:pPr>
                    <w:autoSpaceDE w:val="0"/>
                    <w:autoSpaceDN w:val="0"/>
                    <w:adjustRightInd w:val="0"/>
                    <w:snapToGrid w:val="0"/>
                    <w:rPr>
                      <w:b w:val="0"/>
                      <w:color w:val="000000"/>
                      <w:kern w:val="0"/>
                      <w:sz w:val="24"/>
                      <w:highlight w:val="none"/>
                    </w:rPr>
                  </w:pPr>
                  <w:r>
                    <w:rPr>
                      <w:rFonts w:hint="eastAsia"/>
                      <w:b w:val="0"/>
                      <w:color w:val="000000"/>
                      <w:kern w:val="0"/>
                      <w:sz w:val="24"/>
                      <w:highlight w:val="none"/>
                      <w:lang w:eastAsia="zh-CN"/>
                    </w:rPr>
                    <w:t>（四）</w:t>
                  </w:r>
                  <w:r>
                    <w:rPr>
                      <w:b w:val="0"/>
                      <w:color w:val="000000"/>
                      <w:kern w:val="0"/>
                      <w:sz w:val="24"/>
                      <w:highlight w:val="none"/>
                    </w:rPr>
                    <w:t>加强水资源保护，提升水环境质量。坚守水资源利用上线，落实“以水定产”的要求，优化用水结构、提高用水效率。加快雨污分流管网建设，按照生态环境部《关于进一步规范城镇</w:t>
                  </w:r>
                  <w:r>
                    <w:rPr>
                      <w:rFonts w:hint="eastAsia"/>
                      <w:b w:val="0"/>
                      <w:color w:val="000000"/>
                      <w:kern w:val="0"/>
                      <w:sz w:val="24"/>
                      <w:highlight w:val="none"/>
                      <w:lang w:eastAsia="zh-CN"/>
                    </w:rPr>
                    <w:t>（</w:t>
                  </w:r>
                  <w:r>
                    <w:rPr>
                      <w:b w:val="0"/>
                      <w:color w:val="000000"/>
                      <w:kern w:val="0"/>
                      <w:sz w:val="24"/>
                      <w:highlight w:val="none"/>
                    </w:rPr>
                    <w:t>园区</w:t>
                  </w:r>
                  <w:r>
                    <w:rPr>
                      <w:rFonts w:hint="eastAsia"/>
                      <w:b w:val="0"/>
                      <w:color w:val="000000"/>
                      <w:kern w:val="0"/>
                      <w:sz w:val="24"/>
                      <w:highlight w:val="none"/>
                      <w:lang w:eastAsia="zh-CN"/>
                    </w:rPr>
                    <w:t>）</w:t>
                  </w:r>
                  <w:r>
                    <w:rPr>
                      <w:b w:val="0"/>
                      <w:color w:val="000000"/>
                      <w:kern w:val="0"/>
                      <w:sz w:val="24"/>
                      <w:highlight w:val="none"/>
                    </w:rPr>
                    <w:t>污水处理环境管理的通知》要求，加快污水集中处理设施及配套污水收集、中水回用管网建设，工业废水和生活污水应分别处理，做好水资源梯级利用，提高中水回用率，减少外排水量。</w:t>
                  </w:r>
                </w:p>
              </w:tc>
              <w:tc>
                <w:tcPr>
                  <w:tcW w:w="2080" w:type="dxa"/>
                  <w:shd w:val="clear" w:color="auto" w:fill="FFFFFF"/>
                  <w:noWrap w:val="0"/>
                  <w:vAlign w:val="center"/>
                </w:tcPr>
                <w:p w14:paraId="4B991FB0">
                  <w:pPr>
                    <w:autoSpaceDE w:val="0"/>
                    <w:autoSpaceDN w:val="0"/>
                    <w:adjustRightInd w:val="0"/>
                    <w:snapToGrid w:val="0"/>
                    <w:jc w:val="both"/>
                    <w:rPr>
                      <w:b w:val="0"/>
                      <w:color w:val="000000"/>
                      <w:kern w:val="0"/>
                      <w:sz w:val="24"/>
                      <w:highlight w:val="none"/>
                    </w:rPr>
                  </w:pPr>
                  <w:r>
                    <w:rPr>
                      <w:b w:val="0"/>
                      <w:color w:val="000000"/>
                      <w:kern w:val="0"/>
                      <w:sz w:val="24"/>
                      <w:highlight w:val="none"/>
                    </w:rPr>
                    <w:t>本项目</w:t>
                  </w:r>
                  <w:r>
                    <w:rPr>
                      <w:rFonts w:hint="eastAsia" w:ascii="Times New Roman" w:hAnsi="Times New Roman" w:eastAsia="宋体" w:cs="Times New Roman"/>
                      <w:b w:val="0"/>
                      <w:bCs w:val="0"/>
                      <w:color w:val="000000"/>
                      <w:sz w:val="24"/>
                      <w:szCs w:val="24"/>
                      <w:highlight w:val="none"/>
                      <w:lang w:val="en-US" w:eastAsia="zh-CN"/>
                    </w:rPr>
                    <w:t>生产废水循环使用</w:t>
                  </w:r>
                  <w:r>
                    <w:rPr>
                      <w:b w:val="0"/>
                      <w:color w:val="000000"/>
                      <w:kern w:val="0"/>
                      <w:sz w:val="24"/>
                      <w:highlight w:val="none"/>
                    </w:rPr>
                    <w:t>，不外排。</w:t>
                  </w:r>
                </w:p>
              </w:tc>
              <w:tc>
                <w:tcPr>
                  <w:tcW w:w="0" w:type="auto"/>
                  <w:tcBorders>
                    <w:right w:val="nil"/>
                  </w:tcBorders>
                  <w:shd w:val="clear" w:color="auto" w:fill="FFFFFF"/>
                  <w:noWrap w:val="0"/>
                  <w:vAlign w:val="center"/>
                </w:tcPr>
                <w:p w14:paraId="199BEC10">
                  <w:pPr>
                    <w:autoSpaceDE w:val="0"/>
                    <w:autoSpaceDN w:val="0"/>
                    <w:adjustRightInd w:val="0"/>
                    <w:snapToGrid w:val="0"/>
                    <w:jc w:val="center"/>
                    <w:rPr>
                      <w:b w:val="0"/>
                      <w:color w:val="000000"/>
                      <w:kern w:val="0"/>
                      <w:sz w:val="24"/>
                      <w:highlight w:val="none"/>
                    </w:rPr>
                  </w:pPr>
                  <w:r>
                    <w:rPr>
                      <w:b w:val="0"/>
                      <w:color w:val="000000"/>
                      <w:kern w:val="0"/>
                      <w:sz w:val="24"/>
                      <w:highlight w:val="none"/>
                    </w:rPr>
                    <w:t>符合</w:t>
                  </w:r>
                </w:p>
              </w:tc>
            </w:tr>
            <w:tr w14:paraId="7B30B4F6">
              <w:tblPrEx>
                <w:tblBorders>
                  <w:top w:val="single" w:color="000000"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0" w:type="dxa"/>
                  <w:tcBorders>
                    <w:left w:val="nil"/>
                  </w:tcBorders>
                  <w:shd w:val="clear" w:color="auto" w:fill="FFFFFF"/>
                  <w:noWrap w:val="0"/>
                  <w:vAlign w:val="center"/>
                </w:tcPr>
                <w:p w14:paraId="05F13B78">
                  <w:pPr>
                    <w:autoSpaceDE w:val="0"/>
                    <w:autoSpaceDN w:val="0"/>
                    <w:adjustRightInd w:val="0"/>
                    <w:snapToGrid w:val="0"/>
                    <w:rPr>
                      <w:b w:val="0"/>
                      <w:color w:val="000000"/>
                      <w:kern w:val="0"/>
                      <w:sz w:val="24"/>
                      <w:highlight w:val="none"/>
                    </w:rPr>
                  </w:pPr>
                  <w:r>
                    <w:rPr>
                      <w:rFonts w:hint="eastAsia"/>
                      <w:b w:val="0"/>
                      <w:color w:val="000000"/>
                      <w:kern w:val="0"/>
                      <w:sz w:val="24"/>
                      <w:highlight w:val="none"/>
                      <w:lang w:eastAsia="zh-CN"/>
                    </w:rPr>
                    <w:t>（五）</w:t>
                  </w:r>
                  <w:r>
                    <w:rPr>
                      <w:b w:val="0"/>
                      <w:color w:val="000000"/>
                      <w:kern w:val="0"/>
                      <w:sz w:val="24"/>
                      <w:highlight w:val="none"/>
                    </w:rPr>
                    <w:t>加强地下水保护，严控土壤污染。按照“控源头、防新增、重监管、保安全”的原则，强化地下水污染协同防治。</w:t>
                  </w:r>
                </w:p>
                <w:p w14:paraId="7B5DAC80">
                  <w:pPr>
                    <w:autoSpaceDE w:val="0"/>
                    <w:autoSpaceDN w:val="0"/>
                    <w:adjustRightInd w:val="0"/>
                    <w:snapToGrid w:val="0"/>
                    <w:rPr>
                      <w:b w:val="0"/>
                      <w:color w:val="000000"/>
                      <w:kern w:val="0"/>
                      <w:sz w:val="24"/>
                      <w:highlight w:val="none"/>
                    </w:rPr>
                  </w:pPr>
                  <w:r>
                    <w:rPr>
                      <w:b w:val="0"/>
                      <w:color w:val="000000"/>
                      <w:kern w:val="0"/>
                      <w:sz w:val="24"/>
                      <w:highlight w:val="none"/>
                    </w:rPr>
                    <w:t>加强水环境风险防控，强化重点区域防渗措施，有效保护地下水环境安全。纳入土壤污染重点监管单位名录的企业严格落实自行监测、隐患排查等土壤污染防治责任。依法开展已搬迁的常平焦化遗留场地土壤污染状况调查，做好污染场地的风险评估和治理修复工作。</w:t>
                  </w:r>
                </w:p>
              </w:tc>
              <w:tc>
                <w:tcPr>
                  <w:tcW w:w="2080" w:type="dxa"/>
                  <w:shd w:val="clear" w:color="auto" w:fill="FFFFFF"/>
                  <w:noWrap w:val="0"/>
                  <w:vAlign w:val="center"/>
                </w:tcPr>
                <w:p w14:paraId="238B03C2">
                  <w:pPr>
                    <w:autoSpaceDE w:val="0"/>
                    <w:autoSpaceDN w:val="0"/>
                    <w:adjustRightInd w:val="0"/>
                    <w:snapToGrid w:val="0"/>
                    <w:jc w:val="both"/>
                    <w:rPr>
                      <w:b w:val="0"/>
                      <w:color w:val="000000"/>
                      <w:kern w:val="0"/>
                      <w:sz w:val="24"/>
                      <w:highlight w:val="none"/>
                    </w:rPr>
                  </w:pPr>
                  <w:r>
                    <w:rPr>
                      <w:rFonts w:hint="eastAsia"/>
                      <w:b w:val="0"/>
                      <w:color w:val="000000"/>
                      <w:kern w:val="0"/>
                      <w:sz w:val="24"/>
                      <w:highlight w:val="none"/>
                      <w:lang w:val="en-US" w:eastAsia="zh-CN"/>
                    </w:rPr>
                    <w:t>环评要求</w:t>
                  </w:r>
                  <w:r>
                    <w:rPr>
                      <w:b w:val="0"/>
                      <w:color w:val="000000"/>
                      <w:kern w:val="0"/>
                      <w:sz w:val="24"/>
                      <w:highlight w:val="none"/>
                    </w:rPr>
                    <w:t>本项目对</w:t>
                  </w:r>
                  <w:r>
                    <w:rPr>
                      <w:rFonts w:hint="eastAsia"/>
                      <w:b w:val="0"/>
                      <w:color w:val="000000"/>
                      <w:kern w:val="0"/>
                      <w:sz w:val="24"/>
                      <w:highlight w:val="none"/>
                      <w:lang w:val="en-US" w:eastAsia="zh-CN"/>
                    </w:rPr>
                    <w:t>汽轮机组等</w:t>
                  </w:r>
                  <w:r>
                    <w:rPr>
                      <w:b w:val="0"/>
                      <w:color w:val="000000"/>
                      <w:kern w:val="0"/>
                      <w:sz w:val="24"/>
                      <w:highlight w:val="none"/>
                    </w:rPr>
                    <w:t>进行重点防渗。</w:t>
                  </w:r>
                </w:p>
              </w:tc>
              <w:tc>
                <w:tcPr>
                  <w:tcW w:w="0" w:type="auto"/>
                  <w:tcBorders>
                    <w:right w:val="nil"/>
                  </w:tcBorders>
                  <w:shd w:val="clear" w:color="auto" w:fill="FFFFFF"/>
                  <w:noWrap w:val="0"/>
                  <w:vAlign w:val="center"/>
                </w:tcPr>
                <w:p w14:paraId="496FDCAA">
                  <w:pPr>
                    <w:autoSpaceDE w:val="0"/>
                    <w:autoSpaceDN w:val="0"/>
                    <w:adjustRightInd w:val="0"/>
                    <w:snapToGrid w:val="0"/>
                    <w:jc w:val="center"/>
                    <w:rPr>
                      <w:b w:val="0"/>
                      <w:color w:val="000000"/>
                      <w:kern w:val="0"/>
                      <w:sz w:val="24"/>
                      <w:highlight w:val="none"/>
                    </w:rPr>
                  </w:pPr>
                  <w:r>
                    <w:rPr>
                      <w:b w:val="0"/>
                      <w:color w:val="000000"/>
                      <w:kern w:val="0"/>
                      <w:sz w:val="24"/>
                      <w:highlight w:val="none"/>
                    </w:rPr>
                    <w:t>符合</w:t>
                  </w:r>
                </w:p>
              </w:tc>
            </w:tr>
            <w:tr w14:paraId="30C911C1">
              <w:tblPrEx>
                <w:tblBorders>
                  <w:top w:val="single" w:color="000000"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0" w:type="dxa"/>
                  <w:tcBorders>
                    <w:left w:val="nil"/>
                  </w:tcBorders>
                  <w:shd w:val="clear" w:color="auto" w:fill="FFFFFF"/>
                  <w:noWrap w:val="0"/>
                  <w:vAlign w:val="center"/>
                </w:tcPr>
                <w:p w14:paraId="4342C2C1">
                  <w:pPr>
                    <w:autoSpaceDE w:val="0"/>
                    <w:autoSpaceDN w:val="0"/>
                    <w:adjustRightInd w:val="0"/>
                    <w:snapToGrid w:val="0"/>
                    <w:rPr>
                      <w:b w:val="0"/>
                      <w:color w:val="000000"/>
                      <w:kern w:val="0"/>
                      <w:sz w:val="24"/>
                      <w:highlight w:val="none"/>
                    </w:rPr>
                  </w:pPr>
                  <w:r>
                    <w:rPr>
                      <w:rFonts w:hint="eastAsia"/>
                      <w:b w:val="0"/>
                      <w:color w:val="000000"/>
                      <w:kern w:val="0"/>
                      <w:sz w:val="24"/>
                      <w:highlight w:val="none"/>
                      <w:lang w:eastAsia="zh-CN"/>
                    </w:rPr>
                    <w:t>（六）</w:t>
                  </w:r>
                  <w:r>
                    <w:rPr>
                      <w:b w:val="0"/>
                      <w:color w:val="000000"/>
                      <w:kern w:val="0"/>
                      <w:sz w:val="24"/>
                      <w:highlight w:val="none"/>
                    </w:rPr>
                    <w:t>加强声环境管理，安全处置固体废物。应优先选用低噪声设备、绿化降噪等措施，减缓噪声影响，确保满足声环境功能区要求。加强交通噪声管理，声环境敏感路段应采用低噪声路面，交通干线两侧建设绿化带作为隔声屏障，有效控制交通噪声污染。按照“减量化、资源化、无害化”的原则，工业固体废物实行分类收集，鼓励固体废物综合利用，减少固体废物产生量。生活垃圾应分类收集，配套建设生活垃圾收集设施。</w:t>
                  </w:r>
                </w:p>
              </w:tc>
              <w:tc>
                <w:tcPr>
                  <w:tcW w:w="2080" w:type="dxa"/>
                  <w:shd w:val="clear" w:color="auto" w:fill="FFFFFF"/>
                  <w:noWrap w:val="0"/>
                  <w:vAlign w:val="center"/>
                </w:tcPr>
                <w:p w14:paraId="3351529E">
                  <w:pPr>
                    <w:autoSpaceDE w:val="0"/>
                    <w:autoSpaceDN w:val="0"/>
                    <w:adjustRightInd w:val="0"/>
                    <w:snapToGrid w:val="0"/>
                    <w:jc w:val="both"/>
                    <w:rPr>
                      <w:b w:val="0"/>
                      <w:color w:val="000000"/>
                      <w:kern w:val="0"/>
                      <w:sz w:val="24"/>
                      <w:highlight w:val="none"/>
                    </w:rPr>
                  </w:pPr>
                  <w:r>
                    <w:rPr>
                      <w:b w:val="0"/>
                      <w:color w:val="000000"/>
                      <w:kern w:val="0"/>
                      <w:sz w:val="24"/>
                      <w:highlight w:val="none"/>
                    </w:rPr>
                    <w:t>本项目优先选用低噪声设备，同时进行厂区绿化降噪，减缓噪声的影响。本项目对</w:t>
                  </w:r>
                  <w:r>
                    <w:rPr>
                      <w:rFonts w:hint="eastAsia"/>
                      <w:b w:val="0"/>
                      <w:color w:val="000000"/>
                      <w:kern w:val="0"/>
                      <w:sz w:val="24"/>
                      <w:highlight w:val="none"/>
                      <w:lang w:val="en-US" w:eastAsia="zh-CN"/>
                    </w:rPr>
                    <w:t>固体废物、生活垃圾</w:t>
                  </w:r>
                  <w:r>
                    <w:rPr>
                      <w:b w:val="0"/>
                      <w:color w:val="000000"/>
                      <w:kern w:val="0"/>
                      <w:sz w:val="24"/>
                      <w:highlight w:val="none"/>
                    </w:rPr>
                    <w:t>分类收集</w:t>
                  </w:r>
                  <w:r>
                    <w:rPr>
                      <w:rFonts w:hint="eastAsia"/>
                      <w:b w:val="0"/>
                      <w:color w:val="000000"/>
                      <w:kern w:val="0"/>
                      <w:sz w:val="24"/>
                      <w:highlight w:val="none"/>
                      <w:lang w:eastAsia="zh-CN"/>
                    </w:rPr>
                    <w:t>，</w:t>
                  </w:r>
                  <w:r>
                    <w:rPr>
                      <w:rFonts w:hint="eastAsia"/>
                      <w:b w:val="0"/>
                      <w:color w:val="000000"/>
                      <w:kern w:val="0"/>
                      <w:sz w:val="24"/>
                      <w:highlight w:val="none"/>
                      <w:lang w:val="en-US" w:eastAsia="zh-CN"/>
                    </w:rPr>
                    <w:t>均进行合理处置</w:t>
                  </w:r>
                  <w:r>
                    <w:rPr>
                      <w:b w:val="0"/>
                      <w:color w:val="000000"/>
                      <w:kern w:val="0"/>
                      <w:sz w:val="24"/>
                      <w:highlight w:val="none"/>
                    </w:rPr>
                    <w:t>。</w:t>
                  </w:r>
                </w:p>
              </w:tc>
              <w:tc>
                <w:tcPr>
                  <w:tcW w:w="0" w:type="auto"/>
                  <w:tcBorders>
                    <w:right w:val="nil"/>
                  </w:tcBorders>
                  <w:shd w:val="clear" w:color="auto" w:fill="FFFFFF"/>
                  <w:noWrap w:val="0"/>
                  <w:vAlign w:val="center"/>
                </w:tcPr>
                <w:p w14:paraId="56F56DA2">
                  <w:pPr>
                    <w:autoSpaceDE w:val="0"/>
                    <w:autoSpaceDN w:val="0"/>
                    <w:adjustRightInd w:val="0"/>
                    <w:snapToGrid w:val="0"/>
                    <w:jc w:val="center"/>
                    <w:rPr>
                      <w:b w:val="0"/>
                      <w:color w:val="000000"/>
                      <w:kern w:val="0"/>
                      <w:sz w:val="24"/>
                      <w:highlight w:val="none"/>
                    </w:rPr>
                  </w:pPr>
                  <w:r>
                    <w:rPr>
                      <w:b w:val="0"/>
                      <w:color w:val="000000"/>
                      <w:kern w:val="0"/>
                      <w:sz w:val="24"/>
                      <w:highlight w:val="none"/>
                    </w:rPr>
                    <w:t>符合</w:t>
                  </w:r>
                </w:p>
              </w:tc>
            </w:tr>
            <w:tr w14:paraId="62891843">
              <w:tblPrEx>
                <w:tblBorders>
                  <w:top w:val="single" w:color="000000"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0" w:type="dxa"/>
                  <w:tcBorders>
                    <w:left w:val="nil"/>
                    <w:bottom w:val="single" w:color="000000" w:sz="12" w:space="0"/>
                  </w:tcBorders>
                  <w:shd w:val="clear" w:color="auto" w:fill="FFFFFF"/>
                  <w:noWrap w:val="0"/>
                  <w:vAlign w:val="center"/>
                </w:tcPr>
                <w:p w14:paraId="2428D8AD">
                  <w:pPr>
                    <w:autoSpaceDE w:val="0"/>
                    <w:autoSpaceDN w:val="0"/>
                    <w:adjustRightInd w:val="0"/>
                    <w:snapToGrid w:val="0"/>
                    <w:rPr>
                      <w:b w:val="0"/>
                      <w:color w:val="000000"/>
                      <w:kern w:val="0"/>
                      <w:sz w:val="24"/>
                      <w:highlight w:val="none"/>
                    </w:rPr>
                  </w:pPr>
                  <w:r>
                    <w:rPr>
                      <w:rFonts w:hint="eastAsia"/>
                      <w:b w:val="0"/>
                      <w:color w:val="000000"/>
                      <w:kern w:val="0"/>
                      <w:sz w:val="24"/>
                      <w:highlight w:val="none"/>
                      <w:lang w:eastAsia="zh-CN"/>
                    </w:rPr>
                    <w:t>（七）</w:t>
                  </w:r>
                  <w:r>
                    <w:rPr>
                      <w:b w:val="0"/>
                      <w:color w:val="000000"/>
                      <w:kern w:val="0"/>
                      <w:sz w:val="24"/>
                      <w:highlight w:val="none"/>
                    </w:rPr>
                    <w:t>严格风险源管理，防范环境风险。开发区应建立完善环境风险防控体系，加强环境应急能力建设，编制突发环境事件应急预案，落实环境风险三级防控措施。建设满足要求的事故废水收集系统，严控对石子河的环境风险。做好危险废物收集、贮存、转运和处置，严控废物利用、处置不当可能导致的环境风险。</w:t>
                  </w:r>
                </w:p>
              </w:tc>
              <w:tc>
                <w:tcPr>
                  <w:tcW w:w="2080" w:type="dxa"/>
                  <w:tcBorders>
                    <w:bottom w:val="single" w:color="000000" w:sz="12" w:space="0"/>
                  </w:tcBorders>
                  <w:shd w:val="clear" w:color="auto" w:fill="FFFFFF"/>
                  <w:noWrap w:val="0"/>
                  <w:vAlign w:val="center"/>
                </w:tcPr>
                <w:p w14:paraId="6DC149F3">
                  <w:pPr>
                    <w:autoSpaceDE w:val="0"/>
                    <w:autoSpaceDN w:val="0"/>
                    <w:adjustRightInd w:val="0"/>
                    <w:snapToGrid w:val="0"/>
                    <w:jc w:val="both"/>
                    <w:rPr>
                      <w:b w:val="0"/>
                      <w:color w:val="000000"/>
                      <w:kern w:val="0"/>
                      <w:sz w:val="24"/>
                      <w:highlight w:val="none"/>
                    </w:rPr>
                  </w:pPr>
                  <w:r>
                    <w:rPr>
                      <w:rFonts w:hint="eastAsia"/>
                      <w:b w:val="0"/>
                      <w:color w:val="000000"/>
                      <w:kern w:val="0"/>
                      <w:sz w:val="24"/>
                      <w:highlight w:val="none"/>
                      <w:lang w:val="en-US" w:eastAsia="zh-CN"/>
                    </w:rPr>
                    <w:t>环评要求，项目建设后，应纳入厂区环境风险防控体系，编制突发环境事件应急预案，防范环境风险</w:t>
                  </w:r>
                  <w:r>
                    <w:rPr>
                      <w:b w:val="0"/>
                      <w:color w:val="000000"/>
                      <w:kern w:val="0"/>
                      <w:sz w:val="24"/>
                      <w:highlight w:val="none"/>
                    </w:rPr>
                    <w:t>。</w:t>
                  </w:r>
                </w:p>
              </w:tc>
              <w:tc>
                <w:tcPr>
                  <w:tcW w:w="0" w:type="auto"/>
                  <w:tcBorders>
                    <w:bottom w:val="single" w:color="000000" w:sz="12" w:space="0"/>
                    <w:right w:val="nil"/>
                  </w:tcBorders>
                  <w:shd w:val="clear" w:color="auto" w:fill="FFFFFF"/>
                  <w:noWrap w:val="0"/>
                  <w:vAlign w:val="center"/>
                </w:tcPr>
                <w:p w14:paraId="4AA64915">
                  <w:pPr>
                    <w:autoSpaceDE w:val="0"/>
                    <w:autoSpaceDN w:val="0"/>
                    <w:adjustRightInd w:val="0"/>
                    <w:snapToGrid w:val="0"/>
                    <w:jc w:val="center"/>
                    <w:rPr>
                      <w:b w:val="0"/>
                      <w:color w:val="000000"/>
                      <w:kern w:val="0"/>
                      <w:sz w:val="24"/>
                      <w:highlight w:val="none"/>
                    </w:rPr>
                  </w:pPr>
                </w:p>
              </w:tc>
            </w:tr>
          </w:tbl>
          <w:p w14:paraId="10D1D389">
            <w:pPr>
              <w:autoSpaceDE w:val="0"/>
              <w:autoSpaceDN w:val="0"/>
              <w:adjustRightInd w:val="0"/>
              <w:snapToGrid w:val="0"/>
              <w:jc w:val="center"/>
              <w:rPr>
                <w:color w:val="auto"/>
                <w:kern w:val="0"/>
                <w:sz w:val="24"/>
              </w:rPr>
            </w:pPr>
          </w:p>
          <w:p w14:paraId="25331A72">
            <w:pPr>
              <w:autoSpaceDE w:val="0"/>
              <w:autoSpaceDN w:val="0"/>
              <w:adjustRightInd w:val="0"/>
              <w:snapToGrid w:val="0"/>
              <w:jc w:val="center"/>
              <w:rPr>
                <w:color w:val="auto"/>
                <w:kern w:val="0"/>
                <w:sz w:val="24"/>
              </w:rPr>
            </w:pPr>
          </w:p>
          <w:p w14:paraId="18B64682">
            <w:pPr>
              <w:autoSpaceDE w:val="0"/>
              <w:autoSpaceDN w:val="0"/>
              <w:adjustRightInd w:val="0"/>
              <w:snapToGrid w:val="0"/>
              <w:jc w:val="center"/>
              <w:rPr>
                <w:color w:val="auto"/>
                <w:kern w:val="0"/>
                <w:sz w:val="24"/>
              </w:rPr>
            </w:pPr>
          </w:p>
        </w:tc>
      </w:tr>
      <w:tr w14:paraId="1C3DA7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58" w:hRule="atLeast"/>
          <w:jc w:val="center"/>
        </w:trPr>
        <w:tc>
          <w:tcPr>
            <w:tcW w:w="1035" w:type="dxa"/>
            <w:noWrap w:val="0"/>
            <w:vAlign w:val="center"/>
          </w:tcPr>
          <w:p w14:paraId="43F02BFC">
            <w:pPr>
              <w:autoSpaceDE w:val="0"/>
              <w:autoSpaceDN w:val="0"/>
              <w:adjustRightInd w:val="0"/>
              <w:snapToGrid w:val="0"/>
              <w:jc w:val="center"/>
              <w:rPr>
                <w:color w:val="auto"/>
                <w:kern w:val="0"/>
                <w:sz w:val="24"/>
              </w:rPr>
            </w:pPr>
            <w:r>
              <w:rPr>
                <w:color w:val="auto"/>
                <w:kern w:val="0"/>
                <w:sz w:val="24"/>
              </w:rPr>
              <w:t>其他符合性分析</w:t>
            </w:r>
          </w:p>
        </w:tc>
        <w:tc>
          <w:tcPr>
            <w:tcW w:w="7835" w:type="dxa"/>
            <w:gridSpan w:val="4"/>
            <w:noWrap w:val="0"/>
            <w:vAlign w:val="center"/>
          </w:tcPr>
          <w:p w14:paraId="6A3EEEED">
            <w:pPr>
              <w:autoSpaceDE w:val="0"/>
              <w:autoSpaceDN w:val="0"/>
              <w:adjustRightInd w:val="0"/>
              <w:snapToGrid w:val="0"/>
              <w:spacing w:line="360" w:lineRule="auto"/>
              <w:jc w:val="left"/>
              <w:rPr>
                <w:color w:val="auto"/>
                <w:kern w:val="0"/>
                <w:sz w:val="24"/>
              </w:rPr>
            </w:pPr>
            <w:r>
              <w:rPr>
                <w:color w:val="auto"/>
                <w:kern w:val="0"/>
                <w:sz w:val="24"/>
              </w:rPr>
              <w:t>1、“三线一单”符合性</w:t>
            </w:r>
          </w:p>
          <w:p w14:paraId="7EE538DC">
            <w:pPr>
              <w:autoSpaceDE w:val="0"/>
              <w:autoSpaceDN w:val="0"/>
              <w:adjustRightInd w:val="0"/>
              <w:snapToGrid w:val="0"/>
              <w:spacing w:line="360" w:lineRule="auto"/>
              <w:ind w:firstLine="480" w:firstLineChars="200"/>
              <w:jc w:val="left"/>
              <w:rPr>
                <w:color w:val="auto"/>
                <w:kern w:val="0"/>
                <w:sz w:val="24"/>
              </w:rPr>
            </w:pPr>
            <w:r>
              <w:rPr>
                <w:color w:val="auto"/>
                <w:kern w:val="0"/>
                <w:sz w:val="24"/>
              </w:rPr>
              <w:t>（1）与生态保护红线相符性分析</w:t>
            </w:r>
          </w:p>
          <w:p w14:paraId="128CEC2A">
            <w:pPr>
              <w:wordWrap w:val="0"/>
              <w:autoSpaceDE w:val="0"/>
              <w:autoSpaceDN w:val="0"/>
              <w:adjustRightInd w:val="0"/>
              <w:snapToGrid w:val="0"/>
              <w:spacing w:line="360" w:lineRule="auto"/>
              <w:ind w:firstLine="480" w:firstLineChars="200"/>
              <w:jc w:val="left"/>
              <w:rPr>
                <w:color w:val="auto"/>
                <w:sz w:val="24"/>
                <w:szCs w:val="32"/>
              </w:rPr>
            </w:pPr>
            <w:r>
              <w:rPr>
                <w:rFonts w:hint="eastAsia"/>
                <w:color w:val="auto"/>
                <w:sz w:val="24"/>
                <w:szCs w:val="32"/>
              </w:rPr>
              <w:t>本</w:t>
            </w:r>
            <w:r>
              <w:rPr>
                <w:color w:val="auto"/>
                <w:sz w:val="24"/>
                <w:szCs w:val="32"/>
              </w:rPr>
              <w:t>项目建设</w:t>
            </w:r>
            <w:r>
              <w:rPr>
                <w:rFonts w:hint="eastAsia"/>
                <w:color w:val="auto"/>
                <w:sz w:val="24"/>
                <w:szCs w:val="32"/>
              </w:rPr>
              <w:t>于</w:t>
            </w:r>
            <w:r>
              <w:rPr>
                <w:rFonts w:hint="eastAsia"/>
                <w:color w:val="auto"/>
                <w:sz w:val="24"/>
                <w:lang w:val="en-US" w:eastAsia="zh-CN"/>
              </w:rPr>
              <w:t>金烨</w:t>
            </w:r>
            <w:r>
              <w:rPr>
                <w:rFonts w:hint="eastAsia"/>
                <w:color w:val="auto"/>
                <w:sz w:val="24"/>
              </w:rPr>
              <w:t>钢铁集团有限公司现有</w:t>
            </w:r>
            <w:r>
              <w:rPr>
                <w:rFonts w:hint="eastAsia"/>
                <w:color w:val="auto"/>
                <w:sz w:val="24"/>
                <w:lang w:val="en-US" w:eastAsia="zh-CN"/>
              </w:rPr>
              <w:t>闲置</w:t>
            </w:r>
            <w:r>
              <w:rPr>
                <w:rFonts w:hint="eastAsia"/>
                <w:color w:val="auto"/>
                <w:sz w:val="24"/>
              </w:rPr>
              <w:t>场地内</w:t>
            </w:r>
            <w:r>
              <w:rPr>
                <w:rFonts w:hint="eastAsia"/>
                <w:color w:val="auto"/>
                <w:sz w:val="24"/>
                <w:lang w:eastAsia="zh-CN"/>
              </w:rPr>
              <w:t>，</w:t>
            </w:r>
            <w:r>
              <w:rPr>
                <w:rFonts w:hint="eastAsia"/>
                <w:color w:val="auto"/>
                <w:sz w:val="24"/>
                <w:lang w:val="en-US" w:eastAsia="zh-CN"/>
              </w:rPr>
              <w:t>不新增占地</w:t>
            </w:r>
            <w:r>
              <w:rPr>
                <w:rFonts w:hint="eastAsia"/>
                <w:color w:val="auto"/>
                <w:sz w:val="24"/>
              </w:rPr>
              <w:t>，</w:t>
            </w:r>
            <w:r>
              <w:rPr>
                <w:color w:val="auto"/>
                <w:sz w:val="24"/>
                <w:szCs w:val="32"/>
              </w:rPr>
              <w:t>不在国家公园、自然保护区、风景名胜区、世界文化和自然遗产地、海洋特别保护区等重要生态功能区、生态敏感区和脆弱区以及其他要求禁止建设的环境敏感区内，不在生态保护红线划定原则的范围内。</w:t>
            </w:r>
          </w:p>
          <w:p w14:paraId="26FFB6C3">
            <w:pPr>
              <w:autoSpaceDE w:val="0"/>
              <w:autoSpaceDN w:val="0"/>
              <w:adjustRightInd w:val="0"/>
              <w:snapToGrid w:val="0"/>
              <w:spacing w:line="360" w:lineRule="auto"/>
              <w:ind w:firstLine="480" w:firstLineChars="200"/>
              <w:jc w:val="left"/>
              <w:rPr>
                <w:color w:val="auto"/>
                <w:sz w:val="24"/>
                <w:szCs w:val="32"/>
              </w:rPr>
            </w:pPr>
            <w:r>
              <w:rPr>
                <w:color w:val="auto"/>
                <w:sz w:val="24"/>
                <w:szCs w:val="32"/>
              </w:rPr>
              <w:t>本次评价于202</w:t>
            </w:r>
            <w:r>
              <w:rPr>
                <w:rFonts w:hint="eastAsia"/>
                <w:color w:val="auto"/>
                <w:sz w:val="24"/>
                <w:szCs w:val="32"/>
                <w:lang w:val="en-US" w:eastAsia="zh-CN"/>
              </w:rPr>
              <w:t>6</w:t>
            </w:r>
            <w:r>
              <w:rPr>
                <w:color w:val="auto"/>
                <w:sz w:val="24"/>
                <w:szCs w:val="32"/>
              </w:rPr>
              <w:t>年</w:t>
            </w:r>
            <w:r>
              <w:rPr>
                <w:rFonts w:hint="eastAsia"/>
                <w:color w:val="auto"/>
                <w:sz w:val="24"/>
                <w:szCs w:val="32"/>
              </w:rPr>
              <w:t>6</w:t>
            </w:r>
            <w:r>
              <w:rPr>
                <w:color w:val="auto"/>
                <w:sz w:val="24"/>
                <w:szCs w:val="32"/>
              </w:rPr>
              <w:t>月</w:t>
            </w:r>
            <w:r>
              <w:rPr>
                <w:rFonts w:hint="eastAsia"/>
                <w:color w:val="auto"/>
                <w:sz w:val="24"/>
                <w:szCs w:val="32"/>
                <w:lang w:val="en-US" w:eastAsia="zh-CN"/>
              </w:rPr>
              <w:t>22</w:t>
            </w:r>
            <w:r>
              <w:rPr>
                <w:color w:val="auto"/>
                <w:sz w:val="24"/>
                <w:szCs w:val="32"/>
              </w:rPr>
              <w:t>日在山西省</w:t>
            </w:r>
            <w:r>
              <w:rPr>
                <w:rFonts w:hint="eastAsia"/>
                <w:color w:val="auto"/>
                <w:sz w:val="24"/>
                <w:szCs w:val="32"/>
                <w:lang w:val="en-US" w:eastAsia="zh-CN"/>
              </w:rPr>
              <w:t>生态环境分区管控信息平台</w:t>
            </w:r>
            <w:r>
              <w:rPr>
                <w:color w:val="auto"/>
                <w:sz w:val="24"/>
                <w:szCs w:val="32"/>
              </w:rPr>
              <w:t>对该项目进行了智能研判（报</w:t>
            </w:r>
            <w:r>
              <w:rPr>
                <w:rFonts w:hint="eastAsia" w:ascii="Times New Roman" w:hAnsi="Times New Roman" w:eastAsia="宋体" w:cs="Times New Roman"/>
                <w:color w:val="auto"/>
                <w:sz w:val="24"/>
                <w:szCs w:val="32"/>
              </w:rPr>
              <w:t>告编号</w:t>
            </w:r>
            <w:r>
              <w:rPr>
                <w:rFonts w:hint="eastAsia" w:ascii="Times New Roman" w:hAnsi="Times New Roman" w:eastAsia="宋体" w:cs="Times New Roman"/>
                <w:color w:val="auto"/>
                <w:sz w:val="24"/>
                <w:szCs w:val="32"/>
                <w:lang w:val="en-US" w:eastAsia="zh-CN"/>
              </w:rPr>
              <w:t>202606220000124</w:t>
            </w:r>
            <w:r>
              <w:rPr>
                <w:rFonts w:hint="eastAsia" w:ascii="Times New Roman" w:hAnsi="Times New Roman" w:eastAsia="宋体" w:cs="Times New Roman"/>
                <w:color w:val="auto"/>
                <w:sz w:val="24"/>
                <w:szCs w:val="32"/>
              </w:rPr>
              <w:t>）</w:t>
            </w:r>
            <w:r>
              <w:rPr>
                <w:color w:val="auto"/>
                <w:sz w:val="24"/>
                <w:szCs w:val="32"/>
              </w:rPr>
              <w:t>，根据单元管控要求进行项目研判分析，共涉及</w:t>
            </w:r>
            <w:r>
              <w:rPr>
                <w:rFonts w:hint="eastAsia"/>
                <w:color w:val="auto"/>
                <w:sz w:val="24"/>
                <w:szCs w:val="32"/>
              </w:rPr>
              <w:t>1</w:t>
            </w:r>
            <w:r>
              <w:rPr>
                <w:color w:val="auto"/>
                <w:sz w:val="24"/>
                <w:szCs w:val="32"/>
              </w:rPr>
              <w:t>个单元</w:t>
            </w:r>
            <w:r>
              <w:rPr>
                <w:rFonts w:hint="eastAsia"/>
                <w:color w:val="auto"/>
                <w:sz w:val="24"/>
                <w:szCs w:val="32"/>
              </w:rPr>
              <w:t>：</w:t>
            </w:r>
            <w:r>
              <w:rPr>
                <w:rFonts w:hint="eastAsia"/>
                <w:color w:val="auto"/>
                <w:sz w:val="24"/>
                <w:szCs w:val="32"/>
                <w:lang w:val="en-US" w:eastAsia="zh-CN"/>
              </w:rPr>
              <w:t>壶关经济开发区大气环境高排放重点管控单元，环境管控单元编码：ZH14042720002</w:t>
            </w:r>
            <w:r>
              <w:rPr>
                <w:rFonts w:hint="eastAsia"/>
                <w:color w:val="auto"/>
                <w:sz w:val="24"/>
                <w:szCs w:val="32"/>
              </w:rPr>
              <w:t>。</w:t>
            </w:r>
          </w:p>
          <w:p w14:paraId="1EC1D55F">
            <w:pPr>
              <w:autoSpaceDE w:val="0"/>
              <w:autoSpaceDN w:val="0"/>
              <w:adjustRightInd w:val="0"/>
              <w:snapToGrid w:val="0"/>
              <w:spacing w:line="360" w:lineRule="auto"/>
              <w:ind w:firstLine="480" w:firstLineChars="200"/>
              <w:jc w:val="left"/>
              <w:rPr>
                <w:color w:val="auto"/>
                <w:sz w:val="24"/>
                <w:szCs w:val="32"/>
              </w:rPr>
            </w:pPr>
            <w:r>
              <w:rPr>
                <w:rFonts w:hint="eastAsia"/>
                <w:color w:val="auto"/>
                <w:sz w:val="24"/>
                <w:szCs w:val="32"/>
              </w:rPr>
              <w:t>本项目</w:t>
            </w:r>
            <w:r>
              <w:rPr>
                <w:rFonts w:hint="eastAsia"/>
                <w:color w:val="auto"/>
                <w:sz w:val="24"/>
                <w:szCs w:val="32"/>
                <w:lang w:val="en-US" w:eastAsia="zh-CN"/>
              </w:rPr>
              <w:t>与壶关经济开发区大气环境高排放重点管控单元</w:t>
            </w:r>
            <w:r>
              <w:rPr>
                <w:rFonts w:hint="eastAsia"/>
                <w:color w:val="auto"/>
                <w:sz w:val="24"/>
                <w:szCs w:val="32"/>
              </w:rPr>
              <w:t>符合性分析见表1-</w:t>
            </w:r>
            <w:r>
              <w:rPr>
                <w:rFonts w:hint="eastAsia"/>
                <w:color w:val="auto"/>
                <w:sz w:val="24"/>
                <w:szCs w:val="32"/>
                <w:lang w:val="en-US" w:eastAsia="zh-CN"/>
              </w:rPr>
              <w:t>3</w:t>
            </w:r>
            <w:r>
              <w:rPr>
                <w:rFonts w:hint="eastAsia"/>
                <w:color w:val="auto"/>
                <w:sz w:val="24"/>
                <w:szCs w:val="32"/>
              </w:rPr>
              <w:t>。</w:t>
            </w:r>
          </w:p>
          <w:p w14:paraId="2F2727BC">
            <w:pPr>
              <w:keepNext w:val="0"/>
              <w:keepLines w:val="0"/>
              <w:pageBreakBefore w:val="0"/>
              <w:widowControl w:val="0"/>
              <w:kinsoku/>
              <w:wordWrap/>
              <w:overflowPunct/>
              <w:topLinePunct w:val="0"/>
              <w:autoSpaceDE w:val="0"/>
              <w:autoSpaceDN w:val="0"/>
              <w:bidi w:val="0"/>
              <w:adjustRightInd w:val="0"/>
              <w:snapToGrid w:val="0"/>
              <w:ind w:firstLine="482" w:firstLineChars="200"/>
              <w:jc w:val="center"/>
              <w:textAlignment w:val="auto"/>
              <w:rPr>
                <w:rFonts w:ascii="Times New Roman" w:hAnsi="Times New Roman" w:eastAsia="宋体" w:cs="Times New Roman"/>
                <w:b/>
                <w:bCs/>
                <w:sz w:val="24"/>
                <w:highlight w:val="none"/>
              </w:rPr>
            </w:pPr>
            <w:r>
              <w:rPr>
                <w:rFonts w:hint="eastAsia" w:ascii="Times New Roman" w:hAnsi="Times New Roman" w:eastAsia="宋体" w:cs="Times New Roman"/>
                <w:b/>
                <w:bCs/>
                <w:sz w:val="24"/>
                <w:highlight w:val="none"/>
              </w:rPr>
              <w:t>表1</w:t>
            </w:r>
            <w:r>
              <w:rPr>
                <w:rFonts w:hint="eastAsia" w:ascii="Times New Roman" w:hAnsi="Times New Roman" w:eastAsia="宋体" w:cs="Times New Roman"/>
                <w:b/>
                <w:bCs/>
                <w:sz w:val="24"/>
                <w:highlight w:val="none"/>
                <w:lang w:val="en-US" w:eastAsia="zh-CN"/>
              </w:rPr>
              <w:t>-3</w:t>
            </w:r>
            <w:r>
              <w:rPr>
                <w:rFonts w:hint="eastAsia" w:ascii="Times New Roman" w:hAnsi="Times New Roman" w:eastAsia="宋体" w:cs="Times New Roman"/>
                <w:b/>
                <w:bCs/>
                <w:sz w:val="24"/>
                <w:highlight w:val="none"/>
              </w:rPr>
              <w:t>与</w:t>
            </w:r>
            <w:r>
              <w:rPr>
                <w:rFonts w:hint="eastAsia" w:ascii="Times New Roman" w:hAnsi="Times New Roman" w:eastAsia="宋体" w:cs="Times New Roman"/>
                <w:b/>
                <w:bCs/>
                <w:sz w:val="24"/>
                <w:highlight w:val="none"/>
                <w:lang w:val="en-US" w:eastAsia="zh-CN"/>
              </w:rPr>
              <w:t>壶关经济开发区大气环境高排放重点管控单元</w:t>
            </w:r>
            <w:r>
              <w:rPr>
                <w:rFonts w:hint="eastAsia" w:ascii="Times New Roman" w:hAnsi="Times New Roman" w:eastAsia="宋体" w:cs="Times New Roman"/>
                <w:b/>
                <w:bCs/>
                <w:sz w:val="24"/>
                <w:highlight w:val="none"/>
              </w:rPr>
              <w:t>符合性分析</w:t>
            </w:r>
          </w:p>
          <w:tbl>
            <w:tblPr>
              <w:tblStyle w:val="26"/>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40"/>
              <w:gridCol w:w="3944"/>
              <w:gridCol w:w="2198"/>
              <w:gridCol w:w="507"/>
            </w:tblGrid>
            <w:tr w14:paraId="1D042D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0" w:type="auto"/>
                  <w:tcBorders>
                    <w:top w:val="single" w:color="000000" w:sz="12" w:space="0"/>
                    <w:left w:val="nil"/>
                    <w:tl2br w:val="nil"/>
                  </w:tcBorders>
                  <w:shd w:val="clear" w:color="auto" w:fill="FFFFFF"/>
                  <w:noWrap w:val="0"/>
                  <w:vAlign w:val="center"/>
                </w:tcPr>
                <w:p w14:paraId="16B89F7F">
                  <w:pPr>
                    <w:pStyle w:val="47"/>
                    <w:bidi w:val="0"/>
                    <w:rPr>
                      <w:rFonts w:hint="eastAsia"/>
                      <w:b w:val="0"/>
                      <w:bCs/>
                      <w:color w:val="000000"/>
                      <w:sz w:val="24"/>
                      <w:szCs w:val="22"/>
                      <w:highlight w:val="none"/>
                      <w:lang w:eastAsia="zh-CN"/>
                    </w:rPr>
                  </w:pPr>
                  <w:r>
                    <w:rPr>
                      <w:rFonts w:hint="eastAsia"/>
                      <w:b w:val="0"/>
                      <w:bCs/>
                      <w:color w:val="000000"/>
                      <w:sz w:val="24"/>
                      <w:szCs w:val="22"/>
                      <w:highlight w:val="none"/>
                      <w:lang w:eastAsia="zh-CN"/>
                    </w:rPr>
                    <w:t>类别</w:t>
                  </w:r>
                </w:p>
              </w:tc>
              <w:tc>
                <w:tcPr>
                  <w:tcW w:w="0" w:type="auto"/>
                  <w:tcBorders>
                    <w:top w:val="single" w:color="000000" w:sz="12" w:space="0"/>
                  </w:tcBorders>
                  <w:shd w:val="clear" w:color="auto" w:fill="FFFFFF"/>
                  <w:noWrap w:val="0"/>
                  <w:vAlign w:val="center"/>
                </w:tcPr>
                <w:p w14:paraId="0A04715F">
                  <w:pPr>
                    <w:pStyle w:val="47"/>
                    <w:bidi w:val="0"/>
                    <w:rPr>
                      <w:b w:val="0"/>
                      <w:bCs/>
                      <w:color w:val="000000"/>
                      <w:sz w:val="24"/>
                      <w:szCs w:val="22"/>
                      <w:highlight w:val="none"/>
                    </w:rPr>
                  </w:pPr>
                  <w:r>
                    <w:rPr>
                      <w:rFonts w:hint="eastAsia"/>
                      <w:b w:val="0"/>
                      <w:bCs/>
                      <w:color w:val="000000"/>
                      <w:sz w:val="24"/>
                      <w:szCs w:val="22"/>
                      <w:highlight w:val="none"/>
                      <w:lang w:eastAsia="zh-CN"/>
                    </w:rPr>
                    <w:t>管控</w:t>
                  </w:r>
                  <w:r>
                    <w:rPr>
                      <w:rFonts w:hint="eastAsia"/>
                      <w:b w:val="0"/>
                      <w:bCs/>
                      <w:color w:val="000000"/>
                      <w:sz w:val="24"/>
                      <w:szCs w:val="22"/>
                      <w:highlight w:val="none"/>
                    </w:rPr>
                    <w:t>要求</w:t>
                  </w:r>
                </w:p>
              </w:tc>
              <w:tc>
                <w:tcPr>
                  <w:tcW w:w="0" w:type="auto"/>
                  <w:tcBorders>
                    <w:top w:val="single" w:color="000000" w:sz="12" w:space="0"/>
                    <w:right w:val="nil"/>
                  </w:tcBorders>
                  <w:shd w:val="clear" w:color="auto" w:fill="FFFFFF"/>
                  <w:noWrap w:val="0"/>
                  <w:vAlign w:val="center"/>
                </w:tcPr>
                <w:p w14:paraId="228D4619">
                  <w:pPr>
                    <w:pStyle w:val="47"/>
                    <w:bidi w:val="0"/>
                    <w:rPr>
                      <w:b w:val="0"/>
                      <w:bCs/>
                      <w:color w:val="000000"/>
                      <w:sz w:val="24"/>
                      <w:szCs w:val="22"/>
                      <w:highlight w:val="none"/>
                    </w:rPr>
                  </w:pPr>
                  <w:r>
                    <w:rPr>
                      <w:rFonts w:hint="eastAsia"/>
                      <w:b w:val="0"/>
                      <w:bCs/>
                      <w:color w:val="000000"/>
                      <w:sz w:val="24"/>
                      <w:szCs w:val="22"/>
                      <w:highlight w:val="none"/>
                    </w:rPr>
                    <w:t>本项目情况</w:t>
                  </w:r>
                </w:p>
              </w:tc>
              <w:tc>
                <w:tcPr>
                  <w:tcW w:w="0" w:type="auto"/>
                  <w:tcBorders>
                    <w:top w:val="single" w:color="000000" w:sz="12" w:space="0"/>
                    <w:right w:val="nil"/>
                  </w:tcBorders>
                  <w:shd w:val="clear" w:color="auto" w:fill="FFFFFF"/>
                  <w:noWrap w:val="0"/>
                  <w:vAlign w:val="center"/>
                </w:tcPr>
                <w:p w14:paraId="7BB60AD8">
                  <w:pPr>
                    <w:pStyle w:val="47"/>
                    <w:bidi w:val="0"/>
                    <w:rPr>
                      <w:rFonts w:hint="eastAsia" w:eastAsia="宋体"/>
                      <w:b w:val="0"/>
                      <w:bCs/>
                      <w:color w:val="000000"/>
                      <w:sz w:val="24"/>
                      <w:szCs w:val="22"/>
                      <w:highlight w:val="none"/>
                      <w:lang w:val="en-US" w:eastAsia="zh-CN"/>
                    </w:rPr>
                  </w:pPr>
                  <w:r>
                    <w:rPr>
                      <w:rFonts w:hint="eastAsia"/>
                      <w:b w:val="0"/>
                      <w:bCs/>
                      <w:color w:val="000000"/>
                      <w:sz w:val="24"/>
                      <w:szCs w:val="22"/>
                      <w:highlight w:val="none"/>
                      <w:lang w:val="en-US" w:eastAsia="zh-CN"/>
                    </w:rPr>
                    <w:t>相符性</w:t>
                  </w:r>
                </w:p>
              </w:tc>
            </w:tr>
            <w:tr w14:paraId="2349F2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67" w:hRule="atLeast"/>
              </w:trPr>
              <w:tc>
                <w:tcPr>
                  <w:tcW w:w="0" w:type="auto"/>
                  <w:vMerge w:val="restart"/>
                  <w:tcBorders>
                    <w:left w:val="nil"/>
                  </w:tcBorders>
                  <w:shd w:val="clear" w:color="auto" w:fill="FFFFFF"/>
                  <w:noWrap w:val="0"/>
                  <w:vAlign w:val="center"/>
                </w:tcPr>
                <w:p w14:paraId="0693EA42">
                  <w:pPr>
                    <w:pStyle w:val="47"/>
                    <w:bidi w:val="0"/>
                    <w:rPr>
                      <w:rFonts w:hint="eastAsia"/>
                      <w:b w:val="0"/>
                      <w:color w:val="000000"/>
                      <w:sz w:val="24"/>
                      <w:szCs w:val="22"/>
                      <w:highlight w:val="none"/>
                      <w:lang w:val="en-US" w:eastAsia="zh-CN"/>
                    </w:rPr>
                  </w:pPr>
                  <w:r>
                    <w:rPr>
                      <w:rFonts w:hint="eastAsia"/>
                      <w:b w:val="0"/>
                      <w:color w:val="000000"/>
                      <w:sz w:val="24"/>
                      <w:szCs w:val="22"/>
                      <w:highlight w:val="none"/>
                      <w:lang w:val="en-US" w:eastAsia="zh-CN"/>
                    </w:rPr>
                    <w:t>壶关经济开发区大气环境高排放重点管控单元</w:t>
                  </w:r>
                </w:p>
              </w:tc>
              <w:tc>
                <w:tcPr>
                  <w:tcW w:w="0" w:type="auto"/>
                  <w:tcBorders>
                    <w:bottom w:val="single" w:color="000000" w:sz="12" w:space="0"/>
                  </w:tcBorders>
                  <w:shd w:val="clear" w:color="auto" w:fill="FFFFFF"/>
                  <w:noWrap w:val="0"/>
                  <w:vAlign w:val="center"/>
                </w:tcPr>
                <w:p w14:paraId="2171D357">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Times New Roman" w:hAnsi="Times New Roman" w:eastAsia="宋体" w:cs="Times New Roman"/>
                      <w:b/>
                      <w:bCs/>
                      <w:color w:val="000000"/>
                      <w:kern w:val="0"/>
                      <w:sz w:val="24"/>
                      <w:szCs w:val="24"/>
                      <w:highlight w:val="none"/>
                      <w:lang w:val="en-US" w:eastAsia="zh-CN" w:bidi="ar-SA"/>
                    </w:rPr>
                  </w:pPr>
                  <w:r>
                    <w:rPr>
                      <w:rFonts w:hint="eastAsia" w:ascii="Times New Roman" w:hAnsi="Times New Roman" w:eastAsia="宋体" w:cs="Times New Roman"/>
                      <w:b/>
                      <w:bCs/>
                      <w:color w:val="000000"/>
                      <w:kern w:val="0"/>
                      <w:sz w:val="24"/>
                      <w:szCs w:val="24"/>
                      <w:highlight w:val="none"/>
                      <w:lang w:val="en-US" w:eastAsia="zh-CN" w:bidi="ar-SA"/>
                    </w:rPr>
                    <w:t>空间布局约束</w:t>
                  </w:r>
                </w:p>
                <w:p w14:paraId="7F30BBBA">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Times New Roman" w:hAnsi="Times New Roman" w:eastAsia="宋体" w:cs="Times New Roman"/>
                      <w:b w:val="0"/>
                      <w:color w:val="000000"/>
                      <w:kern w:val="0"/>
                      <w:sz w:val="24"/>
                      <w:szCs w:val="24"/>
                      <w:highlight w:val="none"/>
                      <w:lang w:val="en-US" w:eastAsia="zh-CN" w:bidi="ar-SA"/>
                    </w:rPr>
                  </w:pPr>
                  <w:r>
                    <w:rPr>
                      <w:rFonts w:hint="eastAsia" w:ascii="Times New Roman" w:hAnsi="Times New Roman" w:eastAsia="宋体" w:cs="Times New Roman"/>
                      <w:b w:val="0"/>
                      <w:color w:val="000000"/>
                      <w:kern w:val="0"/>
                      <w:sz w:val="24"/>
                      <w:szCs w:val="24"/>
                      <w:highlight w:val="none"/>
                      <w:lang w:val="en-US" w:eastAsia="zh-CN" w:bidi="ar-SA"/>
                    </w:rPr>
                    <w:t>1.执行山西省、长治市的空间布局准入要求，入园企业需符合园区产业定位。</w:t>
                  </w:r>
                </w:p>
                <w:p w14:paraId="51788531">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b w:val="0"/>
                      <w:color w:val="000000"/>
                      <w:sz w:val="24"/>
                      <w:szCs w:val="22"/>
                      <w:highlight w:val="none"/>
                    </w:rPr>
                  </w:pPr>
                  <w:r>
                    <w:rPr>
                      <w:rFonts w:hint="eastAsia" w:ascii="Times New Roman" w:hAnsi="Times New Roman" w:eastAsia="宋体" w:cs="Times New Roman"/>
                      <w:b w:val="0"/>
                      <w:color w:val="000000"/>
                      <w:kern w:val="0"/>
                      <w:sz w:val="24"/>
                      <w:szCs w:val="24"/>
                      <w:highlight w:val="none"/>
                      <w:lang w:val="en-US" w:eastAsia="zh-CN" w:bidi="ar-SA"/>
                    </w:rPr>
                    <w:t>2.严格环境准入，限制资源消耗大、污染程度重、风险级别高的项目及企业入区。</w:t>
                  </w:r>
                </w:p>
              </w:tc>
              <w:tc>
                <w:tcPr>
                  <w:tcW w:w="0" w:type="auto"/>
                  <w:tcBorders>
                    <w:right w:val="nil"/>
                  </w:tcBorders>
                  <w:shd w:val="clear" w:color="auto" w:fill="FFFFFF"/>
                  <w:noWrap w:val="0"/>
                  <w:vAlign w:val="center"/>
                </w:tcPr>
                <w:p w14:paraId="0EC64195">
                  <w:pPr>
                    <w:pStyle w:val="47"/>
                    <w:bidi w:val="0"/>
                    <w:jc w:val="both"/>
                    <w:rPr>
                      <w:rFonts w:hint="default"/>
                      <w:b w:val="0"/>
                      <w:color w:val="000000"/>
                      <w:sz w:val="24"/>
                      <w:szCs w:val="22"/>
                      <w:highlight w:val="none"/>
                      <w:lang w:val="en-US" w:eastAsia="zh-CN"/>
                    </w:rPr>
                  </w:pPr>
                  <w:r>
                    <w:rPr>
                      <w:rFonts w:hint="eastAsia"/>
                      <w:b w:val="0"/>
                      <w:color w:val="000000"/>
                      <w:sz w:val="24"/>
                      <w:szCs w:val="22"/>
                      <w:highlight w:val="none"/>
                      <w:lang w:val="en-US" w:eastAsia="zh-CN"/>
                    </w:rPr>
                    <w:t>本项目为余气发电项目，符合</w:t>
                  </w:r>
                  <w:r>
                    <w:rPr>
                      <w:rFonts w:hint="eastAsia"/>
                      <w:b w:val="0"/>
                      <w:color w:val="000000"/>
                      <w:sz w:val="24"/>
                      <w:szCs w:val="22"/>
                      <w:highlight w:val="none"/>
                    </w:rPr>
                    <w:t>山西省、长治市空间布局准入要求</w:t>
                  </w:r>
                  <w:r>
                    <w:rPr>
                      <w:rFonts w:hint="eastAsia"/>
                      <w:b w:val="0"/>
                      <w:color w:val="000000"/>
                      <w:sz w:val="24"/>
                      <w:szCs w:val="22"/>
                      <w:highlight w:val="none"/>
                      <w:lang w:eastAsia="zh-CN"/>
                    </w:rPr>
                    <w:t>，</w:t>
                  </w:r>
                  <w:r>
                    <w:rPr>
                      <w:rFonts w:hint="eastAsia"/>
                      <w:b w:val="0"/>
                      <w:color w:val="000000"/>
                      <w:sz w:val="24"/>
                      <w:szCs w:val="22"/>
                      <w:highlight w:val="none"/>
                      <w:lang w:val="en-US" w:eastAsia="zh-CN"/>
                    </w:rPr>
                    <w:t>符合园区产业定位</w:t>
                  </w:r>
                  <w:r>
                    <w:rPr>
                      <w:rFonts w:hint="eastAsia"/>
                      <w:b w:val="0"/>
                      <w:color w:val="000000"/>
                      <w:sz w:val="24"/>
                      <w:szCs w:val="22"/>
                      <w:highlight w:val="none"/>
                      <w:lang w:eastAsia="zh-CN"/>
                    </w:rPr>
                    <w:t>。</w:t>
                  </w:r>
                  <w:r>
                    <w:rPr>
                      <w:rFonts w:hint="eastAsia"/>
                      <w:b w:val="0"/>
                      <w:color w:val="000000"/>
                      <w:sz w:val="24"/>
                      <w:szCs w:val="22"/>
                      <w:highlight w:val="none"/>
                      <w:lang w:val="en-US" w:eastAsia="zh-CN"/>
                    </w:rPr>
                    <w:t>不属于资源消耗大、</w:t>
                  </w:r>
                  <w:r>
                    <w:rPr>
                      <w:rFonts w:hint="eastAsia" w:ascii="Times New Roman" w:hAnsi="Times New Roman" w:eastAsia="宋体" w:cs="Times New Roman"/>
                      <w:b w:val="0"/>
                      <w:color w:val="000000"/>
                      <w:kern w:val="0"/>
                      <w:sz w:val="24"/>
                      <w:szCs w:val="24"/>
                      <w:highlight w:val="none"/>
                      <w:lang w:val="en-US" w:eastAsia="zh-CN" w:bidi="ar-SA"/>
                    </w:rPr>
                    <w:t>污染程度重、风险级别高的项目</w:t>
                  </w:r>
                </w:p>
              </w:tc>
              <w:tc>
                <w:tcPr>
                  <w:tcW w:w="0" w:type="auto"/>
                  <w:tcBorders>
                    <w:right w:val="nil"/>
                  </w:tcBorders>
                  <w:shd w:val="clear" w:color="auto" w:fill="FFFFFF"/>
                  <w:noWrap w:val="0"/>
                  <w:vAlign w:val="center"/>
                </w:tcPr>
                <w:p w14:paraId="2A9CEB18">
                  <w:pPr>
                    <w:pStyle w:val="47"/>
                    <w:bidi w:val="0"/>
                    <w:jc w:val="both"/>
                    <w:rPr>
                      <w:rFonts w:hint="default"/>
                      <w:b w:val="0"/>
                      <w:color w:val="000000"/>
                      <w:sz w:val="24"/>
                      <w:szCs w:val="22"/>
                      <w:highlight w:val="none"/>
                      <w:lang w:val="en-US" w:eastAsia="zh-CN"/>
                    </w:rPr>
                  </w:pPr>
                  <w:r>
                    <w:rPr>
                      <w:rFonts w:hint="eastAsia"/>
                      <w:b w:val="0"/>
                      <w:color w:val="000000"/>
                      <w:sz w:val="24"/>
                      <w:szCs w:val="22"/>
                      <w:highlight w:val="none"/>
                      <w:lang w:val="en-US" w:eastAsia="zh-CN"/>
                    </w:rPr>
                    <w:t>符合</w:t>
                  </w:r>
                </w:p>
              </w:tc>
            </w:tr>
            <w:tr w14:paraId="3FF53E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67" w:hRule="atLeast"/>
              </w:trPr>
              <w:tc>
                <w:tcPr>
                  <w:tcW w:w="0" w:type="auto"/>
                  <w:vMerge w:val="continue"/>
                  <w:tcBorders>
                    <w:left w:val="nil"/>
                  </w:tcBorders>
                  <w:shd w:val="clear" w:color="auto" w:fill="FFFFFF"/>
                  <w:noWrap w:val="0"/>
                  <w:vAlign w:val="center"/>
                </w:tcPr>
                <w:p w14:paraId="629A6C05">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pPr>
                </w:p>
              </w:tc>
              <w:tc>
                <w:tcPr>
                  <w:tcW w:w="0" w:type="auto"/>
                  <w:tcBorders>
                    <w:bottom w:val="single" w:color="000000" w:sz="12" w:space="0"/>
                  </w:tcBorders>
                  <w:shd w:val="clear" w:color="auto" w:fill="FFFFFF"/>
                  <w:noWrap w:val="0"/>
                  <w:vAlign w:val="center"/>
                </w:tcPr>
                <w:p w14:paraId="5A7FE3CF">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Times New Roman" w:hAnsi="Times New Roman" w:eastAsia="宋体" w:cs="Times New Roman"/>
                      <w:b/>
                      <w:bCs/>
                      <w:color w:val="000000"/>
                      <w:kern w:val="0"/>
                      <w:sz w:val="24"/>
                      <w:szCs w:val="24"/>
                      <w:highlight w:val="none"/>
                      <w:lang w:val="en-US" w:eastAsia="zh-CN" w:bidi="ar-SA"/>
                    </w:rPr>
                  </w:pPr>
                  <w:r>
                    <w:rPr>
                      <w:rFonts w:hint="eastAsia" w:ascii="Times New Roman" w:hAnsi="Times New Roman" w:eastAsia="宋体" w:cs="Times New Roman"/>
                      <w:b/>
                      <w:bCs/>
                      <w:color w:val="000000"/>
                      <w:kern w:val="0"/>
                      <w:sz w:val="24"/>
                      <w:szCs w:val="24"/>
                      <w:highlight w:val="none"/>
                      <w:lang w:val="en-US" w:eastAsia="zh-CN" w:bidi="ar-SA"/>
                    </w:rPr>
                    <w:t>污染物排放管控</w:t>
                  </w:r>
                </w:p>
                <w:p w14:paraId="34E70151">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Times New Roman" w:hAnsi="Times New Roman" w:eastAsia="宋体" w:cs="Times New Roman"/>
                      <w:b w:val="0"/>
                      <w:color w:val="000000"/>
                      <w:kern w:val="0"/>
                      <w:sz w:val="24"/>
                      <w:szCs w:val="24"/>
                      <w:highlight w:val="none"/>
                      <w:lang w:val="en-US" w:eastAsia="zh-CN" w:bidi="ar-SA"/>
                    </w:rPr>
                  </w:pPr>
                  <w:r>
                    <w:rPr>
                      <w:rFonts w:hint="eastAsia" w:ascii="Times New Roman" w:hAnsi="Times New Roman" w:eastAsia="宋体" w:cs="Times New Roman"/>
                      <w:b w:val="0"/>
                      <w:color w:val="000000"/>
                      <w:kern w:val="0"/>
                      <w:sz w:val="24"/>
                      <w:szCs w:val="24"/>
                      <w:highlight w:val="none"/>
                      <w:lang w:val="en-US" w:eastAsia="zh-CN" w:bidi="ar-SA"/>
                    </w:rPr>
                    <w:t>1.执行山西省、长治市的污染物排放控制要求。</w:t>
                  </w:r>
                </w:p>
                <w:p w14:paraId="17C93A3A">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Times New Roman" w:hAnsi="Times New Roman" w:eastAsia="宋体" w:cs="Times New Roman"/>
                      <w:b w:val="0"/>
                      <w:color w:val="000000"/>
                      <w:kern w:val="0"/>
                      <w:sz w:val="24"/>
                      <w:szCs w:val="24"/>
                      <w:highlight w:val="none"/>
                      <w:lang w:val="en-US" w:eastAsia="zh-CN" w:bidi="ar-SA"/>
                    </w:rPr>
                  </w:pPr>
                  <w:r>
                    <w:rPr>
                      <w:rFonts w:hint="eastAsia" w:ascii="Times New Roman" w:hAnsi="Times New Roman" w:eastAsia="宋体" w:cs="Times New Roman"/>
                      <w:b w:val="0"/>
                      <w:color w:val="000000"/>
                      <w:kern w:val="0"/>
                      <w:sz w:val="24"/>
                      <w:szCs w:val="24"/>
                      <w:highlight w:val="none"/>
                      <w:lang w:val="en-US" w:eastAsia="zh-CN" w:bidi="ar-SA"/>
                    </w:rPr>
                    <w:t>2.开发区内各重点企业应安装废水排放在线监测装置，对企业排放废水随时进行监控。</w:t>
                  </w:r>
                </w:p>
                <w:p w14:paraId="1B41E6A7">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Times New Roman" w:hAnsi="Times New Roman" w:eastAsia="宋体" w:cs="Times New Roman"/>
                      <w:b w:val="0"/>
                      <w:color w:val="000000"/>
                      <w:kern w:val="0"/>
                      <w:sz w:val="24"/>
                      <w:szCs w:val="24"/>
                      <w:highlight w:val="none"/>
                      <w:lang w:val="en-US" w:eastAsia="zh-CN" w:bidi="ar-SA"/>
                    </w:rPr>
                  </w:pPr>
                  <w:r>
                    <w:rPr>
                      <w:rFonts w:hint="eastAsia" w:ascii="Times New Roman" w:hAnsi="Times New Roman" w:eastAsia="宋体" w:cs="Times New Roman"/>
                      <w:b w:val="0"/>
                      <w:color w:val="000000"/>
                      <w:kern w:val="0"/>
                      <w:sz w:val="24"/>
                      <w:szCs w:val="24"/>
                      <w:highlight w:val="none"/>
                      <w:lang w:val="en-US" w:eastAsia="zh-CN" w:bidi="ar-SA"/>
                    </w:rPr>
                    <w:t>3.园区新建、改扩建需排放污染物项目，需按倍量削减要求进行总量置换。</w:t>
                  </w:r>
                </w:p>
                <w:p w14:paraId="4235B84E">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Times New Roman" w:hAnsi="Times New Roman" w:eastAsia="宋体" w:cs="Times New Roman"/>
                      <w:b w:val="0"/>
                      <w:color w:val="000000"/>
                      <w:kern w:val="0"/>
                      <w:sz w:val="24"/>
                      <w:szCs w:val="24"/>
                      <w:highlight w:val="none"/>
                      <w:lang w:val="en-US" w:eastAsia="zh-CN" w:bidi="ar-SA"/>
                    </w:rPr>
                  </w:pPr>
                  <w:r>
                    <w:rPr>
                      <w:rFonts w:hint="eastAsia" w:ascii="Times New Roman" w:hAnsi="Times New Roman" w:eastAsia="宋体" w:cs="Times New Roman"/>
                      <w:b w:val="0"/>
                      <w:color w:val="000000"/>
                      <w:kern w:val="0"/>
                      <w:sz w:val="24"/>
                      <w:szCs w:val="24"/>
                      <w:highlight w:val="none"/>
                      <w:lang w:val="en-US" w:eastAsia="zh-CN" w:bidi="ar-SA"/>
                    </w:rPr>
                    <w:t>4.根据《山西省推进运输结构调整实施方案》的要求，完善园区的铁路运输建设，减少大宗物料的公路运输量，以减少对园区物料运输产生的污染对区域环境的影响。</w:t>
                  </w:r>
                </w:p>
                <w:p w14:paraId="415751B2">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Times New Roman" w:hAnsi="Times New Roman" w:eastAsia="宋体" w:cs="Times New Roman"/>
                      <w:b w:val="0"/>
                      <w:color w:val="000000"/>
                      <w:kern w:val="0"/>
                      <w:sz w:val="24"/>
                      <w:szCs w:val="24"/>
                      <w:highlight w:val="none"/>
                      <w:lang w:val="en-US" w:eastAsia="zh-CN" w:bidi="ar-SA"/>
                    </w:rPr>
                  </w:pPr>
                  <w:r>
                    <w:rPr>
                      <w:rFonts w:hint="eastAsia" w:ascii="Times New Roman" w:hAnsi="Times New Roman" w:eastAsia="宋体" w:cs="Times New Roman"/>
                      <w:b w:val="0"/>
                      <w:color w:val="000000"/>
                      <w:kern w:val="0"/>
                      <w:sz w:val="24"/>
                      <w:szCs w:val="24"/>
                      <w:highlight w:val="none"/>
                      <w:lang w:val="en-US" w:eastAsia="zh-CN" w:bidi="ar-SA"/>
                    </w:rPr>
                    <w:t>5.鼓励有条件的地区、企业探索实施减污降碳协同治理和碳捕集、封存、综合利用工程试点、示范。</w:t>
                  </w:r>
                </w:p>
              </w:tc>
              <w:tc>
                <w:tcPr>
                  <w:tcW w:w="0" w:type="auto"/>
                  <w:tcBorders>
                    <w:right w:val="nil"/>
                  </w:tcBorders>
                  <w:shd w:val="clear" w:color="auto" w:fill="FFFFFF"/>
                  <w:noWrap w:val="0"/>
                  <w:vAlign w:val="center"/>
                </w:tcPr>
                <w:p w14:paraId="5352CD55">
                  <w:pPr>
                    <w:pStyle w:val="47"/>
                    <w:bidi w:val="0"/>
                    <w:jc w:val="left"/>
                    <w:rPr>
                      <w:rFonts w:hint="eastAsia" w:ascii="Times New Roman" w:hAnsi="Times New Roman" w:eastAsia="宋体" w:cs="Times New Roman"/>
                      <w:b w:val="0"/>
                      <w:color w:val="000000"/>
                      <w:sz w:val="24"/>
                      <w:szCs w:val="22"/>
                      <w:highlight w:val="none"/>
                      <w:lang w:val="en-US" w:eastAsia="zh-CN"/>
                    </w:rPr>
                  </w:pPr>
                  <w:r>
                    <w:rPr>
                      <w:rFonts w:hint="eastAsia" w:ascii="Times New Roman" w:hAnsi="Times New Roman" w:eastAsia="宋体" w:cs="Times New Roman"/>
                      <w:b w:val="0"/>
                      <w:color w:val="000000"/>
                      <w:sz w:val="24"/>
                      <w:szCs w:val="22"/>
                      <w:highlight w:val="none"/>
                      <w:lang w:val="en-US" w:eastAsia="zh-CN"/>
                    </w:rPr>
                    <w:t>本项目执行山西省、长治市污染物排放控制要求，环评要求按照相关规定申请总量。</w:t>
                  </w:r>
                </w:p>
                <w:p w14:paraId="140D0099">
                  <w:pPr>
                    <w:pStyle w:val="47"/>
                    <w:bidi w:val="0"/>
                    <w:jc w:val="left"/>
                    <w:rPr>
                      <w:rFonts w:hint="eastAsia" w:ascii="Times New Roman" w:hAnsi="Times New Roman" w:eastAsia="宋体" w:cs="Times New Roman"/>
                      <w:b w:val="0"/>
                      <w:color w:val="000000"/>
                      <w:sz w:val="24"/>
                      <w:szCs w:val="22"/>
                      <w:highlight w:val="none"/>
                      <w:lang w:val="en-US" w:eastAsia="zh-CN"/>
                    </w:rPr>
                  </w:pPr>
                  <w:r>
                    <w:rPr>
                      <w:rFonts w:hint="eastAsia" w:ascii="Times New Roman" w:hAnsi="Times New Roman" w:eastAsia="宋体" w:cs="Times New Roman"/>
                      <w:b w:val="0"/>
                      <w:color w:val="000000"/>
                      <w:sz w:val="24"/>
                      <w:szCs w:val="22"/>
                      <w:highlight w:val="none"/>
                      <w:lang w:val="en-US" w:eastAsia="zh-CN"/>
                    </w:rPr>
                    <w:t>项目废水全部循环利用，不外排。</w:t>
                  </w:r>
                </w:p>
                <w:p w14:paraId="1C3153ED">
                  <w:pPr>
                    <w:rPr>
                      <w:rFonts w:hint="default"/>
                      <w:lang w:val="en-US" w:eastAsia="zh-CN"/>
                    </w:rPr>
                  </w:pPr>
                  <w:r>
                    <w:rPr>
                      <w:rFonts w:hint="eastAsia" w:ascii="Times New Roman" w:hAnsi="Times New Roman" w:eastAsia="宋体" w:cs="Times New Roman"/>
                      <w:b w:val="0"/>
                      <w:color w:val="000000"/>
                      <w:sz w:val="24"/>
                      <w:szCs w:val="22"/>
                      <w:highlight w:val="none"/>
                      <w:lang w:val="en-US" w:eastAsia="zh-CN"/>
                    </w:rPr>
                    <w:t>项目编制有总量置换方案。</w:t>
                  </w:r>
                </w:p>
              </w:tc>
              <w:tc>
                <w:tcPr>
                  <w:tcW w:w="0" w:type="auto"/>
                  <w:tcBorders>
                    <w:right w:val="nil"/>
                  </w:tcBorders>
                  <w:shd w:val="clear" w:color="auto" w:fill="FFFFFF"/>
                  <w:noWrap w:val="0"/>
                  <w:vAlign w:val="center"/>
                </w:tcPr>
                <w:p w14:paraId="6AD28665">
                  <w:pPr>
                    <w:pStyle w:val="47"/>
                    <w:bidi w:val="0"/>
                    <w:jc w:val="left"/>
                    <w:rPr>
                      <w:rFonts w:hint="default" w:ascii="Times New Roman" w:hAnsi="Times New Roman" w:eastAsia="宋体" w:cs="Times New Roman"/>
                      <w:b w:val="0"/>
                      <w:color w:val="000000"/>
                      <w:sz w:val="24"/>
                      <w:szCs w:val="22"/>
                      <w:highlight w:val="none"/>
                      <w:lang w:val="en-US" w:eastAsia="zh-CN"/>
                    </w:rPr>
                  </w:pPr>
                  <w:r>
                    <w:rPr>
                      <w:rFonts w:hint="eastAsia" w:ascii="Times New Roman" w:hAnsi="Times New Roman" w:eastAsia="宋体" w:cs="Times New Roman"/>
                      <w:b w:val="0"/>
                      <w:color w:val="000000"/>
                      <w:sz w:val="24"/>
                      <w:szCs w:val="22"/>
                      <w:highlight w:val="none"/>
                      <w:lang w:val="en-US" w:eastAsia="zh-CN"/>
                    </w:rPr>
                    <w:t>符合</w:t>
                  </w:r>
                </w:p>
              </w:tc>
            </w:tr>
            <w:tr w14:paraId="777BD3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67" w:hRule="atLeast"/>
              </w:trPr>
              <w:tc>
                <w:tcPr>
                  <w:tcW w:w="0" w:type="auto"/>
                  <w:vMerge w:val="continue"/>
                  <w:tcBorders>
                    <w:left w:val="nil"/>
                  </w:tcBorders>
                  <w:shd w:val="clear" w:color="auto" w:fill="FFFFFF"/>
                  <w:noWrap w:val="0"/>
                  <w:vAlign w:val="center"/>
                </w:tcPr>
                <w:p w14:paraId="50678D00">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Times New Roman" w:hAnsi="Times New Roman" w:eastAsia="宋体" w:cs="Times New Roman"/>
                      <w:b w:val="0"/>
                      <w:color w:val="000000"/>
                      <w:kern w:val="0"/>
                      <w:sz w:val="24"/>
                      <w:szCs w:val="24"/>
                      <w:highlight w:val="none"/>
                      <w:lang w:val="en-US" w:eastAsia="zh-CN" w:bidi="ar-SA"/>
                    </w:rPr>
                  </w:pPr>
                </w:p>
              </w:tc>
              <w:tc>
                <w:tcPr>
                  <w:tcW w:w="0" w:type="auto"/>
                  <w:tcBorders>
                    <w:bottom w:val="single" w:color="000000" w:sz="12" w:space="0"/>
                  </w:tcBorders>
                  <w:shd w:val="clear" w:color="auto" w:fill="FFFFFF"/>
                  <w:noWrap w:val="0"/>
                  <w:vAlign w:val="center"/>
                </w:tcPr>
                <w:p w14:paraId="4BB779D9">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Times New Roman" w:hAnsi="Times New Roman" w:eastAsia="宋体" w:cs="Times New Roman"/>
                      <w:b/>
                      <w:bCs/>
                      <w:color w:val="000000"/>
                      <w:kern w:val="0"/>
                      <w:sz w:val="24"/>
                      <w:szCs w:val="24"/>
                      <w:highlight w:val="none"/>
                      <w:lang w:val="en-US" w:eastAsia="zh-CN" w:bidi="ar-SA"/>
                    </w:rPr>
                  </w:pPr>
                  <w:r>
                    <w:rPr>
                      <w:rFonts w:hint="eastAsia" w:ascii="Times New Roman" w:hAnsi="Times New Roman" w:eastAsia="宋体" w:cs="Times New Roman"/>
                      <w:b/>
                      <w:bCs/>
                      <w:color w:val="000000"/>
                      <w:kern w:val="0"/>
                      <w:sz w:val="24"/>
                      <w:szCs w:val="24"/>
                      <w:highlight w:val="none"/>
                      <w:lang w:val="en-US" w:eastAsia="zh-CN" w:bidi="ar-SA"/>
                    </w:rPr>
                    <w:t>环境风险防控</w:t>
                  </w:r>
                </w:p>
                <w:p w14:paraId="125A39F7">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Times New Roman" w:hAnsi="Times New Roman" w:eastAsia="宋体" w:cs="Times New Roman"/>
                      <w:b w:val="0"/>
                      <w:color w:val="000000"/>
                      <w:kern w:val="0"/>
                      <w:sz w:val="24"/>
                      <w:szCs w:val="24"/>
                      <w:highlight w:val="none"/>
                      <w:lang w:val="en-US" w:eastAsia="zh-CN" w:bidi="ar-SA"/>
                    </w:rPr>
                  </w:pPr>
                  <w:r>
                    <w:rPr>
                      <w:rFonts w:hint="eastAsia" w:ascii="Times New Roman" w:hAnsi="Times New Roman" w:eastAsia="宋体" w:cs="Times New Roman"/>
                      <w:b w:val="0"/>
                      <w:color w:val="000000"/>
                      <w:kern w:val="0"/>
                      <w:sz w:val="24"/>
                      <w:szCs w:val="24"/>
                      <w:highlight w:val="none"/>
                      <w:lang w:val="en-US" w:eastAsia="zh-CN" w:bidi="ar-SA"/>
                    </w:rPr>
                    <w:t>1.对产生危废企业的单位，要求建成具有防水、防渗、防流失的专用危险废物贮存设施贮存危险废物。贮存设施基础必须防渗、有足够地面承载能力，并能确保雨水不会流至贮存设施内，贮存设施应封闭。</w:t>
                  </w:r>
                </w:p>
                <w:p w14:paraId="18E3463F">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Times New Roman" w:hAnsi="Times New Roman" w:eastAsia="宋体" w:cs="Times New Roman"/>
                      <w:b w:val="0"/>
                      <w:color w:val="000000"/>
                      <w:kern w:val="0"/>
                      <w:sz w:val="24"/>
                      <w:szCs w:val="24"/>
                      <w:highlight w:val="none"/>
                      <w:lang w:val="en-US" w:eastAsia="zh-CN" w:bidi="ar-SA"/>
                    </w:rPr>
                  </w:pPr>
                  <w:r>
                    <w:rPr>
                      <w:rFonts w:hint="eastAsia" w:ascii="Times New Roman" w:hAnsi="Times New Roman" w:eastAsia="宋体" w:cs="Times New Roman"/>
                      <w:b w:val="0"/>
                      <w:color w:val="000000"/>
                      <w:kern w:val="0"/>
                      <w:sz w:val="24"/>
                      <w:szCs w:val="24"/>
                      <w:highlight w:val="none"/>
                      <w:lang w:val="en-US" w:eastAsia="zh-CN" w:bidi="ar-SA"/>
                    </w:rPr>
                    <w:t>2.废水处理站废水处理构筑物采取严格防渗措施后，阻止废水下渗。</w:t>
                  </w:r>
                </w:p>
                <w:p w14:paraId="1F2CA61A">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Times New Roman" w:hAnsi="Times New Roman" w:eastAsia="宋体" w:cs="Times New Roman"/>
                      <w:b w:val="0"/>
                      <w:color w:val="000000"/>
                      <w:kern w:val="0"/>
                      <w:sz w:val="24"/>
                      <w:szCs w:val="24"/>
                      <w:highlight w:val="none"/>
                      <w:lang w:val="en-US" w:eastAsia="zh-CN" w:bidi="ar-SA"/>
                    </w:rPr>
                  </w:pPr>
                  <w:r>
                    <w:rPr>
                      <w:rFonts w:hint="eastAsia" w:ascii="Times New Roman" w:hAnsi="Times New Roman" w:eastAsia="宋体" w:cs="Times New Roman"/>
                      <w:b w:val="0"/>
                      <w:color w:val="000000"/>
                      <w:kern w:val="0"/>
                      <w:sz w:val="24"/>
                      <w:szCs w:val="24"/>
                      <w:highlight w:val="none"/>
                      <w:lang w:val="en-US" w:eastAsia="zh-CN" w:bidi="ar-SA"/>
                    </w:rPr>
                    <w:t>3.限制废水中</w:t>
                  </w:r>
                  <w:r>
                    <w:rPr>
                      <w:rFonts w:hint="eastAsia" w:ascii="Times New Roman" w:hAnsi="Times New Roman" w:cs="Times New Roman"/>
                      <w:b w:val="0"/>
                      <w:color w:val="000000"/>
                      <w:kern w:val="0"/>
                      <w:sz w:val="24"/>
                      <w:szCs w:val="24"/>
                      <w:highlight w:val="none"/>
                      <w:lang w:val="en-US" w:eastAsia="zh-CN" w:bidi="ar-SA"/>
                    </w:rPr>
                    <w:t>含</w:t>
                  </w:r>
                  <w:r>
                    <w:rPr>
                      <w:rFonts w:hint="eastAsia" w:ascii="Times New Roman" w:hAnsi="Times New Roman" w:eastAsia="宋体" w:cs="Times New Roman"/>
                      <w:b w:val="0"/>
                      <w:color w:val="000000"/>
                      <w:kern w:val="0"/>
                      <w:sz w:val="24"/>
                      <w:szCs w:val="24"/>
                      <w:highlight w:val="none"/>
                      <w:lang w:val="en-US" w:eastAsia="zh-CN" w:bidi="ar-SA"/>
                    </w:rPr>
                    <w:t>有毒有害的企业入区。</w:t>
                  </w:r>
                </w:p>
                <w:p w14:paraId="2CD089BB">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Times New Roman" w:hAnsi="Times New Roman" w:eastAsia="宋体" w:cs="Times New Roman"/>
                      <w:b w:val="0"/>
                      <w:color w:val="000000"/>
                      <w:kern w:val="0"/>
                      <w:sz w:val="24"/>
                      <w:szCs w:val="24"/>
                      <w:highlight w:val="none"/>
                      <w:lang w:val="en-US" w:eastAsia="zh-CN" w:bidi="ar-SA"/>
                    </w:rPr>
                  </w:pPr>
                  <w:r>
                    <w:rPr>
                      <w:rFonts w:hint="eastAsia" w:ascii="Times New Roman" w:hAnsi="Times New Roman" w:eastAsia="宋体" w:cs="Times New Roman"/>
                      <w:b w:val="0"/>
                      <w:color w:val="000000"/>
                      <w:kern w:val="0"/>
                      <w:sz w:val="24"/>
                      <w:szCs w:val="24"/>
                      <w:highlight w:val="none"/>
                      <w:lang w:val="en-US" w:eastAsia="zh-CN" w:bidi="ar-SA"/>
                    </w:rPr>
                    <w:t>4.各涉水企业确保污水处理设施稳定运行，设置缓冲应急池及配套管网布设，确保事故状态下超标废水不外排。</w:t>
                  </w:r>
                </w:p>
                <w:p w14:paraId="5BB608B0">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Times New Roman" w:hAnsi="Times New Roman" w:eastAsia="宋体" w:cs="Times New Roman"/>
                      <w:b w:val="0"/>
                      <w:color w:val="000000"/>
                      <w:kern w:val="0"/>
                      <w:sz w:val="24"/>
                      <w:szCs w:val="24"/>
                      <w:highlight w:val="none"/>
                      <w:lang w:val="en-US" w:eastAsia="zh-CN" w:bidi="ar-SA"/>
                    </w:rPr>
                  </w:pPr>
                  <w:r>
                    <w:rPr>
                      <w:rFonts w:hint="eastAsia" w:ascii="Times New Roman" w:hAnsi="Times New Roman" w:eastAsia="宋体" w:cs="Times New Roman"/>
                      <w:b w:val="0"/>
                      <w:color w:val="000000"/>
                      <w:kern w:val="0"/>
                      <w:sz w:val="24"/>
                      <w:szCs w:val="24"/>
                      <w:highlight w:val="none"/>
                      <w:lang w:val="en-US" w:eastAsia="zh-CN" w:bidi="ar-SA"/>
                    </w:rPr>
                    <w:t>5.应严格控制具有重大环境风险源的工业生产项目进入，必须制定完善的环境风险防控措施；涉及危险化学品的企业，首先要进入化工及新材料组团中的化工板块，并且远离居民区布置，同时设计做好防渗、围堰及事故池等，防治危化品泄漏造成环境污染。</w:t>
                  </w:r>
                </w:p>
                <w:p w14:paraId="30339100">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Times New Roman" w:hAnsi="Times New Roman" w:eastAsia="宋体" w:cs="Times New Roman"/>
                      <w:b w:val="0"/>
                      <w:color w:val="000000"/>
                      <w:kern w:val="0"/>
                      <w:sz w:val="24"/>
                      <w:szCs w:val="24"/>
                      <w:highlight w:val="none"/>
                      <w:lang w:val="en-US" w:eastAsia="zh-CN" w:bidi="ar-SA"/>
                    </w:rPr>
                  </w:pPr>
                  <w:r>
                    <w:rPr>
                      <w:rFonts w:hint="eastAsia" w:ascii="Times New Roman" w:hAnsi="Times New Roman" w:eastAsia="宋体" w:cs="Times New Roman"/>
                      <w:b w:val="0"/>
                      <w:color w:val="000000"/>
                      <w:kern w:val="0"/>
                      <w:sz w:val="24"/>
                      <w:szCs w:val="24"/>
                      <w:highlight w:val="none"/>
                      <w:lang w:val="en-US" w:eastAsia="zh-CN" w:bidi="ar-SA"/>
                    </w:rPr>
                    <w:t>6.企业环境应急预案要求、园区环境应急预案和风险防范措施要求、建设用地土壤污染风险防控、区域应急联动。</w:t>
                  </w:r>
                </w:p>
                <w:p w14:paraId="78ABA857">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Times New Roman" w:hAnsi="Times New Roman" w:eastAsia="宋体" w:cs="Times New Roman"/>
                      <w:b w:val="0"/>
                      <w:color w:val="000000"/>
                      <w:kern w:val="0"/>
                      <w:sz w:val="24"/>
                      <w:szCs w:val="24"/>
                      <w:highlight w:val="none"/>
                      <w:lang w:val="en-US" w:eastAsia="zh-CN" w:bidi="ar-SA"/>
                    </w:rPr>
                  </w:pPr>
                  <w:r>
                    <w:rPr>
                      <w:rFonts w:hint="eastAsia" w:ascii="Times New Roman" w:hAnsi="Times New Roman" w:eastAsia="宋体" w:cs="Times New Roman"/>
                      <w:b w:val="0"/>
                      <w:color w:val="000000"/>
                      <w:kern w:val="0"/>
                      <w:sz w:val="24"/>
                      <w:szCs w:val="24"/>
                      <w:highlight w:val="none"/>
                      <w:lang w:val="en-US" w:eastAsia="zh-CN" w:bidi="ar-SA"/>
                    </w:rPr>
                    <w:t>7.土壤环境质量执行《土壤环境质量建设用地土壤污染风险管控标准（试行）》。</w:t>
                  </w:r>
                </w:p>
              </w:tc>
              <w:tc>
                <w:tcPr>
                  <w:tcW w:w="0" w:type="auto"/>
                  <w:tcBorders>
                    <w:right w:val="nil"/>
                  </w:tcBorders>
                  <w:shd w:val="clear" w:color="auto" w:fill="FFFFFF"/>
                  <w:noWrap w:val="0"/>
                  <w:vAlign w:val="center"/>
                </w:tcPr>
                <w:p w14:paraId="07F95094">
                  <w:pPr>
                    <w:pStyle w:val="47"/>
                    <w:bidi w:val="0"/>
                    <w:jc w:val="left"/>
                    <w:rPr>
                      <w:rFonts w:hint="eastAsia"/>
                      <w:b w:val="0"/>
                      <w:color w:val="000000"/>
                      <w:sz w:val="24"/>
                      <w:szCs w:val="22"/>
                      <w:highlight w:val="none"/>
                      <w:lang w:val="en-US" w:eastAsia="zh-CN"/>
                    </w:rPr>
                  </w:pPr>
                  <w:r>
                    <w:rPr>
                      <w:rFonts w:hint="eastAsia"/>
                      <w:b w:val="0"/>
                      <w:color w:val="000000"/>
                      <w:sz w:val="24"/>
                      <w:szCs w:val="22"/>
                      <w:highlight w:val="none"/>
                      <w:lang w:val="en-US" w:eastAsia="zh-CN"/>
                    </w:rPr>
                    <w:t>厂区内有防水、防渗、防流失的危废贮存库。</w:t>
                  </w:r>
                </w:p>
                <w:p w14:paraId="3FE0224E">
                  <w:pPr>
                    <w:pStyle w:val="47"/>
                    <w:bidi w:val="0"/>
                    <w:jc w:val="left"/>
                    <w:rPr>
                      <w:rFonts w:hint="eastAsia"/>
                      <w:b w:val="0"/>
                      <w:color w:val="000000"/>
                      <w:sz w:val="24"/>
                      <w:szCs w:val="22"/>
                      <w:highlight w:val="none"/>
                      <w:lang w:val="en-US" w:eastAsia="zh-CN"/>
                    </w:rPr>
                  </w:pPr>
                  <w:r>
                    <w:rPr>
                      <w:rFonts w:hint="eastAsia"/>
                      <w:b w:val="0"/>
                      <w:color w:val="000000"/>
                      <w:sz w:val="24"/>
                      <w:szCs w:val="22"/>
                      <w:highlight w:val="none"/>
                      <w:lang w:val="en-US" w:eastAsia="zh-CN"/>
                    </w:rPr>
                    <w:t>环评要求水处理车间采取重点防渗。</w:t>
                  </w:r>
                </w:p>
                <w:p w14:paraId="61FF2C0C">
                  <w:pPr>
                    <w:pStyle w:val="47"/>
                    <w:bidi w:val="0"/>
                    <w:jc w:val="left"/>
                    <w:rPr>
                      <w:rFonts w:hint="eastAsia"/>
                      <w:b w:val="0"/>
                      <w:color w:val="000000"/>
                      <w:sz w:val="24"/>
                      <w:szCs w:val="22"/>
                      <w:highlight w:val="none"/>
                      <w:lang w:val="en-US" w:eastAsia="zh-CN"/>
                    </w:rPr>
                  </w:pPr>
                  <w:r>
                    <w:rPr>
                      <w:rFonts w:hint="eastAsia"/>
                      <w:b w:val="0"/>
                      <w:color w:val="000000"/>
                      <w:sz w:val="24"/>
                      <w:szCs w:val="22"/>
                      <w:highlight w:val="none"/>
                      <w:lang w:val="en-US" w:eastAsia="zh-CN"/>
                    </w:rPr>
                    <w:t>项目建设完成后，制定相应环境风险应急预案。</w:t>
                  </w:r>
                </w:p>
                <w:p w14:paraId="3AB5FB27">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Times New Roman" w:hAnsi="Times New Roman" w:eastAsia="宋体" w:cs="Times New Roman"/>
                      <w:b w:val="0"/>
                      <w:color w:val="000000"/>
                      <w:kern w:val="0"/>
                      <w:sz w:val="24"/>
                      <w:szCs w:val="24"/>
                      <w:highlight w:val="none"/>
                      <w:lang w:val="en-US" w:eastAsia="zh-CN" w:bidi="ar-SA"/>
                    </w:rPr>
                  </w:pPr>
                </w:p>
              </w:tc>
              <w:tc>
                <w:tcPr>
                  <w:tcW w:w="0" w:type="auto"/>
                  <w:tcBorders>
                    <w:right w:val="nil"/>
                  </w:tcBorders>
                  <w:shd w:val="clear" w:color="auto" w:fill="FFFFFF"/>
                  <w:noWrap w:val="0"/>
                  <w:vAlign w:val="center"/>
                </w:tcPr>
                <w:p w14:paraId="509AB5ED">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default" w:ascii="Times New Roman" w:hAnsi="Times New Roman" w:eastAsia="宋体" w:cs="Times New Roman"/>
                      <w:b w:val="0"/>
                      <w:color w:val="000000"/>
                      <w:kern w:val="0"/>
                      <w:sz w:val="24"/>
                      <w:szCs w:val="24"/>
                      <w:highlight w:val="none"/>
                      <w:lang w:val="en-US" w:eastAsia="zh-CN" w:bidi="ar-SA"/>
                    </w:rPr>
                  </w:pPr>
                  <w:r>
                    <w:rPr>
                      <w:rFonts w:hint="eastAsia" w:ascii="Times New Roman" w:hAnsi="Times New Roman" w:eastAsia="宋体" w:cs="Times New Roman"/>
                      <w:b w:val="0"/>
                      <w:color w:val="000000"/>
                      <w:kern w:val="0"/>
                      <w:sz w:val="24"/>
                      <w:szCs w:val="24"/>
                      <w:highlight w:val="none"/>
                      <w:lang w:val="en-US" w:eastAsia="zh-CN" w:bidi="ar-SA"/>
                    </w:rPr>
                    <w:t>符合</w:t>
                  </w:r>
                </w:p>
              </w:tc>
            </w:tr>
            <w:tr w14:paraId="5C08D7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67" w:hRule="atLeast"/>
              </w:trPr>
              <w:tc>
                <w:tcPr>
                  <w:tcW w:w="0" w:type="auto"/>
                  <w:vMerge w:val="continue"/>
                  <w:tcBorders>
                    <w:left w:val="nil"/>
                    <w:bottom w:val="single" w:color="000000" w:sz="12" w:space="0"/>
                  </w:tcBorders>
                  <w:shd w:val="clear" w:color="auto" w:fill="FFFFFF"/>
                  <w:noWrap w:val="0"/>
                  <w:vAlign w:val="center"/>
                </w:tcPr>
                <w:p w14:paraId="4486C11C">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Times New Roman" w:hAnsi="Times New Roman" w:eastAsia="宋体" w:cs="Times New Roman"/>
                      <w:b w:val="0"/>
                      <w:color w:val="000000"/>
                      <w:kern w:val="0"/>
                      <w:sz w:val="24"/>
                      <w:szCs w:val="24"/>
                      <w:highlight w:val="none"/>
                      <w:lang w:val="en-US" w:eastAsia="zh-CN" w:bidi="ar-SA"/>
                    </w:rPr>
                  </w:pPr>
                </w:p>
              </w:tc>
              <w:tc>
                <w:tcPr>
                  <w:tcW w:w="0" w:type="auto"/>
                  <w:tcBorders>
                    <w:bottom w:val="single" w:color="000000" w:sz="12" w:space="0"/>
                  </w:tcBorders>
                  <w:shd w:val="clear" w:color="auto" w:fill="FFFFFF"/>
                  <w:noWrap w:val="0"/>
                  <w:vAlign w:val="center"/>
                </w:tcPr>
                <w:p w14:paraId="55DBA6F7">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Times New Roman" w:hAnsi="Times New Roman" w:eastAsia="宋体" w:cs="Times New Roman"/>
                      <w:b/>
                      <w:bCs/>
                      <w:color w:val="000000"/>
                      <w:kern w:val="0"/>
                      <w:sz w:val="24"/>
                      <w:szCs w:val="24"/>
                      <w:highlight w:val="none"/>
                      <w:lang w:val="en-US" w:eastAsia="zh-CN" w:bidi="ar-SA"/>
                    </w:rPr>
                  </w:pPr>
                  <w:r>
                    <w:rPr>
                      <w:rFonts w:hint="eastAsia" w:ascii="Times New Roman" w:hAnsi="Times New Roman" w:eastAsia="宋体" w:cs="Times New Roman"/>
                      <w:b/>
                      <w:bCs/>
                      <w:color w:val="000000"/>
                      <w:kern w:val="0"/>
                      <w:sz w:val="24"/>
                      <w:szCs w:val="24"/>
                      <w:highlight w:val="none"/>
                      <w:lang w:val="en-US" w:eastAsia="zh-CN" w:bidi="ar-SA"/>
                    </w:rPr>
                    <w:t>资源开发效率要求</w:t>
                  </w:r>
                </w:p>
                <w:p w14:paraId="0FD78A6E">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Times New Roman" w:hAnsi="Times New Roman" w:eastAsia="宋体" w:cs="Times New Roman"/>
                      <w:b w:val="0"/>
                      <w:color w:val="000000"/>
                      <w:kern w:val="0"/>
                      <w:sz w:val="24"/>
                      <w:szCs w:val="24"/>
                      <w:highlight w:val="none"/>
                      <w:lang w:val="en-US" w:eastAsia="zh-CN" w:bidi="ar-SA"/>
                    </w:rPr>
                  </w:pPr>
                  <w:r>
                    <w:rPr>
                      <w:rFonts w:hint="eastAsia" w:ascii="Times New Roman" w:hAnsi="Times New Roman" w:eastAsia="宋体" w:cs="Times New Roman"/>
                      <w:b w:val="0"/>
                      <w:color w:val="000000"/>
                      <w:kern w:val="0"/>
                      <w:sz w:val="24"/>
                      <w:szCs w:val="24"/>
                      <w:highlight w:val="none"/>
                      <w:lang w:val="en-US" w:eastAsia="zh-CN" w:bidi="ar-SA"/>
                    </w:rPr>
                    <w:t>1.提高工业用水效率，推进产业园区用水系统集成优化，实现串联用水、分质用水、一水多用、梯级利用和再生利用。</w:t>
                  </w:r>
                </w:p>
              </w:tc>
              <w:tc>
                <w:tcPr>
                  <w:tcW w:w="0" w:type="auto"/>
                  <w:tcBorders>
                    <w:bottom w:val="single" w:color="000000" w:sz="12" w:space="0"/>
                    <w:right w:val="nil"/>
                  </w:tcBorders>
                  <w:shd w:val="clear" w:color="auto" w:fill="FFFFFF"/>
                  <w:noWrap w:val="0"/>
                  <w:vAlign w:val="center"/>
                </w:tcPr>
                <w:p w14:paraId="798090E6">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eastAsia" w:ascii="Times New Roman" w:hAnsi="Times New Roman" w:eastAsia="宋体" w:cs="Times New Roman"/>
                      <w:b w:val="0"/>
                      <w:color w:val="000000"/>
                      <w:kern w:val="0"/>
                      <w:sz w:val="24"/>
                      <w:szCs w:val="24"/>
                      <w:highlight w:val="none"/>
                      <w:lang w:val="en-US" w:eastAsia="zh-CN" w:bidi="ar-SA"/>
                    </w:rPr>
                  </w:pPr>
                  <w:r>
                    <w:rPr>
                      <w:rFonts w:hint="eastAsia"/>
                      <w:b w:val="0"/>
                      <w:color w:val="000000"/>
                      <w:sz w:val="24"/>
                      <w:szCs w:val="22"/>
                      <w:highlight w:val="none"/>
                      <w:lang w:val="en-US" w:eastAsia="zh-CN"/>
                    </w:rPr>
                    <w:t>项目废水循环使用，不外排，提高了工业用水效率。</w:t>
                  </w:r>
                </w:p>
              </w:tc>
              <w:tc>
                <w:tcPr>
                  <w:tcW w:w="0" w:type="auto"/>
                  <w:tcBorders>
                    <w:bottom w:val="single" w:color="000000" w:sz="12" w:space="0"/>
                    <w:right w:val="nil"/>
                  </w:tcBorders>
                  <w:shd w:val="clear" w:color="auto" w:fill="FFFFFF"/>
                  <w:noWrap w:val="0"/>
                  <w:vAlign w:val="center"/>
                </w:tcPr>
                <w:p w14:paraId="54838CB2">
                  <w:pPr>
                    <w:pStyle w:val="47"/>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default"/>
                      <w:b w:val="0"/>
                      <w:color w:val="000000"/>
                      <w:sz w:val="24"/>
                      <w:szCs w:val="22"/>
                      <w:highlight w:val="none"/>
                      <w:lang w:val="en-US" w:eastAsia="zh-CN"/>
                    </w:rPr>
                  </w:pPr>
                  <w:r>
                    <w:rPr>
                      <w:rFonts w:hint="eastAsia"/>
                      <w:b w:val="0"/>
                      <w:color w:val="000000"/>
                      <w:sz w:val="24"/>
                      <w:szCs w:val="22"/>
                      <w:highlight w:val="none"/>
                      <w:lang w:val="en-US" w:eastAsia="zh-CN"/>
                    </w:rPr>
                    <w:t>符合</w:t>
                  </w:r>
                </w:p>
              </w:tc>
            </w:tr>
          </w:tbl>
          <w:p w14:paraId="2266FC81">
            <w:pPr>
              <w:autoSpaceDE w:val="0"/>
              <w:autoSpaceDN w:val="0"/>
              <w:adjustRightInd w:val="0"/>
              <w:snapToGrid w:val="0"/>
              <w:spacing w:line="360" w:lineRule="auto"/>
              <w:ind w:firstLine="480" w:firstLineChars="200"/>
              <w:jc w:val="left"/>
              <w:rPr>
                <w:kern w:val="0"/>
                <w:sz w:val="24"/>
                <w:highlight w:val="none"/>
              </w:rPr>
            </w:pPr>
            <w:r>
              <w:rPr>
                <w:kern w:val="0"/>
                <w:sz w:val="24"/>
                <w:highlight w:val="none"/>
              </w:rPr>
              <w:t>综上所述，项目建设不违背生态保护红线的要求。</w:t>
            </w:r>
          </w:p>
          <w:p w14:paraId="1F91F803">
            <w:pPr>
              <w:autoSpaceDE w:val="0"/>
              <w:autoSpaceDN w:val="0"/>
              <w:adjustRightInd w:val="0"/>
              <w:snapToGrid w:val="0"/>
              <w:spacing w:line="360" w:lineRule="auto"/>
              <w:jc w:val="left"/>
              <w:rPr>
                <w:color w:val="auto"/>
                <w:kern w:val="0"/>
                <w:sz w:val="24"/>
              </w:rPr>
            </w:pPr>
            <w:r>
              <w:rPr>
                <w:color w:val="auto"/>
                <w:kern w:val="0"/>
                <w:sz w:val="24"/>
              </w:rPr>
              <w:t>（2）环境质量底线符合性分析</w:t>
            </w:r>
          </w:p>
          <w:p w14:paraId="0F0566C1">
            <w:pPr>
              <w:autoSpaceDE w:val="0"/>
              <w:autoSpaceDN w:val="0"/>
              <w:adjustRightInd w:val="0"/>
              <w:snapToGrid w:val="0"/>
              <w:spacing w:line="360" w:lineRule="auto"/>
              <w:ind w:firstLine="480" w:firstLineChars="200"/>
              <w:rPr>
                <w:color w:val="auto"/>
                <w:kern w:val="0"/>
                <w:sz w:val="24"/>
              </w:rPr>
            </w:pPr>
            <w:r>
              <w:rPr>
                <w:kern w:val="0"/>
                <w:sz w:val="24"/>
                <w:highlight w:val="none"/>
              </w:rPr>
              <w:t>本次评价引用壶关县202</w:t>
            </w:r>
            <w:r>
              <w:rPr>
                <w:rFonts w:hint="eastAsia"/>
                <w:kern w:val="0"/>
                <w:sz w:val="24"/>
                <w:highlight w:val="none"/>
                <w:lang w:val="en-US" w:eastAsia="zh-CN"/>
              </w:rPr>
              <w:t>5</w:t>
            </w:r>
            <w:r>
              <w:rPr>
                <w:kern w:val="0"/>
                <w:sz w:val="24"/>
                <w:highlight w:val="none"/>
              </w:rPr>
              <w:t>年环境空气例行监测数据进行分析，SO</w:t>
            </w:r>
            <w:r>
              <w:rPr>
                <w:kern w:val="0"/>
                <w:sz w:val="24"/>
                <w:highlight w:val="none"/>
                <w:vertAlign w:val="subscript"/>
              </w:rPr>
              <w:t>2</w:t>
            </w:r>
            <w:r>
              <w:rPr>
                <w:kern w:val="0"/>
                <w:sz w:val="24"/>
                <w:highlight w:val="none"/>
              </w:rPr>
              <w:t>、NO</w:t>
            </w:r>
            <w:r>
              <w:rPr>
                <w:kern w:val="0"/>
                <w:sz w:val="24"/>
                <w:highlight w:val="none"/>
                <w:vertAlign w:val="subscript"/>
              </w:rPr>
              <w:t>2</w:t>
            </w:r>
            <w:r>
              <w:rPr>
                <w:kern w:val="0"/>
                <w:sz w:val="24"/>
                <w:highlight w:val="none"/>
              </w:rPr>
              <w:t>、CO</w:t>
            </w:r>
            <w:r>
              <w:rPr>
                <w:rFonts w:hint="eastAsia"/>
                <w:kern w:val="0"/>
                <w:sz w:val="24"/>
                <w:highlight w:val="none"/>
              </w:rPr>
              <w:t>、</w:t>
            </w:r>
            <w:r>
              <w:rPr>
                <w:kern w:val="0"/>
                <w:sz w:val="24"/>
                <w:highlight w:val="none"/>
              </w:rPr>
              <w:t>O</w:t>
            </w:r>
            <w:r>
              <w:rPr>
                <w:kern w:val="0"/>
                <w:sz w:val="24"/>
                <w:highlight w:val="none"/>
                <w:vertAlign w:val="subscript"/>
              </w:rPr>
              <w:t>3</w:t>
            </w:r>
            <w:r>
              <w:rPr>
                <w:rFonts w:hint="eastAsia"/>
                <w:kern w:val="0"/>
                <w:sz w:val="24"/>
                <w:highlight w:val="none"/>
                <w:vertAlign w:val="baseline"/>
                <w:lang w:eastAsia="zh-CN"/>
              </w:rPr>
              <w:t>、</w:t>
            </w:r>
            <w:r>
              <w:rPr>
                <w:kern w:val="0"/>
                <w:sz w:val="24"/>
                <w:highlight w:val="none"/>
              </w:rPr>
              <w:t>PM</w:t>
            </w:r>
            <w:r>
              <w:rPr>
                <w:kern w:val="0"/>
                <w:sz w:val="24"/>
                <w:highlight w:val="none"/>
                <w:vertAlign w:val="subscript"/>
              </w:rPr>
              <w:t>2.5</w:t>
            </w:r>
            <w:r>
              <w:rPr>
                <w:rFonts w:hint="eastAsia"/>
                <w:kern w:val="0"/>
                <w:sz w:val="24"/>
                <w:highlight w:val="none"/>
              </w:rPr>
              <w:t>、</w:t>
            </w:r>
            <w:r>
              <w:rPr>
                <w:kern w:val="0"/>
                <w:sz w:val="24"/>
                <w:highlight w:val="none"/>
              </w:rPr>
              <w:t>PM</w:t>
            </w:r>
            <w:r>
              <w:rPr>
                <w:kern w:val="0"/>
                <w:sz w:val="24"/>
                <w:highlight w:val="none"/>
                <w:vertAlign w:val="subscript"/>
              </w:rPr>
              <w:t>10</w:t>
            </w:r>
            <w:r>
              <w:rPr>
                <w:kern w:val="0"/>
                <w:sz w:val="24"/>
                <w:highlight w:val="none"/>
              </w:rPr>
              <w:t>满足</w:t>
            </w:r>
            <w:r>
              <w:rPr>
                <w:rFonts w:hint="eastAsia"/>
                <w:kern w:val="0"/>
                <w:sz w:val="24"/>
                <w:highlight w:val="none"/>
                <w:lang w:eastAsia="zh-CN"/>
              </w:rPr>
              <w:t>《环境空气质量标准》（GB3095—20</w:t>
            </w:r>
            <w:r>
              <w:rPr>
                <w:rFonts w:hint="eastAsia"/>
                <w:kern w:val="0"/>
                <w:sz w:val="24"/>
                <w:highlight w:val="none"/>
                <w:lang w:val="en-US" w:eastAsia="zh-CN"/>
              </w:rPr>
              <w:t>12</w:t>
            </w:r>
            <w:r>
              <w:rPr>
                <w:rFonts w:hint="eastAsia"/>
                <w:kern w:val="0"/>
                <w:sz w:val="24"/>
                <w:highlight w:val="none"/>
                <w:lang w:eastAsia="zh-CN"/>
              </w:rPr>
              <w:t>）中二级标准</w:t>
            </w:r>
            <w:r>
              <w:rPr>
                <w:rFonts w:hint="eastAsia"/>
                <w:kern w:val="0"/>
                <w:sz w:val="24"/>
                <w:highlight w:val="none"/>
              </w:rPr>
              <w:t>，</w:t>
            </w:r>
            <w:r>
              <w:rPr>
                <w:kern w:val="0"/>
                <w:sz w:val="24"/>
                <w:highlight w:val="none"/>
              </w:rPr>
              <w:t>项目所在区域为达标区</w:t>
            </w:r>
            <w:r>
              <w:rPr>
                <w:rFonts w:hint="eastAsia"/>
                <w:kern w:val="0"/>
                <w:sz w:val="24"/>
                <w:highlight w:val="none"/>
                <w:lang w:eastAsia="zh-CN"/>
              </w:rPr>
              <w:t>，</w:t>
            </w:r>
            <w:r>
              <w:rPr>
                <w:rFonts w:hint="eastAsia"/>
                <w:kern w:val="0"/>
                <w:sz w:val="24"/>
                <w:highlight w:val="none"/>
                <w:lang w:val="en-US" w:eastAsia="zh-CN"/>
              </w:rPr>
              <w:t>引用</w:t>
            </w:r>
            <w:r>
              <w:rPr>
                <w:rFonts w:hint="eastAsia"/>
                <w:spacing w:val="-5"/>
                <w:sz w:val="24"/>
                <w:szCs w:val="32"/>
                <w:highlight w:val="none"/>
              </w:rPr>
              <w:t>TSP</w:t>
            </w:r>
            <w:r>
              <w:rPr>
                <w:spacing w:val="-5"/>
                <w:sz w:val="24"/>
                <w:szCs w:val="32"/>
                <w:highlight w:val="none"/>
              </w:rPr>
              <w:t>环境空气质量现状</w:t>
            </w:r>
            <w:r>
              <w:rPr>
                <w:rFonts w:hint="eastAsia"/>
                <w:spacing w:val="-5"/>
                <w:sz w:val="24"/>
                <w:szCs w:val="32"/>
                <w:highlight w:val="none"/>
                <w:lang w:eastAsia="zh-CN"/>
              </w:rPr>
              <w:t>监测数据</w:t>
            </w:r>
            <w:r>
              <w:rPr>
                <w:sz w:val="24"/>
                <w:szCs w:val="32"/>
                <w:highlight w:val="none"/>
              </w:rPr>
              <w:t>，监测点位为厂区</w:t>
            </w:r>
            <w:r>
              <w:rPr>
                <w:rFonts w:hint="eastAsia"/>
                <w:sz w:val="24"/>
                <w:szCs w:val="32"/>
                <w:highlight w:val="none"/>
              </w:rPr>
              <w:t>下风向常平村处</w:t>
            </w:r>
            <w:r>
              <w:rPr>
                <w:sz w:val="24"/>
                <w:szCs w:val="32"/>
                <w:highlight w:val="none"/>
              </w:rPr>
              <w:t>，</w:t>
            </w:r>
            <w:r>
              <w:rPr>
                <w:rFonts w:hint="eastAsia"/>
                <w:sz w:val="24"/>
                <w:szCs w:val="32"/>
                <w:highlight w:val="none"/>
              </w:rPr>
              <w:t>监测</w:t>
            </w:r>
            <w:r>
              <w:rPr>
                <w:sz w:val="24"/>
                <w:szCs w:val="32"/>
                <w:highlight w:val="none"/>
              </w:rPr>
              <w:t>TSP</w:t>
            </w:r>
            <w:r>
              <w:rPr>
                <w:bCs/>
                <w:snapToGrid w:val="0"/>
                <w:kern w:val="0"/>
                <w:sz w:val="24"/>
                <w:szCs w:val="32"/>
                <w:highlight w:val="none"/>
              </w:rPr>
              <w:t>浓度</w:t>
            </w:r>
            <w:r>
              <w:rPr>
                <w:rFonts w:hint="eastAsia"/>
                <w:bCs/>
                <w:snapToGrid w:val="0"/>
                <w:kern w:val="0"/>
                <w:sz w:val="24"/>
                <w:szCs w:val="32"/>
                <w:highlight w:val="none"/>
              </w:rPr>
              <w:t>为0.154</w:t>
            </w:r>
            <w:r>
              <w:rPr>
                <w:rFonts w:hint="eastAsia"/>
                <w:bCs/>
                <w:snapToGrid w:val="0"/>
                <w:kern w:val="0"/>
                <w:sz w:val="24"/>
                <w:szCs w:val="32"/>
                <w:highlight w:val="none"/>
                <w:lang w:eastAsia="zh-CN"/>
              </w:rPr>
              <w:t>～</w:t>
            </w:r>
            <w:r>
              <w:rPr>
                <w:rFonts w:hint="eastAsia"/>
                <w:bCs/>
                <w:snapToGrid w:val="0"/>
                <w:kern w:val="0"/>
                <w:sz w:val="24"/>
                <w:szCs w:val="32"/>
                <w:highlight w:val="none"/>
              </w:rPr>
              <w:t>0.179mg/m</w:t>
            </w:r>
            <w:r>
              <w:rPr>
                <w:rFonts w:hint="eastAsia"/>
                <w:bCs/>
                <w:snapToGrid w:val="0"/>
                <w:kern w:val="0"/>
                <w:sz w:val="24"/>
                <w:szCs w:val="32"/>
                <w:highlight w:val="none"/>
                <w:vertAlign w:val="superscript"/>
              </w:rPr>
              <w:t>3</w:t>
            </w:r>
            <w:r>
              <w:rPr>
                <w:rFonts w:hint="eastAsia"/>
                <w:bCs/>
                <w:snapToGrid w:val="0"/>
                <w:kern w:val="0"/>
                <w:sz w:val="24"/>
                <w:szCs w:val="32"/>
                <w:highlight w:val="none"/>
              </w:rPr>
              <w:t>，</w:t>
            </w:r>
            <w:r>
              <w:rPr>
                <w:kern w:val="21"/>
                <w:sz w:val="24"/>
                <w:highlight w:val="none"/>
                <w:lang w:bidi="ar"/>
              </w:rPr>
              <w:t>满足《环境空气质量标准》（GB3095-</w:t>
            </w:r>
            <w:r>
              <w:rPr>
                <w:rFonts w:hint="eastAsia"/>
                <w:kern w:val="21"/>
                <w:sz w:val="24"/>
                <w:highlight w:val="none"/>
                <w:lang w:val="en-US" w:eastAsia="zh-CN" w:bidi="ar"/>
              </w:rPr>
              <w:t>2012</w:t>
            </w:r>
            <w:r>
              <w:rPr>
                <w:kern w:val="21"/>
                <w:sz w:val="24"/>
                <w:highlight w:val="none"/>
                <w:lang w:bidi="ar"/>
              </w:rPr>
              <w:t>）</w:t>
            </w:r>
            <w:r>
              <w:rPr>
                <w:sz w:val="24"/>
                <w:szCs w:val="32"/>
                <w:highlight w:val="none"/>
              </w:rPr>
              <w:t>中二级标准限值</w:t>
            </w:r>
            <w:r>
              <w:rPr>
                <w:rFonts w:hint="eastAsia"/>
                <w:sz w:val="24"/>
                <w:szCs w:val="32"/>
                <w:highlight w:val="none"/>
              </w:rPr>
              <w:t>，TSP达标。</w:t>
            </w:r>
            <w:r>
              <w:rPr>
                <w:color w:val="auto"/>
                <w:kern w:val="0"/>
                <w:sz w:val="24"/>
              </w:rPr>
              <w:t>本项目采取环评提出的各项环保措施后</w:t>
            </w:r>
            <w:r>
              <w:rPr>
                <w:rFonts w:hint="eastAsia"/>
                <w:color w:val="auto"/>
                <w:kern w:val="0"/>
                <w:sz w:val="24"/>
              </w:rPr>
              <w:t>大气污染物</w:t>
            </w:r>
            <w:r>
              <w:rPr>
                <w:color w:val="auto"/>
                <w:kern w:val="0"/>
                <w:sz w:val="24"/>
              </w:rPr>
              <w:t>可实现达标排放，对区域大气环境影响较小。</w:t>
            </w:r>
          </w:p>
          <w:p w14:paraId="09EF3943">
            <w:pPr>
              <w:autoSpaceDE w:val="0"/>
              <w:autoSpaceDN w:val="0"/>
              <w:adjustRightInd w:val="0"/>
              <w:snapToGrid w:val="0"/>
              <w:spacing w:line="360" w:lineRule="auto"/>
              <w:ind w:firstLine="480" w:firstLineChars="200"/>
              <w:rPr>
                <w:color w:val="auto"/>
                <w:kern w:val="0"/>
                <w:sz w:val="24"/>
              </w:rPr>
            </w:pPr>
            <w:r>
              <w:rPr>
                <w:rFonts w:hint="eastAsia"/>
                <w:color w:val="auto"/>
                <w:kern w:val="0"/>
                <w:sz w:val="24"/>
              </w:rPr>
              <w:t>本项目</w:t>
            </w:r>
            <w:r>
              <w:rPr>
                <w:color w:val="auto"/>
                <w:kern w:val="0"/>
                <w:sz w:val="24"/>
              </w:rPr>
              <w:t>产生的废水全部处理后全部回用，不外排，对地表水、地下水基本无影响。</w:t>
            </w:r>
            <w:r>
              <w:rPr>
                <w:rFonts w:hint="eastAsia"/>
                <w:color w:val="auto"/>
                <w:kern w:val="0"/>
                <w:sz w:val="24"/>
                <w:lang w:val="en-US" w:eastAsia="zh-CN"/>
              </w:rPr>
              <w:t>固废采取分类处置，生活垃圾定期送往环卫部门指定区域处理，危废依托厂区现有危废贮存库。</w:t>
            </w:r>
            <w:r>
              <w:rPr>
                <w:rFonts w:hint="eastAsia"/>
                <w:color w:val="auto"/>
                <w:kern w:val="0"/>
                <w:sz w:val="24"/>
              </w:rPr>
              <w:t>在</w:t>
            </w:r>
            <w:r>
              <w:rPr>
                <w:color w:val="auto"/>
                <w:kern w:val="0"/>
                <w:sz w:val="24"/>
              </w:rPr>
              <w:t>严格落实环评提出的各项环保措施后，污染物对区域环境影响较小，基本维持了环境质量现状，项目建设不会突破区域环境质量底线。</w:t>
            </w:r>
          </w:p>
          <w:p w14:paraId="4D3A8A69">
            <w:pPr>
              <w:autoSpaceDE w:val="0"/>
              <w:autoSpaceDN w:val="0"/>
              <w:adjustRightInd w:val="0"/>
              <w:snapToGrid w:val="0"/>
              <w:spacing w:line="360" w:lineRule="auto"/>
              <w:jc w:val="left"/>
              <w:rPr>
                <w:color w:val="auto"/>
                <w:kern w:val="0"/>
                <w:sz w:val="24"/>
              </w:rPr>
            </w:pPr>
            <w:r>
              <w:rPr>
                <w:color w:val="auto"/>
                <w:kern w:val="0"/>
                <w:sz w:val="24"/>
              </w:rPr>
              <w:t>（3）资源利用上线符合性分析</w:t>
            </w:r>
          </w:p>
          <w:p w14:paraId="69F55777">
            <w:pPr>
              <w:autoSpaceDE w:val="0"/>
              <w:autoSpaceDN w:val="0"/>
              <w:adjustRightInd w:val="0"/>
              <w:snapToGrid w:val="0"/>
              <w:spacing w:line="360" w:lineRule="auto"/>
              <w:ind w:firstLine="480" w:firstLineChars="200"/>
              <w:jc w:val="left"/>
              <w:rPr>
                <w:color w:val="auto"/>
                <w:kern w:val="0"/>
                <w:sz w:val="24"/>
              </w:rPr>
            </w:pPr>
            <w:r>
              <w:rPr>
                <w:color w:val="auto"/>
                <w:kern w:val="0"/>
                <w:sz w:val="24"/>
              </w:rPr>
              <w:t>本项目原辅材料供应充足</w:t>
            </w:r>
            <w:r>
              <w:rPr>
                <w:rFonts w:hint="eastAsia"/>
                <w:color w:val="auto"/>
                <w:kern w:val="0"/>
                <w:sz w:val="24"/>
                <w:lang w:eastAsia="zh-CN"/>
              </w:rPr>
              <w:t>，</w:t>
            </w:r>
            <w:r>
              <w:rPr>
                <w:rFonts w:hint="eastAsia"/>
                <w:color w:val="auto"/>
                <w:kern w:val="0"/>
                <w:sz w:val="24"/>
                <w:lang w:val="en-US" w:eastAsia="zh-CN"/>
              </w:rPr>
              <w:t>采用金烨钢铁集团富余高炉煤气</w:t>
            </w:r>
            <w:r>
              <w:rPr>
                <w:color w:val="auto"/>
                <w:kern w:val="0"/>
                <w:sz w:val="24"/>
              </w:rPr>
              <w:t>，</w:t>
            </w:r>
            <w:r>
              <w:rPr>
                <w:rFonts w:hint="eastAsia"/>
                <w:color w:val="auto"/>
                <w:kern w:val="0"/>
                <w:sz w:val="24"/>
                <w:lang w:val="en-US" w:eastAsia="zh-CN"/>
              </w:rPr>
              <w:t>提高了资源利用率。</w:t>
            </w:r>
            <w:r>
              <w:rPr>
                <w:color w:val="auto"/>
                <w:kern w:val="0"/>
                <w:sz w:val="24"/>
              </w:rPr>
              <w:t>项目</w:t>
            </w:r>
            <w:r>
              <w:rPr>
                <w:rFonts w:hint="eastAsia"/>
                <w:color w:val="auto"/>
                <w:kern w:val="0"/>
                <w:sz w:val="24"/>
                <w:lang w:val="en-US" w:eastAsia="zh-CN"/>
              </w:rPr>
              <w:t>建设于金烨钢铁集团厂区内，利用闲置空地，</w:t>
            </w:r>
            <w:r>
              <w:rPr>
                <w:rFonts w:hint="eastAsia"/>
                <w:color w:val="auto"/>
                <w:kern w:val="0"/>
                <w:sz w:val="24"/>
              </w:rPr>
              <w:t>不涉及新增占地</w:t>
            </w:r>
            <w:r>
              <w:rPr>
                <w:rFonts w:hint="eastAsia"/>
                <w:color w:val="auto"/>
                <w:kern w:val="0"/>
                <w:sz w:val="24"/>
                <w:lang w:eastAsia="zh-CN"/>
              </w:rPr>
              <w:t>。</w:t>
            </w:r>
            <w:r>
              <w:rPr>
                <w:color w:val="auto"/>
                <w:kern w:val="0"/>
                <w:sz w:val="24"/>
              </w:rPr>
              <w:t>营运过程中消耗一定量的水资源等，不属于高耗水产业，项目资源消耗量相对区域资源利用总量较少。</w:t>
            </w:r>
          </w:p>
          <w:p w14:paraId="3FC2C39C">
            <w:pPr>
              <w:autoSpaceDE w:val="0"/>
              <w:autoSpaceDN w:val="0"/>
              <w:adjustRightInd w:val="0"/>
              <w:snapToGrid w:val="0"/>
              <w:spacing w:line="360" w:lineRule="auto"/>
              <w:ind w:firstLine="480" w:firstLineChars="200"/>
              <w:jc w:val="left"/>
              <w:rPr>
                <w:color w:val="auto"/>
                <w:kern w:val="0"/>
                <w:sz w:val="24"/>
              </w:rPr>
            </w:pPr>
            <w:r>
              <w:rPr>
                <w:rFonts w:hint="eastAsia"/>
                <w:color w:val="auto"/>
                <w:kern w:val="0"/>
                <w:sz w:val="24"/>
              </w:rPr>
              <w:t>本</w:t>
            </w:r>
            <w:r>
              <w:rPr>
                <w:color w:val="auto"/>
                <w:kern w:val="0"/>
                <w:sz w:val="24"/>
              </w:rPr>
              <w:t>项目建成后，通过内部管理</w:t>
            </w:r>
            <w:r>
              <w:rPr>
                <w:rFonts w:hint="eastAsia"/>
                <w:color w:val="auto"/>
                <w:kern w:val="0"/>
                <w:sz w:val="24"/>
              </w:rPr>
              <w:t>严格控制资源消耗，杜绝资源浪费，</w:t>
            </w:r>
            <w:r>
              <w:rPr>
                <w:color w:val="auto"/>
                <w:kern w:val="0"/>
                <w:sz w:val="24"/>
              </w:rPr>
              <w:t>符合资源利用上线的要求。</w:t>
            </w:r>
          </w:p>
          <w:p w14:paraId="568BBACA">
            <w:pPr>
              <w:autoSpaceDE w:val="0"/>
              <w:autoSpaceDN w:val="0"/>
              <w:adjustRightInd w:val="0"/>
              <w:snapToGrid w:val="0"/>
              <w:spacing w:line="360" w:lineRule="auto"/>
              <w:jc w:val="left"/>
              <w:rPr>
                <w:color w:val="auto"/>
                <w:kern w:val="0"/>
                <w:sz w:val="24"/>
              </w:rPr>
            </w:pPr>
            <w:r>
              <w:rPr>
                <w:color w:val="auto"/>
                <w:kern w:val="0"/>
                <w:sz w:val="24"/>
              </w:rPr>
              <w:t>（4）与</w:t>
            </w:r>
            <w:r>
              <w:rPr>
                <w:rFonts w:hint="eastAsia"/>
                <w:color w:val="auto"/>
                <w:kern w:val="0"/>
                <w:sz w:val="24"/>
                <w:lang w:val="en-US" w:eastAsia="zh-CN"/>
              </w:rPr>
              <w:t>生态环境准入</w:t>
            </w:r>
            <w:r>
              <w:rPr>
                <w:color w:val="auto"/>
                <w:kern w:val="0"/>
                <w:sz w:val="24"/>
              </w:rPr>
              <w:t>清单的符合性分析</w:t>
            </w:r>
          </w:p>
          <w:p w14:paraId="2F39AA2B">
            <w:pPr>
              <w:pStyle w:val="62"/>
              <w:spacing w:line="360" w:lineRule="auto"/>
              <w:ind w:firstLine="480" w:firstLineChars="200"/>
              <w:contextualSpacing/>
              <w:jc w:val="left"/>
              <w:rPr>
                <w:rFonts w:hint="default" w:eastAsia="宋体"/>
                <w:bCs w:val="0"/>
                <w:color w:val="auto"/>
                <w:kern w:val="0"/>
                <w:sz w:val="24"/>
                <w:szCs w:val="24"/>
                <w:lang w:val="en-US" w:eastAsia="zh-CN"/>
              </w:rPr>
            </w:pPr>
            <w:r>
              <w:rPr>
                <w:rFonts w:eastAsia="宋体"/>
                <w:bCs w:val="0"/>
                <w:color w:val="auto"/>
                <w:kern w:val="0"/>
                <w:sz w:val="24"/>
                <w:szCs w:val="24"/>
              </w:rPr>
              <w:t>本项目为</w:t>
            </w:r>
            <w:r>
              <w:rPr>
                <w:rFonts w:hint="eastAsia" w:eastAsia="宋体"/>
                <w:bCs w:val="0"/>
                <w:color w:val="auto"/>
                <w:kern w:val="0"/>
                <w:sz w:val="24"/>
                <w:szCs w:val="24"/>
              </w:rPr>
              <w:t>余气发电项目</w:t>
            </w:r>
            <w:r>
              <w:rPr>
                <w:rFonts w:eastAsia="宋体"/>
                <w:bCs w:val="0"/>
                <w:color w:val="auto"/>
                <w:kern w:val="0"/>
                <w:sz w:val="24"/>
                <w:szCs w:val="24"/>
              </w:rPr>
              <w:t>，根据国家发展和改革委员会令第7号《产业结构调整指导目录</w:t>
            </w:r>
            <w:r>
              <w:rPr>
                <w:rFonts w:hint="eastAsia" w:eastAsia="宋体"/>
                <w:bCs w:val="0"/>
                <w:color w:val="auto"/>
                <w:kern w:val="0"/>
                <w:sz w:val="24"/>
                <w:szCs w:val="24"/>
              </w:rPr>
              <w:t>（</w:t>
            </w:r>
            <w:r>
              <w:rPr>
                <w:rFonts w:eastAsia="宋体"/>
                <w:bCs w:val="0"/>
                <w:color w:val="auto"/>
                <w:kern w:val="0"/>
                <w:sz w:val="24"/>
                <w:szCs w:val="24"/>
              </w:rPr>
              <w:t>2024年本</w:t>
            </w:r>
            <w:r>
              <w:rPr>
                <w:rFonts w:hint="eastAsia" w:eastAsia="宋体"/>
                <w:bCs w:val="0"/>
                <w:color w:val="auto"/>
                <w:kern w:val="0"/>
                <w:sz w:val="24"/>
                <w:szCs w:val="24"/>
              </w:rPr>
              <w:t>）</w:t>
            </w:r>
            <w:r>
              <w:rPr>
                <w:rFonts w:eastAsia="宋体"/>
                <w:bCs w:val="0"/>
                <w:color w:val="auto"/>
                <w:kern w:val="0"/>
                <w:sz w:val="24"/>
                <w:szCs w:val="24"/>
              </w:rPr>
              <w:t>》中的相关规定，本项目</w:t>
            </w:r>
            <w:r>
              <w:rPr>
                <w:rFonts w:hint="eastAsia" w:eastAsia="宋体"/>
                <w:bCs w:val="0"/>
                <w:color w:val="auto"/>
                <w:kern w:val="0"/>
                <w:sz w:val="24"/>
                <w:szCs w:val="24"/>
                <w:lang w:val="en-US" w:eastAsia="zh-CN"/>
              </w:rPr>
              <w:t>属于鼓励类中“八、钢铁</w:t>
            </w:r>
            <w:r>
              <w:rPr>
                <w:rFonts w:ascii="宋体" w:hAnsi="宋体" w:eastAsia="宋体" w:cs="宋体"/>
                <w:sz w:val="24"/>
                <w:szCs w:val="24"/>
              </w:rPr>
              <w:t>5．钢铁、焦化、铁合金行业超低排放技术，以及副产物</w:t>
            </w:r>
            <w:r>
              <w:rPr>
                <w:rFonts w:hint="eastAsia" w:ascii="宋体" w:hAnsi="宋体" w:eastAsia="宋体" w:cs="宋体"/>
                <w:sz w:val="24"/>
                <w:szCs w:val="24"/>
                <w:lang w:eastAsia="zh-CN"/>
              </w:rPr>
              <w:t>资源化</w:t>
            </w:r>
            <w:r>
              <w:rPr>
                <w:rFonts w:ascii="宋体" w:hAnsi="宋体" w:eastAsia="宋体" w:cs="宋体"/>
                <w:sz w:val="24"/>
                <w:szCs w:val="24"/>
              </w:rPr>
              <w:t>、再利用化</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项目为鼓励类，符合生态环境准入清单。</w:t>
            </w:r>
          </w:p>
          <w:p w14:paraId="63973DDD">
            <w:pPr>
              <w:autoSpaceDE w:val="0"/>
              <w:autoSpaceDN w:val="0"/>
              <w:adjustRightInd w:val="0"/>
              <w:snapToGrid w:val="0"/>
              <w:spacing w:line="360" w:lineRule="auto"/>
              <w:ind w:firstLine="480" w:firstLineChars="200"/>
              <w:jc w:val="left"/>
              <w:rPr>
                <w:color w:val="auto"/>
                <w:kern w:val="0"/>
                <w:sz w:val="24"/>
              </w:rPr>
            </w:pPr>
            <w:r>
              <w:rPr>
                <w:color w:val="auto"/>
                <w:kern w:val="0"/>
                <w:sz w:val="24"/>
              </w:rPr>
              <w:t>综上，本项目符合“三线一单”的要求。</w:t>
            </w:r>
            <w:bookmarkStart w:id="19" w:name="_GoBack"/>
            <w:bookmarkEnd w:id="19"/>
          </w:p>
          <w:p w14:paraId="718DA35B">
            <w:pPr>
              <w:pStyle w:val="9"/>
              <w:rPr>
                <w:color w:val="auto"/>
                <w:kern w:val="0"/>
                <w:sz w:val="24"/>
              </w:rPr>
            </w:pPr>
          </w:p>
          <w:p w14:paraId="2E501F78">
            <w:pPr>
              <w:pStyle w:val="9"/>
              <w:rPr>
                <w:color w:val="auto"/>
                <w:kern w:val="0"/>
                <w:sz w:val="24"/>
              </w:rPr>
            </w:pPr>
          </w:p>
          <w:p w14:paraId="37301AAE">
            <w:pPr>
              <w:pStyle w:val="62"/>
              <w:spacing w:line="360" w:lineRule="auto"/>
              <w:ind w:firstLine="0"/>
              <w:contextualSpacing/>
              <w:rPr>
                <w:rFonts w:hint="eastAsia" w:ascii="Times New Roman" w:hAnsi="Times New Roman" w:eastAsia="宋体" w:cs="Times New Roman"/>
                <w:b/>
                <w:bCs/>
                <w:kern w:val="0"/>
                <w:sz w:val="24"/>
                <w:highlight w:val="none"/>
                <w:lang w:val="en-US" w:eastAsia="zh-CN"/>
              </w:rPr>
            </w:pPr>
            <w:r>
              <w:rPr>
                <w:color w:val="auto"/>
                <w:kern w:val="0"/>
                <w:sz w:val="24"/>
                <w:szCs w:val="24"/>
              </w:rPr>
              <w:t>3</w:t>
            </w:r>
            <w:r>
              <w:rPr>
                <w:rFonts w:eastAsia="宋体"/>
                <w:bCs w:val="0"/>
                <w:color w:val="auto"/>
                <w:kern w:val="0"/>
                <w:sz w:val="24"/>
                <w:szCs w:val="24"/>
              </w:rPr>
              <w:t>、</w:t>
            </w:r>
            <w:r>
              <w:rPr>
                <w:rFonts w:hint="eastAsia" w:ascii="Times New Roman" w:hAnsi="Times New Roman" w:eastAsia="宋体" w:cs="Times New Roman"/>
                <w:b/>
                <w:bCs/>
                <w:kern w:val="0"/>
                <w:sz w:val="24"/>
                <w:highlight w:val="none"/>
                <w:lang w:val="en-US" w:eastAsia="zh-CN"/>
              </w:rPr>
              <w:t>壶关县国土空间总体规划</w:t>
            </w:r>
          </w:p>
          <w:p w14:paraId="7B330ED6">
            <w:pPr>
              <w:keepNext w:val="0"/>
              <w:keepLines w:val="0"/>
              <w:pageBreakBefore w:val="0"/>
              <w:widowControl/>
              <w:kinsoku/>
              <w:wordWrap/>
              <w:overflowPunct/>
              <w:topLinePunct w:val="0"/>
              <w:autoSpaceDE/>
              <w:autoSpaceDN/>
              <w:bidi w:val="0"/>
              <w:adjustRightInd/>
              <w:snapToGrid/>
              <w:spacing w:line="336" w:lineRule="auto"/>
              <w:ind w:firstLine="480" w:firstLineChars="200"/>
              <w:jc w:val="both"/>
              <w:textAlignment w:val="auto"/>
              <w:rPr>
                <w:rFonts w:hint="default"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w:t>
            </w:r>
            <w:r>
              <w:rPr>
                <w:rFonts w:hint="default" w:ascii="Times New Roman" w:hAnsi="Times New Roman" w:eastAsia="宋体" w:cs="Times New Roman"/>
                <w:color w:val="auto"/>
                <w:kern w:val="2"/>
                <w:sz w:val="24"/>
                <w:szCs w:val="22"/>
                <w:highlight w:val="none"/>
                <w:lang w:val="en-US" w:eastAsia="zh-CN" w:bidi="ar-SA"/>
              </w:rPr>
              <w:t>1</w:t>
            </w:r>
            <w:r>
              <w:rPr>
                <w:rFonts w:hint="eastAsia" w:ascii="Times New Roman" w:hAnsi="Times New Roman" w:eastAsia="宋体" w:cs="Times New Roman"/>
                <w:color w:val="auto"/>
                <w:kern w:val="2"/>
                <w:sz w:val="24"/>
                <w:szCs w:val="22"/>
                <w:highlight w:val="none"/>
                <w:lang w:val="en-US" w:eastAsia="zh-CN" w:bidi="ar-SA"/>
              </w:rPr>
              <w:t>）</w:t>
            </w:r>
            <w:r>
              <w:rPr>
                <w:rFonts w:hint="default" w:ascii="Times New Roman" w:hAnsi="Times New Roman" w:eastAsia="宋体" w:cs="Times New Roman"/>
                <w:color w:val="auto"/>
                <w:kern w:val="2"/>
                <w:sz w:val="24"/>
                <w:szCs w:val="22"/>
                <w:highlight w:val="none"/>
                <w:lang w:val="en-US" w:eastAsia="zh-CN" w:bidi="ar-SA"/>
              </w:rPr>
              <w:t>规划范围</w:t>
            </w:r>
          </w:p>
          <w:p w14:paraId="21AA98B4">
            <w:pPr>
              <w:keepNext w:val="0"/>
              <w:keepLines w:val="0"/>
              <w:pageBreakBefore w:val="0"/>
              <w:widowControl/>
              <w:kinsoku/>
              <w:wordWrap/>
              <w:overflowPunct/>
              <w:topLinePunct w:val="0"/>
              <w:autoSpaceDE/>
              <w:autoSpaceDN/>
              <w:bidi w:val="0"/>
              <w:adjustRightInd/>
              <w:snapToGrid/>
              <w:spacing w:line="336" w:lineRule="auto"/>
              <w:ind w:firstLine="480" w:firstLineChars="200"/>
              <w:jc w:val="both"/>
              <w:textAlignment w:val="auto"/>
              <w:rPr>
                <w:rFonts w:hint="default"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highlight w:val="none"/>
                <w:lang w:val="en-US" w:eastAsia="zh-CN" w:bidi="ar-SA"/>
              </w:rPr>
              <w:t>规划范围为壶关县行政辖区内全部地域，辖七个镇，三个乡。</w:t>
            </w:r>
          </w:p>
          <w:p w14:paraId="2F3C93EF">
            <w:pPr>
              <w:keepNext w:val="0"/>
              <w:keepLines w:val="0"/>
              <w:pageBreakBefore w:val="0"/>
              <w:widowControl/>
              <w:kinsoku/>
              <w:wordWrap/>
              <w:overflowPunct/>
              <w:topLinePunct w:val="0"/>
              <w:autoSpaceDE/>
              <w:autoSpaceDN/>
              <w:bidi w:val="0"/>
              <w:adjustRightInd/>
              <w:snapToGrid/>
              <w:spacing w:line="336" w:lineRule="auto"/>
              <w:ind w:firstLine="480" w:firstLineChars="200"/>
              <w:jc w:val="both"/>
              <w:textAlignment w:val="auto"/>
              <w:rPr>
                <w:rFonts w:hint="default"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（2）</w:t>
            </w:r>
            <w:r>
              <w:rPr>
                <w:rFonts w:hint="default" w:ascii="Times New Roman" w:hAnsi="Times New Roman" w:eastAsia="宋体" w:cs="Times New Roman"/>
                <w:color w:val="auto"/>
                <w:kern w:val="2"/>
                <w:sz w:val="24"/>
                <w:szCs w:val="22"/>
                <w:highlight w:val="none"/>
                <w:lang w:val="en-US" w:eastAsia="zh-CN" w:bidi="ar-SA"/>
              </w:rPr>
              <w:t>规划期限</w:t>
            </w:r>
          </w:p>
          <w:p w14:paraId="33851CEE">
            <w:pPr>
              <w:keepNext w:val="0"/>
              <w:keepLines w:val="0"/>
              <w:pageBreakBefore w:val="0"/>
              <w:widowControl/>
              <w:kinsoku/>
              <w:wordWrap/>
              <w:overflowPunct/>
              <w:topLinePunct w:val="0"/>
              <w:autoSpaceDE/>
              <w:autoSpaceDN/>
              <w:bidi w:val="0"/>
              <w:adjustRightInd/>
              <w:snapToGrid/>
              <w:spacing w:line="336" w:lineRule="auto"/>
              <w:ind w:firstLine="480" w:firstLineChars="200"/>
              <w:jc w:val="both"/>
              <w:textAlignment w:val="auto"/>
              <w:rPr>
                <w:rFonts w:hint="default"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highlight w:val="none"/>
                <w:lang w:val="en-US" w:eastAsia="zh-CN" w:bidi="ar-SA"/>
              </w:rPr>
              <w:t>规划期限为2021年至2035年，基期年为2020年，近期至2025年，目标年为2035年，远景展望至2050年。</w:t>
            </w:r>
          </w:p>
          <w:p w14:paraId="6D827867">
            <w:pPr>
              <w:keepNext w:val="0"/>
              <w:keepLines w:val="0"/>
              <w:pageBreakBefore w:val="0"/>
              <w:widowControl/>
              <w:kinsoku/>
              <w:wordWrap/>
              <w:overflowPunct/>
              <w:topLinePunct w:val="0"/>
              <w:autoSpaceDE/>
              <w:autoSpaceDN/>
              <w:bidi w:val="0"/>
              <w:adjustRightInd/>
              <w:snapToGrid/>
              <w:spacing w:line="336" w:lineRule="auto"/>
              <w:ind w:firstLine="480" w:firstLineChars="200"/>
              <w:jc w:val="both"/>
              <w:textAlignment w:val="auto"/>
              <w:rPr>
                <w:rFonts w:hint="default" w:ascii="Times New Roman" w:hAnsi="Times New Roman" w:eastAsia="宋体" w:cs="Times New Roman"/>
                <w:color w:val="auto"/>
                <w:kern w:val="2"/>
                <w:sz w:val="24"/>
                <w:szCs w:val="22"/>
                <w:highlight w:val="none"/>
                <w:lang w:val="en-US" w:eastAsia="zh-CN" w:bidi="ar-SA"/>
              </w:rPr>
            </w:pPr>
            <w:bookmarkStart w:id="1" w:name="OLE_LINK107"/>
            <w:r>
              <w:rPr>
                <w:rFonts w:hint="eastAsia" w:ascii="Times New Roman" w:hAnsi="Times New Roman" w:eastAsia="宋体" w:cs="Times New Roman"/>
                <w:color w:val="auto"/>
                <w:kern w:val="2"/>
                <w:sz w:val="24"/>
                <w:szCs w:val="22"/>
                <w:highlight w:val="none"/>
                <w:lang w:val="en-US" w:eastAsia="zh-CN" w:bidi="ar-SA"/>
              </w:rPr>
              <w:t>（3）</w:t>
            </w:r>
            <w:bookmarkEnd w:id="1"/>
            <w:r>
              <w:rPr>
                <w:rFonts w:hint="eastAsia" w:ascii="Times New Roman" w:hAnsi="Times New Roman" w:eastAsia="宋体" w:cs="Times New Roman"/>
                <w:color w:val="auto"/>
                <w:kern w:val="2"/>
                <w:sz w:val="24"/>
                <w:szCs w:val="22"/>
                <w:highlight w:val="none"/>
                <w:lang w:val="en-US" w:eastAsia="zh-CN" w:bidi="ar-SA"/>
              </w:rPr>
              <w:t>三条控制线</w:t>
            </w:r>
          </w:p>
          <w:p w14:paraId="5DC14BA7">
            <w:pPr>
              <w:keepNext w:val="0"/>
              <w:keepLines w:val="0"/>
              <w:pageBreakBefore w:val="0"/>
              <w:widowControl/>
              <w:kinsoku/>
              <w:wordWrap/>
              <w:overflowPunct/>
              <w:topLinePunct w:val="0"/>
              <w:autoSpaceDE/>
              <w:autoSpaceDN/>
              <w:bidi w:val="0"/>
              <w:adjustRightInd/>
              <w:snapToGrid/>
              <w:spacing w:line="336" w:lineRule="auto"/>
              <w:ind w:firstLine="480" w:firstLineChars="200"/>
              <w:jc w:val="both"/>
              <w:textAlignment w:val="auto"/>
              <w:rPr>
                <w:rFonts w:hint="default"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highlight w:val="none"/>
                <w:lang w:val="en-US" w:eastAsia="zh-CN" w:bidi="ar-SA"/>
              </w:rPr>
              <w:t>①严格保护永久基本农田：永久基本农田面积不低于现行总规确定的35.44万亩的保护任务，主要分布在龙泉镇、晋庄镇、黄山乡、店上镇和百尺镇。</w:t>
            </w:r>
          </w:p>
          <w:p w14:paraId="762E449E">
            <w:pPr>
              <w:keepNext w:val="0"/>
              <w:keepLines w:val="0"/>
              <w:pageBreakBefore w:val="0"/>
              <w:widowControl/>
              <w:kinsoku/>
              <w:wordWrap/>
              <w:overflowPunct/>
              <w:topLinePunct w:val="0"/>
              <w:autoSpaceDE/>
              <w:autoSpaceDN/>
              <w:bidi w:val="0"/>
              <w:adjustRightInd/>
              <w:snapToGrid/>
              <w:spacing w:line="336" w:lineRule="auto"/>
              <w:ind w:firstLine="480" w:firstLineChars="200"/>
              <w:jc w:val="both"/>
              <w:textAlignment w:val="auto"/>
              <w:rPr>
                <w:rFonts w:hint="default"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highlight w:val="none"/>
                <w:lang w:val="en-US" w:eastAsia="zh-CN" w:bidi="ar-SA"/>
              </w:rPr>
              <w:t>②落实保护生态保护红线：全县划定生态保护红线面积为37075.24公顷，占土地总面积的36.79%，主要分布在大峡谷镇、树掌镇、石坡乡和东井岭乡，主要为重要水源涵养区。</w:t>
            </w:r>
          </w:p>
          <w:p w14:paraId="6C278BE2">
            <w:pPr>
              <w:keepNext w:val="0"/>
              <w:keepLines w:val="0"/>
              <w:pageBreakBefore w:val="0"/>
              <w:widowControl/>
              <w:kinsoku/>
              <w:wordWrap/>
              <w:overflowPunct/>
              <w:topLinePunct w:val="0"/>
              <w:autoSpaceDE/>
              <w:autoSpaceDN/>
              <w:bidi w:val="0"/>
              <w:adjustRightInd/>
              <w:snapToGrid/>
              <w:spacing w:line="336" w:lineRule="auto"/>
              <w:ind w:firstLine="480" w:firstLineChars="200"/>
              <w:jc w:val="both"/>
              <w:textAlignment w:val="auto"/>
              <w:rPr>
                <w:rFonts w:hint="default"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highlight w:val="none"/>
                <w:lang w:val="en-US" w:eastAsia="zh-CN" w:bidi="ar-SA"/>
              </w:rPr>
              <w:t>③科学划定城镇开发边界：全县划定城镇开发边界面积为1985.77公顷，占县域面积的1.97%，主要分布在中心城区、集店镇、大峡谷镇、百尺镇、店上镇、晋庄镇和树掌镇。</w:t>
            </w:r>
          </w:p>
          <w:p w14:paraId="629B4E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本项目位于</w:t>
            </w:r>
            <w:r>
              <w:rPr>
                <w:rFonts w:hint="eastAsia" w:eastAsia="宋体"/>
                <w:sz w:val="24"/>
                <w:highlight w:val="none"/>
                <w:lang w:eastAsia="zh-CN"/>
              </w:rPr>
              <w:t>山西省长治市壶关经济开发区金烨钢铁集团有限公司钢铁冶炼生产厂区内</w:t>
            </w:r>
            <w:r>
              <w:rPr>
                <w:rFonts w:hint="default" w:ascii="Times New Roman" w:hAnsi="Times New Roman" w:eastAsia="宋体" w:cs="Times New Roman"/>
                <w:color w:val="auto"/>
                <w:kern w:val="2"/>
                <w:sz w:val="24"/>
                <w:szCs w:val="22"/>
                <w:highlight w:val="none"/>
                <w:lang w:val="en-US" w:eastAsia="zh-CN" w:bidi="ar-SA"/>
              </w:rPr>
              <w:t>，不位于壶关县国土空间总体规划的永久基本农田保护线、生态保护红线</w:t>
            </w:r>
            <w:r>
              <w:rPr>
                <w:rFonts w:hint="eastAsia" w:ascii="Times New Roman" w:hAnsi="Times New Roman" w:eastAsia="宋体" w:cs="Times New Roman"/>
                <w:color w:val="auto"/>
                <w:kern w:val="2"/>
                <w:sz w:val="24"/>
                <w:szCs w:val="22"/>
                <w:highlight w:val="none"/>
                <w:lang w:val="en-US" w:eastAsia="zh-CN" w:bidi="ar-SA"/>
              </w:rPr>
              <w:t>内，位于</w:t>
            </w:r>
            <w:r>
              <w:rPr>
                <w:rFonts w:hint="default" w:ascii="Times New Roman" w:hAnsi="Times New Roman" w:eastAsia="宋体" w:cs="Times New Roman"/>
                <w:color w:val="auto"/>
                <w:kern w:val="2"/>
                <w:sz w:val="24"/>
                <w:szCs w:val="22"/>
                <w:highlight w:val="none"/>
                <w:lang w:val="en-US" w:eastAsia="zh-CN" w:bidi="ar-SA"/>
              </w:rPr>
              <w:t>城镇开发边界</w:t>
            </w:r>
            <w:r>
              <w:rPr>
                <w:rFonts w:hint="eastAsia" w:ascii="Times New Roman" w:hAnsi="Times New Roman" w:eastAsia="宋体" w:cs="Times New Roman"/>
                <w:color w:val="auto"/>
                <w:kern w:val="2"/>
                <w:sz w:val="24"/>
                <w:szCs w:val="22"/>
                <w:highlight w:val="none"/>
                <w:lang w:val="en-US" w:eastAsia="zh-CN" w:bidi="ar-SA"/>
              </w:rPr>
              <w:t>范围</w:t>
            </w:r>
            <w:r>
              <w:rPr>
                <w:rFonts w:hint="default" w:ascii="Times New Roman" w:hAnsi="Times New Roman" w:eastAsia="宋体" w:cs="Times New Roman"/>
                <w:color w:val="auto"/>
                <w:kern w:val="2"/>
                <w:sz w:val="24"/>
                <w:szCs w:val="22"/>
                <w:highlight w:val="none"/>
                <w:lang w:val="en-US" w:eastAsia="zh-CN" w:bidi="ar-SA"/>
              </w:rPr>
              <w:t>内，符合壶关县国土空间总体规划的要求，</w:t>
            </w:r>
            <w:r>
              <w:rPr>
                <w:rFonts w:ascii="Times New Roman" w:hAnsi="Times New Roman" w:eastAsia="宋体" w:cs="Times New Roman"/>
                <w:color w:val="auto"/>
                <w:sz w:val="24"/>
                <w:szCs w:val="24"/>
                <w:highlight w:val="none"/>
              </w:rPr>
              <w:t>项目与</w:t>
            </w:r>
            <w:r>
              <w:rPr>
                <w:rFonts w:hint="eastAsia" w:ascii="Times New Roman" w:hAnsi="Times New Roman" w:eastAsia="宋体" w:cs="Times New Roman"/>
                <w:color w:val="auto"/>
                <w:sz w:val="24"/>
                <w:szCs w:val="24"/>
                <w:highlight w:val="none"/>
              </w:rPr>
              <w:t>壶关县</w:t>
            </w:r>
            <w:r>
              <w:rPr>
                <w:rFonts w:ascii="Times New Roman" w:hAnsi="Times New Roman" w:eastAsia="宋体" w:cs="Times New Roman"/>
                <w:color w:val="auto"/>
                <w:sz w:val="24"/>
                <w:szCs w:val="24"/>
                <w:highlight w:val="none"/>
              </w:rPr>
              <w:t>国土空间</w:t>
            </w:r>
            <w:r>
              <w:rPr>
                <w:rFonts w:hint="eastAsia" w:ascii="Times New Roman" w:hAnsi="Times New Roman" w:eastAsia="宋体" w:cs="Times New Roman"/>
                <w:color w:val="auto"/>
                <w:sz w:val="24"/>
                <w:szCs w:val="24"/>
                <w:highlight w:val="none"/>
                <w:lang w:val="en-US" w:eastAsia="zh-CN"/>
              </w:rPr>
              <w:t>三条控制线</w:t>
            </w:r>
            <w:r>
              <w:rPr>
                <w:rFonts w:ascii="Times New Roman" w:hAnsi="Times New Roman" w:eastAsia="宋体" w:cs="Times New Roman"/>
                <w:color w:val="auto"/>
                <w:sz w:val="24"/>
                <w:szCs w:val="24"/>
                <w:highlight w:val="none"/>
              </w:rPr>
              <w:t>位置关系图见附图</w:t>
            </w:r>
            <w:r>
              <w:rPr>
                <w:rFonts w:hint="eastAsia" w:ascii="Times New Roman" w:hAnsi="Times New Roman" w:eastAsia="宋体" w:cs="Times New Roman"/>
                <w:color w:val="auto"/>
                <w:sz w:val="24"/>
                <w:szCs w:val="24"/>
                <w:highlight w:val="none"/>
                <w:lang w:val="en-US" w:eastAsia="zh-CN"/>
              </w:rPr>
              <w:t>6</w:t>
            </w:r>
            <w:r>
              <w:rPr>
                <w:rFonts w:hint="eastAsia" w:ascii="Times New Roman" w:hAnsi="Times New Roman" w:eastAsia="宋体" w:cs="Times New Roman"/>
                <w:color w:val="auto"/>
                <w:sz w:val="24"/>
                <w:szCs w:val="24"/>
                <w:highlight w:val="none"/>
              </w:rPr>
              <w:t>。</w:t>
            </w:r>
          </w:p>
          <w:p w14:paraId="4949E95E">
            <w:pPr>
              <w:pStyle w:val="62"/>
              <w:numPr>
                <w:ilvl w:val="0"/>
                <w:numId w:val="0"/>
              </w:numPr>
              <w:spacing w:line="360" w:lineRule="auto"/>
              <w:ind w:left="0" w:leftChars="0" w:firstLine="0" w:firstLineChars="0"/>
              <w:contextualSpacing/>
              <w:rPr>
                <w:rFonts w:hint="default" w:ascii="Times New Roman" w:hAnsi="Times New Roman" w:eastAsia="宋体" w:cs="Times New Roman"/>
                <w:bCs w:val="0"/>
                <w:color w:val="auto"/>
                <w:kern w:val="0"/>
                <w:sz w:val="24"/>
                <w:szCs w:val="24"/>
                <w:lang w:val="en-US" w:eastAsia="zh-CN" w:bidi="ar-SA"/>
              </w:rPr>
            </w:pPr>
            <w:r>
              <w:rPr>
                <w:rFonts w:hint="eastAsia" w:eastAsia="宋体" w:cs="Times New Roman"/>
                <w:bCs w:val="0"/>
                <w:color w:val="auto"/>
                <w:kern w:val="0"/>
                <w:sz w:val="24"/>
                <w:szCs w:val="24"/>
                <w:lang w:val="en-US" w:eastAsia="zh-CN" w:bidi="ar-SA"/>
              </w:rPr>
              <w:t>4</w:t>
            </w:r>
            <w:r>
              <w:rPr>
                <w:rFonts w:hint="default" w:ascii="Times New Roman" w:hAnsi="Times New Roman" w:eastAsia="宋体" w:cs="Times New Roman"/>
                <w:bCs w:val="0"/>
                <w:color w:val="auto"/>
                <w:kern w:val="0"/>
                <w:sz w:val="24"/>
                <w:szCs w:val="24"/>
                <w:lang w:val="en-US" w:eastAsia="zh-CN" w:bidi="ar-SA"/>
              </w:rPr>
              <w:t>、选址合理性分析</w:t>
            </w:r>
          </w:p>
          <w:p w14:paraId="022F1D83">
            <w:pPr>
              <w:keepNext w:val="0"/>
              <w:keepLines w:val="0"/>
              <w:pageBreakBefore w:val="0"/>
              <w:widowControl/>
              <w:kinsoku/>
              <w:wordWrap/>
              <w:overflowPunct/>
              <w:topLinePunct w:val="0"/>
              <w:autoSpaceDE/>
              <w:autoSpaceDN/>
              <w:bidi w:val="0"/>
              <w:adjustRightInd/>
              <w:snapToGrid/>
              <w:spacing w:line="336" w:lineRule="auto"/>
              <w:ind w:firstLine="480" w:firstLineChars="200"/>
              <w:jc w:val="both"/>
              <w:textAlignment w:val="auto"/>
              <w:rPr>
                <w:rFonts w:hint="default"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highlight w:val="none"/>
                <w:lang w:val="en-US" w:eastAsia="zh-CN" w:bidi="ar-SA"/>
              </w:rPr>
              <w:t>本项目选址</w:t>
            </w:r>
            <w:r>
              <w:rPr>
                <w:rFonts w:hint="eastAsia" w:ascii="Times New Roman" w:hAnsi="Times New Roman" w:eastAsia="宋体" w:cs="Times New Roman"/>
                <w:color w:val="auto"/>
                <w:kern w:val="2"/>
                <w:sz w:val="24"/>
                <w:szCs w:val="22"/>
                <w:highlight w:val="none"/>
                <w:lang w:val="en-US" w:eastAsia="zh-CN" w:bidi="ar-SA"/>
              </w:rPr>
              <w:t>位于山西省长治市壶关经济开发区金烨钢铁集团有限公司钢铁冶炼生产厂区内，利用厂区内闲置空地，</w:t>
            </w:r>
            <w:r>
              <w:rPr>
                <w:rFonts w:hint="default" w:ascii="Times New Roman" w:hAnsi="Times New Roman" w:eastAsia="宋体" w:cs="Times New Roman"/>
                <w:color w:val="auto"/>
                <w:kern w:val="2"/>
                <w:sz w:val="24"/>
                <w:szCs w:val="22"/>
                <w:highlight w:val="none"/>
                <w:lang w:val="en-US" w:eastAsia="zh-CN" w:bidi="ar-SA"/>
              </w:rPr>
              <w:t>占地面积</w:t>
            </w:r>
            <w:r>
              <w:rPr>
                <w:rFonts w:hint="eastAsia" w:cs="Times New Roman"/>
                <w:color w:val="auto"/>
                <w:kern w:val="2"/>
                <w:sz w:val="24"/>
                <w:szCs w:val="22"/>
                <w:highlight w:val="none"/>
                <w:lang w:val="en-US" w:eastAsia="zh-CN" w:bidi="ar-SA"/>
              </w:rPr>
              <w:t>40</w:t>
            </w:r>
            <w:r>
              <w:rPr>
                <w:rFonts w:hint="eastAsia" w:ascii="Times New Roman" w:hAnsi="Times New Roman" w:eastAsia="宋体" w:cs="Times New Roman"/>
                <w:color w:val="auto"/>
                <w:kern w:val="2"/>
                <w:sz w:val="24"/>
                <w:szCs w:val="22"/>
                <w:highlight w:val="none"/>
                <w:lang w:val="en-US" w:eastAsia="zh-CN" w:bidi="ar-SA"/>
              </w:rPr>
              <w:t>00</w:t>
            </w:r>
            <w:r>
              <w:rPr>
                <w:rFonts w:hint="default" w:ascii="Times New Roman" w:hAnsi="Times New Roman" w:eastAsia="宋体" w:cs="Times New Roman"/>
                <w:color w:val="auto"/>
                <w:kern w:val="2"/>
                <w:sz w:val="24"/>
                <w:szCs w:val="22"/>
                <w:highlight w:val="none"/>
                <w:lang w:val="en-US" w:eastAsia="zh-CN" w:bidi="ar-SA"/>
              </w:rPr>
              <w:t>m</w:t>
            </w:r>
            <w:r>
              <w:rPr>
                <w:rFonts w:hint="default" w:ascii="Times New Roman" w:hAnsi="Times New Roman" w:eastAsia="宋体" w:cs="Times New Roman"/>
                <w:color w:val="auto"/>
                <w:kern w:val="2"/>
                <w:sz w:val="24"/>
                <w:szCs w:val="22"/>
                <w:highlight w:val="none"/>
                <w:vertAlign w:val="superscript"/>
                <w:lang w:val="en-US" w:eastAsia="zh-CN" w:bidi="ar-SA"/>
              </w:rPr>
              <w:t>2</w:t>
            </w:r>
            <w:r>
              <w:rPr>
                <w:rFonts w:hint="eastAsia" w:ascii="Times New Roman" w:hAnsi="Times New Roman" w:eastAsia="宋体" w:cs="Times New Roman"/>
                <w:color w:val="auto"/>
                <w:kern w:val="2"/>
                <w:sz w:val="24"/>
                <w:szCs w:val="22"/>
                <w:highlight w:val="none"/>
                <w:lang w:val="en-US" w:eastAsia="zh-CN" w:bidi="ar-SA"/>
              </w:rPr>
              <w:t>，项目占地为工业用地，利用厂区内的高炉煤气及输气管道生产，原料充足、运输便捷。本项目周边地表水为石子河，位于项目南侧760m，本项目废水全部回用，不外排，不会对地表水产生明显影响。综上，</w:t>
            </w:r>
            <w:r>
              <w:rPr>
                <w:rFonts w:hint="default" w:ascii="Times New Roman" w:hAnsi="Times New Roman" w:eastAsia="宋体" w:cs="Times New Roman"/>
                <w:color w:val="auto"/>
                <w:kern w:val="2"/>
                <w:sz w:val="24"/>
                <w:szCs w:val="22"/>
                <w:highlight w:val="none"/>
                <w:lang w:val="en-US" w:eastAsia="zh-CN" w:bidi="ar-SA"/>
              </w:rPr>
              <w:t>项目选址合理可行。</w:t>
            </w:r>
          </w:p>
          <w:p w14:paraId="2A3772BF">
            <w:pPr>
              <w:pStyle w:val="24"/>
              <w:ind w:firstLine="240"/>
              <w:rPr>
                <w:color w:val="auto"/>
                <w:sz w:val="24"/>
                <w:szCs w:val="24"/>
              </w:rPr>
            </w:pPr>
          </w:p>
        </w:tc>
      </w:tr>
    </w:tbl>
    <w:p w14:paraId="6CA2886A">
      <w:pPr>
        <w:spacing w:line="360" w:lineRule="auto"/>
        <w:outlineLvl w:val="0"/>
        <w:rPr>
          <w:rFonts w:eastAsia="黑体"/>
          <w:color w:val="auto"/>
          <w:sz w:val="30"/>
        </w:rPr>
        <w:sectPr>
          <w:footerReference r:id="rId4" w:type="default"/>
          <w:pgSz w:w="11906" w:h="16838"/>
          <w:pgMar w:top="1701" w:right="1531" w:bottom="1701" w:left="1531" w:header="851" w:footer="1077" w:gutter="0"/>
          <w:pgNumType w:start="1"/>
          <w:cols w:space="720" w:num="1"/>
          <w:docGrid w:linePitch="312" w:charSpace="0"/>
        </w:sectPr>
      </w:pPr>
    </w:p>
    <w:p w14:paraId="3160E3CE">
      <w:pPr>
        <w:pStyle w:val="22"/>
        <w:jc w:val="center"/>
        <w:outlineLvl w:val="0"/>
        <w:rPr>
          <w:rFonts w:ascii="黑体" w:hAnsi="黑体" w:eastAsia="黑体"/>
          <w:snapToGrid w:val="0"/>
          <w:color w:val="auto"/>
          <w:sz w:val="30"/>
          <w:szCs w:val="30"/>
        </w:rPr>
      </w:pPr>
      <w:r>
        <w:rPr>
          <w:rFonts w:hint="eastAsia" w:ascii="黑体" w:hAnsi="黑体" w:eastAsia="黑体"/>
          <w:snapToGrid w:val="0"/>
          <w:color w:val="auto"/>
          <w:sz w:val="30"/>
          <w:szCs w:val="30"/>
        </w:rPr>
        <w:t>二、建设项目工程分析</w:t>
      </w:r>
    </w:p>
    <w:tbl>
      <w:tblPr>
        <w:tblStyle w:val="2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47"/>
        <w:gridCol w:w="8613"/>
      </w:tblGrid>
      <w:tr w14:paraId="79BC6B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38" w:hRule="atLeast"/>
          <w:jc w:val="center"/>
        </w:trPr>
        <w:tc>
          <w:tcPr>
            <w:tcW w:w="723" w:type="dxa"/>
            <w:noWrap w:val="0"/>
            <w:vAlign w:val="center"/>
          </w:tcPr>
          <w:p w14:paraId="662A2C22">
            <w:pPr>
              <w:pStyle w:val="22"/>
              <w:adjustRightInd w:val="0"/>
              <w:snapToGrid w:val="0"/>
              <w:spacing w:before="0" w:beforeAutospacing="0" w:after="0" w:afterAutospacing="0"/>
              <w:jc w:val="center"/>
              <w:rPr>
                <w:rFonts w:ascii="Times New Roman" w:hAnsi="Times New Roman"/>
                <w:color w:val="auto"/>
                <w:szCs w:val="24"/>
              </w:rPr>
            </w:pPr>
            <w:r>
              <w:rPr>
                <w:rFonts w:ascii="Times New Roman" w:hAnsi="Times New Roman"/>
                <w:color w:val="auto"/>
                <w:szCs w:val="24"/>
              </w:rPr>
              <w:t>建设内容</w:t>
            </w:r>
          </w:p>
        </w:tc>
        <w:tc>
          <w:tcPr>
            <w:tcW w:w="8337" w:type="dxa"/>
            <w:noWrap w:val="0"/>
            <w:vAlign w:val="top"/>
          </w:tcPr>
          <w:p w14:paraId="4948378C">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ind w:firstLine="480" w:firstLineChars="200"/>
              <w:jc w:val="left"/>
              <w:textAlignment w:val="auto"/>
              <w:rPr>
                <w:rFonts w:ascii="Times New Roman" w:hAnsi="Times New Roman" w:eastAsia="宋体" w:cs="Times New Roman"/>
                <w:color w:val="auto"/>
                <w:kern w:val="0"/>
                <w:sz w:val="24"/>
              </w:rPr>
            </w:pPr>
            <w:r>
              <w:rPr>
                <w:rFonts w:ascii="Times New Roman" w:hAnsi="Times New Roman" w:eastAsia="宋体" w:cs="Times New Roman"/>
                <w:color w:val="auto"/>
                <w:kern w:val="0"/>
                <w:sz w:val="24"/>
              </w:rPr>
              <w:t>1、项目概况</w:t>
            </w:r>
          </w:p>
          <w:p w14:paraId="341E047B">
            <w:pPr>
              <w:autoSpaceDE w:val="0"/>
              <w:autoSpaceDN w:val="0"/>
              <w:adjustRightInd w:val="0"/>
              <w:snapToGrid w:val="0"/>
              <w:spacing w:line="360" w:lineRule="auto"/>
              <w:ind w:firstLine="482" w:firstLineChars="200"/>
              <w:jc w:val="left"/>
              <w:rPr>
                <w:rFonts w:hint="eastAsia" w:ascii="Times New Roman" w:hAnsi="Times New Roman" w:eastAsia="宋体" w:cs="Times New Roman"/>
                <w:kern w:val="0"/>
                <w:sz w:val="24"/>
                <w:highlight w:val="none"/>
                <w:lang w:eastAsia="zh-CN"/>
              </w:rPr>
            </w:pPr>
            <w:r>
              <w:rPr>
                <w:rFonts w:hint="default" w:ascii="Times New Roman" w:hAnsi="Times New Roman" w:eastAsia="宋体" w:cs="Times New Roman"/>
                <w:b/>
                <w:bCs/>
                <w:kern w:val="0"/>
                <w:sz w:val="24"/>
                <w:highlight w:val="none"/>
              </w:rPr>
              <w:t>项目名称</w:t>
            </w:r>
            <w:r>
              <w:rPr>
                <w:rFonts w:hint="default" w:ascii="Times New Roman" w:hAnsi="Times New Roman" w:eastAsia="宋体" w:cs="Times New Roman"/>
                <w:kern w:val="0"/>
                <w:sz w:val="24"/>
                <w:highlight w:val="none"/>
              </w:rPr>
              <w:t>：</w:t>
            </w:r>
            <w:r>
              <w:rPr>
                <w:rFonts w:hint="eastAsia" w:ascii="Times New Roman" w:hAnsi="Times New Roman" w:eastAsia="宋体" w:cs="Times New Roman"/>
                <w:kern w:val="0"/>
                <w:sz w:val="24"/>
                <w:highlight w:val="none"/>
                <w:lang w:eastAsia="zh-CN"/>
              </w:rPr>
              <w:t>金烨钢铁集团有限公司15MW余气综合利用发电项目。</w:t>
            </w:r>
          </w:p>
          <w:p w14:paraId="552C1AE4">
            <w:pPr>
              <w:autoSpaceDE w:val="0"/>
              <w:autoSpaceDN w:val="0"/>
              <w:adjustRightInd w:val="0"/>
              <w:snapToGrid w:val="0"/>
              <w:spacing w:line="360" w:lineRule="auto"/>
              <w:ind w:firstLine="482" w:firstLineChars="20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b/>
                <w:bCs/>
                <w:kern w:val="0"/>
                <w:sz w:val="24"/>
                <w:highlight w:val="none"/>
              </w:rPr>
              <w:t>建设性质</w:t>
            </w:r>
            <w:r>
              <w:rPr>
                <w:rFonts w:hint="default" w:ascii="Times New Roman" w:hAnsi="Times New Roman" w:eastAsia="宋体" w:cs="Times New Roman"/>
                <w:kern w:val="0"/>
                <w:sz w:val="24"/>
                <w:highlight w:val="none"/>
              </w:rPr>
              <w:t>：</w:t>
            </w:r>
            <w:r>
              <w:rPr>
                <w:rFonts w:hint="eastAsia" w:ascii="Times New Roman" w:hAnsi="Times New Roman" w:eastAsia="宋体" w:cs="Times New Roman"/>
                <w:kern w:val="0"/>
                <w:sz w:val="24"/>
                <w:highlight w:val="none"/>
                <w:lang w:val="en-US" w:eastAsia="zh-CN"/>
              </w:rPr>
              <w:t>新建。</w:t>
            </w:r>
          </w:p>
          <w:p w14:paraId="3AA61429">
            <w:pPr>
              <w:autoSpaceDE w:val="0"/>
              <w:autoSpaceDN w:val="0"/>
              <w:adjustRightInd w:val="0"/>
              <w:snapToGrid w:val="0"/>
              <w:spacing w:line="360" w:lineRule="auto"/>
              <w:ind w:firstLine="482" w:firstLineChars="200"/>
              <w:jc w:val="left"/>
              <w:rPr>
                <w:rFonts w:hint="eastAsia" w:ascii="Times New Roman" w:hAnsi="Times New Roman" w:eastAsia="宋体" w:cs="Times New Roman"/>
                <w:kern w:val="0"/>
                <w:sz w:val="24"/>
                <w:highlight w:val="none"/>
                <w:lang w:eastAsia="zh-CN"/>
              </w:rPr>
            </w:pPr>
            <w:r>
              <w:rPr>
                <w:rFonts w:hint="default" w:ascii="Times New Roman" w:hAnsi="Times New Roman" w:eastAsia="宋体" w:cs="Times New Roman"/>
                <w:b/>
                <w:bCs/>
                <w:kern w:val="0"/>
                <w:sz w:val="24"/>
                <w:highlight w:val="none"/>
              </w:rPr>
              <w:t>建设单位</w:t>
            </w:r>
            <w:r>
              <w:rPr>
                <w:rFonts w:hint="default" w:ascii="Times New Roman" w:hAnsi="Times New Roman" w:eastAsia="宋体" w:cs="Times New Roman"/>
                <w:kern w:val="0"/>
                <w:sz w:val="24"/>
                <w:highlight w:val="none"/>
              </w:rPr>
              <w:t>：金烨钢铁集团有限公司</w:t>
            </w:r>
            <w:r>
              <w:rPr>
                <w:rFonts w:hint="eastAsia" w:ascii="Times New Roman" w:hAnsi="Times New Roman" w:eastAsia="宋体" w:cs="Times New Roman"/>
                <w:kern w:val="0"/>
                <w:sz w:val="24"/>
                <w:highlight w:val="none"/>
                <w:lang w:eastAsia="zh-CN"/>
              </w:rPr>
              <w:t>。</w:t>
            </w:r>
          </w:p>
          <w:p w14:paraId="6AE389D5">
            <w:pPr>
              <w:autoSpaceDE w:val="0"/>
              <w:autoSpaceDN w:val="0"/>
              <w:adjustRightInd w:val="0"/>
              <w:snapToGrid w:val="0"/>
              <w:spacing w:line="360" w:lineRule="auto"/>
              <w:ind w:firstLine="482" w:firstLineChars="200"/>
              <w:jc w:val="left"/>
              <w:rPr>
                <w:rFonts w:hint="eastAsia" w:ascii="Times New Roman" w:hAnsi="Times New Roman" w:eastAsia="宋体" w:cs="Times New Roman"/>
                <w:kern w:val="0"/>
                <w:sz w:val="24"/>
                <w:highlight w:val="none"/>
                <w:lang w:eastAsia="zh-CN"/>
              </w:rPr>
            </w:pPr>
            <w:r>
              <w:rPr>
                <w:rFonts w:hint="default" w:ascii="Times New Roman" w:hAnsi="Times New Roman" w:eastAsia="宋体" w:cs="Times New Roman"/>
                <w:b/>
                <w:bCs/>
                <w:kern w:val="0"/>
                <w:sz w:val="24"/>
                <w:highlight w:val="none"/>
              </w:rPr>
              <w:t>建设地点</w:t>
            </w:r>
            <w:r>
              <w:rPr>
                <w:rFonts w:hint="default" w:ascii="Times New Roman" w:hAnsi="Times New Roman" w:eastAsia="宋体" w:cs="Times New Roman"/>
                <w:kern w:val="0"/>
                <w:sz w:val="24"/>
                <w:highlight w:val="none"/>
              </w:rPr>
              <w:t>：</w:t>
            </w:r>
            <w:r>
              <w:rPr>
                <w:color w:val="auto"/>
                <w:sz w:val="24"/>
              </w:rPr>
              <w:t>山西省</w:t>
            </w:r>
            <w:r>
              <w:rPr>
                <w:rFonts w:hint="eastAsia"/>
                <w:color w:val="auto"/>
                <w:sz w:val="24"/>
              </w:rPr>
              <w:t>长治</w:t>
            </w:r>
            <w:r>
              <w:rPr>
                <w:rFonts w:hint="eastAsia"/>
                <w:color w:val="auto"/>
                <w:sz w:val="24"/>
                <w:lang w:eastAsia="zh-CN"/>
              </w:rPr>
              <w:t>市</w:t>
            </w:r>
            <w:r>
              <w:rPr>
                <w:rFonts w:hint="eastAsia"/>
                <w:color w:val="auto"/>
                <w:sz w:val="24"/>
              </w:rPr>
              <w:t>壶关经济开发区金烨钢铁集团有限公司</w:t>
            </w:r>
            <w:r>
              <w:rPr>
                <w:rFonts w:hint="eastAsia"/>
                <w:color w:val="auto"/>
                <w:sz w:val="24"/>
                <w:lang w:val="en-US" w:eastAsia="zh-CN"/>
              </w:rPr>
              <w:t>钢铁冶炼生产</w:t>
            </w:r>
            <w:r>
              <w:rPr>
                <w:rFonts w:hint="eastAsia"/>
                <w:color w:val="auto"/>
                <w:sz w:val="24"/>
              </w:rPr>
              <w:t>厂区内</w:t>
            </w:r>
            <w:r>
              <w:rPr>
                <w:rFonts w:hint="eastAsia"/>
                <w:color w:val="auto"/>
                <w:sz w:val="24"/>
                <w:lang w:eastAsia="zh-CN"/>
              </w:rPr>
              <w:t>。</w:t>
            </w:r>
          </w:p>
          <w:p w14:paraId="2A942CF3">
            <w:pPr>
              <w:autoSpaceDE w:val="0"/>
              <w:autoSpaceDN w:val="0"/>
              <w:adjustRightInd w:val="0"/>
              <w:snapToGrid w:val="0"/>
              <w:spacing w:line="360" w:lineRule="auto"/>
              <w:ind w:firstLine="482" w:firstLineChars="200"/>
              <w:jc w:val="left"/>
              <w:rPr>
                <w:rFonts w:hint="default" w:ascii="Times New Roman" w:hAnsi="Times New Roman" w:eastAsia="宋体" w:cs="Times New Roman"/>
                <w:kern w:val="0"/>
                <w:sz w:val="24"/>
                <w:highlight w:val="none"/>
                <w:lang w:eastAsia="zh-CN"/>
              </w:rPr>
            </w:pPr>
            <w:r>
              <w:rPr>
                <w:rFonts w:hint="default" w:ascii="Times New Roman" w:hAnsi="Times New Roman" w:eastAsia="宋体" w:cs="Times New Roman"/>
                <w:b/>
                <w:bCs/>
                <w:kern w:val="0"/>
                <w:sz w:val="24"/>
                <w:highlight w:val="none"/>
              </w:rPr>
              <w:t>建设规模</w:t>
            </w:r>
            <w:r>
              <w:rPr>
                <w:rFonts w:hint="default" w:ascii="Times New Roman" w:hAnsi="Times New Roman" w:eastAsia="宋体" w:cs="Times New Roman"/>
                <w:kern w:val="0"/>
                <w:sz w:val="24"/>
                <w:highlight w:val="none"/>
              </w:rPr>
              <w:t>：项目建设1×</w:t>
            </w:r>
            <w:r>
              <w:rPr>
                <w:rFonts w:hint="default" w:ascii="Times New Roman" w:hAnsi="Times New Roman" w:eastAsia="宋体" w:cs="Times New Roman"/>
                <w:kern w:val="0"/>
                <w:sz w:val="24"/>
                <w:highlight w:val="none"/>
                <w:lang w:eastAsia="zh-CN"/>
              </w:rPr>
              <w:t>60t</w:t>
            </w:r>
            <w:r>
              <w:rPr>
                <w:rFonts w:hint="default" w:ascii="Times New Roman" w:hAnsi="Times New Roman" w:eastAsia="宋体" w:cs="Times New Roman"/>
                <w:kern w:val="0"/>
                <w:sz w:val="24"/>
                <w:highlight w:val="none"/>
              </w:rPr>
              <w:t>/</w:t>
            </w:r>
            <w:r>
              <w:rPr>
                <w:rFonts w:hint="default" w:ascii="Times New Roman" w:hAnsi="Times New Roman" w:eastAsia="宋体" w:cs="Times New Roman"/>
                <w:kern w:val="0"/>
                <w:sz w:val="24"/>
                <w:highlight w:val="none"/>
                <w:lang w:eastAsia="zh-CN"/>
              </w:rPr>
              <w:t>H</w:t>
            </w:r>
            <w:r>
              <w:rPr>
                <w:rFonts w:hint="default" w:ascii="Times New Roman" w:hAnsi="Times New Roman" w:eastAsia="宋体" w:cs="Times New Roman"/>
                <w:kern w:val="0"/>
                <w:sz w:val="24"/>
                <w:highlight w:val="none"/>
              </w:rPr>
              <w:t>高温高压煤气锅炉＋1×15M</w:t>
            </w:r>
            <w:r>
              <w:rPr>
                <w:rFonts w:hint="default" w:ascii="Times New Roman" w:hAnsi="Times New Roman" w:eastAsia="宋体" w:cs="Times New Roman"/>
                <w:kern w:val="0"/>
                <w:sz w:val="24"/>
                <w:highlight w:val="none"/>
                <w:lang w:eastAsia="zh-CN"/>
              </w:rPr>
              <w:t>W</w:t>
            </w:r>
            <w:r>
              <w:rPr>
                <w:rFonts w:hint="default" w:ascii="Times New Roman" w:hAnsi="Times New Roman" w:eastAsia="宋体" w:cs="Times New Roman"/>
                <w:kern w:val="0"/>
                <w:sz w:val="24"/>
                <w:highlight w:val="none"/>
              </w:rPr>
              <w:t>高温高压凝汽式汽轮机+</w:t>
            </w:r>
            <w:r>
              <w:rPr>
                <w:rFonts w:hint="default" w:ascii="Times New Roman" w:hAnsi="Times New Roman" w:eastAsia="宋体" w:cs="Times New Roman"/>
                <w:kern w:val="0"/>
                <w:sz w:val="24"/>
                <w:highlight w:val="none"/>
                <w:lang w:eastAsia="zh-CN"/>
              </w:rPr>
              <w:t>1</w:t>
            </w:r>
            <w:r>
              <w:rPr>
                <w:rFonts w:hint="default" w:ascii="Times New Roman" w:hAnsi="Times New Roman" w:eastAsia="宋体" w:cs="Times New Roman"/>
                <w:kern w:val="0"/>
                <w:sz w:val="24"/>
                <w:highlight w:val="none"/>
              </w:rPr>
              <w:t>×</w:t>
            </w:r>
            <w:r>
              <w:rPr>
                <w:rFonts w:hint="default" w:ascii="Times New Roman" w:hAnsi="Times New Roman" w:eastAsia="宋体" w:cs="Times New Roman"/>
                <w:kern w:val="0"/>
                <w:sz w:val="24"/>
                <w:highlight w:val="none"/>
                <w:lang w:eastAsia="zh-CN"/>
              </w:rPr>
              <w:t>18MW</w:t>
            </w:r>
            <w:r>
              <w:rPr>
                <w:rFonts w:hint="default" w:ascii="Times New Roman" w:hAnsi="Times New Roman" w:eastAsia="宋体" w:cs="Times New Roman"/>
                <w:kern w:val="0"/>
                <w:sz w:val="24"/>
                <w:highlight w:val="none"/>
              </w:rPr>
              <w:t>发电机及其配套辅助设施</w:t>
            </w:r>
          </w:p>
          <w:p w14:paraId="26E98DD6">
            <w:pPr>
              <w:autoSpaceDE w:val="0"/>
              <w:autoSpaceDN w:val="0"/>
              <w:adjustRightInd w:val="0"/>
              <w:snapToGrid w:val="0"/>
              <w:spacing w:line="360" w:lineRule="auto"/>
              <w:ind w:firstLine="482" w:firstLineChars="200"/>
              <w:jc w:val="left"/>
              <w:rPr>
                <w:rFonts w:hint="eastAsia" w:ascii="Times New Roman" w:hAnsi="Times New Roman" w:eastAsia="宋体" w:cs="Times New Roman"/>
                <w:kern w:val="0"/>
                <w:sz w:val="24"/>
                <w:highlight w:val="none"/>
                <w:lang w:val="en-US" w:eastAsia="zh-CN"/>
              </w:rPr>
            </w:pPr>
            <w:r>
              <w:rPr>
                <w:rFonts w:hint="eastAsia" w:ascii="Times New Roman" w:hAnsi="Times New Roman" w:eastAsia="宋体" w:cs="Times New Roman"/>
                <w:b/>
                <w:bCs/>
                <w:kern w:val="0"/>
                <w:sz w:val="24"/>
                <w:highlight w:val="none"/>
                <w:lang w:val="en-US" w:eastAsia="zh-CN"/>
              </w:rPr>
              <w:t>建设背景</w:t>
            </w:r>
            <w:r>
              <w:rPr>
                <w:rFonts w:hint="eastAsia" w:ascii="Times New Roman" w:hAnsi="Times New Roman" w:eastAsia="宋体" w:cs="Times New Roman"/>
                <w:kern w:val="0"/>
                <w:sz w:val="24"/>
                <w:highlight w:val="none"/>
                <w:lang w:val="en-US" w:eastAsia="zh-CN"/>
              </w:rPr>
              <w:t>：金烨钢铁集团有限公司位于山西长治壶关经济开发区，自2016年9月并购重组原山西常平钢铁有限公司后开始集团化管控运营发展</w:t>
            </w:r>
            <w:bookmarkStart w:id="2" w:name="_Toc29821"/>
            <w:r>
              <w:rPr>
                <w:rFonts w:hint="eastAsia" w:ascii="Times New Roman" w:hAnsi="Times New Roman" w:eastAsia="宋体" w:cs="Times New Roman"/>
                <w:kern w:val="0"/>
                <w:sz w:val="24"/>
                <w:highlight w:val="none"/>
                <w:lang w:val="en-US" w:eastAsia="zh-CN"/>
              </w:rPr>
              <w:t>。</w:t>
            </w:r>
          </w:p>
          <w:p w14:paraId="10995259">
            <w:pPr>
              <w:autoSpaceDE w:val="0"/>
              <w:autoSpaceDN w:val="0"/>
              <w:adjustRightInd w:val="0"/>
              <w:snapToGrid w:val="0"/>
              <w:spacing w:line="360" w:lineRule="auto"/>
              <w:ind w:firstLine="480" w:firstLineChars="200"/>
              <w:jc w:val="left"/>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金烨钢铁集团有限公司主要装备有1台600吨混铁炉、2座高炉(分别为450m³高炉、404m</w:t>
            </w:r>
            <w:r>
              <w:rPr>
                <w:rFonts w:hint="eastAsia" w:eastAsia="宋体" w:cs="Times New Roman"/>
                <w:kern w:val="0"/>
                <w:sz w:val="24"/>
                <w:highlight w:val="none"/>
                <w:vertAlign w:val="superscript"/>
                <w:lang w:val="en-US" w:eastAsia="zh-CN"/>
              </w:rPr>
              <w:t>3</w:t>
            </w:r>
            <w:r>
              <w:rPr>
                <w:rFonts w:hint="default" w:ascii="Times New Roman" w:hAnsi="Times New Roman" w:eastAsia="宋体" w:cs="Times New Roman"/>
                <w:kern w:val="0"/>
                <w:sz w:val="24"/>
                <w:highlight w:val="none"/>
                <w:lang w:val="en-US" w:eastAsia="zh-CN"/>
              </w:rPr>
              <w:t>高炉)，一台265m</w:t>
            </w:r>
            <w:r>
              <w:rPr>
                <w:rFonts w:hint="default" w:ascii="Times New Roman" w:hAnsi="Times New Roman" w:eastAsia="宋体" w:cs="Times New Roman"/>
                <w:kern w:val="0"/>
                <w:sz w:val="24"/>
                <w:highlight w:val="none"/>
                <w:vertAlign w:val="superscript"/>
                <w:lang w:val="en-US" w:eastAsia="zh-CN"/>
              </w:rPr>
              <w:t>2</w:t>
            </w:r>
            <w:r>
              <w:rPr>
                <w:rFonts w:hint="default" w:ascii="Times New Roman" w:hAnsi="Times New Roman" w:eastAsia="宋体" w:cs="Times New Roman"/>
                <w:kern w:val="0"/>
                <w:sz w:val="24"/>
                <w:highlight w:val="none"/>
                <w:lang w:val="en-US" w:eastAsia="zh-CN"/>
              </w:rPr>
              <w:t>烧结机，1座60t转炉及两台五机五流连铸机、1座双膛石灰窑，拥有95万吨钢、18万吨高活性溶剂的生产能力。长治市环境保护局于2016年12月23日以长环函〔2016〕386号文对450m³高炉、60t转炉工程进行了有限期环保备案</w:t>
            </w:r>
            <w:r>
              <w:rPr>
                <w:rFonts w:hint="eastAsia" w:cs="Times New Roman"/>
                <w:kern w:val="0"/>
                <w:sz w:val="24"/>
                <w:highlight w:val="none"/>
                <w:lang w:val="en-US" w:eastAsia="zh-CN"/>
              </w:rPr>
              <w:t>，于2017年10月26日以长环函</w:t>
            </w:r>
            <w:r>
              <w:rPr>
                <w:rFonts w:hint="default" w:ascii="Times New Roman" w:hAnsi="Times New Roman" w:eastAsia="宋体" w:cs="Times New Roman"/>
                <w:kern w:val="0"/>
                <w:sz w:val="24"/>
                <w:highlight w:val="none"/>
                <w:lang w:val="en-US" w:eastAsia="zh-CN"/>
              </w:rPr>
              <w:t>〔201</w:t>
            </w:r>
            <w:r>
              <w:rPr>
                <w:rFonts w:hint="eastAsia" w:cs="Times New Roman"/>
                <w:kern w:val="0"/>
                <w:sz w:val="24"/>
                <w:highlight w:val="none"/>
                <w:lang w:val="en-US" w:eastAsia="zh-CN"/>
              </w:rPr>
              <w:t>7</w:t>
            </w:r>
            <w:r>
              <w:rPr>
                <w:rFonts w:hint="default" w:ascii="Times New Roman" w:hAnsi="Times New Roman" w:eastAsia="宋体" w:cs="Times New Roman"/>
                <w:kern w:val="0"/>
                <w:sz w:val="24"/>
                <w:highlight w:val="none"/>
                <w:lang w:val="en-US" w:eastAsia="zh-CN"/>
              </w:rPr>
              <w:t>〕</w:t>
            </w:r>
            <w:r>
              <w:rPr>
                <w:rFonts w:hint="eastAsia" w:cs="Times New Roman"/>
                <w:kern w:val="0"/>
                <w:sz w:val="24"/>
                <w:highlight w:val="none"/>
                <w:lang w:val="en-US" w:eastAsia="zh-CN"/>
              </w:rPr>
              <w:t>189号文对</w:t>
            </w:r>
            <w:r>
              <w:rPr>
                <w:rFonts w:hint="default" w:ascii="Times New Roman" w:hAnsi="Times New Roman" w:eastAsia="宋体" w:cs="Times New Roman"/>
                <w:kern w:val="0"/>
                <w:sz w:val="24"/>
                <w:highlight w:val="none"/>
                <w:lang w:val="en-US" w:eastAsia="zh-CN"/>
              </w:rPr>
              <w:t>450m³高炉</w:t>
            </w:r>
            <w:r>
              <w:rPr>
                <w:rFonts w:hint="eastAsia" w:cs="Times New Roman"/>
                <w:kern w:val="0"/>
                <w:sz w:val="24"/>
                <w:highlight w:val="none"/>
                <w:lang w:val="en-US" w:eastAsia="zh-CN"/>
              </w:rPr>
              <w:t>（2号高炉）</w:t>
            </w:r>
            <w:r>
              <w:rPr>
                <w:rFonts w:hint="default" w:ascii="Times New Roman" w:hAnsi="Times New Roman" w:eastAsia="宋体" w:cs="Times New Roman"/>
                <w:kern w:val="0"/>
                <w:sz w:val="24"/>
                <w:highlight w:val="none"/>
                <w:lang w:val="en-US" w:eastAsia="zh-CN"/>
              </w:rPr>
              <w:t>、60t转炉工程</w:t>
            </w:r>
            <w:r>
              <w:rPr>
                <w:rFonts w:hint="eastAsia" w:cs="Times New Roman"/>
                <w:kern w:val="0"/>
                <w:sz w:val="24"/>
                <w:highlight w:val="none"/>
                <w:lang w:val="en-US" w:eastAsia="zh-CN"/>
              </w:rPr>
              <w:t>予以环保备案</w:t>
            </w:r>
            <w:r>
              <w:rPr>
                <w:rFonts w:hint="default" w:ascii="Times New Roman" w:hAnsi="Times New Roman" w:eastAsia="宋体" w:cs="Times New Roman"/>
                <w:kern w:val="0"/>
                <w:sz w:val="24"/>
                <w:highlight w:val="none"/>
                <w:lang w:val="en-US" w:eastAsia="zh-CN"/>
              </w:rPr>
              <w:t>，长治市环境保护局于2018年12月29日以长环函〔2018〕172号文对1号高炉（1×404m</w:t>
            </w:r>
            <w:r>
              <w:rPr>
                <w:rFonts w:hint="default" w:ascii="Times New Roman" w:hAnsi="Times New Roman" w:eastAsia="宋体" w:cs="Times New Roman"/>
                <w:kern w:val="0"/>
                <w:sz w:val="24"/>
                <w:highlight w:val="none"/>
                <w:vertAlign w:val="superscript"/>
                <w:lang w:val="en-US" w:eastAsia="zh-CN"/>
              </w:rPr>
              <w:t>3</w:t>
            </w:r>
            <w:r>
              <w:rPr>
                <w:rFonts w:hint="default" w:ascii="Times New Roman" w:hAnsi="Times New Roman" w:eastAsia="宋体" w:cs="Times New Roman"/>
                <w:kern w:val="0"/>
                <w:sz w:val="24"/>
                <w:highlight w:val="none"/>
                <w:lang w:val="en-US" w:eastAsia="zh-CN"/>
              </w:rPr>
              <w:t>高炉）予以环保备案。</w:t>
            </w:r>
          </w:p>
          <w:p w14:paraId="5C1F5A5C">
            <w:pPr>
              <w:autoSpaceDE w:val="0"/>
              <w:autoSpaceDN w:val="0"/>
              <w:adjustRightInd w:val="0"/>
              <w:snapToGrid w:val="0"/>
              <w:spacing w:line="360" w:lineRule="auto"/>
              <w:ind w:firstLine="480" w:firstLineChars="200"/>
              <w:jc w:val="left"/>
              <w:rPr>
                <w:rFonts w:hint="default" w:ascii="Times New Roman" w:hAnsi="Times New Roman" w:eastAsia="宋体" w:cs="Times New Roman"/>
                <w:kern w:val="0"/>
                <w:sz w:val="24"/>
                <w:highlight w:val="none"/>
                <w:lang w:val="en-US" w:eastAsia="zh-CN"/>
              </w:rPr>
            </w:pPr>
            <w:r>
              <w:rPr>
                <w:rFonts w:hint="default" w:ascii="Times New Roman" w:hAnsi="Times New Roman" w:cs="Times New Roman"/>
                <w:i w:val="0"/>
                <w:iCs w:val="0"/>
                <w:caps w:val="0"/>
                <w:color w:val="0F1115"/>
                <w:spacing w:val="0"/>
                <w:sz w:val="24"/>
                <w:szCs w:val="24"/>
                <w:highlight w:val="none"/>
                <w:shd w:val="clear" w:fill="FFFFFF"/>
                <w:lang w:val="en-US" w:eastAsia="zh-CN"/>
              </w:rPr>
              <w:t>2020年，</w:t>
            </w:r>
            <w:r>
              <w:rPr>
                <w:rFonts w:hint="default" w:ascii="Times New Roman" w:hAnsi="Times New Roman" w:eastAsia="Segoe UI" w:cs="Times New Roman"/>
                <w:i w:val="0"/>
                <w:iCs w:val="0"/>
                <w:caps w:val="0"/>
                <w:color w:val="0F1115"/>
                <w:spacing w:val="0"/>
                <w:sz w:val="24"/>
                <w:szCs w:val="24"/>
                <w:highlight w:val="none"/>
                <w:shd w:val="clear" w:fill="FFFFFF"/>
              </w:rPr>
              <w:t>金烨钢铁集团</w:t>
            </w:r>
            <w:r>
              <w:rPr>
                <w:rFonts w:hint="default" w:ascii="Times New Roman" w:hAnsi="Times New Roman" w:cs="Times New Roman"/>
                <w:i w:val="0"/>
                <w:iCs w:val="0"/>
                <w:caps w:val="0"/>
                <w:color w:val="0F1115"/>
                <w:spacing w:val="0"/>
                <w:sz w:val="24"/>
                <w:szCs w:val="24"/>
                <w:highlight w:val="none"/>
                <w:shd w:val="clear" w:fill="FFFFFF"/>
                <w:lang w:val="en-US" w:eastAsia="zh-CN"/>
              </w:rPr>
              <w:t>有限公司完成了</w:t>
            </w:r>
            <w:r>
              <w:rPr>
                <w:rFonts w:hint="default" w:ascii="Times New Roman" w:hAnsi="Times New Roman" w:eastAsia="Segoe UI" w:cs="Times New Roman"/>
                <w:i w:val="0"/>
                <w:iCs w:val="0"/>
                <w:caps w:val="0"/>
                <w:color w:val="0F1115"/>
                <w:spacing w:val="0"/>
                <w:sz w:val="24"/>
                <w:szCs w:val="24"/>
                <w:highlight w:val="none"/>
                <w:shd w:val="clear" w:fill="FFFFFF"/>
              </w:rPr>
              <w:t>超低排放改造</w:t>
            </w:r>
            <w:r>
              <w:rPr>
                <w:rFonts w:hint="default" w:ascii="Times New Roman" w:hAnsi="Times New Roman" w:cs="Times New Roman"/>
                <w:i w:val="0"/>
                <w:iCs w:val="0"/>
                <w:caps w:val="0"/>
                <w:color w:val="0F1115"/>
                <w:spacing w:val="0"/>
                <w:sz w:val="24"/>
                <w:szCs w:val="24"/>
                <w:highlight w:val="none"/>
                <w:shd w:val="clear" w:fill="FFFFFF"/>
                <w:lang w:eastAsia="zh-CN"/>
              </w:rPr>
              <w:t>，</w:t>
            </w:r>
            <w:r>
              <w:rPr>
                <w:rFonts w:hint="default" w:ascii="Times New Roman" w:hAnsi="Times New Roman" w:cs="Times New Roman"/>
                <w:i w:val="0"/>
                <w:iCs w:val="0"/>
                <w:caps w:val="0"/>
                <w:color w:val="0F1115"/>
                <w:spacing w:val="0"/>
                <w:sz w:val="24"/>
                <w:szCs w:val="24"/>
                <w:highlight w:val="none"/>
                <w:shd w:val="clear" w:fill="FFFFFF"/>
                <w:lang w:val="en-US" w:eastAsia="zh-CN"/>
              </w:rPr>
              <w:t>具体内容为</w:t>
            </w:r>
            <w:r>
              <w:rPr>
                <w:rFonts w:hint="default" w:ascii="Times New Roman" w:hAnsi="Times New Roman" w:eastAsia="宋体" w:cs="Times New Roman"/>
                <w:kern w:val="0"/>
                <w:sz w:val="24"/>
                <w:highlight w:val="none"/>
                <w:lang w:val="en-US" w:eastAsia="zh-CN"/>
              </w:rPr>
              <w:t>：</w:t>
            </w:r>
          </w:p>
          <w:p w14:paraId="57FA9A36">
            <w:pPr>
              <w:autoSpaceDE w:val="0"/>
              <w:autoSpaceDN w:val="0"/>
              <w:adjustRightInd w:val="0"/>
              <w:snapToGrid w:val="0"/>
              <w:spacing w:line="360" w:lineRule="auto"/>
              <w:ind w:firstLine="480" w:firstLineChars="200"/>
              <w:jc w:val="left"/>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①有组织排放改造</w:t>
            </w:r>
          </w:p>
          <w:p w14:paraId="2A9C58BC">
            <w:pPr>
              <w:autoSpaceDE w:val="0"/>
              <w:autoSpaceDN w:val="0"/>
              <w:adjustRightInd w:val="0"/>
              <w:snapToGrid w:val="0"/>
              <w:spacing w:line="360" w:lineRule="auto"/>
              <w:ind w:firstLine="480" w:firstLineChars="200"/>
              <w:jc w:val="left"/>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关键工序均已配套建设高效净化设施。烧结机头采用“静电除尘+石灰石-石膏法脱硫+湿电+SCR脱硝”组合工艺；高炉热风炉、轧钢加热炉采用低氮燃烧，烟气采取尾部脱硫+除尘工艺；烧结机尾、烧结配料、高炉出铁场、高炉矿槽等污染源均采用超细覆膜滤料袋式或滤筒式除尘器净化处理；混料机采用高效湿法除尘；高炉均压放散煤气回收。整体技术路线符合国家《超低排放评估监测技术指南》要求。</w:t>
            </w:r>
          </w:p>
          <w:p w14:paraId="5158EFA6">
            <w:pPr>
              <w:autoSpaceDE w:val="0"/>
              <w:autoSpaceDN w:val="0"/>
              <w:adjustRightInd w:val="0"/>
              <w:snapToGrid w:val="0"/>
              <w:spacing w:line="360" w:lineRule="auto"/>
              <w:ind w:firstLine="480" w:firstLineChars="200"/>
              <w:jc w:val="left"/>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②无组织排放改造</w:t>
            </w:r>
          </w:p>
          <w:p w14:paraId="2F2B0C69">
            <w:pPr>
              <w:autoSpaceDE w:val="0"/>
              <w:autoSpaceDN w:val="0"/>
              <w:adjustRightInd w:val="0"/>
              <w:snapToGrid w:val="0"/>
              <w:spacing w:line="360" w:lineRule="auto"/>
              <w:ind w:firstLine="480" w:firstLineChars="200"/>
              <w:jc w:val="left"/>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从“料场-输送-生产”全流程进行密闭和抑尘升级；</w:t>
            </w:r>
          </w:p>
          <w:p w14:paraId="394F5EBB">
            <w:pPr>
              <w:autoSpaceDE w:val="0"/>
              <w:autoSpaceDN w:val="0"/>
              <w:adjustRightInd w:val="0"/>
              <w:snapToGrid w:val="0"/>
              <w:spacing w:line="360" w:lineRule="auto"/>
              <w:ind w:firstLine="480" w:firstLineChars="200"/>
              <w:jc w:val="left"/>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物料储存：所有原料场实现全封闭，并配套干雾抑尘或雾炮装置，出入口设有洗车平台。</w:t>
            </w:r>
          </w:p>
          <w:p w14:paraId="128636C8">
            <w:pPr>
              <w:autoSpaceDE w:val="0"/>
              <w:autoSpaceDN w:val="0"/>
              <w:adjustRightInd w:val="0"/>
              <w:snapToGrid w:val="0"/>
              <w:spacing w:line="360" w:lineRule="auto"/>
              <w:ind w:firstLine="480" w:firstLineChars="200"/>
              <w:jc w:val="left"/>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物料输送：对皮带转运点、落料点等进行了封闭改造，并增设收尘、除尘措施。</w:t>
            </w:r>
          </w:p>
          <w:p w14:paraId="150BF4E2">
            <w:pPr>
              <w:autoSpaceDE w:val="0"/>
              <w:autoSpaceDN w:val="0"/>
              <w:adjustRightInd w:val="0"/>
              <w:snapToGrid w:val="0"/>
              <w:spacing w:line="360" w:lineRule="auto"/>
              <w:ind w:firstLine="480" w:firstLineChars="200"/>
              <w:jc w:val="left"/>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生产工艺：对环冷机进行全密闭并配套余热回收，对高炉炉顶、出铁场、铁沟渣沟等点位进行密闭，并在炼钢车间增设三次除尘系统。</w:t>
            </w:r>
          </w:p>
          <w:p w14:paraId="4500F0D5">
            <w:pPr>
              <w:autoSpaceDE w:val="0"/>
              <w:autoSpaceDN w:val="0"/>
              <w:adjustRightInd w:val="0"/>
              <w:snapToGrid w:val="0"/>
              <w:spacing w:line="360" w:lineRule="auto"/>
              <w:ind w:firstLine="480" w:firstLineChars="200"/>
              <w:jc w:val="left"/>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t>③清洁运输改造</w:t>
            </w:r>
          </w:p>
          <w:p w14:paraId="1E05C666">
            <w:pPr>
              <w:autoSpaceDE w:val="0"/>
              <w:autoSpaceDN w:val="0"/>
              <w:adjustRightInd w:val="0"/>
              <w:snapToGrid w:val="0"/>
              <w:spacing w:line="360" w:lineRule="auto"/>
              <w:ind w:firstLine="480" w:firstLineChars="200"/>
              <w:jc w:val="both"/>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kern w:val="0"/>
                <w:sz w:val="24"/>
                <w:highlight w:val="none"/>
                <w:lang w:val="en-US" w:eastAsia="zh-CN"/>
              </w:rPr>
              <w:t>进出厂</w:t>
            </w:r>
            <w:r>
              <w:rPr>
                <w:rFonts w:hint="default" w:ascii="Times New Roman" w:hAnsi="Times New Roman" w:eastAsia="宋体" w:cs="Times New Roman"/>
                <w:color w:val="auto"/>
                <w:kern w:val="0"/>
                <w:sz w:val="24"/>
                <w:highlight w:val="none"/>
                <w:lang w:val="en-US" w:eastAsia="zh-CN"/>
              </w:rPr>
              <w:t>区的大宗物料和产品已全部采用国六或新能源车辆运输，相关情况已于2026年5月在中国钢铁工业协会完成公示。</w:t>
            </w:r>
          </w:p>
          <w:bookmarkEnd w:id="2"/>
          <w:p w14:paraId="2CA1D203">
            <w:pPr>
              <w:autoSpaceDE w:val="0"/>
              <w:autoSpaceDN w:val="0"/>
              <w:adjustRightInd w:val="0"/>
              <w:snapToGrid w:val="0"/>
              <w:spacing w:line="360" w:lineRule="auto"/>
              <w:ind w:firstLine="480" w:firstLineChars="200"/>
              <w:jc w:val="both"/>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各项污染物排放达标，绩效等级评价为B-级，后于2021年核查认定为B级，2023年获得工信部“绿色工厂”称号，是山西省2021年钢铁行业绿色低碳发展标杆企业之一。</w:t>
            </w:r>
          </w:p>
          <w:p w14:paraId="01D61849">
            <w:pPr>
              <w:autoSpaceDE w:val="0"/>
              <w:autoSpaceDN w:val="0"/>
              <w:adjustRightInd w:val="0"/>
              <w:snapToGrid w:val="0"/>
              <w:spacing w:line="360" w:lineRule="auto"/>
              <w:ind w:firstLine="482" w:firstLineChars="200"/>
              <w:jc w:val="both"/>
              <w:rPr>
                <w:rFonts w:hint="default" w:ascii="Times New Roman" w:hAnsi="Times New Roman" w:eastAsia="宋体" w:cs="Times New Roman"/>
                <w:b/>
                <w:bCs/>
                <w:color w:val="auto"/>
                <w:kern w:val="0"/>
                <w:sz w:val="24"/>
                <w:highlight w:val="none"/>
                <w:lang w:val="en-US" w:eastAsia="zh-CN"/>
              </w:rPr>
            </w:pPr>
            <w:r>
              <w:rPr>
                <w:rFonts w:hint="default" w:ascii="Times New Roman" w:hAnsi="Times New Roman" w:eastAsia="宋体" w:cs="Times New Roman"/>
                <w:b/>
                <w:bCs/>
                <w:color w:val="auto"/>
                <w:kern w:val="0"/>
                <w:sz w:val="24"/>
                <w:highlight w:val="none"/>
                <w:lang w:val="en-US" w:eastAsia="zh-CN"/>
              </w:rPr>
              <w:t>项目建设必要性：</w:t>
            </w:r>
          </w:p>
          <w:p w14:paraId="05DC9E13">
            <w:pPr>
              <w:autoSpaceDE w:val="0"/>
              <w:autoSpaceDN w:val="0"/>
              <w:adjustRightInd w:val="0"/>
              <w:snapToGrid w:val="0"/>
              <w:spacing w:line="360" w:lineRule="auto"/>
              <w:ind w:firstLine="480" w:firstLineChars="200"/>
              <w:jc w:val="both"/>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①金烨钢铁厂在生产过程中产生富余高炉煤气，根据金烨钢铁2025年全厂煤气平衡资料，金烨钢铁在扣除各生产工序后，可供煤气发电项目可利用的高炉煤气约5万Nm</w:t>
            </w:r>
            <w:r>
              <w:rPr>
                <w:rFonts w:hint="default" w:ascii="Times New Roman" w:hAnsi="Times New Roman" w:eastAsia="宋体" w:cs="Times New Roman"/>
                <w:color w:val="auto"/>
                <w:kern w:val="0"/>
                <w:sz w:val="24"/>
                <w:highlight w:val="none"/>
                <w:vertAlign w:val="superscript"/>
                <w:lang w:val="en-US" w:eastAsia="zh-CN"/>
              </w:rPr>
              <w:t>3</w:t>
            </w:r>
            <w:r>
              <w:rPr>
                <w:rFonts w:hint="default" w:ascii="Times New Roman" w:hAnsi="Times New Roman" w:eastAsia="宋体" w:cs="Times New Roman"/>
                <w:color w:val="auto"/>
                <w:kern w:val="0"/>
                <w:sz w:val="24"/>
                <w:highlight w:val="none"/>
                <w:lang w:val="en-US" w:eastAsia="zh-CN"/>
              </w:rPr>
              <w:t>/h。高炉煤气中CO含量较高，CO无色无味、无臭的气体，具有一定毒性，不适宜普通家庭用户使用。因此，公司剩余的富余煤气不能外供。为了有效利用公司剩余高炉煤气，金烨钢铁集团有限公司计划于2026年建设“</w:t>
            </w:r>
            <w:r>
              <w:rPr>
                <w:rFonts w:hint="default" w:ascii="Times New Roman" w:hAnsi="Times New Roman" w:eastAsia="宋体" w:cs="Times New Roman"/>
                <w:kern w:val="0"/>
                <w:sz w:val="24"/>
                <w:highlight w:val="none"/>
                <w:lang w:eastAsia="zh-CN"/>
              </w:rPr>
              <w:t>15MW余气综合利用发电项目</w:t>
            </w:r>
            <w:r>
              <w:rPr>
                <w:rFonts w:hint="default" w:ascii="Times New Roman" w:hAnsi="Times New Roman" w:eastAsia="宋体" w:cs="Times New Roman"/>
                <w:color w:val="auto"/>
                <w:kern w:val="0"/>
                <w:sz w:val="24"/>
                <w:highlight w:val="none"/>
                <w:lang w:val="en-US" w:eastAsia="zh-CN"/>
              </w:rPr>
              <w:t>”。</w:t>
            </w:r>
          </w:p>
          <w:p w14:paraId="5D24152E">
            <w:pPr>
              <w:autoSpaceDE w:val="0"/>
              <w:autoSpaceDN w:val="0"/>
              <w:adjustRightInd w:val="0"/>
              <w:snapToGrid w:val="0"/>
              <w:spacing w:line="360" w:lineRule="auto"/>
              <w:ind w:firstLine="480" w:firstLineChars="200"/>
              <w:jc w:val="both"/>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②金烨钢铁厂原有</w:t>
            </w:r>
            <w:r>
              <w:rPr>
                <w:rFonts w:hint="eastAsia" w:eastAsia="宋体" w:cs="Times New Roman"/>
                <w:color w:val="auto"/>
                <w:kern w:val="0"/>
                <w:sz w:val="24"/>
                <w:highlight w:val="none"/>
                <w:lang w:val="en-US" w:eastAsia="zh-CN"/>
              </w:rPr>
              <w:t>配套</w:t>
            </w:r>
            <w:r>
              <w:rPr>
                <w:rFonts w:hint="default" w:ascii="Times New Roman" w:hAnsi="Times New Roman" w:eastAsia="宋体" w:cs="Times New Roman"/>
                <w:color w:val="auto"/>
                <w:kern w:val="0"/>
                <w:sz w:val="24"/>
                <w:highlight w:val="none"/>
                <w:lang w:val="en-US" w:eastAsia="zh-CN"/>
              </w:rPr>
              <w:t>电厂（配备2台6000kW煤气发电机组</w:t>
            </w:r>
            <w:r>
              <w:rPr>
                <w:rFonts w:hint="eastAsia" w:eastAsia="宋体"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位于常平村，与金烨钢铁距离1.1km</w:t>
            </w:r>
            <w:r>
              <w:rPr>
                <w:rFonts w:hint="eastAsia" w:eastAsia="宋体" w:cs="Times New Roman"/>
                <w:color w:val="auto"/>
                <w:kern w:val="0"/>
                <w:sz w:val="24"/>
                <w:highlight w:val="none"/>
                <w:lang w:val="en-US" w:eastAsia="zh-CN"/>
              </w:rPr>
              <w:t>，为山西常平集团有限公司交由金烨钢铁厂运营管理</w:t>
            </w:r>
            <w:r>
              <w:rPr>
                <w:rFonts w:hint="default" w:ascii="Times New Roman" w:hAnsi="Times New Roman" w:eastAsia="宋体" w:cs="Times New Roman"/>
                <w:color w:val="auto"/>
                <w:kern w:val="0"/>
                <w:sz w:val="24"/>
                <w:highlight w:val="none"/>
                <w:lang w:val="en-US" w:eastAsia="zh-CN"/>
              </w:rPr>
              <w:t>），</w:t>
            </w:r>
            <w:r>
              <w:rPr>
                <w:rFonts w:hint="eastAsia" w:eastAsia="宋体" w:cs="Times New Roman"/>
                <w:color w:val="auto"/>
                <w:kern w:val="0"/>
                <w:sz w:val="24"/>
                <w:highlight w:val="none"/>
                <w:vertAlign w:val="baseline"/>
                <w:lang w:val="en-US" w:eastAsia="zh-CN"/>
              </w:rPr>
              <w:t>钢铁生产过程中产生的高炉煤气主要通过外部电厂进行消纳利用。然而，随着该外部电厂近期停产退出，原有的煤气外送通道随之停用。为确保高炉煤气不放散，实现资源循环利用，</w:t>
            </w:r>
            <w:r>
              <w:rPr>
                <w:rFonts w:hint="default" w:ascii="Times New Roman" w:hAnsi="Times New Roman" w:eastAsia="宋体" w:cs="Times New Roman"/>
                <w:color w:val="auto"/>
                <w:kern w:val="0"/>
                <w:sz w:val="24"/>
                <w:highlight w:val="none"/>
                <w:lang w:val="en-US" w:eastAsia="zh-CN"/>
              </w:rPr>
              <w:t>金烨钢铁集团有限公司</w:t>
            </w:r>
            <w:r>
              <w:rPr>
                <w:rFonts w:hint="eastAsia" w:ascii="Times New Roman" w:hAnsi="Times New Roman" w:eastAsia="宋体" w:cs="Times New Roman"/>
                <w:color w:val="auto"/>
                <w:kern w:val="0"/>
                <w:sz w:val="24"/>
                <w:highlight w:val="none"/>
                <w:lang w:val="en-US" w:eastAsia="zh-CN"/>
              </w:rPr>
              <w:t>计划</w:t>
            </w:r>
            <w:r>
              <w:rPr>
                <w:rFonts w:hint="eastAsia" w:eastAsia="宋体" w:cs="Times New Roman"/>
                <w:color w:val="auto"/>
                <w:kern w:val="0"/>
                <w:sz w:val="24"/>
                <w:highlight w:val="none"/>
                <w:vertAlign w:val="baseline"/>
                <w:lang w:val="en-US" w:eastAsia="zh-CN"/>
              </w:rPr>
              <w:t>在厂区内部新建自备电厂，将原本外送的煤气转为内部消纳，以形成独立、稳定的能源回收体系。</w:t>
            </w:r>
            <w:r>
              <w:rPr>
                <w:rFonts w:hint="default" w:ascii="Times New Roman" w:hAnsi="Times New Roman" w:eastAsia="宋体" w:cs="Times New Roman"/>
                <w:color w:val="auto"/>
                <w:kern w:val="0"/>
                <w:sz w:val="24"/>
                <w:highlight w:val="none"/>
                <w:lang w:val="en-US" w:eastAsia="zh-CN"/>
              </w:rPr>
              <w:t>因此</w:t>
            </w:r>
            <w:r>
              <w:rPr>
                <w:rFonts w:hint="eastAsia" w:cs="Times New Roman"/>
                <w:color w:val="auto"/>
                <w:kern w:val="0"/>
                <w:sz w:val="24"/>
                <w:highlight w:val="none"/>
                <w:lang w:val="en-US" w:eastAsia="zh-CN"/>
              </w:rPr>
              <w:t>，金</w:t>
            </w:r>
            <w:r>
              <w:rPr>
                <w:rFonts w:hint="default" w:ascii="Times New Roman" w:hAnsi="Times New Roman" w:eastAsia="宋体" w:cs="Times New Roman"/>
                <w:color w:val="auto"/>
                <w:kern w:val="0"/>
                <w:sz w:val="24"/>
                <w:highlight w:val="none"/>
                <w:lang w:val="en-US" w:eastAsia="zh-CN"/>
              </w:rPr>
              <w:t>烨钢铁集团有限公司计划建设“</w:t>
            </w:r>
            <w:r>
              <w:rPr>
                <w:rFonts w:hint="default" w:ascii="Times New Roman" w:hAnsi="Times New Roman" w:eastAsia="宋体" w:cs="Times New Roman"/>
                <w:kern w:val="0"/>
                <w:sz w:val="24"/>
                <w:highlight w:val="none"/>
                <w:lang w:eastAsia="zh-CN"/>
              </w:rPr>
              <w:t>15MW余气综合利用发电项目</w:t>
            </w:r>
            <w:r>
              <w:rPr>
                <w:rFonts w:hint="default" w:ascii="Times New Roman" w:hAnsi="Times New Roman" w:eastAsia="宋体" w:cs="Times New Roman"/>
                <w:color w:val="auto"/>
                <w:kern w:val="0"/>
                <w:sz w:val="24"/>
                <w:highlight w:val="none"/>
                <w:lang w:val="en-US" w:eastAsia="zh-CN"/>
              </w:rPr>
              <w:t>”</w:t>
            </w:r>
            <w:r>
              <w:rPr>
                <w:rFonts w:hint="eastAsia" w:cs="Times New Roman"/>
                <w:color w:val="auto"/>
                <w:kern w:val="0"/>
                <w:sz w:val="24"/>
                <w:highlight w:val="none"/>
                <w:lang w:val="en-US" w:eastAsia="zh-CN"/>
              </w:rPr>
              <w:t>。</w:t>
            </w:r>
          </w:p>
          <w:p w14:paraId="33606A42">
            <w:pPr>
              <w:autoSpaceDE w:val="0"/>
              <w:autoSpaceDN w:val="0"/>
              <w:adjustRightInd w:val="0"/>
              <w:snapToGrid w:val="0"/>
              <w:spacing w:line="360" w:lineRule="auto"/>
              <w:ind w:firstLine="480" w:firstLineChars="200"/>
              <w:jc w:val="both"/>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本次评价内容为余气发电项</w:t>
            </w:r>
            <w:r>
              <w:rPr>
                <w:rFonts w:hint="eastAsia" w:ascii="Times New Roman" w:hAnsi="Times New Roman" w:eastAsia="宋体" w:cs="Times New Roman"/>
                <w:color w:val="auto"/>
                <w:kern w:val="0"/>
                <w:sz w:val="24"/>
                <w:highlight w:val="none"/>
                <w:lang w:val="en-US" w:eastAsia="zh-CN"/>
              </w:rPr>
              <w:t>目的主体工程及配套设施，项目发电均用于金烨钢铁厂，不进行送出。</w:t>
            </w:r>
          </w:p>
          <w:p w14:paraId="3D54545F">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ind w:firstLine="480" w:firstLineChars="200"/>
              <w:jc w:val="left"/>
              <w:textAlignment w:val="auto"/>
              <w:rPr>
                <w:color w:val="auto"/>
                <w:kern w:val="0"/>
                <w:sz w:val="24"/>
              </w:rPr>
            </w:pPr>
            <w:r>
              <w:rPr>
                <w:color w:val="auto"/>
                <w:kern w:val="0"/>
                <w:sz w:val="24"/>
              </w:rPr>
              <w:t>2、建设内容</w:t>
            </w:r>
          </w:p>
          <w:p w14:paraId="4A670258">
            <w:pPr>
              <w:autoSpaceDE w:val="0"/>
              <w:autoSpaceDN w:val="0"/>
              <w:adjustRightInd w:val="0"/>
              <w:snapToGrid w:val="0"/>
              <w:spacing w:line="360" w:lineRule="auto"/>
              <w:ind w:firstLine="480" w:firstLineChars="200"/>
              <w:jc w:val="both"/>
              <w:rPr>
                <w:color w:val="auto"/>
                <w:kern w:val="0"/>
                <w:sz w:val="24"/>
              </w:rPr>
            </w:pPr>
            <w:r>
              <w:rPr>
                <w:color w:val="auto"/>
                <w:kern w:val="0"/>
                <w:sz w:val="24"/>
              </w:rPr>
              <w:t>项目总占地面积为</w:t>
            </w:r>
            <w:r>
              <w:rPr>
                <w:rFonts w:hint="eastAsia"/>
                <w:color w:val="auto"/>
                <w:kern w:val="0"/>
                <w:sz w:val="24"/>
                <w:lang w:val="en-US" w:eastAsia="zh-CN"/>
              </w:rPr>
              <w:t>4000</w:t>
            </w:r>
            <w:r>
              <w:rPr>
                <w:color w:val="auto"/>
                <w:kern w:val="0"/>
                <w:sz w:val="24"/>
              </w:rPr>
              <w:t>平方米</w:t>
            </w:r>
            <w:r>
              <w:rPr>
                <w:rFonts w:hint="eastAsia"/>
                <w:color w:val="auto"/>
                <w:kern w:val="0"/>
                <w:sz w:val="24"/>
              </w:rPr>
              <w:t>，</w:t>
            </w:r>
            <w:r>
              <w:rPr>
                <w:rFonts w:hint="eastAsia"/>
                <w:color w:val="auto"/>
                <w:kern w:val="0"/>
                <w:sz w:val="24"/>
                <w:lang w:val="en-US" w:eastAsia="zh-CN"/>
              </w:rPr>
              <w:t>建设有</w:t>
            </w:r>
            <w:r>
              <w:rPr>
                <w:rFonts w:hint="default" w:ascii="Times New Roman" w:hAnsi="Times New Roman" w:eastAsia="宋体" w:cs="Times New Roman"/>
                <w:kern w:val="0"/>
                <w:sz w:val="24"/>
                <w:highlight w:val="none"/>
              </w:rPr>
              <w:t>1×</w:t>
            </w:r>
            <w:r>
              <w:rPr>
                <w:rFonts w:hint="default" w:ascii="Times New Roman" w:hAnsi="Times New Roman" w:eastAsia="宋体" w:cs="Times New Roman"/>
                <w:kern w:val="0"/>
                <w:sz w:val="24"/>
                <w:highlight w:val="none"/>
                <w:lang w:eastAsia="zh-CN"/>
              </w:rPr>
              <w:t>60t</w:t>
            </w:r>
            <w:r>
              <w:rPr>
                <w:rFonts w:hint="default" w:ascii="Times New Roman" w:hAnsi="Times New Roman" w:eastAsia="宋体" w:cs="Times New Roman"/>
                <w:kern w:val="0"/>
                <w:sz w:val="24"/>
                <w:highlight w:val="none"/>
              </w:rPr>
              <w:t>/</w:t>
            </w:r>
            <w:r>
              <w:rPr>
                <w:rFonts w:hint="default" w:ascii="Times New Roman" w:hAnsi="Times New Roman" w:eastAsia="宋体" w:cs="Times New Roman"/>
                <w:kern w:val="0"/>
                <w:sz w:val="24"/>
                <w:highlight w:val="none"/>
                <w:lang w:eastAsia="zh-CN"/>
              </w:rPr>
              <w:t>H</w:t>
            </w:r>
            <w:r>
              <w:rPr>
                <w:rFonts w:hint="default" w:ascii="Times New Roman" w:hAnsi="Times New Roman" w:eastAsia="宋体" w:cs="Times New Roman"/>
                <w:kern w:val="0"/>
                <w:sz w:val="24"/>
                <w:highlight w:val="none"/>
              </w:rPr>
              <w:t>高温高压煤气锅炉＋1×15M</w:t>
            </w:r>
            <w:r>
              <w:rPr>
                <w:rFonts w:hint="default" w:ascii="Times New Roman" w:hAnsi="Times New Roman" w:eastAsia="宋体" w:cs="Times New Roman"/>
                <w:kern w:val="0"/>
                <w:sz w:val="24"/>
                <w:highlight w:val="none"/>
                <w:lang w:eastAsia="zh-CN"/>
              </w:rPr>
              <w:t>W</w:t>
            </w:r>
            <w:r>
              <w:rPr>
                <w:rFonts w:hint="default" w:ascii="Times New Roman" w:hAnsi="Times New Roman" w:eastAsia="宋体" w:cs="Times New Roman"/>
                <w:kern w:val="0"/>
                <w:sz w:val="24"/>
                <w:highlight w:val="none"/>
              </w:rPr>
              <w:t>高温高压凝汽式汽轮机+</w:t>
            </w:r>
            <w:r>
              <w:rPr>
                <w:rFonts w:hint="default" w:ascii="Times New Roman" w:hAnsi="Times New Roman" w:eastAsia="宋体" w:cs="Times New Roman"/>
                <w:kern w:val="0"/>
                <w:sz w:val="24"/>
                <w:highlight w:val="none"/>
                <w:lang w:eastAsia="zh-CN"/>
              </w:rPr>
              <w:t>1</w:t>
            </w:r>
            <w:r>
              <w:rPr>
                <w:rFonts w:hint="default" w:ascii="Times New Roman" w:hAnsi="Times New Roman" w:eastAsia="宋体" w:cs="Times New Roman"/>
                <w:kern w:val="0"/>
                <w:sz w:val="24"/>
                <w:highlight w:val="none"/>
              </w:rPr>
              <w:t>×</w:t>
            </w:r>
            <w:r>
              <w:rPr>
                <w:rFonts w:hint="default" w:ascii="Times New Roman" w:hAnsi="Times New Roman" w:eastAsia="宋体" w:cs="Times New Roman"/>
                <w:kern w:val="0"/>
                <w:sz w:val="24"/>
                <w:highlight w:val="none"/>
                <w:lang w:eastAsia="zh-CN"/>
              </w:rPr>
              <w:t>18MW</w:t>
            </w:r>
            <w:r>
              <w:rPr>
                <w:rFonts w:hint="default" w:ascii="Times New Roman" w:hAnsi="Times New Roman" w:eastAsia="宋体" w:cs="Times New Roman"/>
                <w:kern w:val="0"/>
                <w:sz w:val="24"/>
                <w:highlight w:val="none"/>
              </w:rPr>
              <w:t>发电机及其配套辅助设施</w:t>
            </w:r>
            <w:r>
              <w:rPr>
                <w:color w:val="auto"/>
                <w:kern w:val="0"/>
                <w:sz w:val="24"/>
              </w:rPr>
              <w:t>。</w:t>
            </w:r>
          </w:p>
          <w:p w14:paraId="44BBBF62">
            <w:pPr>
              <w:autoSpaceDE w:val="0"/>
              <w:autoSpaceDN w:val="0"/>
              <w:adjustRightInd w:val="0"/>
              <w:snapToGrid w:val="0"/>
              <w:spacing w:line="360" w:lineRule="auto"/>
              <w:ind w:firstLine="480" w:firstLineChars="200"/>
              <w:jc w:val="left"/>
              <w:rPr>
                <w:color w:val="auto"/>
                <w:kern w:val="0"/>
                <w:sz w:val="24"/>
              </w:rPr>
            </w:pPr>
            <w:r>
              <w:rPr>
                <w:color w:val="auto"/>
                <w:kern w:val="0"/>
                <w:sz w:val="24"/>
              </w:rPr>
              <w:t>具体建设内容见下表。</w:t>
            </w:r>
          </w:p>
          <w:p w14:paraId="24EB7CDD">
            <w:pPr>
              <w:adjustRightInd w:val="0"/>
              <w:snapToGrid w:val="0"/>
              <w:spacing w:line="360" w:lineRule="auto"/>
              <w:jc w:val="center"/>
              <w:rPr>
                <w:b/>
                <w:color w:val="auto"/>
                <w:sz w:val="24"/>
              </w:rPr>
            </w:pPr>
            <w:r>
              <w:rPr>
                <w:b/>
                <w:color w:val="auto"/>
                <w:sz w:val="24"/>
              </w:rPr>
              <w:t>表2-</w:t>
            </w:r>
            <w:r>
              <w:rPr>
                <w:rFonts w:hint="eastAsia"/>
                <w:b/>
                <w:color w:val="auto"/>
                <w:sz w:val="24"/>
              </w:rPr>
              <w:t>2</w:t>
            </w:r>
            <w:r>
              <w:rPr>
                <w:b/>
                <w:color w:val="auto"/>
                <w:sz w:val="24"/>
              </w:rPr>
              <w:t>建设项目组成一览表</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6"/>
              <w:gridCol w:w="1205"/>
              <w:gridCol w:w="5521"/>
              <w:gridCol w:w="1105"/>
            </w:tblGrid>
            <w:tr w14:paraId="11BA8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Borders>
                    <w:top w:val="single" w:color="000000" w:sz="12" w:space="0"/>
                    <w:left w:val="nil"/>
                    <w:tl2br w:val="nil"/>
                  </w:tcBorders>
                  <w:shd w:val="clear" w:color="auto" w:fill="FFFFFF"/>
                  <w:noWrap w:val="0"/>
                  <w:vAlign w:val="center"/>
                </w:tcPr>
                <w:p w14:paraId="068B3F12">
                  <w:pPr>
                    <w:pStyle w:val="6"/>
                    <w:spacing w:before="0" w:beforeLines="0"/>
                    <w:jc w:val="center"/>
                    <w:rPr>
                      <w:rFonts w:hint="default" w:ascii="Times New Roman" w:hAnsi="Times New Roman" w:eastAsia="宋体" w:cs="Times New Roman"/>
                      <w:b w:val="0"/>
                      <w:bCs w:val="0"/>
                      <w:color w:val="000000"/>
                      <w:sz w:val="24"/>
                      <w:szCs w:val="24"/>
                      <w:highlight w:val="none"/>
                    </w:rPr>
                  </w:pPr>
                  <w:r>
                    <w:rPr>
                      <w:rFonts w:hint="default" w:ascii="Times New Roman" w:hAnsi="Times New Roman" w:eastAsia="宋体" w:cs="Times New Roman"/>
                      <w:b w:val="0"/>
                      <w:bCs w:val="0"/>
                      <w:color w:val="000000"/>
                      <w:sz w:val="24"/>
                      <w:szCs w:val="24"/>
                      <w:highlight w:val="none"/>
                    </w:rPr>
                    <w:t>工程内容</w:t>
                  </w:r>
                </w:p>
              </w:tc>
              <w:tc>
                <w:tcPr>
                  <w:tcW w:w="1205" w:type="dxa"/>
                  <w:tcBorders>
                    <w:top w:val="single" w:color="000000" w:sz="12" w:space="0"/>
                  </w:tcBorders>
                  <w:shd w:val="clear" w:color="auto" w:fill="FFFFFF"/>
                  <w:noWrap w:val="0"/>
                  <w:vAlign w:val="center"/>
                </w:tcPr>
                <w:p w14:paraId="77CA047E">
                  <w:pPr>
                    <w:pStyle w:val="6"/>
                    <w:spacing w:before="0" w:beforeLines="0"/>
                    <w:jc w:val="center"/>
                    <w:rPr>
                      <w:rFonts w:hint="default" w:ascii="Times New Roman" w:hAnsi="Times New Roman" w:eastAsia="宋体" w:cs="Times New Roman"/>
                      <w:b w:val="0"/>
                      <w:bCs w:val="0"/>
                      <w:color w:val="000000"/>
                      <w:sz w:val="24"/>
                      <w:szCs w:val="24"/>
                      <w:highlight w:val="none"/>
                    </w:rPr>
                  </w:pPr>
                  <w:r>
                    <w:rPr>
                      <w:rFonts w:hint="default" w:ascii="Times New Roman" w:hAnsi="Times New Roman" w:eastAsia="宋体" w:cs="Times New Roman"/>
                      <w:b w:val="0"/>
                      <w:bCs w:val="0"/>
                      <w:color w:val="000000"/>
                      <w:sz w:val="24"/>
                      <w:szCs w:val="24"/>
                      <w:highlight w:val="none"/>
                    </w:rPr>
                    <w:t>名称</w:t>
                  </w:r>
                </w:p>
              </w:tc>
              <w:tc>
                <w:tcPr>
                  <w:tcW w:w="5521" w:type="dxa"/>
                  <w:tcBorders>
                    <w:top w:val="single" w:color="000000" w:sz="12" w:space="0"/>
                  </w:tcBorders>
                  <w:shd w:val="clear" w:color="auto" w:fill="FFFFFF"/>
                  <w:noWrap w:val="0"/>
                  <w:vAlign w:val="center"/>
                </w:tcPr>
                <w:p w14:paraId="43521C54">
                  <w:pPr>
                    <w:pStyle w:val="6"/>
                    <w:spacing w:before="0" w:beforeLines="0"/>
                    <w:jc w:val="center"/>
                    <w:rPr>
                      <w:rFonts w:hint="default" w:ascii="Times New Roman" w:hAnsi="Times New Roman" w:eastAsia="宋体" w:cs="Times New Roman"/>
                      <w:b w:val="0"/>
                      <w:bCs w:val="0"/>
                      <w:color w:val="000000"/>
                      <w:sz w:val="24"/>
                      <w:szCs w:val="24"/>
                      <w:highlight w:val="none"/>
                    </w:rPr>
                  </w:pPr>
                  <w:bookmarkStart w:id="3" w:name="_Toc11734"/>
                  <w:bookmarkStart w:id="4" w:name="_Toc118378853"/>
                  <w:r>
                    <w:rPr>
                      <w:rFonts w:hint="default" w:ascii="Times New Roman" w:hAnsi="Times New Roman" w:eastAsia="宋体" w:cs="Times New Roman"/>
                      <w:b w:val="0"/>
                      <w:bCs w:val="0"/>
                      <w:color w:val="000000"/>
                      <w:sz w:val="24"/>
                      <w:szCs w:val="24"/>
                      <w:highlight w:val="none"/>
                    </w:rPr>
                    <w:t>项目建设内容</w:t>
                  </w:r>
                  <w:bookmarkEnd w:id="3"/>
                  <w:bookmarkEnd w:id="4"/>
                </w:p>
              </w:tc>
              <w:tc>
                <w:tcPr>
                  <w:tcW w:w="1105" w:type="dxa"/>
                  <w:tcBorders>
                    <w:top w:val="single" w:color="000000" w:sz="12" w:space="0"/>
                    <w:right w:val="nil"/>
                  </w:tcBorders>
                  <w:shd w:val="clear" w:color="auto" w:fill="FFFFFF"/>
                  <w:noWrap w:val="0"/>
                  <w:vAlign w:val="center"/>
                </w:tcPr>
                <w:p w14:paraId="1782755B">
                  <w:pPr>
                    <w:pStyle w:val="6"/>
                    <w:spacing w:before="0" w:beforeLines="0"/>
                    <w:jc w:val="center"/>
                    <w:rPr>
                      <w:rFonts w:hint="default" w:ascii="Times New Roman" w:hAnsi="Times New Roman" w:eastAsia="宋体" w:cs="Times New Roman"/>
                      <w:b w:val="0"/>
                      <w:bCs w:val="0"/>
                      <w:color w:val="000000"/>
                      <w:sz w:val="24"/>
                      <w:szCs w:val="24"/>
                      <w:highlight w:val="none"/>
                    </w:rPr>
                  </w:pPr>
                  <w:r>
                    <w:rPr>
                      <w:rFonts w:hint="default" w:ascii="Times New Roman" w:hAnsi="Times New Roman" w:eastAsia="宋体" w:cs="Times New Roman"/>
                      <w:b w:val="0"/>
                      <w:bCs w:val="0"/>
                      <w:color w:val="000000"/>
                      <w:sz w:val="24"/>
                      <w:szCs w:val="24"/>
                      <w:highlight w:val="none"/>
                    </w:rPr>
                    <w:t>备注</w:t>
                  </w:r>
                </w:p>
              </w:tc>
            </w:tr>
            <w:tr w14:paraId="3DDD8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0" w:type="auto"/>
                  <w:vMerge w:val="restart"/>
                  <w:tcBorders>
                    <w:left w:val="nil"/>
                  </w:tcBorders>
                  <w:shd w:val="clear" w:color="auto" w:fill="FFFFFF"/>
                  <w:noWrap w:val="0"/>
                  <w:vAlign w:val="center"/>
                </w:tcPr>
                <w:p w14:paraId="21DC941A">
                  <w:pPr>
                    <w:pStyle w:val="6"/>
                    <w:spacing w:before="0" w:beforeLines="0"/>
                    <w:jc w:val="center"/>
                    <w:rPr>
                      <w:rFonts w:hint="default" w:ascii="Times New Roman" w:hAnsi="Times New Roman" w:eastAsia="宋体" w:cs="Times New Roman"/>
                      <w:b w:val="0"/>
                      <w:bCs w:val="0"/>
                      <w:color w:val="000000"/>
                      <w:sz w:val="24"/>
                      <w:szCs w:val="24"/>
                      <w:highlight w:val="none"/>
                    </w:rPr>
                  </w:pPr>
                  <w:r>
                    <w:rPr>
                      <w:rFonts w:hint="default" w:ascii="Times New Roman" w:hAnsi="Times New Roman" w:eastAsia="宋体" w:cs="Times New Roman"/>
                      <w:b w:val="0"/>
                      <w:bCs w:val="0"/>
                      <w:color w:val="000000"/>
                      <w:sz w:val="24"/>
                      <w:szCs w:val="24"/>
                      <w:highlight w:val="none"/>
                    </w:rPr>
                    <w:t>主体工程</w:t>
                  </w:r>
                </w:p>
              </w:tc>
              <w:tc>
                <w:tcPr>
                  <w:tcW w:w="1205" w:type="dxa"/>
                  <w:shd w:val="clear" w:color="auto" w:fill="auto"/>
                  <w:noWrap w:val="0"/>
                  <w:vAlign w:val="center"/>
                </w:tcPr>
                <w:p w14:paraId="0599DBF9">
                  <w:pPr>
                    <w:pStyle w:val="6"/>
                    <w:spacing w:beforeLines="0"/>
                    <w:jc w:val="center"/>
                    <w:rPr>
                      <w:rFonts w:hint="default" w:ascii="Times New Roman" w:hAnsi="Times New Roman" w:eastAsia="宋体" w:cs="Times New Roman"/>
                      <w:b w:val="0"/>
                      <w:bCs w:val="0"/>
                      <w:color w:val="auto"/>
                      <w:kern w:val="2"/>
                      <w:sz w:val="24"/>
                      <w:szCs w:val="24"/>
                      <w:lang w:val="en-US" w:eastAsia="zh-CN" w:bidi="ar-SA"/>
                    </w:rPr>
                  </w:pPr>
                  <w:r>
                    <w:rPr>
                      <w:rFonts w:hint="eastAsia" w:eastAsia="宋体"/>
                      <w:b w:val="0"/>
                      <w:bCs w:val="0"/>
                      <w:color w:val="auto"/>
                      <w:sz w:val="24"/>
                      <w:szCs w:val="24"/>
                    </w:rPr>
                    <w:t>锅炉岛</w:t>
                  </w:r>
                </w:p>
              </w:tc>
              <w:tc>
                <w:tcPr>
                  <w:tcW w:w="5521" w:type="dxa"/>
                  <w:shd w:val="clear" w:color="auto" w:fill="FFFFFF"/>
                  <w:noWrap w:val="0"/>
                  <w:vAlign w:val="center"/>
                </w:tcPr>
                <w:p w14:paraId="5B133099">
                  <w:pPr>
                    <w:pStyle w:val="6"/>
                    <w:spacing w:beforeLines="0"/>
                    <w:rPr>
                      <w:rFonts w:hint="default" w:ascii="Times New Roman" w:hAnsi="Times New Roman" w:eastAsia="宋体" w:cs="Times New Roman"/>
                      <w:b w:val="0"/>
                      <w:color w:val="000000"/>
                      <w:highlight w:val="none"/>
                      <w:lang w:val="en-US" w:eastAsia="zh-CN"/>
                    </w:rPr>
                  </w:pPr>
                  <w:r>
                    <w:rPr>
                      <w:rFonts w:eastAsia="宋体"/>
                      <w:b w:val="0"/>
                      <w:bCs w:val="0"/>
                      <w:color w:val="auto"/>
                      <w:sz w:val="24"/>
                      <w:szCs w:val="24"/>
                    </w:rPr>
                    <w:t>配置1台</w:t>
                  </w:r>
                  <w:r>
                    <w:rPr>
                      <w:rFonts w:hint="eastAsia" w:eastAsia="宋体"/>
                      <w:b w:val="0"/>
                      <w:bCs w:val="0"/>
                      <w:color w:val="auto"/>
                      <w:sz w:val="24"/>
                      <w:szCs w:val="24"/>
                    </w:rPr>
                    <w:t>JG-60-9.8-Q</w:t>
                  </w:r>
                  <w:r>
                    <w:rPr>
                      <w:rFonts w:eastAsia="宋体"/>
                      <w:b w:val="0"/>
                      <w:bCs w:val="0"/>
                      <w:color w:val="auto"/>
                      <w:sz w:val="24"/>
                      <w:szCs w:val="24"/>
                    </w:rPr>
                    <w:t>高温高压</w:t>
                  </w:r>
                  <w:r>
                    <w:rPr>
                      <w:rFonts w:hint="eastAsia" w:eastAsia="宋体"/>
                      <w:b w:val="0"/>
                      <w:bCs w:val="0"/>
                      <w:color w:val="auto"/>
                      <w:sz w:val="24"/>
                      <w:szCs w:val="24"/>
                      <w:lang w:val="en-US" w:eastAsia="zh-CN"/>
                    </w:rPr>
                    <w:t>高炉</w:t>
                  </w:r>
                  <w:r>
                    <w:rPr>
                      <w:rFonts w:eastAsia="宋体"/>
                      <w:b w:val="0"/>
                      <w:bCs w:val="0"/>
                      <w:color w:val="auto"/>
                      <w:sz w:val="24"/>
                      <w:szCs w:val="24"/>
                    </w:rPr>
                    <w:t>煤气锅炉，采用</w:t>
                  </w:r>
                  <w:r>
                    <w:rPr>
                      <w:rFonts w:hint="eastAsia" w:eastAsia="宋体"/>
                      <w:b w:val="0"/>
                      <w:bCs w:val="0"/>
                      <w:color w:val="auto"/>
                      <w:sz w:val="24"/>
                      <w:szCs w:val="24"/>
                    </w:rPr>
                    <w:t>露天布置带防雨棚</w:t>
                  </w:r>
                  <w:r>
                    <w:rPr>
                      <w:rFonts w:eastAsia="宋体"/>
                      <w:b w:val="0"/>
                      <w:bCs w:val="0"/>
                      <w:color w:val="auto"/>
                      <w:sz w:val="24"/>
                      <w:szCs w:val="24"/>
                    </w:rPr>
                    <w:t>，位于项目</w:t>
                  </w:r>
                  <w:r>
                    <w:rPr>
                      <w:rFonts w:hint="eastAsia" w:eastAsia="宋体"/>
                      <w:b w:val="0"/>
                      <w:bCs w:val="0"/>
                      <w:color w:val="auto"/>
                      <w:sz w:val="24"/>
                      <w:szCs w:val="24"/>
                      <w:lang w:val="en-US" w:eastAsia="zh-CN"/>
                    </w:rPr>
                    <w:t>南</w:t>
                  </w:r>
                  <w:r>
                    <w:rPr>
                      <w:rFonts w:eastAsia="宋体"/>
                      <w:b w:val="0"/>
                      <w:bCs w:val="0"/>
                      <w:color w:val="auto"/>
                      <w:sz w:val="24"/>
                      <w:szCs w:val="24"/>
                    </w:rPr>
                    <w:t>侧，锅炉燃用</w:t>
                  </w:r>
                  <w:r>
                    <w:rPr>
                      <w:rFonts w:hint="eastAsia" w:eastAsia="宋体"/>
                      <w:b w:val="0"/>
                      <w:bCs w:val="0"/>
                      <w:color w:val="auto"/>
                      <w:sz w:val="24"/>
                      <w:szCs w:val="24"/>
                      <w:lang w:val="en-US" w:eastAsia="zh-CN"/>
                    </w:rPr>
                    <w:t>金烨钢铁厂</w:t>
                  </w:r>
                  <w:r>
                    <w:rPr>
                      <w:rFonts w:eastAsia="宋体"/>
                      <w:b w:val="0"/>
                      <w:bCs w:val="0"/>
                      <w:color w:val="auto"/>
                      <w:sz w:val="24"/>
                      <w:szCs w:val="24"/>
                    </w:rPr>
                    <w:t>富余高炉煤气。</w:t>
                  </w:r>
                </w:p>
              </w:tc>
              <w:tc>
                <w:tcPr>
                  <w:tcW w:w="1105" w:type="dxa"/>
                  <w:tcBorders>
                    <w:right w:val="nil"/>
                  </w:tcBorders>
                  <w:shd w:val="clear" w:color="auto" w:fill="FFFFFF"/>
                  <w:noWrap w:val="0"/>
                  <w:vAlign w:val="center"/>
                </w:tcPr>
                <w:p w14:paraId="02D4C487">
                  <w:pPr>
                    <w:spacing w:before="0" w:beforeLines="0"/>
                    <w:jc w:val="center"/>
                    <w:rPr>
                      <w:rFonts w:hint="default" w:ascii="Times New Roman" w:hAnsi="Times New Roman" w:eastAsia="宋体" w:cs="Times New Roman"/>
                      <w:b w:val="0"/>
                      <w:bCs w:val="0"/>
                      <w:color w:val="000000"/>
                      <w:sz w:val="24"/>
                      <w:szCs w:val="24"/>
                      <w:highlight w:val="none"/>
                      <w:lang w:val="en-US" w:eastAsia="zh-CN"/>
                    </w:rPr>
                  </w:pPr>
                  <w:r>
                    <w:rPr>
                      <w:rFonts w:hint="default" w:ascii="Times New Roman" w:hAnsi="Times New Roman" w:eastAsia="宋体" w:cs="Times New Roman"/>
                      <w:b w:val="0"/>
                      <w:bCs w:val="0"/>
                      <w:color w:val="000000"/>
                      <w:sz w:val="24"/>
                      <w:szCs w:val="24"/>
                      <w:highlight w:val="none"/>
                    </w:rPr>
                    <w:t>新建</w:t>
                  </w:r>
                </w:p>
              </w:tc>
            </w:tr>
            <w:tr w14:paraId="54C9C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vMerge w:val="continue"/>
                  <w:tcBorders>
                    <w:left w:val="nil"/>
                  </w:tcBorders>
                  <w:shd w:val="clear" w:color="auto" w:fill="FFFFFF"/>
                  <w:noWrap w:val="0"/>
                  <w:vAlign w:val="center"/>
                </w:tcPr>
                <w:p w14:paraId="6F8B7AC1">
                  <w:pPr>
                    <w:pStyle w:val="6"/>
                    <w:spacing w:before="0" w:beforeLines="0"/>
                    <w:jc w:val="center"/>
                    <w:rPr>
                      <w:rFonts w:hint="default" w:ascii="Times New Roman" w:hAnsi="Times New Roman" w:eastAsia="宋体" w:cs="Times New Roman"/>
                      <w:b w:val="0"/>
                      <w:bCs w:val="0"/>
                      <w:color w:val="000000"/>
                      <w:sz w:val="24"/>
                      <w:szCs w:val="24"/>
                      <w:highlight w:val="none"/>
                    </w:rPr>
                  </w:pPr>
                </w:p>
              </w:tc>
              <w:tc>
                <w:tcPr>
                  <w:tcW w:w="1205" w:type="dxa"/>
                  <w:shd w:val="clear" w:color="auto" w:fill="auto"/>
                  <w:noWrap w:val="0"/>
                  <w:vAlign w:val="center"/>
                </w:tcPr>
                <w:p w14:paraId="5F2FF6F1">
                  <w:pPr>
                    <w:pStyle w:val="6"/>
                    <w:spacing w:beforeLines="0"/>
                    <w:jc w:val="center"/>
                    <w:rPr>
                      <w:rFonts w:hint="default" w:ascii="Times New Roman" w:hAnsi="Times New Roman" w:eastAsia="宋体" w:cs="Times New Roman"/>
                      <w:b w:val="0"/>
                      <w:bCs w:val="0"/>
                      <w:color w:val="auto"/>
                      <w:kern w:val="2"/>
                      <w:sz w:val="24"/>
                      <w:szCs w:val="24"/>
                      <w:lang w:val="en-US" w:eastAsia="zh-CN" w:bidi="ar-SA"/>
                    </w:rPr>
                  </w:pPr>
                  <w:r>
                    <w:rPr>
                      <w:rFonts w:hint="eastAsia" w:eastAsia="宋体"/>
                      <w:b w:val="0"/>
                      <w:bCs w:val="0"/>
                      <w:color w:val="auto"/>
                      <w:sz w:val="24"/>
                      <w:szCs w:val="24"/>
                    </w:rPr>
                    <w:t>汽机房</w:t>
                  </w:r>
                </w:p>
              </w:tc>
              <w:tc>
                <w:tcPr>
                  <w:tcW w:w="5521" w:type="dxa"/>
                  <w:shd w:val="clear" w:color="auto" w:fill="FFFFFF"/>
                  <w:noWrap w:val="0"/>
                  <w:vAlign w:val="center"/>
                </w:tcPr>
                <w:p w14:paraId="738788C4">
                  <w:pPr>
                    <w:pStyle w:val="6"/>
                    <w:spacing w:beforeLines="0"/>
                    <w:jc w:val="both"/>
                    <w:rPr>
                      <w:rFonts w:eastAsia="宋体"/>
                      <w:b w:val="0"/>
                      <w:bCs w:val="0"/>
                      <w:color w:val="auto"/>
                      <w:sz w:val="24"/>
                      <w:szCs w:val="24"/>
                    </w:rPr>
                  </w:pPr>
                  <w:r>
                    <w:rPr>
                      <w:rFonts w:eastAsia="宋体"/>
                      <w:b w:val="0"/>
                      <w:bCs w:val="0"/>
                      <w:color w:val="auto"/>
                      <w:sz w:val="24"/>
                      <w:szCs w:val="24"/>
                    </w:rPr>
                    <w:t>汽机房</w:t>
                  </w:r>
                  <w:r>
                    <w:rPr>
                      <w:rFonts w:hint="eastAsia" w:eastAsia="宋体"/>
                      <w:b w:val="0"/>
                      <w:bCs w:val="0"/>
                      <w:color w:val="auto"/>
                      <w:sz w:val="24"/>
                      <w:szCs w:val="24"/>
                    </w:rPr>
                    <w:t>厂房尺寸约 30m×18m</w:t>
                  </w:r>
                  <w:r>
                    <w:rPr>
                      <w:rFonts w:hint="eastAsia" w:eastAsia="宋体"/>
                      <w:b w:val="0"/>
                      <w:bCs w:val="0"/>
                      <w:color w:val="auto"/>
                      <w:sz w:val="24"/>
                      <w:szCs w:val="24"/>
                      <w:lang w:eastAsia="zh-CN"/>
                    </w:rPr>
                    <w:t>，采用纵向布置，设有独立岛平台</w:t>
                  </w:r>
                  <w:r>
                    <w:rPr>
                      <w:rFonts w:eastAsia="宋体"/>
                      <w:b w:val="0"/>
                      <w:bCs w:val="0"/>
                      <w:color w:val="auto"/>
                      <w:sz w:val="24"/>
                      <w:szCs w:val="24"/>
                    </w:rPr>
                    <w:t>，配置1台N</w:t>
                  </w:r>
                  <w:r>
                    <w:rPr>
                      <w:rFonts w:hint="eastAsia" w:eastAsia="宋体"/>
                      <w:b w:val="0"/>
                      <w:bCs w:val="0"/>
                      <w:color w:val="auto"/>
                      <w:sz w:val="24"/>
                      <w:szCs w:val="24"/>
                    </w:rPr>
                    <w:t>15</w:t>
                  </w:r>
                  <w:r>
                    <w:rPr>
                      <w:rFonts w:eastAsia="宋体"/>
                      <w:b w:val="0"/>
                      <w:bCs w:val="0"/>
                      <w:color w:val="auto"/>
                      <w:sz w:val="24"/>
                      <w:szCs w:val="24"/>
                    </w:rPr>
                    <w:t>-</w:t>
                  </w:r>
                  <w:r>
                    <w:rPr>
                      <w:rFonts w:hint="eastAsia" w:eastAsia="宋体"/>
                      <w:b w:val="0"/>
                      <w:bCs w:val="0"/>
                      <w:color w:val="auto"/>
                      <w:sz w:val="24"/>
                      <w:szCs w:val="24"/>
                    </w:rPr>
                    <w:t>8.83</w:t>
                  </w:r>
                  <w:r>
                    <w:rPr>
                      <w:rFonts w:eastAsia="宋体"/>
                      <w:b w:val="0"/>
                      <w:bCs w:val="0"/>
                      <w:color w:val="auto"/>
                      <w:sz w:val="24"/>
                      <w:szCs w:val="24"/>
                    </w:rPr>
                    <w:t>/53</w:t>
                  </w:r>
                  <w:r>
                    <w:rPr>
                      <w:rFonts w:hint="eastAsia" w:eastAsia="宋体"/>
                      <w:b w:val="0"/>
                      <w:bCs w:val="0"/>
                      <w:color w:val="auto"/>
                      <w:sz w:val="24"/>
                      <w:szCs w:val="24"/>
                    </w:rPr>
                    <w:t>5</w:t>
                  </w:r>
                  <w:r>
                    <w:rPr>
                      <w:rFonts w:eastAsia="宋体"/>
                      <w:b w:val="0"/>
                      <w:bCs w:val="0"/>
                      <w:color w:val="auto"/>
                      <w:sz w:val="24"/>
                      <w:szCs w:val="24"/>
                    </w:rPr>
                    <w:t>汽轮机组和1台</w:t>
                  </w:r>
                  <w:r>
                    <w:rPr>
                      <w:rFonts w:hint="eastAsia" w:eastAsia="宋体"/>
                      <w:b w:val="0"/>
                      <w:bCs w:val="0"/>
                      <w:color w:val="auto"/>
                      <w:sz w:val="24"/>
                      <w:szCs w:val="24"/>
                    </w:rPr>
                    <w:t xml:space="preserve"> </w:t>
                  </w:r>
                  <w:r>
                    <w:rPr>
                      <w:rFonts w:eastAsia="宋体"/>
                      <w:b w:val="0"/>
                      <w:bCs w:val="0"/>
                      <w:color w:val="auto"/>
                      <w:sz w:val="24"/>
                      <w:szCs w:val="24"/>
                    </w:rPr>
                    <w:t>QF</w:t>
                  </w:r>
                  <w:r>
                    <w:rPr>
                      <w:rFonts w:hint="eastAsia" w:eastAsia="宋体"/>
                      <w:b w:val="0"/>
                      <w:bCs w:val="0"/>
                      <w:color w:val="auto"/>
                      <w:sz w:val="24"/>
                      <w:szCs w:val="24"/>
                    </w:rPr>
                    <w:t>18</w:t>
                  </w:r>
                  <w:r>
                    <w:rPr>
                      <w:rFonts w:eastAsia="宋体"/>
                      <w:b w:val="0"/>
                      <w:bCs w:val="0"/>
                      <w:color w:val="auto"/>
                      <w:sz w:val="24"/>
                      <w:szCs w:val="24"/>
                    </w:rPr>
                    <w:t>-2-10.5发电机组。</w:t>
                  </w:r>
                </w:p>
                <w:p w14:paraId="28F20040">
                  <w:pPr>
                    <w:pStyle w:val="6"/>
                    <w:spacing w:beforeLines="0"/>
                    <w:jc w:val="both"/>
                    <w:rPr>
                      <w:rFonts w:hint="eastAsia" w:ascii="Times New Roman" w:hAnsi="Times New Roman" w:eastAsia="宋体" w:cs="Times New Roman"/>
                      <w:b w:val="0"/>
                      <w:bCs w:val="0"/>
                      <w:color w:val="auto"/>
                      <w:sz w:val="24"/>
                      <w:szCs w:val="24"/>
                      <w:lang w:eastAsia="zh-CN"/>
                    </w:rPr>
                  </w:pPr>
                  <w:r>
                    <w:rPr>
                      <w:rFonts w:eastAsia="宋体"/>
                      <w:b w:val="0"/>
                      <w:bCs w:val="0"/>
                      <w:color w:val="auto"/>
                      <w:sz w:val="24"/>
                      <w:szCs w:val="24"/>
                    </w:rPr>
                    <w:t>分三层布置，</w:t>
                  </w:r>
                  <w:r>
                    <w:rPr>
                      <w:rFonts w:hint="eastAsia" w:eastAsia="宋体"/>
                      <w:b w:val="0"/>
                      <w:bCs w:val="0"/>
                      <w:color w:val="auto"/>
                      <w:sz w:val="24"/>
                      <w:szCs w:val="24"/>
                    </w:rPr>
                    <w:t>分为±0.00m 层、+4.</w:t>
                  </w:r>
                  <w:r>
                    <w:rPr>
                      <w:rFonts w:hint="eastAsia" w:eastAsia="宋体"/>
                      <w:b w:val="0"/>
                      <w:bCs w:val="0"/>
                      <w:color w:val="auto"/>
                      <w:sz w:val="24"/>
                      <w:szCs w:val="24"/>
                      <w:lang w:val="en-US" w:eastAsia="zh-CN"/>
                    </w:rPr>
                    <w:t>0</w:t>
                  </w:r>
                  <w:r>
                    <w:rPr>
                      <w:rFonts w:hint="eastAsia" w:eastAsia="宋体"/>
                      <w:b w:val="0"/>
                      <w:bCs w:val="0"/>
                      <w:color w:val="auto"/>
                      <w:sz w:val="24"/>
                      <w:szCs w:val="24"/>
                    </w:rPr>
                    <w:t>0m 层和+</w:t>
                  </w:r>
                  <w:r>
                    <w:rPr>
                      <w:rFonts w:hint="eastAsia" w:eastAsia="宋体"/>
                      <w:b w:val="0"/>
                      <w:bCs w:val="0"/>
                      <w:color w:val="auto"/>
                      <w:sz w:val="24"/>
                      <w:szCs w:val="24"/>
                      <w:lang w:val="en-US" w:eastAsia="zh-CN"/>
                    </w:rPr>
                    <w:t>8.</w:t>
                  </w:r>
                  <w:r>
                    <w:rPr>
                      <w:rFonts w:hint="eastAsia" w:eastAsia="宋体"/>
                      <w:b w:val="0"/>
                      <w:bCs w:val="0"/>
                      <w:color w:val="auto"/>
                      <w:sz w:val="24"/>
                      <w:szCs w:val="24"/>
                    </w:rPr>
                    <w:t>0m 层，</w:t>
                  </w:r>
                  <w:r>
                    <w:rPr>
                      <w:rFonts w:hint="eastAsia" w:ascii="Times New Roman" w:hAnsi="Times New Roman" w:eastAsia="宋体" w:cs="Times New Roman"/>
                      <w:b w:val="0"/>
                      <w:bCs w:val="0"/>
                      <w:color w:val="auto"/>
                      <w:sz w:val="24"/>
                      <w:szCs w:val="24"/>
                      <w:lang w:eastAsia="zh-CN"/>
                    </w:rPr>
                    <w:t>运转层高度为</w:t>
                  </w:r>
                  <w:r>
                    <w:rPr>
                      <w:rFonts w:hint="eastAsia" w:ascii="Times New Roman" w:hAnsi="Times New Roman" w:eastAsia="宋体" w:cs="Times New Roman"/>
                      <w:b w:val="0"/>
                      <w:bCs w:val="0"/>
                      <w:color w:val="auto"/>
                      <w:sz w:val="24"/>
                      <w:szCs w:val="24"/>
                      <w:lang w:val="en-US" w:eastAsia="zh-CN"/>
                    </w:rPr>
                    <w:t>8.0</w:t>
                  </w:r>
                  <w:r>
                    <w:rPr>
                      <w:rFonts w:hint="eastAsia" w:ascii="Times New Roman" w:hAnsi="Times New Roman" w:eastAsia="宋体" w:cs="Times New Roman"/>
                      <w:b w:val="0"/>
                      <w:bCs w:val="0"/>
                      <w:color w:val="auto"/>
                      <w:sz w:val="24"/>
                      <w:szCs w:val="24"/>
                      <w:lang w:eastAsia="zh-CN"/>
                    </w:rPr>
                    <w:t>m。</w:t>
                  </w:r>
                </w:p>
                <w:p w14:paraId="210C6022">
                  <w:pPr>
                    <w:pStyle w:val="6"/>
                    <w:spacing w:beforeLines="0"/>
                    <w:jc w:val="both"/>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eastAsia="zh-CN"/>
                    </w:rPr>
                    <w:t>其中</w:t>
                  </w:r>
                  <w:r>
                    <w:rPr>
                      <w:rFonts w:hint="default" w:ascii="Times New Roman" w:hAnsi="Times New Roman" w:eastAsia="宋体" w:cs="Times New Roman"/>
                      <w:b w:val="0"/>
                      <w:bCs w:val="0"/>
                      <w:color w:val="auto"/>
                      <w:sz w:val="24"/>
                      <w:szCs w:val="24"/>
                      <w:lang w:val="en-US" w:eastAsia="zh-CN"/>
                    </w:rPr>
                    <w:t>汽机间地面布置的主要设备有：2台凝结水泵、2台高压加热器、2套水环真空泵、2台电动给水泵。</w:t>
                  </w:r>
                </w:p>
                <w:p w14:paraId="4E2EB4CD">
                  <w:pPr>
                    <w:pStyle w:val="6"/>
                    <w:spacing w:beforeLines="0"/>
                    <w:jc w:val="both"/>
                    <w:rPr>
                      <w:rFonts w:hint="eastAsia" w:ascii="Times New Roman" w:hAnsi="Times New Roman" w:eastAsia="宋体" w:cs="Times New Roman"/>
                      <w:b w:val="0"/>
                      <w:bCs w:val="0"/>
                      <w:color w:val="auto"/>
                      <w:sz w:val="24"/>
                      <w:szCs w:val="24"/>
                      <w:lang w:eastAsia="zh-CN"/>
                    </w:rPr>
                  </w:pPr>
                  <w:r>
                    <w:rPr>
                      <w:rFonts w:hint="eastAsia" w:ascii="Times New Roman" w:hAnsi="Times New Roman" w:eastAsia="宋体" w:cs="Times New Roman"/>
                      <w:b w:val="0"/>
                      <w:bCs w:val="0"/>
                      <w:color w:val="auto"/>
                      <w:sz w:val="24"/>
                      <w:szCs w:val="24"/>
                      <w:lang w:eastAsia="zh-CN"/>
                    </w:rPr>
                    <w:t>+4.20m层布置的主要设备有润滑油站、低压加热器、汽封加热器、汽轮机加热器旁路系统</w:t>
                  </w:r>
                  <w:r>
                    <w:rPr>
                      <w:rFonts w:hint="eastAsia" w:eastAsia="宋体" w:cs="Times New Roman"/>
                      <w:b w:val="0"/>
                      <w:bCs w:val="0"/>
                      <w:color w:val="auto"/>
                      <w:sz w:val="24"/>
                      <w:szCs w:val="24"/>
                      <w:lang w:eastAsia="zh-CN"/>
                    </w:rPr>
                    <w:t>等</w:t>
                  </w:r>
                  <w:r>
                    <w:rPr>
                      <w:rFonts w:hint="eastAsia" w:ascii="Times New Roman" w:hAnsi="Times New Roman" w:eastAsia="宋体" w:cs="Times New Roman"/>
                      <w:b w:val="0"/>
                      <w:bCs w:val="0"/>
                      <w:color w:val="auto"/>
                      <w:sz w:val="24"/>
                      <w:szCs w:val="24"/>
                      <w:lang w:eastAsia="zh-CN"/>
                    </w:rPr>
                    <w:t>。</w:t>
                  </w:r>
                </w:p>
                <w:p w14:paraId="463CFA3D">
                  <w:pPr>
                    <w:pStyle w:val="6"/>
                    <w:spacing w:beforeLines="0"/>
                    <w:jc w:val="both"/>
                    <w:rPr>
                      <w:rFonts w:hint="default"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sz w:val="24"/>
                      <w:szCs w:val="24"/>
                      <w:lang w:eastAsia="zh-CN"/>
                    </w:rPr>
                    <w:t>+8.00m层布置的主要设备有自动主汽门操纵座等。</w:t>
                  </w:r>
                </w:p>
              </w:tc>
              <w:tc>
                <w:tcPr>
                  <w:tcW w:w="1105" w:type="dxa"/>
                  <w:tcBorders>
                    <w:right w:val="nil"/>
                  </w:tcBorders>
                  <w:shd w:val="clear" w:color="auto" w:fill="FFFFFF"/>
                  <w:noWrap w:val="0"/>
                  <w:vAlign w:val="center"/>
                </w:tcPr>
                <w:p w14:paraId="68945B2A">
                  <w:pPr>
                    <w:spacing w:before="0" w:beforeLines="0"/>
                    <w:jc w:val="center"/>
                    <w:rPr>
                      <w:rFonts w:hint="eastAsia" w:ascii="Times New Roman" w:hAnsi="Times New Roman" w:eastAsia="宋体" w:cs="Times New Roman"/>
                      <w:b w:val="0"/>
                      <w:bCs w:val="0"/>
                      <w:color w:val="000000"/>
                      <w:sz w:val="24"/>
                      <w:szCs w:val="24"/>
                      <w:highlight w:val="none"/>
                      <w:lang w:val="en-US" w:eastAsia="zh-CN"/>
                    </w:rPr>
                  </w:pPr>
                  <w:r>
                    <w:rPr>
                      <w:rFonts w:hint="default" w:ascii="Times New Roman" w:hAnsi="Times New Roman" w:eastAsia="宋体" w:cs="Times New Roman"/>
                      <w:b w:val="0"/>
                      <w:bCs w:val="0"/>
                      <w:color w:val="000000"/>
                      <w:sz w:val="24"/>
                      <w:szCs w:val="24"/>
                      <w:highlight w:val="none"/>
                    </w:rPr>
                    <w:t>新建</w:t>
                  </w:r>
                </w:p>
              </w:tc>
            </w:tr>
            <w:tr w14:paraId="2A9E2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vMerge w:val="continue"/>
                  <w:tcBorders>
                    <w:left w:val="nil"/>
                  </w:tcBorders>
                  <w:shd w:val="clear" w:color="auto" w:fill="FFFFFF"/>
                  <w:noWrap w:val="0"/>
                  <w:vAlign w:val="center"/>
                </w:tcPr>
                <w:p w14:paraId="695ABA4D">
                  <w:pPr>
                    <w:pStyle w:val="6"/>
                    <w:spacing w:before="0" w:beforeLines="0"/>
                    <w:jc w:val="center"/>
                    <w:rPr>
                      <w:rFonts w:hint="default" w:ascii="Times New Roman" w:hAnsi="Times New Roman" w:eastAsia="宋体" w:cs="Times New Roman"/>
                      <w:b w:val="0"/>
                      <w:bCs w:val="0"/>
                      <w:color w:val="000000"/>
                      <w:sz w:val="24"/>
                      <w:szCs w:val="24"/>
                      <w:highlight w:val="none"/>
                    </w:rPr>
                  </w:pPr>
                </w:p>
              </w:tc>
              <w:tc>
                <w:tcPr>
                  <w:tcW w:w="1205" w:type="dxa"/>
                  <w:shd w:val="clear" w:color="auto" w:fill="auto"/>
                  <w:noWrap w:val="0"/>
                  <w:vAlign w:val="center"/>
                </w:tcPr>
                <w:p w14:paraId="51D4AB5B">
                  <w:pPr>
                    <w:pStyle w:val="6"/>
                    <w:spacing w:beforeLines="0"/>
                    <w:jc w:val="center"/>
                    <w:rPr>
                      <w:rFonts w:hint="default" w:ascii="Times New Roman" w:hAnsi="Times New Roman" w:eastAsia="宋体" w:cs="Times New Roman"/>
                      <w:b w:val="0"/>
                      <w:bCs w:val="0"/>
                      <w:color w:val="auto"/>
                      <w:kern w:val="2"/>
                      <w:sz w:val="24"/>
                      <w:szCs w:val="24"/>
                      <w:lang w:val="en-US" w:eastAsia="zh-CN" w:bidi="ar-SA"/>
                    </w:rPr>
                  </w:pPr>
                  <w:r>
                    <w:rPr>
                      <w:rFonts w:hint="eastAsia" w:eastAsia="宋体"/>
                      <w:b w:val="0"/>
                      <w:bCs w:val="0"/>
                      <w:color w:val="auto"/>
                      <w:sz w:val="24"/>
                      <w:szCs w:val="24"/>
                      <w:lang w:val="en-US" w:eastAsia="zh-CN"/>
                    </w:rPr>
                    <w:t>辅助跨</w:t>
                  </w:r>
                  <w:r>
                    <w:rPr>
                      <w:rFonts w:hint="eastAsia" w:eastAsia="宋体"/>
                      <w:b w:val="0"/>
                      <w:bCs w:val="0"/>
                      <w:color w:val="auto"/>
                      <w:sz w:val="24"/>
                      <w:szCs w:val="24"/>
                    </w:rPr>
                    <w:t>除氧间</w:t>
                  </w:r>
                </w:p>
              </w:tc>
              <w:tc>
                <w:tcPr>
                  <w:tcW w:w="5521" w:type="dxa"/>
                  <w:shd w:val="clear" w:color="auto" w:fill="FFFFFF"/>
                  <w:noWrap w:val="0"/>
                  <w:vAlign w:val="center"/>
                </w:tcPr>
                <w:p w14:paraId="6CFB12BA">
                  <w:pPr>
                    <w:pStyle w:val="6"/>
                    <w:spacing w:beforeLines="0"/>
                    <w:rPr>
                      <w:rFonts w:hint="eastAsia" w:eastAsia="宋体"/>
                      <w:b w:val="0"/>
                      <w:bCs w:val="0"/>
                      <w:color w:val="auto"/>
                      <w:sz w:val="24"/>
                      <w:szCs w:val="24"/>
                      <w:lang w:eastAsia="zh-CN"/>
                    </w:rPr>
                  </w:pPr>
                  <w:r>
                    <w:rPr>
                      <w:rFonts w:eastAsia="宋体"/>
                      <w:b w:val="0"/>
                      <w:bCs w:val="0"/>
                      <w:color w:val="auto"/>
                      <w:sz w:val="24"/>
                      <w:szCs w:val="24"/>
                    </w:rPr>
                    <w:t>除氧间跨度9m，总长46m，布置与汽机房齐平</w:t>
                  </w:r>
                  <w:r>
                    <w:rPr>
                      <w:rFonts w:hint="eastAsia" w:eastAsia="宋体"/>
                      <w:b w:val="0"/>
                      <w:bCs w:val="0"/>
                      <w:color w:val="auto"/>
                      <w:sz w:val="24"/>
                      <w:szCs w:val="24"/>
                      <w:lang w:eastAsia="zh-CN"/>
                    </w:rPr>
                    <w:t>。</w:t>
                  </w:r>
                </w:p>
                <w:p w14:paraId="04093A86">
                  <w:pPr>
                    <w:pStyle w:val="6"/>
                    <w:spacing w:beforeLines="0"/>
                    <w:rPr>
                      <w:rFonts w:hint="default" w:ascii="Times New Roman" w:hAnsi="Times New Roman" w:eastAsia="宋体" w:cs="Times New Roman"/>
                      <w:b w:val="0"/>
                      <w:bCs w:val="0"/>
                      <w:color w:val="000000"/>
                      <w:sz w:val="24"/>
                      <w:szCs w:val="24"/>
                      <w:highlight w:val="none"/>
                      <w:lang w:val="en-US" w:eastAsia="zh-CN"/>
                    </w:rPr>
                  </w:pPr>
                  <w:r>
                    <w:rPr>
                      <w:rFonts w:eastAsia="宋体"/>
                      <w:b w:val="0"/>
                      <w:bCs w:val="0"/>
                      <w:color w:val="auto"/>
                      <w:sz w:val="24"/>
                      <w:szCs w:val="24"/>
                    </w:rPr>
                    <w:t>厂房共分为四层</w:t>
                  </w:r>
                  <w:r>
                    <w:rPr>
                      <w:rFonts w:hint="eastAsia" w:eastAsia="宋体"/>
                      <w:b w:val="0"/>
                      <w:bCs w:val="0"/>
                      <w:color w:val="auto"/>
                      <w:sz w:val="24"/>
                      <w:szCs w:val="24"/>
                      <w:lang w:eastAsia="zh-CN"/>
                    </w:rPr>
                    <w:t>。</w:t>
                  </w:r>
                  <w:r>
                    <w:rPr>
                      <w:rFonts w:hint="eastAsia" w:eastAsia="宋体"/>
                      <w:b w:val="0"/>
                      <w:bCs w:val="0"/>
                      <w:color w:val="auto"/>
                      <w:sz w:val="24"/>
                      <w:szCs w:val="24"/>
                    </w:rPr>
                    <w:t>0.</w:t>
                  </w:r>
                  <w:r>
                    <w:rPr>
                      <w:rFonts w:eastAsia="宋体"/>
                      <w:b w:val="0"/>
                      <w:bCs w:val="0"/>
                      <w:color w:val="auto"/>
                      <w:sz w:val="24"/>
                      <w:szCs w:val="24"/>
                    </w:rPr>
                    <w:t>0m</w:t>
                  </w:r>
                  <w:r>
                    <w:rPr>
                      <w:rFonts w:hint="eastAsia" w:eastAsia="宋体"/>
                      <w:b w:val="0"/>
                      <w:bCs w:val="0"/>
                      <w:color w:val="auto"/>
                      <w:sz w:val="24"/>
                      <w:szCs w:val="24"/>
                    </w:rPr>
                    <w:t>设置高低压配电室</w:t>
                  </w:r>
                  <w:r>
                    <w:rPr>
                      <w:rFonts w:eastAsia="宋体"/>
                      <w:b w:val="0"/>
                      <w:bCs w:val="0"/>
                      <w:color w:val="auto"/>
                      <w:sz w:val="24"/>
                      <w:szCs w:val="24"/>
                    </w:rPr>
                    <w:t>；+4.</w:t>
                  </w:r>
                  <w:r>
                    <w:rPr>
                      <w:rFonts w:hint="eastAsia" w:eastAsia="宋体"/>
                      <w:b w:val="0"/>
                      <w:bCs w:val="0"/>
                      <w:color w:val="auto"/>
                      <w:sz w:val="24"/>
                      <w:szCs w:val="24"/>
                    </w:rPr>
                    <w:t>2</w:t>
                  </w:r>
                  <w:r>
                    <w:rPr>
                      <w:rFonts w:eastAsia="宋体"/>
                      <w:b w:val="0"/>
                      <w:bCs w:val="0"/>
                      <w:color w:val="auto"/>
                      <w:sz w:val="24"/>
                      <w:szCs w:val="24"/>
                    </w:rPr>
                    <w:t>0m层为管道、电缆夹层</w:t>
                  </w:r>
                  <w:r>
                    <w:rPr>
                      <w:rFonts w:hint="eastAsia" w:eastAsia="宋体"/>
                      <w:b w:val="0"/>
                      <w:bCs w:val="0"/>
                      <w:color w:val="auto"/>
                      <w:sz w:val="24"/>
                      <w:szCs w:val="24"/>
                    </w:rPr>
                    <w:t>、</w:t>
                  </w:r>
                  <w:r>
                    <w:rPr>
                      <w:rFonts w:eastAsia="宋体"/>
                      <w:b w:val="0"/>
                      <w:bCs w:val="0"/>
                      <w:color w:val="auto"/>
                      <w:sz w:val="24"/>
                      <w:szCs w:val="24"/>
                    </w:rPr>
                    <w:t>变频器室</w:t>
                  </w:r>
                  <w:r>
                    <w:rPr>
                      <w:rFonts w:hint="eastAsia" w:eastAsia="宋体"/>
                      <w:b w:val="0"/>
                      <w:bCs w:val="0"/>
                      <w:color w:val="auto"/>
                      <w:sz w:val="24"/>
                      <w:szCs w:val="24"/>
                    </w:rPr>
                    <w:t>等</w:t>
                  </w:r>
                  <w:r>
                    <w:rPr>
                      <w:rFonts w:eastAsia="宋体"/>
                      <w:b w:val="0"/>
                      <w:bCs w:val="0"/>
                      <w:color w:val="auto"/>
                      <w:sz w:val="24"/>
                      <w:szCs w:val="24"/>
                    </w:rPr>
                    <w:t>，主要布置</w:t>
                  </w:r>
                  <w:r>
                    <w:rPr>
                      <w:rFonts w:hint="eastAsia" w:eastAsia="宋体"/>
                      <w:b w:val="0"/>
                      <w:bCs w:val="0"/>
                      <w:color w:val="auto"/>
                      <w:sz w:val="24"/>
                      <w:szCs w:val="24"/>
                    </w:rPr>
                    <w:t>高压变频器、</w:t>
                  </w:r>
                  <w:r>
                    <w:rPr>
                      <w:rFonts w:eastAsia="宋体"/>
                      <w:b w:val="0"/>
                      <w:bCs w:val="0"/>
                      <w:color w:val="auto"/>
                      <w:sz w:val="24"/>
                      <w:szCs w:val="24"/>
                    </w:rPr>
                    <w:t>电缆桥架和部分给水、蒸汽及疏水管道；+8.00m为运转层，主要布置机炉电集中控制室、电子设备间等；+13.00m为除氧层</w:t>
                  </w:r>
                  <w:r>
                    <w:rPr>
                      <w:rFonts w:hint="eastAsia" w:eastAsia="宋体"/>
                      <w:b w:val="0"/>
                      <w:bCs w:val="0"/>
                      <w:color w:val="auto"/>
                      <w:sz w:val="24"/>
                      <w:szCs w:val="24"/>
                    </w:rPr>
                    <w:t>，</w:t>
                  </w:r>
                  <w:r>
                    <w:rPr>
                      <w:rFonts w:eastAsia="宋体"/>
                      <w:b w:val="0"/>
                      <w:bCs w:val="0"/>
                      <w:color w:val="auto"/>
                      <w:sz w:val="24"/>
                      <w:szCs w:val="24"/>
                    </w:rPr>
                    <w:t>高度满足除氧器安装使用高度，配置1台2</w:t>
                  </w:r>
                  <w:r>
                    <w:rPr>
                      <w:rFonts w:hint="eastAsia" w:eastAsia="宋体"/>
                      <w:b w:val="0"/>
                      <w:bCs w:val="0"/>
                      <w:color w:val="auto"/>
                      <w:sz w:val="24"/>
                      <w:szCs w:val="24"/>
                    </w:rPr>
                    <w:t>5</w:t>
                  </w:r>
                  <w:r>
                    <w:rPr>
                      <w:rFonts w:eastAsia="宋体"/>
                      <w:b w:val="0"/>
                      <w:bCs w:val="0"/>
                      <w:color w:val="auto"/>
                      <w:sz w:val="24"/>
                      <w:szCs w:val="24"/>
                    </w:rPr>
                    <w:t>0t/h热力除氧器，水箱容积为</w:t>
                  </w:r>
                  <w:r>
                    <w:rPr>
                      <w:rFonts w:hint="eastAsia" w:eastAsia="宋体"/>
                      <w:b w:val="0"/>
                      <w:bCs w:val="0"/>
                      <w:color w:val="auto"/>
                      <w:sz w:val="24"/>
                      <w:szCs w:val="24"/>
                    </w:rPr>
                    <w:t>7</w:t>
                  </w:r>
                  <w:r>
                    <w:rPr>
                      <w:rFonts w:eastAsia="宋体"/>
                      <w:b w:val="0"/>
                      <w:bCs w:val="0"/>
                      <w:color w:val="auto"/>
                      <w:sz w:val="24"/>
                      <w:szCs w:val="24"/>
                    </w:rPr>
                    <w:t>0m</w:t>
                  </w:r>
                  <w:r>
                    <w:rPr>
                      <w:rFonts w:eastAsia="宋体"/>
                      <w:b w:val="0"/>
                      <w:bCs w:val="0"/>
                      <w:color w:val="auto"/>
                      <w:sz w:val="24"/>
                      <w:szCs w:val="24"/>
                      <w:vertAlign w:val="superscript"/>
                    </w:rPr>
                    <w:t>3</w:t>
                  </w:r>
                  <w:r>
                    <w:rPr>
                      <w:rFonts w:eastAsia="宋体"/>
                      <w:b w:val="0"/>
                      <w:bCs w:val="0"/>
                      <w:color w:val="auto"/>
                      <w:sz w:val="24"/>
                      <w:szCs w:val="24"/>
                    </w:rPr>
                    <w:t>。</w:t>
                  </w:r>
                </w:p>
              </w:tc>
              <w:tc>
                <w:tcPr>
                  <w:tcW w:w="1105" w:type="dxa"/>
                  <w:tcBorders>
                    <w:right w:val="nil"/>
                  </w:tcBorders>
                  <w:shd w:val="clear" w:color="auto" w:fill="FFFFFF"/>
                  <w:noWrap w:val="0"/>
                  <w:vAlign w:val="center"/>
                </w:tcPr>
                <w:p w14:paraId="2A04A877">
                  <w:pPr>
                    <w:spacing w:before="0" w:beforeLines="0"/>
                    <w:jc w:val="center"/>
                    <w:rPr>
                      <w:rFonts w:hint="eastAsia" w:ascii="Times New Roman" w:hAnsi="Times New Roman" w:eastAsia="宋体" w:cs="Times New Roman"/>
                      <w:b w:val="0"/>
                      <w:bCs w:val="0"/>
                      <w:color w:val="000000"/>
                      <w:sz w:val="24"/>
                      <w:szCs w:val="24"/>
                      <w:highlight w:val="none"/>
                      <w:lang w:val="en-US" w:eastAsia="zh-CN"/>
                    </w:rPr>
                  </w:pPr>
                  <w:r>
                    <w:rPr>
                      <w:rFonts w:hint="default" w:ascii="Times New Roman" w:hAnsi="Times New Roman" w:eastAsia="宋体" w:cs="Times New Roman"/>
                      <w:b w:val="0"/>
                      <w:bCs w:val="0"/>
                      <w:color w:val="000000"/>
                      <w:sz w:val="24"/>
                      <w:szCs w:val="24"/>
                      <w:highlight w:val="none"/>
                    </w:rPr>
                    <w:t>新建</w:t>
                  </w:r>
                </w:p>
              </w:tc>
            </w:tr>
            <w:tr w14:paraId="24DB8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vMerge w:val="continue"/>
                  <w:tcBorders>
                    <w:left w:val="nil"/>
                  </w:tcBorders>
                  <w:shd w:val="clear" w:color="auto" w:fill="FFFFFF"/>
                  <w:noWrap w:val="0"/>
                  <w:vAlign w:val="center"/>
                </w:tcPr>
                <w:p w14:paraId="53D61E89">
                  <w:pPr>
                    <w:pStyle w:val="6"/>
                    <w:spacing w:before="0" w:beforeLines="0"/>
                    <w:jc w:val="center"/>
                    <w:rPr>
                      <w:rFonts w:hint="default" w:ascii="Times New Roman" w:hAnsi="Times New Roman" w:eastAsia="宋体" w:cs="Times New Roman"/>
                      <w:b w:val="0"/>
                      <w:bCs w:val="0"/>
                      <w:color w:val="000000"/>
                      <w:sz w:val="24"/>
                      <w:szCs w:val="24"/>
                      <w:highlight w:val="none"/>
                    </w:rPr>
                  </w:pPr>
                </w:p>
              </w:tc>
              <w:tc>
                <w:tcPr>
                  <w:tcW w:w="1205" w:type="dxa"/>
                  <w:shd w:val="clear" w:color="auto" w:fill="auto"/>
                  <w:noWrap w:val="0"/>
                  <w:vAlign w:val="center"/>
                </w:tcPr>
                <w:p w14:paraId="22D27BFD">
                  <w:pPr>
                    <w:pStyle w:val="6"/>
                    <w:spacing w:beforeLines="0"/>
                    <w:jc w:val="center"/>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kern w:val="2"/>
                      <w:sz w:val="24"/>
                      <w:szCs w:val="24"/>
                      <w:lang w:val="en-US" w:eastAsia="zh-CN" w:bidi="ar-SA"/>
                    </w:rPr>
                    <w:t>循环冷却塔</w:t>
                  </w:r>
                </w:p>
              </w:tc>
              <w:tc>
                <w:tcPr>
                  <w:tcW w:w="5521" w:type="dxa"/>
                  <w:shd w:val="clear" w:color="auto" w:fill="FFFFFF"/>
                  <w:noWrap w:val="0"/>
                  <w:vAlign w:val="center"/>
                </w:tcPr>
                <w:p w14:paraId="4F580522">
                  <w:pPr>
                    <w:pStyle w:val="6"/>
                    <w:spacing w:beforeLines="0"/>
                    <w:rPr>
                      <w:rFonts w:hint="default" w:ascii="Times New Roman" w:hAnsi="Times New Roman" w:eastAsia="宋体" w:cs="Times New Roman"/>
                      <w:b w:val="0"/>
                      <w:bCs w:val="0"/>
                      <w:color w:val="000000"/>
                      <w:sz w:val="24"/>
                      <w:szCs w:val="24"/>
                      <w:highlight w:val="none"/>
                      <w:lang w:val="en-US" w:eastAsia="zh-CN"/>
                    </w:rPr>
                  </w:pPr>
                  <w:r>
                    <w:rPr>
                      <w:rFonts w:hint="eastAsia" w:ascii="Times New Roman" w:hAnsi="Times New Roman" w:eastAsia="宋体" w:cs="Times New Roman"/>
                      <w:b w:val="0"/>
                      <w:bCs w:val="0"/>
                      <w:color w:val="000000"/>
                      <w:sz w:val="24"/>
                      <w:szCs w:val="24"/>
                      <w:highlight w:val="none"/>
                      <w:lang w:val="en-US" w:eastAsia="zh-CN"/>
                    </w:rPr>
                    <w:t>设有两台循环冷却塔，采用2×2000m³/h机力通风冷却塔。2台塔组合成1个单元，呈长条形布置以保证冷却塔为双面进风。机械通风冷却塔占地约为11m×22m（以施工图为准），冷却塔为框架形式。下设循环水池，水池尺寸22m×11m×3.0m。</w:t>
                  </w:r>
                </w:p>
              </w:tc>
              <w:tc>
                <w:tcPr>
                  <w:tcW w:w="1105" w:type="dxa"/>
                  <w:tcBorders>
                    <w:right w:val="nil"/>
                  </w:tcBorders>
                  <w:shd w:val="clear" w:color="auto" w:fill="FFFFFF"/>
                  <w:noWrap w:val="0"/>
                  <w:vAlign w:val="center"/>
                </w:tcPr>
                <w:p w14:paraId="143E7096">
                  <w:pPr>
                    <w:spacing w:before="0" w:beforeLines="0"/>
                    <w:jc w:val="center"/>
                    <w:rPr>
                      <w:rFonts w:hint="eastAsia" w:ascii="Times New Roman" w:hAnsi="Times New Roman" w:eastAsia="宋体" w:cs="Times New Roman"/>
                      <w:b w:val="0"/>
                      <w:bCs w:val="0"/>
                      <w:color w:val="000000"/>
                      <w:sz w:val="24"/>
                      <w:szCs w:val="24"/>
                      <w:highlight w:val="none"/>
                      <w:lang w:val="en-US" w:eastAsia="zh-CN"/>
                    </w:rPr>
                  </w:pPr>
                  <w:r>
                    <w:rPr>
                      <w:rFonts w:hint="default" w:ascii="Times New Roman" w:hAnsi="Times New Roman" w:eastAsia="宋体" w:cs="Times New Roman"/>
                      <w:b w:val="0"/>
                      <w:bCs w:val="0"/>
                      <w:color w:val="000000"/>
                      <w:sz w:val="24"/>
                      <w:szCs w:val="24"/>
                      <w:highlight w:val="none"/>
                    </w:rPr>
                    <w:t>新建</w:t>
                  </w:r>
                </w:p>
              </w:tc>
            </w:tr>
            <w:tr w14:paraId="5E783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0" w:type="auto"/>
                  <w:vMerge w:val="restart"/>
                  <w:tcBorders>
                    <w:left w:val="nil"/>
                  </w:tcBorders>
                  <w:shd w:val="clear" w:color="auto" w:fill="FFFFFF"/>
                  <w:noWrap w:val="0"/>
                  <w:vAlign w:val="center"/>
                </w:tcPr>
                <w:p w14:paraId="512ABC65">
                  <w:pPr>
                    <w:jc w:val="center"/>
                    <w:rPr>
                      <w:rFonts w:hint="default" w:ascii="Times New Roman" w:hAnsi="Times New Roman" w:eastAsia="宋体" w:cs="Times New Roman"/>
                      <w:b w:val="0"/>
                      <w:color w:val="000000"/>
                      <w:sz w:val="24"/>
                      <w:highlight w:val="none"/>
                    </w:rPr>
                  </w:pPr>
                  <w:r>
                    <w:rPr>
                      <w:rFonts w:hint="default" w:ascii="Times New Roman" w:hAnsi="Times New Roman" w:eastAsia="宋体" w:cs="Times New Roman"/>
                      <w:b w:val="0"/>
                      <w:color w:val="000000"/>
                      <w:sz w:val="24"/>
                      <w:highlight w:val="none"/>
                    </w:rPr>
                    <w:t>辅助工程</w:t>
                  </w:r>
                </w:p>
              </w:tc>
              <w:tc>
                <w:tcPr>
                  <w:tcW w:w="1205" w:type="dxa"/>
                  <w:shd w:val="clear" w:color="auto" w:fill="auto"/>
                  <w:noWrap w:val="0"/>
                  <w:vAlign w:val="center"/>
                </w:tcPr>
                <w:p w14:paraId="5BA5726C">
                  <w:pPr>
                    <w:pStyle w:val="6"/>
                    <w:spacing w:beforeLines="0"/>
                    <w:jc w:val="center"/>
                    <w:rPr>
                      <w:rFonts w:hint="default" w:ascii="Times New Roman" w:hAnsi="Times New Roman" w:eastAsia="宋体" w:cs="Times New Roman"/>
                      <w:b w:val="0"/>
                      <w:color w:val="000000"/>
                      <w:kern w:val="2"/>
                      <w:sz w:val="24"/>
                      <w:szCs w:val="24"/>
                      <w:highlight w:val="none"/>
                      <w:lang w:val="en-US" w:eastAsia="zh-CN" w:bidi="ar-SA"/>
                    </w:rPr>
                  </w:pPr>
                  <w:r>
                    <w:rPr>
                      <w:rFonts w:hint="eastAsia" w:ascii="Times New Roman" w:hAnsi="Times New Roman" w:eastAsia="宋体" w:cs="Times New Roman"/>
                      <w:b w:val="0"/>
                      <w:color w:val="000000"/>
                      <w:kern w:val="2"/>
                      <w:sz w:val="24"/>
                      <w:szCs w:val="24"/>
                      <w:highlight w:val="none"/>
                      <w:lang w:val="en-US" w:eastAsia="zh-CN" w:bidi="ar-SA"/>
                    </w:rPr>
                    <w:t>输气管道</w:t>
                  </w:r>
                </w:p>
              </w:tc>
              <w:tc>
                <w:tcPr>
                  <w:tcW w:w="5521" w:type="dxa"/>
                  <w:shd w:val="clear" w:color="auto" w:fill="FFFFFF"/>
                  <w:noWrap w:val="0"/>
                  <w:vAlign w:val="center"/>
                </w:tcPr>
                <w:p w14:paraId="769F2911">
                  <w:pPr>
                    <w:jc w:val="left"/>
                    <w:rPr>
                      <w:rFonts w:hint="default" w:ascii="Times New Roman" w:hAnsi="Times New Roman" w:eastAsia="宋体" w:cs="Times New Roman"/>
                      <w:b w:val="0"/>
                      <w:bCs w:val="0"/>
                      <w:color w:val="000000"/>
                      <w:kern w:val="2"/>
                      <w:sz w:val="24"/>
                      <w:szCs w:val="24"/>
                      <w:highlight w:val="none"/>
                      <w:lang w:val="en-US" w:eastAsia="zh-CN" w:bidi="ar-SA"/>
                    </w:rPr>
                  </w:pPr>
                  <w:r>
                    <w:rPr>
                      <w:rFonts w:hint="eastAsia" w:ascii="Times New Roman" w:hAnsi="Times New Roman" w:eastAsia="宋体" w:cs="Times New Roman"/>
                      <w:b w:val="0"/>
                      <w:bCs w:val="0"/>
                      <w:color w:val="000000"/>
                      <w:kern w:val="2"/>
                      <w:sz w:val="24"/>
                      <w:szCs w:val="24"/>
                      <w:highlight w:val="none"/>
                      <w:lang w:val="en-US" w:eastAsia="zh-CN" w:bidi="ar-SA"/>
                    </w:rPr>
                    <w:t>依托厂区内现有输气管道，接入本项目锅炉，煤气管线的材质Q235B,主管DN1200，项目不设置气柜。</w:t>
                  </w:r>
                </w:p>
              </w:tc>
              <w:tc>
                <w:tcPr>
                  <w:tcW w:w="1105" w:type="dxa"/>
                  <w:tcBorders>
                    <w:right w:val="nil"/>
                  </w:tcBorders>
                  <w:shd w:val="clear" w:color="auto" w:fill="FFFFFF"/>
                  <w:noWrap w:val="0"/>
                  <w:vAlign w:val="center"/>
                </w:tcPr>
                <w:p w14:paraId="44D6E37F">
                  <w:pPr>
                    <w:spacing w:before="0" w:beforeLines="0"/>
                    <w:jc w:val="center"/>
                    <w:rPr>
                      <w:rFonts w:hint="default" w:ascii="Times New Roman" w:hAnsi="Times New Roman" w:eastAsia="宋体" w:cs="Times New Roman"/>
                      <w:b w:val="0"/>
                      <w:bCs w:val="0"/>
                      <w:color w:val="000000"/>
                      <w:kern w:val="2"/>
                      <w:sz w:val="24"/>
                      <w:szCs w:val="24"/>
                      <w:highlight w:val="none"/>
                      <w:lang w:val="en-US" w:eastAsia="zh-CN" w:bidi="ar-SA"/>
                    </w:rPr>
                  </w:pPr>
                  <w:r>
                    <w:rPr>
                      <w:rFonts w:hint="eastAsia" w:ascii="Times New Roman" w:hAnsi="Times New Roman" w:eastAsia="宋体" w:cs="Times New Roman"/>
                      <w:b w:val="0"/>
                      <w:bCs w:val="0"/>
                      <w:color w:val="000000"/>
                      <w:kern w:val="2"/>
                      <w:sz w:val="24"/>
                      <w:szCs w:val="24"/>
                      <w:highlight w:val="none"/>
                      <w:lang w:val="en-US" w:eastAsia="zh-CN" w:bidi="ar-SA"/>
                    </w:rPr>
                    <w:t>依托</w:t>
                  </w:r>
                </w:p>
              </w:tc>
            </w:tr>
            <w:tr w14:paraId="67797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0" w:type="auto"/>
                  <w:vMerge w:val="continue"/>
                  <w:tcBorders>
                    <w:left w:val="nil"/>
                  </w:tcBorders>
                  <w:shd w:val="clear" w:color="auto" w:fill="FFFFFF"/>
                  <w:noWrap w:val="0"/>
                  <w:vAlign w:val="center"/>
                </w:tcPr>
                <w:p w14:paraId="3C4712E9">
                  <w:pPr>
                    <w:jc w:val="center"/>
                    <w:rPr>
                      <w:rFonts w:hint="default" w:ascii="Times New Roman" w:hAnsi="Times New Roman" w:eastAsia="宋体" w:cs="Times New Roman"/>
                      <w:b w:val="0"/>
                      <w:color w:val="000000"/>
                      <w:sz w:val="24"/>
                      <w:highlight w:val="none"/>
                    </w:rPr>
                  </w:pPr>
                </w:p>
              </w:tc>
              <w:tc>
                <w:tcPr>
                  <w:tcW w:w="1205" w:type="dxa"/>
                  <w:shd w:val="clear" w:color="auto" w:fill="auto"/>
                  <w:noWrap w:val="0"/>
                  <w:vAlign w:val="center"/>
                </w:tcPr>
                <w:p w14:paraId="660B0DA8">
                  <w:pPr>
                    <w:pStyle w:val="6"/>
                    <w:spacing w:beforeLines="0"/>
                    <w:jc w:val="center"/>
                    <w:rPr>
                      <w:rFonts w:hint="eastAsia" w:ascii="Times New Roman" w:hAnsi="Times New Roman" w:eastAsia="宋体" w:cs="Times New Roman"/>
                      <w:b w:val="0"/>
                      <w:bCs/>
                      <w:color w:val="000000"/>
                      <w:kern w:val="2"/>
                      <w:sz w:val="24"/>
                      <w:szCs w:val="24"/>
                      <w:highlight w:val="none"/>
                      <w:lang w:val="en-US" w:eastAsia="zh-CN" w:bidi="ar-SA"/>
                    </w:rPr>
                  </w:pPr>
                  <w:r>
                    <w:rPr>
                      <w:rFonts w:hint="eastAsia" w:ascii="Times New Roman" w:hAnsi="Times New Roman" w:eastAsia="宋体" w:cs="Times New Roman"/>
                      <w:b w:val="0"/>
                      <w:bCs w:val="0"/>
                      <w:color w:val="000000"/>
                      <w:sz w:val="24"/>
                      <w:szCs w:val="24"/>
                      <w:highlight w:val="none"/>
                      <w:lang w:val="en-US" w:eastAsia="zh-CN"/>
                    </w:rPr>
                    <w:t>循环水泵站、水处理站</w:t>
                  </w:r>
                </w:p>
              </w:tc>
              <w:tc>
                <w:tcPr>
                  <w:tcW w:w="5521" w:type="dxa"/>
                  <w:shd w:val="clear" w:color="auto" w:fill="FFFFFF"/>
                  <w:noWrap w:val="0"/>
                  <w:vAlign w:val="center"/>
                </w:tcPr>
                <w:p w14:paraId="1A03E618">
                  <w:pPr>
                    <w:pStyle w:val="6"/>
                    <w:spacing w:beforeLines="0"/>
                    <w:rPr>
                      <w:rFonts w:hint="eastAsia" w:ascii="Times New Roman" w:hAnsi="Times New Roman" w:eastAsia="宋体" w:cs="Times New Roman"/>
                      <w:b w:val="0"/>
                      <w:bCs w:val="0"/>
                      <w:color w:val="000000"/>
                      <w:sz w:val="24"/>
                      <w:szCs w:val="24"/>
                      <w:highlight w:val="none"/>
                      <w:lang w:val="en-US" w:eastAsia="zh-CN"/>
                    </w:rPr>
                  </w:pPr>
                  <w:r>
                    <w:rPr>
                      <w:rFonts w:hint="eastAsia" w:ascii="Times New Roman" w:hAnsi="Times New Roman" w:eastAsia="宋体" w:cs="Times New Roman"/>
                      <w:b w:val="0"/>
                      <w:bCs w:val="0"/>
                      <w:color w:val="000000"/>
                      <w:sz w:val="24"/>
                      <w:szCs w:val="24"/>
                      <w:highlight w:val="none"/>
                      <w:lang w:val="en-US" w:eastAsia="zh-CN"/>
                    </w:rPr>
                    <w:t>循环水泵站、水处理站尺寸为31.5×12m，单层框架结构。</w:t>
                  </w:r>
                </w:p>
                <w:p w14:paraId="07BEED70">
                  <w:pPr>
                    <w:pStyle w:val="6"/>
                    <w:pageBreakBefore w:val="0"/>
                    <w:widowControl w:val="0"/>
                    <w:kinsoku/>
                    <w:wordWrap w:val="0"/>
                    <w:overflowPunct/>
                    <w:topLinePunct w:val="0"/>
                    <w:autoSpaceDE/>
                    <w:autoSpaceDN/>
                    <w:bidi w:val="0"/>
                    <w:adjustRightInd/>
                    <w:snapToGrid/>
                    <w:spacing w:beforeLines="0"/>
                    <w:textAlignment w:val="auto"/>
                    <w:rPr>
                      <w:rFonts w:hint="eastAsia" w:ascii="Times New Roman" w:hAnsi="Times New Roman" w:eastAsia="宋体" w:cs="Times New Roman"/>
                      <w:b w:val="0"/>
                      <w:bCs w:val="0"/>
                      <w:color w:val="000000"/>
                      <w:sz w:val="24"/>
                      <w:szCs w:val="24"/>
                      <w:highlight w:val="none"/>
                      <w:lang w:val="en-US" w:eastAsia="zh-CN"/>
                    </w:rPr>
                  </w:pPr>
                  <w:r>
                    <w:rPr>
                      <w:rFonts w:hint="eastAsia" w:ascii="Times New Roman" w:hAnsi="Times New Roman" w:eastAsia="宋体" w:cs="Times New Roman"/>
                      <w:b w:val="0"/>
                      <w:bCs w:val="0"/>
                      <w:color w:val="000000"/>
                      <w:sz w:val="24"/>
                      <w:szCs w:val="24"/>
                      <w:highlight w:val="none"/>
                      <w:lang w:val="en-US" w:eastAsia="zh-CN"/>
                    </w:rPr>
                    <w:t>布置有三台循环水泵，设置两台变频，一台工频软启。正常情况下二用一备，为自灌式启动。设</w:t>
                  </w:r>
                  <w:r>
                    <w:rPr>
                      <w:rFonts w:hint="eastAsia" w:eastAsia="宋体" w:cs="Times New Roman"/>
                      <w:b w:val="0"/>
                      <w:bCs w:val="0"/>
                      <w:color w:val="000000"/>
                      <w:sz w:val="24"/>
                      <w:szCs w:val="24"/>
                      <w:highlight w:val="none"/>
                      <w:lang w:val="en-US" w:eastAsia="zh-CN"/>
                    </w:rPr>
                    <w:t>置</w:t>
                  </w:r>
                  <w:r>
                    <w:rPr>
                      <w:rFonts w:hint="eastAsia" w:ascii="Times New Roman" w:hAnsi="Times New Roman" w:eastAsia="宋体" w:cs="Times New Roman"/>
                      <w:b w:val="0"/>
                      <w:bCs w:val="0"/>
                      <w:color w:val="000000"/>
                      <w:sz w:val="24"/>
                      <w:szCs w:val="24"/>
                      <w:highlight w:val="none"/>
                      <w:lang w:val="en-US" w:eastAsia="zh-CN"/>
                    </w:rPr>
                    <w:t>有加药装置及其他辅助设施。室内地面高于室外300mm。</w:t>
                  </w:r>
                </w:p>
                <w:p w14:paraId="47763111">
                  <w:pPr>
                    <w:pageBreakBefore w:val="0"/>
                    <w:widowControl w:val="0"/>
                    <w:kinsoku/>
                    <w:wordWrap w:val="0"/>
                    <w:overflowPunct/>
                    <w:topLinePunct w:val="0"/>
                    <w:autoSpaceDE/>
                    <w:autoSpaceDN/>
                    <w:bidi w:val="0"/>
                    <w:adjustRightInd/>
                    <w:snapToGrid/>
                    <w:jc w:val="left"/>
                    <w:textAlignment w:val="auto"/>
                    <w:rPr>
                      <w:rFonts w:hint="eastAsia"/>
                      <w:color w:val="auto"/>
                      <w:sz w:val="24"/>
                    </w:rPr>
                  </w:pPr>
                  <w:r>
                    <w:rPr>
                      <w:rFonts w:hint="eastAsia"/>
                      <w:color w:val="auto"/>
                      <w:sz w:val="24"/>
                      <w:lang w:val="en-US" w:eastAsia="zh-CN"/>
                    </w:rPr>
                    <w:t>建设有</w:t>
                  </w:r>
                  <w:r>
                    <w:rPr>
                      <w:color w:val="auto"/>
                      <w:sz w:val="24"/>
                    </w:rPr>
                    <w:t>1座</w:t>
                  </w:r>
                  <w:r>
                    <w:rPr>
                      <w:rFonts w:hint="eastAsia"/>
                      <w:color w:val="auto"/>
                      <w:sz w:val="24"/>
                    </w:rPr>
                    <w:t>2×5t/h</w:t>
                  </w:r>
                  <w:r>
                    <w:rPr>
                      <w:rFonts w:hint="eastAsia"/>
                      <w:color w:val="auto"/>
                      <w:sz w:val="24"/>
                      <w:lang w:val="en-US" w:eastAsia="zh-CN"/>
                    </w:rPr>
                    <w:t>水处理站</w:t>
                  </w:r>
                  <w:r>
                    <w:rPr>
                      <w:color w:val="auto"/>
                      <w:sz w:val="24"/>
                    </w:rPr>
                    <w:t>，</w:t>
                  </w:r>
                  <w:r>
                    <w:rPr>
                      <w:rFonts w:hint="eastAsia"/>
                      <w:color w:val="auto"/>
                      <w:sz w:val="24"/>
                    </w:rPr>
                    <w:t>水处理系统采用“多介质过滤器+</w:t>
                  </w:r>
                  <w:r>
                    <w:rPr>
                      <w:rFonts w:hint="eastAsia"/>
                      <w:color w:val="auto"/>
                      <w:sz w:val="24"/>
                      <w:lang w:eastAsia="zh-CN"/>
                    </w:rPr>
                    <w:t>活性炭</w:t>
                  </w:r>
                  <w:r>
                    <w:rPr>
                      <w:rFonts w:hint="eastAsia"/>
                      <w:color w:val="auto"/>
                      <w:sz w:val="24"/>
                    </w:rPr>
                    <w:t>过滤器+二级反渗透+EDI”工艺。</w:t>
                  </w:r>
                </w:p>
                <w:p w14:paraId="39395946">
                  <w:pPr>
                    <w:pageBreakBefore w:val="0"/>
                    <w:widowControl w:val="0"/>
                    <w:kinsoku/>
                    <w:wordWrap w:val="0"/>
                    <w:overflowPunct/>
                    <w:topLinePunct w:val="0"/>
                    <w:autoSpaceDE/>
                    <w:autoSpaceDN/>
                    <w:bidi w:val="0"/>
                    <w:adjustRightInd/>
                    <w:snapToGrid/>
                    <w:jc w:val="left"/>
                    <w:textAlignment w:val="auto"/>
                    <w:rPr>
                      <w:rFonts w:hint="eastAsia" w:ascii="Times New Roman" w:hAnsi="Times New Roman" w:eastAsia="宋体" w:cs="Times New Roman"/>
                      <w:b w:val="0"/>
                      <w:bCs w:val="0"/>
                      <w:color w:val="000000"/>
                      <w:kern w:val="2"/>
                      <w:sz w:val="24"/>
                      <w:szCs w:val="24"/>
                      <w:highlight w:val="none"/>
                      <w:lang w:val="en-US" w:eastAsia="zh-CN" w:bidi="ar-SA"/>
                    </w:rPr>
                  </w:pPr>
                  <w:r>
                    <w:rPr>
                      <w:rFonts w:hint="eastAsia"/>
                      <w:color w:val="auto"/>
                      <w:sz w:val="24"/>
                    </w:rPr>
                    <w:t>原水经过处理达到煤气锅炉用水标准，供煤气锅炉使用，配有</w:t>
                  </w:r>
                  <w:r>
                    <w:rPr>
                      <w:rFonts w:hint="eastAsia"/>
                      <w:color w:val="auto"/>
                      <w:sz w:val="24"/>
                      <w:lang w:val="en-US" w:eastAsia="zh-CN"/>
                    </w:rPr>
                    <w:t>2</w:t>
                  </w:r>
                  <w:r>
                    <w:rPr>
                      <w:rFonts w:hint="eastAsia"/>
                      <w:color w:val="auto"/>
                      <w:sz w:val="24"/>
                    </w:rPr>
                    <w:t>座60m</w:t>
                  </w:r>
                  <w:r>
                    <w:rPr>
                      <w:rFonts w:hint="eastAsia"/>
                      <w:color w:val="auto"/>
                      <w:sz w:val="24"/>
                      <w:vertAlign w:val="superscript"/>
                    </w:rPr>
                    <w:t>3</w:t>
                  </w:r>
                  <w:r>
                    <w:rPr>
                      <w:rFonts w:hint="eastAsia"/>
                      <w:color w:val="auto"/>
                      <w:sz w:val="24"/>
                    </w:rPr>
                    <w:t>除盐水箱。</w:t>
                  </w:r>
                </w:p>
              </w:tc>
              <w:tc>
                <w:tcPr>
                  <w:tcW w:w="1105" w:type="dxa"/>
                  <w:tcBorders>
                    <w:right w:val="nil"/>
                  </w:tcBorders>
                  <w:shd w:val="clear" w:color="auto" w:fill="FFFFFF"/>
                  <w:noWrap w:val="0"/>
                  <w:vAlign w:val="center"/>
                </w:tcPr>
                <w:p w14:paraId="520DCB55">
                  <w:pPr>
                    <w:spacing w:before="0" w:beforeLines="0"/>
                    <w:jc w:val="center"/>
                    <w:rPr>
                      <w:rFonts w:hint="default" w:ascii="Times New Roman" w:hAnsi="Times New Roman" w:eastAsia="宋体" w:cs="Times New Roman"/>
                      <w:b w:val="0"/>
                      <w:bCs w:val="0"/>
                      <w:color w:val="000000"/>
                      <w:kern w:val="2"/>
                      <w:sz w:val="24"/>
                      <w:szCs w:val="24"/>
                      <w:highlight w:val="none"/>
                      <w:lang w:val="en-US" w:eastAsia="zh-CN" w:bidi="ar-SA"/>
                    </w:rPr>
                  </w:pPr>
                  <w:r>
                    <w:rPr>
                      <w:rFonts w:hint="default" w:ascii="Times New Roman" w:hAnsi="Times New Roman" w:eastAsia="宋体" w:cs="Times New Roman"/>
                      <w:b w:val="0"/>
                      <w:bCs w:val="0"/>
                      <w:color w:val="000000"/>
                      <w:sz w:val="24"/>
                      <w:szCs w:val="24"/>
                      <w:highlight w:val="none"/>
                    </w:rPr>
                    <w:t>新建</w:t>
                  </w:r>
                </w:p>
              </w:tc>
            </w:tr>
            <w:tr w14:paraId="2E5F1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9" w:hRule="atLeast"/>
                <w:jc w:val="center"/>
              </w:trPr>
              <w:tc>
                <w:tcPr>
                  <w:tcW w:w="0" w:type="auto"/>
                  <w:vMerge w:val="continue"/>
                  <w:tcBorders>
                    <w:left w:val="nil"/>
                  </w:tcBorders>
                  <w:shd w:val="clear" w:color="auto" w:fill="FFFFFF"/>
                  <w:noWrap w:val="0"/>
                  <w:vAlign w:val="center"/>
                </w:tcPr>
                <w:p w14:paraId="27ED3838">
                  <w:pPr>
                    <w:jc w:val="center"/>
                    <w:rPr>
                      <w:rFonts w:hint="default" w:ascii="Times New Roman" w:hAnsi="Times New Roman" w:eastAsia="宋体" w:cs="Times New Roman"/>
                      <w:b w:val="0"/>
                      <w:color w:val="000000"/>
                      <w:sz w:val="24"/>
                      <w:highlight w:val="none"/>
                    </w:rPr>
                  </w:pPr>
                </w:p>
              </w:tc>
              <w:tc>
                <w:tcPr>
                  <w:tcW w:w="1205" w:type="dxa"/>
                  <w:shd w:val="clear" w:color="auto" w:fill="FFFFFF"/>
                  <w:noWrap w:val="0"/>
                  <w:vAlign w:val="center"/>
                </w:tcPr>
                <w:p w14:paraId="31BB43C9">
                  <w:pPr>
                    <w:jc w:val="center"/>
                    <w:rPr>
                      <w:rFonts w:hint="default" w:ascii="Times New Roman" w:hAnsi="Times New Roman" w:eastAsia="宋体" w:cs="Times New Roman"/>
                      <w:b w:val="0"/>
                      <w:color w:val="000000"/>
                      <w:sz w:val="24"/>
                      <w:highlight w:val="none"/>
                    </w:rPr>
                  </w:pPr>
                  <w:r>
                    <w:rPr>
                      <w:color w:val="auto"/>
                      <w:sz w:val="24"/>
                    </w:rPr>
                    <w:t>通风系统</w:t>
                  </w:r>
                </w:p>
              </w:tc>
              <w:tc>
                <w:tcPr>
                  <w:tcW w:w="5521" w:type="dxa"/>
                  <w:shd w:val="clear" w:color="auto" w:fill="FFFFFF"/>
                  <w:noWrap w:val="0"/>
                  <w:vAlign w:val="center"/>
                </w:tcPr>
                <w:p w14:paraId="64FFDC2B">
                  <w:pPr>
                    <w:jc w:val="center"/>
                    <w:rPr>
                      <w:color w:val="auto"/>
                      <w:sz w:val="24"/>
                    </w:rPr>
                  </w:pPr>
                  <w:r>
                    <w:rPr>
                      <w:color w:val="auto"/>
                      <w:sz w:val="24"/>
                    </w:rPr>
                    <w:t>锅炉露天布置，全方位自然通风；汽机房采用组织气流走向的自然通风；除氧器层设自然进风、屋顶</w:t>
                  </w:r>
                </w:p>
                <w:p w14:paraId="1D88538F">
                  <w:pPr>
                    <w:jc w:val="center"/>
                    <w:rPr>
                      <w:rFonts w:hint="default" w:ascii="Times New Roman" w:hAnsi="Times New Roman" w:eastAsia="宋体" w:cs="Times New Roman"/>
                      <w:b w:val="0"/>
                      <w:color w:val="000000"/>
                      <w:sz w:val="24"/>
                      <w:highlight w:val="none"/>
                    </w:rPr>
                  </w:pPr>
                  <w:r>
                    <w:rPr>
                      <w:color w:val="auto"/>
                      <w:sz w:val="24"/>
                    </w:rPr>
                    <w:t>风机机械排风的通风系统，将除氧层的余热和余湿量排至室外；综合水泵房、加药间采用机械进风。</w:t>
                  </w:r>
                </w:p>
              </w:tc>
              <w:tc>
                <w:tcPr>
                  <w:tcW w:w="1105" w:type="dxa"/>
                  <w:tcBorders>
                    <w:right w:val="nil"/>
                  </w:tcBorders>
                  <w:shd w:val="clear" w:color="auto" w:fill="FFFFFF"/>
                  <w:noWrap w:val="0"/>
                  <w:vAlign w:val="center"/>
                </w:tcPr>
                <w:p w14:paraId="700EE5F9">
                  <w:pPr>
                    <w:pStyle w:val="6"/>
                    <w:spacing w:before="0" w:beforeLines="0"/>
                    <w:jc w:val="center"/>
                    <w:rPr>
                      <w:rFonts w:hint="default" w:ascii="Times New Roman" w:hAnsi="Times New Roman" w:eastAsia="宋体" w:cs="Times New Roman"/>
                      <w:b w:val="0"/>
                      <w:bCs w:val="0"/>
                      <w:color w:val="000000"/>
                      <w:sz w:val="24"/>
                      <w:szCs w:val="24"/>
                      <w:highlight w:val="none"/>
                    </w:rPr>
                  </w:pPr>
                  <w:r>
                    <w:rPr>
                      <w:rFonts w:hint="default" w:ascii="Times New Roman" w:hAnsi="Times New Roman" w:eastAsia="宋体" w:cs="Times New Roman"/>
                      <w:b w:val="0"/>
                      <w:bCs w:val="0"/>
                      <w:color w:val="000000"/>
                      <w:sz w:val="24"/>
                      <w:szCs w:val="24"/>
                      <w:highlight w:val="none"/>
                    </w:rPr>
                    <w:t>新建</w:t>
                  </w:r>
                </w:p>
              </w:tc>
            </w:tr>
            <w:tr w14:paraId="75229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vMerge w:val="continue"/>
                  <w:tcBorders>
                    <w:left w:val="nil"/>
                  </w:tcBorders>
                  <w:shd w:val="clear" w:color="auto" w:fill="FFFFFF"/>
                  <w:noWrap w:val="0"/>
                  <w:vAlign w:val="center"/>
                </w:tcPr>
                <w:p w14:paraId="38BAB983">
                  <w:pPr>
                    <w:jc w:val="center"/>
                    <w:rPr>
                      <w:rFonts w:hint="default" w:ascii="Times New Roman" w:hAnsi="Times New Roman" w:eastAsia="宋体" w:cs="Times New Roman"/>
                      <w:b w:val="0"/>
                      <w:color w:val="000000"/>
                      <w:sz w:val="24"/>
                      <w:highlight w:val="none"/>
                    </w:rPr>
                  </w:pPr>
                </w:p>
              </w:tc>
              <w:tc>
                <w:tcPr>
                  <w:tcW w:w="1205" w:type="dxa"/>
                  <w:shd w:val="clear" w:color="auto" w:fill="FFFFFF"/>
                  <w:noWrap w:val="0"/>
                  <w:vAlign w:val="center"/>
                </w:tcPr>
                <w:p w14:paraId="57BC7919">
                  <w:pPr>
                    <w:jc w:val="center"/>
                    <w:rPr>
                      <w:rFonts w:hint="default" w:ascii="Times New Roman" w:hAnsi="Times New Roman" w:eastAsia="宋体" w:cs="Times New Roman"/>
                      <w:b w:val="0"/>
                      <w:color w:val="000000"/>
                      <w:kern w:val="2"/>
                      <w:sz w:val="24"/>
                      <w:szCs w:val="24"/>
                      <w:highlight w:val="none"/>
                      <w:lang w:val="en-US" w:eastAsia="zh-CN" w:bidi="ar-SA"/>
                    </w:rPr>
                  </w:pPr>
                  <w:r>
                    <w:rPr>
                      <w:color w:val="auto"/>
                      <w:sz w:val="24"/>
                    </w:rPr>
                    <w:t>办公</w:t>
                  </w:r>
                  <w:r>
                    <w:rPr>
                      <w:rFonts w:hint="eastAsia"/>
                      <w:color w:val="auto"/>
                      <w:sz w:val="24"/>
                    </w:rPr>
                    <w:t>生活</w:t>
                  </w:r>
                  <w:r>
                    <w:rPr>
                      <w:color w:val="auto"/>
                      <w:sz w:val="24"/>
                    </w:rPr>
                    <w:t>楼</w:t>
                  </w:r>
                </w:p>
              </w:tc>
              <w:tc>
                <w:tcPr>
                  <w:tcW w:w="5521" w:type="dxa"/>
                  <w:shd w:val="clear" w:color="auto" w:fill="FFFFFF"/>
                  <w:noWrap w:val="0"/>
                  <w:vAlign w:val="center"/>
                </w:tcPr>
                <w:p w14:paraId="48B1B782">
                  <w:pPr>
                    <w:pStyle w:val="6"/>
                    <w:spacing w:beforeLines="0"/>
                    <w:jc w:val="center"/>
                    <w:rPr>
                      <w:rFonts w:hint="default" w:ascii="Times New Roman" w:hAnsi="Times New Roman" w:eastAsia="宋体" w:cs="Times New Roman"/>
                      <w:b w:val="0"/>
                      <w:bCs w:val="0"/>
                      <w:color w:val="000000"/>
                      <w:kern w:val="2"/>
                      <w:sz w:val="24"/>
                      <w:szCs w:val="24"/>
                      <w:highlight w:val="none"/>
                      <w:lang w:val="en-US" w:eastAsia="zh-CN" w:bidi="ar-SA"/>
                    </w:rPr>
                  </w:pPr>
                  <w:r>
                    <w:rPr>
                      <w:rFonts w:hint="eastAsia" w:eastAsia="宋体"/>
                      <w:b w:val="0"/>
                      <w:bCs w:val="0"/>
                      <w:color w:val="auto"/>
                      <w:sz w:val="24"/>
                      <w:szCs w:val="24"/>
                    </w:rPr>
                    <w:t>依托</w:t>
                  </w:r>
                  <w:r>
                    <w:rPr>
                      <w:rFonts w:hint="eastAsia" w:eastAsia="宋体"/>
                      <w:b w:val="0"/>
                      <w:bCs w:val="0"/>
                      <w:color w:val="auto"/>
                      <w:sz w:val="24"/>
                      <w:szCs w:val="24"/>
                      <w:lang w:val="en-US" w:eastAsia="zh-CN"/>
                    </w:rPr>
                    <w:t>金烨</w:t>
                  </w:r>
                  <w:r>
                    <w:rPr>
                      <w:rFonts w:hint="eastAsia" w:eastAsia="宋体"/>
                      <w:b w:val="0"/>
                      <w:bCs w:val="0"/>
                      <w:color w:val="auto"/>
                      <w:sz w:val="24"/>
                      <w:szCs w:val="24"/>
                    </w:rPr>
                    <w:t>钢铁集团有限公司现有办公室。</w:t>
                  </w:r>
                </w:p>
              </w:tc>
              <w:tc>
                <w:tcPr>
                  <w:tcW w:w="1105" w:type="dxa"/>
                  <w:tcBorders>
                    <w:right w:val="nil"/>
                  </w:tcBorders>
                  <w:shd w:val="clear" w:color="auto" w:fill="FFFFFF"/>
                  <w:noWrap w:val="0"/>
                  <w:vAlign w:val="center"/>
                </w:tcPr>
                <w:p w14:paraId="345E0C4E">
                  <w:pPr>
                    <w:spacing w:before="0" w:beforeLines="0"/>
                    <w:jc w:val="center"/>
                    <w:rPr>
                      <w:rFonts w:hint="default" w:ascii="Times New Roman" w:hAnsi="Times New Roman" w:eastAsia="宋体" w:cs="Times New Roman"/>
                      <w:b w:val="0"/>
                      <w:bCs/>
                      <w:color w:val="000000"/>
                      <w:kern w:val="2"/>
                      <w:sz w:val="24"/>
                      <w:szCs w:val="24"/>
                      <w:highlight w:val="none"/>
                      <w:lang w:val="en-US" w:eastAsia="zh-CN" w:bidi="ar-SA"/>
                    </w:rPr>
                  </w:pPr>
                  <w:r>
                    <w:rPr>
                      <w:rFonts w:hint="eastAsia" w:ascii="Times New Roman" w:hAnsi="Times New Roman" w:eastAsia="宋体" w:cs="Times New Roman"/>
                      <w:b w:val="0"/>
                      <w:bCs w:val="0"/>
                      <w:color w:val="000000"/>
                      <w:sz w:val="24"/>
                      <w:szCs w:val="24"/>
                      <w:highlight w:val="none"/>
                      <w:lang w:val="en-US" w:eastAsia="zh-CN"/>
                    </w:rPr>
                    <w:t>依托</w:t>
                  </w:r>
                </w:p>
              </w:tc>
            </w:tr>
            <w:tr w14:paraId="7131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vMerge w:val="restart"/>
                  <w:tcBorders>
                    <w:left w:val="nil"/>
                  </w:tcBorders>
                  <w:shd w:val="clear" w:color="auto" w:fill="FFFFFF"/>
                  <w:noWrap w:val="0"/>
                  <w:vAlign w:val="center"/>
                </w:tcPr>
                <w:p w14:paraId="3AB4CE2A">
                  <w:pPr>
                    <w:pStyle w:val="6"/>
                    <w:spacing w:before="0" w:beforeLines="0"/>
                    <w:jc w:val="center"/>
                    <w:rPr>
                      <w:rFonts w:hint="default" w:ascii="Times New Roman" w:hAnsi="Times New Roman" w:eastAsia="宋体" w:cs="Times New Roman"/>
                      <w:b w:val="0"/>
                      <w:bCs w:val="0"/>
                      <w:color w:val="000000"/>
                      <w:sz w:val="24"/>
                      <w:szCs w:val="24"/>
                      <w:highlight w:val="none"/>
                    </w:rPr>
                  </w:pPr>
                  <w:r>
                    <w:rPr>
                      <w:rFonts w:hint="default" w:ascii="Times New Roman" w:hAnsi="Times New Roman" w:eastAsia="宋体" w:cs="Times New Roman"/>
                      <w:b w:val="0"/>
                      <w:bCs w:val="0"/>
                      <w:color w:val="000000"/>
                      <w:sz w:val="24"/>
                      <w:szCs w:val="24"/>
                      <w:highlight w:val="none"/>
                    </w:rPr>
                    <w:t>公用工程</w:t>
                  </w:r>
                </w:p>
              </w:tc>
              <w:tc>
                <w:tcPr>
                  <w:tcW w:w="1205" w:type="dxa"/>
                  <w:shd w:val="clear" w:color="auto" w:fill="FFFFFF"/>
                  <w:noWrap w:val="0"/>
                  <w:vAlign w:val="center"/>
                </w:tcPr>
                <w:p w14:paraId="3E53FD4D">
                  <w:pPr>
                    <w:jc w:val="center"/>
                    <w:rPr>
                      <w:rFonts w:hint="default" w:ascii="Times New Roman" w:hAnsi="Times New Roman" w:eastAsia="宋体" w:cs="Times New Roman"/>
                      <w:b w:val="0"/>
                      <w:color w:val="000000"/>
                      <w:kern w:val="2"/>
                      <w:sz w:val="24"/>
                      <w:szCs w:val="24"/>
                      <w:highlight w:val="none"/>
                      <w:lang w:val="en-US" w:eastAsia="zh-CN" w:bidi="ar-SA"/>
                    </w:rPr>
                  </w:pPr>
                  <w:r>
                    <w:rPr>
                      <w:color w:val="auto"/>
                      <w:sz w:val="24"/>
                    </w:rPr>
                    <w:t>供电</w:t>
                  </w:r>
                </w:p>
              </w:tc>
              <w:tc>
                <w:tcPr>
                  <w:tcW w:w="5521" w:type="dxa"/>
                  <w:shd w:val="clear" w:color="auto" w:fill="FFFFFF"/>
                  <w:noWrap w:val="0"/>
                  <w:vAlign w:val="center"/>
                </w:tcPr>
                <w:p w14:paraId="3331BE75">
                  <w:pPr>
                    <w:jc w:val="center"/>
                    <w:rPr>
                      <w:rFonts w:hint="default" w:ascii="Times New Roman" w:hAnsi="Times New Roman" w:eastAsia="宋体" w:cs="Times New Roman"/>
                      <w:b w:val="0"/>
                      <w:color w:val="000000"/>
                      <w:kern w:val="2"/>
                      <w:sz w:val="24"/>
                      <w:szCs w:val="24"/>
                      <w:highlight w:val="none"/>
                      <w:lang w:val="en-US" w:eastAsia="zh-CN" w:bidi="ar-SA"/>
                    </w:rPr>
                  </w:pPr>
                  <w:r>
                    <w:rPr>
                      <w:color w:val="auto"/>
                      <w:sz w:val="24"/>
                    </w:rPr>
                    <w:t>由本项目供电端厂用低压变压器提供</w:t>
                  </w:r>
                </w:p>
              </w:tc>
              <w:tc>
                <w:tcPr>
                  <w:tcW w:w="1105" w:type="dxa"/>
                  <w:tcBorders>
                    <w:right w:val="nil"/>
                  </w:tcBorders>
                  <w:shd w:val="clear" w:color="auto" w:fill="FFFFFF"/>
                  <w:noWrap w:val="0"/>
                  <w:vAlign w:val="center"/>
                </w:tcPr>
                <w:p w14:paraId="3D6D6931">
                  <w:pPr>
                    <w:spacing w:before="0" w:beforeLines="0"/>
                    <w:jc w:val="center"/>
                    <w:rPr>
                      <w:rFonts w:hint="default" w:ascii="Times New Roman" w:hAnsi="Times New Roman" w:eastAsia="宋体" w:cs="Times New Roman"/>
                      <w:b w:val="0"/>
                      <w:bCs/>
                      <w:color w:val="000000"/>
                      <w:spacing w:val="13"/>
                      <w:sz w:val="24"/>
                      <w:szCs w:val="24"/>
                      <w:highlight w:val="none"/>
                    </w:rPr>
                  </w:pPr>
                  <w:r>
                    <w:rPr>
                      <w:rFonts w:hint="default" w:ascii="Times New Roman" w:hAnsi="Times New Roman" w:eastAsia="宋体" w:cs="Times New Roman"/>
                      <w:b w:val="0"/>
                      <w:bCs w:val="0"/>
                      <w:color w:val="000000"/>
                      <w:sz w:val="24"/>
                      <w:szCs w:val="24"/>
                      <w:highlight w:val="none"/>
                      <w:lang w:val="en-US" w:eastAsia="zh-CN"/>
                    </w:rPr>
                    <w:t>依托</w:t>
                  </w:r>
                </w:p>
              </w:tc>
            </w:tr>
            <w:tr w14:paraId="7FAA5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vMerge w:val="continue"/>
                  <w:tcBorders>
                    <w:left w:val="nil"/>
                  </w:tcBorders>
                  <w:shd w:val="clear" w:color="auto" w:fill="FFFFFF"/>
                  <w:noWrap w:val="0"/>
                  <w:vAlign w:val="center"/>
                </w:tcPr>
                <w:p w14:paraId="4897D70B">
                  <w:pPr>
                    <w:pStyle w:val="6"/>
                    <w:spacing w:before="0" w:beforeLines="0"/>
                    <w:ind w:firstLine="420"/>
                    <w:jc w:val="center"/>
                    <w:rPr>
                      <w:rFonts w:hint="default" w:ascii="Times New Roman" w:hAnsi="Times New Roman" w:eastAsia="宋体" w:cs="Times New Roman"/>
                      <w:b w:val="0"/>
                      <w:bCs w:val="0"/>
                      <w:color w:val="000000"/>
                      <w:sz w:val="24"/>
                      <w:szCs w:val="24"/>
                      <w:highlight w:val="none"/>
                    </w:rPr>
                  </w:pPr>
                </w:p>
              </w:tc>
              <w:tc>
                <w:tcPr>
                  <w:tcW w:w="1205" w:type="dxa"/>
                  <w:shd w:val="clear" w:color="auto" w:fill="FFFFFF"/>
                  <w:noWrap w:val="0"/>
                  <w:vAlign w:val="center"/>
                </w:tcPr>
                <w:p w14:paraId="7E38B080">
                  <w:pPr>
                    <w:jc w:val="center"/>
                    <w:rPr>
                      <w:rFonts w:hint="default" w:ascii="Times New Roman" w:hAnsi="Times New Roman" w:eastAsia="宋体" w:cs="Times New Roman"/>
                      <w:b w:val="0"/>
                      <w:color w:val="000000"/>
                      <w:kern w:val="2"/>
                      <w:sz w:val="24"/>
                      <w:szCs w:val="24"/>
                      <w:highlight w:val="none"/>
                      <w:lang w:val="en-US" w:eastAsia="zh-CN" w:bidi="ar-SA"/>
                    </w:rPr>
                  </w:pPr>
                  <w:r>
                    <w:rPr>
                      <w:color w:val="auto"/>
                      <w:sz w:val="24"/>
                      <w:highlight w:val="none"/>
                    </w:rPr>
                    <w:t>给水</w:t>
                  </w:r>
                </w:p>
              </w:tc>
              <w:tc>
                <w:tcPr>
                  <w:tcW w:w="5521" w:type="dxa"/>
                  <w:shd w:val="clear" w:color="auto" w:fill="FFFFFF"/>
                  <w:noWrap w:val="0"/>
                  <w:vAlign w:val="center"/>
                </w:tcPr>
                <w:p w14:paraId="134D0204">
                  <w:pPr>
                    <w:jc w:val="left"/>
                    <w:rPr>
                      <w:rFonts w:hint="default" w:ascii="Times New Roman" w:hAnsi="Times New Roman" w:eastAsia="宋体" w:cs="Times New Roman"/>
                      <w:b w:val="0"/>
                      <w:color w:val="000000"/>
                      <w:kern w:val="2"/>
                      <w:sz w:val="24"/>
                      <w:szCs w:val="24"/>
                      <w:highlight w:val="none"/>
                      <w:lang w:val="en-US" w:eastAsia="zh-CN" w:bidi="ar-SA"/>
                    </w:rPr>
                  </w:pPr>
                  <w:r>
                    <w:rPr>
                      <w:rFonts w:hint="eastAsia"/>
                      <w:color w:val="auto"/>
                      <w:sz w:val="24"/>
                      <w:highlight w:val="none"/>
                      <w:lang w:val="en-US" w:eastAsia="zh-CN"/>
                    </w:rPr>
                    <w:t>生活用水</w:t>
                  </w:r>
                  <w:r>
                    <w:rPr>
                      <w:color w:val="auto"/>
                      <w:sz w:val="24"/>
                      <w:highlight w:val="none"/>
                    </w:rPr>
                    <w:t>依托厂区现有给水系统</w:t>
                  </w:r>
                  <w:r>
                    <w:rPr>
                      <w:rFonts w:hint="eastAsia"/>
                      <w:color w:val="auto"/>
                      <w:sz w:val="24"/>
                      <w:highlight w:val="none"/>
                      <w:lang w:eastAsia="zh-CN"/>
                    </w:rPr>
                    <w:t>，</w:t>
                  </w:r>
                  <w:r>
                    <w:rPr>
                      <w:rFonts w:hint="eastAsia"/>
                      <w:color w:val="auto"/>
                      <w:sz w:val="24"/>
                      <w:highlight w:val="none"/>
                      <w:lang w:val="en-US" w:eastAsia="zh-CN"/>
                    </w:rPr>
                    <w:t>生产用水依托厂区中水管网</w:t>
                  </w:r>
                  <w:r>
                    <w:rPr>
                      <w:color w:val="auto"/>
                      <w:sz w:val="24"/>
                      <w:highlight w:val="none"/>
                    </w:rPr>
                    <w:t>。</w:t>
                  </w:r>
                </w:p>
              </w:tc>
              <w:tc>
                <w:tcPr>
                  <w:tcW w:w="1105" w:type="dxa"/>
                  <w:tcBorders>
                    <w:right w:val="nil"/>
                  </w:tcBorders>
                  <w:shd w:val="clear" w:color="auto" w:fill="FFFFFF"/>
                  <w:noWrap w:val="0"/>
                  <w:vAlign w:val="center"/>
                </w:tcPr>
                <w:p w14:paraId="1D1C036A">
                  <w:pPr>
                    <w:spacing w:before="0" w:beforeLines="0"/>
                    <w:jc w:val="center"/>
                    <w:rPr>
                      <w:rFonts w:hint="default" w:ascii="Times New Roman" w:hAnsi="Times New Roman" w:eastAsia="宋体" w:cs="Times New Roman"/>
                      <w:b w:val="0"/>
                      <w:bCs/>
                      <w:color w:val="000000"/>
                      <w:spacing w:val="13"/>
                      <w:sz w:val="24"/>
                      <w:szCs w:val="24"/>
                      <w:highlight w:val="none"/>
                    </w:rPr>
                  </w:pPr>
                  <w:r>
                    <w:rPr>
                      <w:rFonts w:hint="default" w:ascii="Times New Roman" w:hAnsi="Times New Roman" w:eastAsia="宋体" w:cs="Times New Roman"/>
                      <w:b w:val="0"/>
                      <w:bCs w:val="0"/>
                      <w:color w:val="000000"/>
                      <w:sz w:val="24"/>
                      <w:szCs w:val="24"/>
                      <w:highlight w:val="none"/>
                      <w:lang w:val="en-US" w:eastAsia="zh-CN"/>
                    </w:rPr>
                    <w:t>依托</w:t>
                  </w:r>
                </w:p>
              </w:tc>
            </w:tr>
            <w:tr w14:paraId="5F87B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vMerge w:val="continue"/>
                  <w:tcBorders>
                    <w:left w:val="nil"/>
                  </w:tcBorders>
                  <w:shd w:val="clear" w:color="auto" w:fill="FFFFFF"/>
                  <w:noWrap w:val="0"/>
                  <w:vAlign w:val="center"/>
                </w:tcPr>
                <w:p w14:paraId="6F29AAA2">
                  <w:pPr>
                    <w:pStyle w:val="6"/>
                    <w:spacing w:before="0" w:beforeLines="0"/>
                    <w:ind w:firstLine="420"/>
                    <w:jc w:val="center"/>
                    <w:rPr>
                      <w:rFonts w:hint="default" w:ascii="Times New Roman" w:hAnsi="Times New Roman" w:eastAsia="宋体" w:cs="Times New Roman"/>
                      <w:b w:val="0"/>
                      <w:bCs w:val="0"/>
                      <w:color w:val="000000"/>
                      <w:sz w:val="24"/>
                      <w:szCs w:val="24"/>
                      <w:highlight w:val="none"/>
                    </w:rPr>
                  </w:pPr>
                </w:p>
              </w:tc>
              <w:tc>
                <w:tcPr>
                  <w:tcW w:w="1205" w:type="dxa"/>
                  <w:shd w:val="clear" w:color="auto" w:fill="FFFFFF"/>
                  <w:noWrap w:val="0"/>
                  <w:vAlign w:val="center"/>
                </w:tcPr>
                <w:p w14:paraId="1A2B884A">
                  <w:pPr>
                    <w:pStyle w:val="6"/>
                    <w:spacing w:beforeLines="0"/>
                    <w:jc w:val="center"/>
                    <w:rPr>
                      <w:rFonts w:hint="default" w:ascii="Times New Roman" w:hAnsi="Times New Roman" w:eastAsia="宋体" w:cs="Times New Roman"/>
                      <w:b w:val="0"/>
                      <w:bCs/>
                      <w:color w:val="000000"/>
                      <w:kern w:val="2"/>
                      <w:sz w:val="24"/>
                      <w:szCs w:val="32"/>
                      <w:highlight w:val="none"/>
                      <w:lang w:val="en-US" w:eastAsia="zh-CN" w:bidi="ar-SA"/>
                    </w:rPr>
                  </w:pPr>
                  <w:r>
                    <w:rPr>
                      <w:rFonts w:eastAsia="宋体"/>
                      <w:b w:val="0"/>
                      <w:bCs w:val="0"/>
                      <w:color w:val="auto"/>
                      <w:sz w:val="24"/>
                      <w:szCs w:val="24"/>
                    </w:rPr>
                    <w:t>排水</w:t>
                  </w:r>
                </w:p>
              </w:tc>
              <w:tc>
                <w:tcPr>
                  <w:tcW w:w="5521" w:type="dxa"/>
                  <w:shd w:val="clear" w:color="auto" w:fill="FFFFFF"/>
                  <w:noWrap w:val="0"/>
                  <w:vAlign w:val="center"/>
                </w:tcPr>
                <w:p w14:paraId="61F65710">
                  <w:pPr>
                    <w:pStyle w:val="6"/>
                    <w:spacing w:beforeLines="0"/>
                    <w:jc w:val="center"/>
                    <w:rPr>
                      <w:rFonts w:hint="default" w:ascii="Times New Roman" w:hAnsi="Times New Roman" w:eastAsia="宋体" w:cs="Times New Roman"/>
                      <w:b w:val="0"/>
                      <w:bCs/>
                      <w:color w:val="000000"/>
                      <w:kern w:val="2"/>
                      <w:sz w:val="24"/>
                      <w:szCs w:val="32"/>
                      <w:highlight w:val="none"/>
                      <w:lang w:val="en-US" w:eastAsia="zh-CN" w:bidi="ar-SA"/>
                    </w:rPr>
                  </w:pPr>
                  <w:r>
                    <w:rPr>
                      <w:rFonts w:hint="eastAsia" w:eastAsia="宋体"/>
                      <w:b w:val="0"/>
                      <w:bCs w:val="0"/>
                      <w:color w:val="auto"/>
                      <w:sz w:val="24"/>
                      <w:szCs w:val="24"/>
                      <w:lang w:val="en-US" w:eastAsia="zh-CN"/>
                    </w:rPr>
                    <w:t>工业废水</w:t>
                  </w:r>
                  <w:r>
                    <w:rPr>
                      <w:rFonts w:eastAsia="宋体"/>
                      <w:b w:val="0"/>
                      <w:bCs w:val="0"/>
                      <w:color w:val="auto"/>
                      <w:sz w:val="24"/>
                      <w:szCs w:val="24"/>
                    </w:rPr>
                    <w:t>全部回用作生产系统补水，不外排。</w:t>
                  </w:r>
                </w:p>
              </w:tc>
              <w:tc>
                <w:tcPr>
                  <w:tcW w:w="1105" w:type="dxa"/>
                  <w:tcBorders>
                    <w:right w:val="nil"/>
                  </w:tcBorders>
                  <w:shd w:val="clear" w:color="auto" w:fill="FFFFFF"/>
                  <w:noWrap w:val="0"/>
                  <w:vAlign w:val="center"/>
                </w:tcPr>
                <w:p w14:paraId="30E5BFCF">
                  <w:pPr>
                    <w:spacing w:before="0" w:beforeLines="0"/>
                    <w:jc w:val="center"/>
                    <w:rPr>
                      <w:rFonts w:hint="default" w:ascii="Times New Roman" w:hAnsi="Times New Roman" w:eastAsia="宋体" w:cs="Times New Roman"/>
                      <w:b w:val="0"/>
                      <w:bCs/>
                      <w:color w:val="000000"/>
                      <w:sz w:val="24"/>
                      <w:szCs w:val="24"/>
                      <w:highlight w:val="none"/>
                    </w:rPr>
                  </w:pPr>
                  <w:r>
                    <w:rPr>
                      <w:rFonts w:hint="eastAsia" w:ascii="Times New Roman" w:hAnsi="Times New Roman" w:eastAsia="宋体" w:cs="Times New Roman"/>
                      <w:b w:val="0"/>
                      <w:bCs w:val="0"/>
                      <w:color w:val="000000"/>
                      <w:sz w:val="24"/>
                      <w:szCs w:val="24"/>
                      <w:highlight w:val="none"/>
                      <w:lang w:val="en-US" w:eastAsia="zh-CN"/>
                    </w:rPr>
                    <w:t>新建</w:t>
                  </w:r>
                </w:p>
              </w:tc>
            </w:tr>
            <w:tr w14:paraId="0D5AE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jc w:val="center"/>
              </w:trPr>
              <w:tc>
                <w:tcPr>
                  <w:tcW w:w="0" w:type="auto"/>
                  <w:vMerge w:val="restart"/>
                  <w:tcBorders>
                    <w:left w:val="nil"/>
                  </w:tcBorders>
                  <w:shd w:val="clear" w:color="auto" w:fill="FFFFFF"/>
                  <w:noWrap w:val="0"/>
                  <w:vAlign w:val="center"/>
                </w:tcPr>
                <w:p w14:paraId="35C0E4B4">
                  <w:pPr>
                    <w:pStyle w:val="6"/>
                    <w:spacing w:before="0" w:beforeLines="0"/>
                    <w:jc w:val="center"/>
                    <w:rPr>
                      <w:rFonts w:hint="default" w:ascii="Times New Roman" w:hAnsi="Times New Roman" w:eastAsia="宋体" w:cs="Times New Roman"/>
                      <w:b w:val="0"/>
                      <w:bCs w:val="0"/>
                      <w:color w:val="000000"/>
                      <w:sz w:val="24"/>
                      <w:szCs w:val="24"/>
                      <w:highlight w:val="none"/>
                    </w:rPr>
                  </w:pPr>
                  <w:r>
                    <w:rPr>
                      <w:rFonts w:hint="default" w:ascii="Times New Roman" w:hAnsi="Times New Roman" w:eastAsia="宋体" w:cs="Times New Roman"/>
                      <w:b w:val="0"/>
                      <w:bCs w:val="0"/>
                      <w:color w:val="000000"/>
                      <w:sz w:val="24"/>
                      <w:szCs w:val="24"/>
                      <w:highlight w:val="none"/>
                    </w:rPr>
                    <w:t>环保工程</w:t>
                  </w:r>
                </w:p>
              </w:tc>
              <w:tc>
                <w:tcPr>
                  <w:tcW w:w="1205" w:type="dxa"/>
                  <w:vMerge w:val="restart"/>
                  <w:shd w:val="clear" w:color="auto" w:fill="FFFFFF"/>
                  <w:noWrap w:val="0"/>
                  <w:vAlign w:val="center"/>
                </w:tcPr>
                <w:p w14:paraId="7D319CDD">
                  <w:pPr>
                    <w:pStyle w:val="6"/>
                    <w:spacing w:beforeLines="0"/>
                    <w:jc w:val="center"/>
                    <w:rPr>
                      <w:rFonts w:hint="default" w:ascii="Times New Roman" w:hAnsi="Times New Roman" w:eastAsia="宋体" w:cs="Times New Roman"/>
                      <w:b w:val="0"/>
                      <w:bCs w:val="0"/>
                      <w:color w:val="000000"/>
                      <w:sz w:val="24"/>
                      <w:szCs w:val="24"/>
                      <w:highlight w:val="none"/>
                      <w:lang w:bidi="ar"/>
                    </w:rPr>
                  </w:pPr>
                  <w:r>
                    <w:rPr>
                      <w:rFonts w:eastAsia="宋体"/>
                      <w:b w:val="0"/>
                      <w:bCs w:val="0"/>
                      <w:color w:val="auto"/>
                      <w:sz w:val="24"/>
                      <w:szCs w:val="24"/>
                    </w:rPr>
                    <w:t>废气</w:t>
                  </w:r>
                </w:p>
              </w:tc>
              <w:tc>
                <w:tcPr>
                  <w:tcW w:w="5521" w:type="dxa"/>
                  <w:shd w:val="clear" w:color="auto" w:fill="auto"/>
                  <w:noWrap w:val="0"/>
                  <w:vAlign w:val="center"/>
                </w:tcPr>
                <w:p w14:paraId="49F1AA7C">
                  <w:pPr>
                    <w:pStyle w:val="6"/>
                    <w:spacing w:beforeLines="0"/>
                    <w:jc w:val="center"/>
                    <w:rPr>
                      <w:rFonts w:hint="default" w:ascii="Times New Roman" w:hAnsi="Times New Roman" w:eastAsia="宋体" w:cs="Times New Roman"/>
                      <w:b w:val="0"/>
                      <w:bCs w:val="0"/>
                      <w:color w:val="auto"/>
                      <w:kern w:val="2"/>
                      <w:sz w:val="24"/>
                      <w:szCs w:val="24"/>
                      <w:lang w:val="en-US" w:eastAsia="zh-CN" w:bidi="ar-SA"/>
                    </w:rPr>
                  </w:pPr>
                  <w:r>
                    <w:rPr>
                      <w:rFonts w:hint="eastAsia" w:eastAsia="宋体"/>
                      <w:b w:val="0"/>
                      <w:bCs w:val="0"/>
                      <w:color w:val="auto"/>
                      <w:sz w:val="24"/>
                      <w:szCs w:val="24"/>
                    </w:rPr>
                    <w:t>锅炉安装低氮燃烧器，燃烧废气经干法脱硫+布袋除尘后，通过高</w:t>
                  </w:r>
                  <w:r>
                    <w:rPr>
                      <w:rFonts w:hint="eastAsia" w:eastAsia="宋体"/>
                      <w:b w:val="0"/>
                      <w:bCs w:val="0"/>
                      <w:color w:val="auto"/>
                      <w:sz w:val="24"/>
                      <w:szCs w:val="24"/>
                      <w:lang w:eastAsia="zh-CN"/>
                    </w:rPr>
                    <w:t>50m、</w:t>
                  </w:r>
                  <w:r>
                    <w:rPr>
                      <w:rFonts w:hint="eastAsia" w:eastAsia="宋体"/>
                      <w:b w:val="0"/>
                      <w:bCs w:val="0"/>
                      <w:color w:val="auto"/>
                      <w:sz w:val="24"/>
                      <w:szCs w:val="24"/>
                    </w:rPr>
                    <w:t>出口</w:t>
                  </w:r>
                  <w:r>
                    <w:rPr>
                      <w:rFonts w:hint="eastAsia" w:eastAsia="宋体"/>
                      <w:b w:val="0"/>
                      <w:bCs w:val="0"/>
                      <w:color w:val="auto"/>
                      <w:sz w:val="24"/>
                      <w:szCs w:val="24"/>
                      <w:lang w:eastAsia="zh-CN"/>
                    </w:rPr>
                    <w:t>内径</w:t>
                  </w:r>
                  <w:r>
                    <w:rPr>
                      <w:rFonts w:hint="eastAsia" w:eastAsia="宋体"/>
                      <w:b w:val="0"/>
                      <w:bCs w:val="0"/>
                      <w:color w:val="auto"/>
                      <w:sz w:val="24"/>
                      <w:szCs w:val="24"/>
                    </w:rPr>
                    <w:t>2m的烟囱达标排放</w:t>
                  </w:r>
                </w:p>
              </w:tc>
              <w:tc>
                <w:tcPr>
                  <w:tcW w:w="1105" w:type="dxa"/>
                  <w:tcBorders>
                    <w:right w:val="nil"/>
                  </w:tcBorders>
                  <w:shd w:val="clear" w:color="auto" w:fill="FFFFFF"/>
                  <w:noWrap w:val="0"/>
                  <w:vAlign w:val="center"/>
                </w:tcPr>
                <w:p w14:paraId="0C97C70B">
                  <w:pPr>
                    <w:spacing w:before="0" w:beforeLines="0"/>
                    <w:jc w:val="center"/>
                    <w:rPr>
                      <w:rFonts w:hint="default" w:ascii="Times New Roman" w:hAnsi="Times New Roman" w:eastAsia="宋体" w:cs="Times New Roman"/>
                      <w:b w:val="0"/>
                      <w:bCs w:val="0"/>
                      <w:color w:val="000000"/>
                      <w:sz w:val="24"/>
                      <w:szCs w:val="24"/>
                      <w:highlight w:val="none"/>
                      <w:lang w:val="en-US" w:eastAsia="zh-CN"/>
                    </w:rPr>
                  </w:pPr>
                  <w:r>
                    <w:rPr>
                      <w:rFonts w:hint="eastAsia" w:ascii="Times New Roman" w:hAnsi="Times New Roman" w:eastAsia="宋体" w:cs="Times New Roman"/>
                      <w:b w:val="0"/>
                      <w:bCs w:val="0"/>
                      <w:color w:val="000000"/>
                      <w:sz w:val="24"/>
                      <w:szCs w:val="24"/>
                      <w:highlight w:val="none"/>
                      <w:lang w:val="en-US" w:eastAsia="zh-CN"/>
                    </w:rPr>
                    <w:t>新建</w:t>
                  </w:r>
                </w:p>
              </w:tc>
            </w:tr>
            <w:tr w14:paraId="20028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jc w:val="center"/>
              </w:trPr>
              <w:tc>
                <w:tcPr>
                  <w:tcW w:w="0" w:type="auto"/>
                  <w:vMerge w:val="continue"/>
                  <w:tcBorders>
                    <w:left w:val="nil"/>
                  </w:tcBorders>
                  <w:shd w:val="clear" w:color="auto" w:fill="FFFFFF"/>
                  <w:noWrap w:val="0"/>
                  <w:vAlign w:val="center"/>
                </w:tcPr>
                <w:p w14:paraId="3A4AEAD8">
                  <w:pPr>
                    <w:pStyle w:val="6"/>
                    <w:spacing w:before="0" w:beforeLines="0"/>
                    <w:jc w:val="center"/>
                    <w:rPr>
                      <w:rFonts w:hint="default" w:ascii="Times New Roman" w:hAnsi="Times New Roman" w:eastAsia="宋体" w:cs="Times New Roman"/>
                      <w:b w:val="0"/>
                      <w:bCs w:val="0"/>
                      <w:color w:val="000000"/>
                      <w:sz w:val="24"/>
                      <w:szCs w:val="24"/>
                      <w:highlight w:val="none"/>
                    </w:rPr>
                  </w:pPr>
                </w:p>
              </w:tc>
              <w:tc>
                <w:tcPr>
                  <w:tcW w:w="1205" w:type="dxa"/>
                  <w:vMerge w:val="continue"/>
                  <w:shd w:val="clear" w:color="auto" w:fill="FFFFFF"/>
                  <w:noWrap w:val="0"/>
                  <w:vAlign w:val="center"/>
                </w:tcPr>
                <w:p w14:paraId="07AD0E6C">
                  <w:pPr>
                    <w:pStyle w:val="6"/>
                    <w:spacing w:beforeLines="0"/>
                    <w:jc w:val="center"/>
                    <w:rPr>
                      <w:rFonts w:eastAsia="宋体"/>
                      <w:b w:val="0"/>
                      <w:bCs w:val="0"/>
                      <w:color w:val="auto"/>
                      <w:sz w:val="24"/>
                      <w:szCs w:val="24"/>
                    </w:rPr>
                  </w:pPr>
                </w:p>
              </w:tc>
              <w:tc>
                <w:tcPr>
                  <w:tcW w:w="5521" w:type="dxa"/>
                  <w:shd w:val="clear" w:color="auto" w:fill="auto"/>
                  <w:noWrap w:val="0"/>
                  <w:vAlign w:val="center"/>
                </w:tcPr>
                <w:p w14:paraId="712F38A5">
                  <w:pPr>
                    <w:pStyle w:val="6"/>
                    <w:spacing w:beforeLines="0"/>
                    <w:jc w:val="center"/>
                    <w:rPr>
                      <w:rFonts w:hint="eastAsia" w:eastAsia="宋体"/>
                      <w:b w:val="0"/>
                      <w:bCs w:val="0"/>
                      <w:color w:val="auto"/>
                      <w:sz w:val="24"/>
                      <w:szCs w:val="24"/>
                    </w:rPr>
                  </w:pPr>
                  <w:r>
                    <w:rPr>
                      <w:rFonts w:hint="eastAsia" w:eastAsia="宋体"/>
                      <w:b w:val="0"/>
                      <w:bCs w:val="0"/>
                      <w:color w:val="auto"/>
                      <w:sz w:val="24"/>
                      <w:szCs w:val="24"/>
                      <w:lang w:val="en-US" w:eastAsia="zh-CN"/>
                    </w:rPr>
                    <w:t>脱硫剂仓颗粒物</w:t>
                  </w:r>
                  <w:r>
                    <w:rPr>
                      <w:rFonts w:hint="eastAsia" w:eastAsia="宋体"/>
                      <w:b w:val="0"/>
                      <w:bCs w:val="0"/>
                      <w:color w:val="auto"/>
                      <w:sz w:val="24"/>
                      <w:szCs w:val="24"/>
                    </w:rPr>
                    <w:t>经仓顶除尘器处理后送至燃气锅炉烟气脉冲袋式除尘器前</w:t>
                  </w:r>
                  <w:r>
                    <w:rPr>
                      <w:rFonts w:hint="eastAsia" w:eastAsia="宋体"/>
                      <w:b w:val="0"/>
                      <w:bCs w:val="0"/>
                      <w:color w:val="auto"/>
                      <w:sz w:val="24"/>
                      <w:szCs w:val="24"/>
                      <w:lang w:eastAsia="zh-CN"/>
                    </w:rPr>
                    <w:t>，</w:t>
                  </w:r>
                  <w:r>
                    <w:rPr>
                      <w:rFonts w:hint="eastAsia" w:eastAsia="宋体"/>
                      <w:b w:val="0"/>
                      <w:bCs w:val="0"/>
                      <w:color w:val="auto"/>
                      <w:sz w:val="24"/>
                      <w:szCs w:val="24"/>
                      <w:lang w:val="en-US" w:eastAsia="zh-CN"/>
                    </w:rPr>
                    <w:t>通过50m高烟囱排放。</w:t>
                  </w:r>
                </w:p>
              </w:tc>
              <w:tc>
                <w:tcPr>
                  <w:tcW w:w="1105" w:type="dxa"/>
                  <w:tcBorders>
                    <w:right w:val="nil"/>
                  </w:tcBorders>
                  <w:shd w:val="clear" w:color="auto" w:fill="FFFFFF"/>
                  <w:noWrap w:val="0"/>
                  <w:vAlign w:val="center"/>
                </w:tcPr>
                <w:p w14:paraId="357E04CB">
                  <w:pPr>
                    <w:spacing w:before="0" w:beforeLines="0"/>
                    <w:jc w:val="center"/>
                    <w:rPr>
                      <w:rFonts w:hint="eastAsia" w:ascii="Times New Roman" w:hAnsi="Times New Roman" w:eastAsia="宋体" w:cs="Times New Roman"/>
                      <w:b w:val="0"/>
                      <w:bCs w:val="0"/>
                      <w:color w:val="000000"/>
                      <w:sz w:val="24"/>
                      <w:szCs w:val="24"/>
                      <w:highlight w:val="none"/>
                      <w:lang w:val="en-US" w:eastAsia="zh-CN"/>
                    </w:rPr>
                  </w:pPr>
                  <w:r>
                    <w:rPr>
                      <w:rFonts w:hint="eastAsia" w:ascii="Times New Roman" w:hAnsi="Times New Roman" w:eastAsia="宋体" w:cs="Times New Roman"/>
                      <w:b w:val="0"/>
                      <w:bCs w:val="0"/>
                      <w:color w:val="000000"/>
                      <w:sz w:val="24"/>
                      <w:szCs w:val="24"/>
                      <w:highlight w:val="none"/>
                      <w:lang w:val="en-US" w:eastAsia="zh-CN"/>
                    </w:rPr>
                    <w:t>新建</w:t>
                  </w:r>
                </w:p>
              </w:tc>
            </w:tr>
            <w:tr w14:paraId="0FC87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vMerge w:val="continue"/>
                  <w:tcBorders>
                    <w:left w:val="nil"/>
                  </w:tcBorders>
                  <w:shd w:val="clear" w:color="auto" w:fill="FFFFFF"/>
                  <w:noWrap w:val="0"/>
                  <w:vAlign w:val="center"/>
                </w:tcPr>
                <w:p w14:paraId="63AEB44B">
                  <w:pPr>
                    <w:pStyle w:val="6"/>
                    <w:spacing w:before="0" w:beforeLines="0"/>
                    <w:ind w:firstLine="420"/>
                    <w:jc w:val="center"/>
                    <w:rPr>
                      <w:rFonts w:hint="default" w:ascii="Times New Roman" w:hAnsi="Times New Roman" w:eastAsia="宋体" w:cs="Times New Roman"/>
                      <w:b w:val="0"/>
                      <w:bCs w:val="0"/>
                      <w:color w:val="000000"/>
                      <w:sz w:val="24"/>
                      <w:szCs w:val="24"/>
                      <w:highlight w:val="none"/>
                    </w:rPr>
                  </w:pPr>
                </w:p>
              </w:tc>
              <w:tc>
                <w:tcPr>
                  <w:tcW w:w="1205" w:type="dxa"/>
                  <w:shd w:val="clear" w:color="auto" w:fill="FFFFFF"/>
                  <w:noWrap w:val="0"/>
                  <w:vAlign w:val="center"/>
                </w:tcPr>
                <w:p w14:paraId="291A5A07">
                  <w:pPr>
                    <w:pStyle w:val="6"/>
                    <w:spacing w:beforeLines="0"/>
                    <w:jc w:val="center"/>
                    <w:rPr>
                      <w:rFonts w:hint="default" w:ascii="Times New Roman" w:hAnsi="Times New Roman" w:eastAsia="宋体" w:cs="Times New Roman"/>
                      <w:b w:val="0"/>
                      <w:bCs w:val="0"/>
                      <w:color w:val="000000"/>
                      <w:sz w:val="24"/>
                      <w:szCs w:val="24"/>
                      <w:highlight w:val="none"/>
                    </w:rPr>
                  </w:pPr>
                  <w:r>
                    <w:rPr>
                      <w:rFonts w:eastAsia="宋体"/>
                      <w:b w:val="0"/>
                      <w:bCs w:val="0"/>
                      <w:color w:val="auto"/>
                      <w:sz w:val="24"/>
                      <w:szCs w:val="24"/>
                    </w:rPr>
                    <w:t>废水</w:t>
                  </w:r>
                </w:p>
              </w:tc>
              <w:tc>
                <w:tcPr>
                  <w:tcW w:w="5521" w:type="dxa"/>
                  <w:shd w:val="clear" w:color="auto" w:fill="FFFFFF"/>
                  <w:noWrap w:val="0"/>
                  <w:vAlign w:val="center"/>
                </w:tcPr>
                <w:p w14:paraId="14AF8EF6">
                  <w:pPr>
                    <w:pStyle w:val="6"/>
                    <w:spacing w:beforeLines="0"/>
                    <w:jc w:val="left"/>
                    <w:rPr>
                      <w:rFonts w:hint="eastAsia" w:ascii="Times New Roman" w:hAnsi="Times New Roman" w:eastAsia="宋体" w:cs="Times New Roman"/>
                      <w:b w:val="0"/>
                      <w:bCs w:val="0"/>
                      <w:color w:val="000000"/>
                      <w:sz w:val="24"/>
                      <w:szCs w:val="24"/>
                      <w:highlight w:val="none"/>
                      <w:lang w:val="en-US" w:eastAsia="zh-CN"/>
                    </w:rPr>
                  </w:pPr>
                  <w:r>
                    <w:rPr>
                      <w:rFonts w:eastAsia="宋体"/>
                      <w:b w:val="0"/>
                      <w:bCs w:val="0"/>
                      <w:color w:val="auto"/>
                      <w:sz w:val="24"/>
                      <w:szCs w:val="24"/>
                    </w:rPr>
                    <w:t>本项目生产废水包括锅炉排污水、化学水车间排水、循环冷却排污水，全部为含盐水，回用作生产系统补水，不外排。</w:t>
                  </w:r>
                </w:p>
              </w:tc>
              <w:tc>
                <w:tcPr>
                  <w:tcW w:w="1105" w:type="dxa"/>
                  <w:tcBorders>
                    <w:right w:val="nil"/>
                  </w:tcBorders>
                  <w:shd w:val="clear" w:color="auto" w:fill="FFFFFF"/>
                  <w:noWrap w:val="0"/>
                  <w:vAlign w:val="center"/>
                </w:tcPr>
                <w:p w14:paraId="77F1CA55">
                  <w:pPr>
                    <w:jc w:val="center"/>
                    <w:rPr>
                      <w:rFonts w:hint="default" w:ascii="Times New Roman" w:hAnsi="Times New Roman" w:eastAsia="宋体" w:cs="Times New Roman"/>
                      <w:b w:val="0"/>
                      <w:bCs/>
                      <w:color w:val="000000"/>
                      <w:kern w:val="2"/>
                      <w:sz w:val="24"/>
                      <w:szCs w:val="24"/>
                      <w:highlight w:val="none"/>
                      <w:lang w:val="en-US" w:eastAsia="zh-CN" w:bidi="ar-SA"/>
                    </w:rPr>
                  </w:pPr>
                  <w:r>
                    <w:rPr>
                      <w:rFonts w:hint="eastAsia" w:ascii="Times New Roman" w:hAnsi="Times New Roman" w:eastAsia="宋体" w:cs="Times New Roman"/>
                      <w:b w:val="0"/>
                      <w:bCs w:val="0"/>
                      <w:color w:val="000000"/>
                      <w:sz w:val="24"/>
                      <w:szCs w:val="24"/>
                      <w:highlight w:val="none"/>
                      <w:lang w:val="en-US" w:eastAsia="zh-CN"/>
                    </w:rPr>
                    <w:t>新建</w:t>
                  </w:r>
                </w:p>
              </w:tc>
            </w:tr>
            <w:tr w14:paraId="4C22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vMerge w:val="continue"/>
                  <w:tcBorders>
                    <w:left w:val="nil"/>
                  </w:tcBorders>
                  <w:shd w:val="clear" w:color="auto" w:fill="FFFFFF"/>
                  <w:noWrap w:val="0"/>
                  <w:vAlign w:val="center"/>
                </w:tcPr>
                <w:p w14:paraId="64A98173">
                  <w:pPr>
                    <w:pStyle w:val="6"/>
                    <w:spacing w:before="0" w:beforeLines="0"/>
                    <w:ind w:firstLine="420"/>
                    <w:jc w:val="center"/>
                    <w:rPr>
                      <w:rFonts w:hint="default" w:ascii="Times New Roman" w:hAnsi="Times New Roman" w:eastAsia="宋体" w:cs="Times New Roman"/>
                      <w:b w:val="0"/>
                      <w:bCs w:val="0"/>
                      <w:color w:val="000000"/>
                      <w:sz w:val="24"/>
                      <w:szCs w:val="24"/>
                      <w:highlight w:val="none"/>
                    </w:rPr>
                  </w:pPr>
                </w:p>
              </w:tc>
              <w:tc>
                <w:tcPr>
                  <w:tcW w:w="1205" w:type="dxa"/>
                  <w:vMerge w:val="restart"/>
                  <w:shd w:val="clear" w:color="auto" w:fill="FFFFFF"/>
                  <w:noWrap w:val="0"/>
                  <w:vAlign w:val="center"/>
                </w:tcPr>
                <w:p w14:paraId="75FC6BB5">
                  <w:pPr>
                    <w:pStyle w:val="6"/>
                    <w:spacing w:before="0" w:beforeLines="0"/>
                    <w:jc w:val="center"/>
                    <w:rPr>
                      <w:rFonts w:hint="default" w:ascii="Times New Roman" w:hAnsi="Times New Roman" w:eastAsia="宋体" w:cs="Times New Roman"/>
                      <w:b w:val="0"/>
                      <w:bCs w:val="0"/>
                      <w:color w:val="000000"/>
                      <w:sz w:val="24"/>
                      <w:szCs w:val="24"/>
                      <w:highlight w:val="none"/>
                    </w:rPr>
                  </w:pPr>
                  <w:r>
                    <w:rPr>
                      <w:rFonts w:hint="default" w:ascii="Times New Roman" w:hAnsi="Times New Roman" w:eastAsia="宋体" w:cs="Times New Roman"/>
                      <w:b w:val="0"/>
                      <w:bCs w:val="0"/>
                      <w:color w:val="000000"/>
                      <w:sz w:val="24"/>
                      <w:szCs w:val="24"/>
                      <w:highlight w:val="none"/>
                    </w:rPr>
                    <w:t>固废</w:t>
                  </w:r>
                </w:p>
              </w:tc>
              <w:tc>
                <w:tcPr>
                  <w:tcW w:w="5521" w:type="dxa"/>
                  <w:shd w:val="clear" w:color="auto" w:fill="FFFFFF"/>
                  <w:noWrap w:val="0"/>
                  <w:vAlign w:val="center"/>
                </w:tcPr>
                <w:p w14:paraId="08F6FC4A">
                  <w:pPr>
                    <w:pStyle w:val="6"/>
                    <w:spacing w:before="0" w:beforeLines="0"/>
                    <w:jc w:val="both"/>
                    <w:rPr>
                      <w:rFonts w:hint="default" w:ascii="Times New Roman" w:hAnsi="Times New Roman" w:eastAsia="宋体" w:cs="Times New Roman"/>
                      <w:b w:val="0"/>
                      <w:bCs w:val="0"/>
                      <w:color w:val="000000"/>
                      <w:sz w:val="24"/>
                      <w:szCs w:val="24"/>
                      <w:highlight w:val="none"/>
                    </w:rPr>
                  </w:pPr>
                  <w:r>
                    <w:rPr>
                      <w:rFonts w:hint="eastAsia" w:ascii="Times New Roman" w:hAnsi="Times New Roman" w:eastAsia="宋体" w:cs="Times New Roman"/>
                      <w:b w:val="0"/>
                      <w:bCs w:val="0"/>
                      <w:color w:val="000000"/>
                      <w:sz w:val="24"/>
                      <w:szCs w:val="24"/>
                      <w:highlight w:val="none"/>
                      <w:lang w:val="en-US" w:eastAsia="zh-CN"/>
                    </w:rPr>
                    <w:t>生活垃圾收集后交由环卫部门统一清运；</w:t>
                  </w:r>
                  <w:r>
                    <w:rPr>
                      <w:rFonts w:hint="default" w:ascii="Times New Roman" w:hAnsi="Times New Roman" w:eastAsia="宋体" w:cs="Times New Roman"/>
                      <w:b w:val="0"/>
                      <w:bCs w:val="0"/>
                      <w:color w:val="000000"/>
                      <w:sz w:val="24"/>
                      <w:szCs w:val="24"/>
                      <w:highlight w:val="none"/>
                    </w:rPr>
                    <w:t>除尘器收集的粉尘，收集后</w:t>
                  </w:r>
                  <w:r>
                    <w:rPr>
                      <w:rFonts w:hint="eastAsia" w:ascii="Times New Roman" w:hAnsi="Times New Roman" w:eastAsia="宋体" w:cs="Times New Roman"/>
                      <w:b w:val="0"/>
                      <w:bCs w:val="0"/>
                      <w:color w:val="000000"/>
                      <w:sz w:val="24"/>
                      <w:szCs w:val="24"/>
                      <w:highlight w:val="none"/>
                      <w:lang w:val="en-US" w:eastAsia="zh-CN"/>
                    </w:rPr>
                    <w:t>定期</w:t>
                  </w:r>
                  <w:r>
                    <w:rPr>
                      <w:rFonts w:hint="default" w:ascii="Times New Roman" w:hAnsi="Times New Roman" w:eastAsia="宋体" w:cs="Times New Roman"/>
                      <w:b w:val="0"/>
                      <w:bCs w:val="0"/>
                      <w:color w:val="000000"/>
                      <w:sz w:val="24"/>
                      <w:szCs w:val="24"/>
                      <w:highlight w:val="none"/>
                      <w:lang w:val="en-US" w:eastAsia="zh-CN"/>
                    </w:rPr>
                    <w:t>外售</w:t>
                  </w:r>
                  <w:r>
                    <w:rPr>
                      <w:rFonts w:hint="eastAsia" w:ascii="Times New Roman" w:hAnsi="Times New Roman" w:eastAsia="宋体" w:cs="Times New Roman"/>
                      <w:b w:val="0"/>
                      <w:bCs w:val="0"/>
                      <w:color w:val="000000"/>
                      <w:sz w:val="24"/>
                      <w:szCs w:val="24"/>
                      <w:highlight w:val="none"/>
                      <w:lang w:eastAsia="zh-CN"/>
                    </w:rPr>
                    <w:t>；</w:t>
                  </w:r>
                  <w:r>
                    <w:rPr>
                      <w:rFonts w:hint="default" w:ascii="Times New Roman" w:hAnsi="Times New Roman" w:eastAsia="宋体" w:cs="Times New Roman"/>
                      <w:b w:val="0"/>
                      <w:bCs w:val="0"/>
                      <w:color w:val="000000"/>
                      <w:sz w:val="24"/>
                      <w:szCs w:val="24"/>
                      <w:highlight w:val="none"/>
                      <w:lang w:val="en-US" w:eastAsia="zh-CN"/>
                    </w:rPr>
                    <w:t>依托</w:t>
                  </w:r>
                  <w:r>
                    <w:rPr>
                      <w:rFonts w:hint="eastAsia" w:ascii="Times New Roman" w:hAnsi="Times New Roman" w:eastAsia="宋体" w:cs="Times New Roman"/>
                      <w:b w:val="0"/>
                      <w:bCs w:val="0"/>
                      <w:color w:val="000000"/>
                      <w:sz w:val="24"/>
                      <w:szCs w:val="24"/>
                      <w:highlight w:val="none"/>
                      <w:lang w:val="en-US" w:eastAsia="zh-CN"/>
                    </w:rPr>
                    <w:t>厂</w:t>
                  </w:r>
                  <w:r>
                    <w:rPr>
                      <w:rFonts w:hint="default" w:ascii="Times New Roman" w:hAnsi="Times New Roman" w:eastAsia="宋体" w:cs="Times New Roman"/>
                      <w:b w:val="0"/>
                      <w:bCs w:val="0"/>
                      <w:color w:val="000000"/>
                      <w:sz w:val="24"/>
                      <w:szCs w:val="24"/>
                      <w:highlight w:val="none"/>
                      <w:lang w:val="en-US" w:eastAsia="zh-CN"/>
                    </w:rPr>
                    <w:t>区内</w:t>
                  </w:r>
                  <w:r>
                    <w:rPr>
                      <w:rFonts w:hint="eastAsia" w:ascii="Times New Roman" w:hAnsi="Times New Roman" w:eastAsia="宋体" w:cs="Times New Roman"/>
                      <w:b w:val="0"/>
                      <w:bCs w:val="0"/>
                      <w:color w:val="000000"/>
                      <w:sz w:val="24"/>
                      <w:szCs w:val="24"/>
                      <w:highlight w:val="none"/>
                      <w:lang w:val="en-US" w:eastAsia="zh-CN"/>
                    </w:rPr>
                    <w:t>原</w:t>
                  </w:r>
                  <w:r>
                    <w:rPr>
                      <w:rFonts w:hint="default" w:ascii="Times New Roman" w:hAnsi="Times New Roman" w:eastAsia="宋体" w:cs="Times New Roman"/>
                      <w:b w:val="0"/>
                      <w:bCs w:val="0"/>
                      <w:color w:val="000000"/>
                      <w:sz w:val="24"/>
                      <w:szCs w:val="24"/>
                      <w:highlight w:val="none"/>
                      <w:lang w:val="en-US" w:eastAsia="zh-CN"/>
                    </w:rPr>
                    <w:t>有</w:t>
                  </w:r>
                  <w:r>
                    <w:rPr>
                      <w:rFonts w:hint="eastAsia" w:ascii="Times New Roman" w:hAnsi="Times New Roman" w:eastAsia="宋体" w:cs="Times New Roman"/>
                      <w:b w:val="0"/>
                      <w:bCs w:val="0"/>
                      <w:color w:val="000000"/>
                      <w:sz w:val="24"/>
                      <w:szCs w:val="24"/>
                      <w:highlight w:val="none"/>
                      <w:lang w:val="en-US" w:eastAsia="zh-CN"/>
                    </w:rPr>
                    <w:t>的</w:t>
                  </w:r>
                  <w:r>
                    <w:rPr>
                      <w:rFonts w:hint="default" w:ascii="Times New Roman" w:hAnsi="Times New Roman" w:eastAsia="宋体" w:cs="Times New Roman"/>
                      <w:b w:val="0"/>
                      <w:bCs w:val="0"/>
                      <w:color w:val="000000"/>
                      <w:sz w:val="24"/>
                      <w:szCs w:val="24"/>
                      <w:highlight w:val="none"/>
                      <w:lang w:val="en-US" w:eastAsia="zh-CN"/>
                    </w:rPr>
                    <w:t>两间占地面积共35.2</w:t>
                  </w:r>
                  <w:r>
                    <w:rPr>
                      <w:rFonts w:hint="default" w:ascii="Times New Roman" w:hAnsi="Times New Roman" w:eastAsia="宋体" w:cs="Times New Roman"/>
                      <w:b w:val="0"/>
                      <w:bCs w:val="0"/>
                      <w:color w:val="000000"/>
                      <w:sz w:val="24"/>
                      <w:szCs w:val="24"/>
                      <w:highlight w:val="none"/>
                    </w:rPr>
                    <w:t>m</w:t>
                  </w:r>
                  <w:r>
                    <w:rPr>
                      <w:rFonts w:hint="default" w:ascii="Times New Roman" w:hAnsi="Times New Roman" w:eastAsia="宋体" w:cs="Times New Roman"/>
                      <w:b w:val="0"/>
                      <w:bCs w:val="0"/>
                      <w:color w:val="000000"/>
                      <w:sz w:val="24"/>
                      <w:szCs w:val="24"/>
                      <w:highlight w:val="none"/>
                      <w:vertAlign w:val="superscript"/>
                    </w:rPr>
                    <w:t>2</w:t>
                  </w:r>
                  <w:r>
                    <w:rPr>
                      <w:rFonts w:hint="default" w:ascii="Times New Roman" w:hAnsi="Times New Roman" w:eastAsia="宋体" w:cs="Times New Roman"/>
                      <w:b w:val="0"/>
                      <w:bCs w:val="0"/>
                      <w:color w:val="000000"/>
                      <w:sz w:val="24"/>
                      <w:szCs w:val="24"/>
                      <w:highlight w:val="none"/>
                    </w:rPr>
                    <w:t>危废贮存库，暂存</w:t>
                  </w:r>
                  <w:r>
                    <w:rPr>
                      <w:rFonts w:hint="eastAsia" w:ascii="Times New Roman" w:hAnsi="Times New Roman" w:eastAsia="宋体" w:cs="Times New Roman"/>
                      <w:b w:val="0"/>
                      <w:bCs w:val="0"/>
                      <w:color w:val="000000"/>
                      <w:sz w:val="24"/>
                      <w:szCs w:val="24"/>
                      <w:highlight w:val="none"/>
                      <w:lang w:val="en-US" w:eastAsia="zh-CN"/>
                    </w:rPr>
                    <w:t>生产过程</w:t>
                  </w:r>
                  <w:r>
                    <w:rPr>
                      <w:rFonts w:hint="eastAsia" w:ascii="Times New Roman" w:hAnsi="Times New Roman" w:eastAsia="宋体" w:cs="Times New Roman"/>
                      <w:b w:val="0"/>
                      <w:bCs w:val="0"/>
                      <w:color w:val="000000"/>
                      <w:sz w:val="24"/>
                      <w:szCs w:val="24"/>
                      <w:highlight w:val="none"/>
                      <w:lang w:eastAsia="zh-CN"/>
                    </w:rPr>
                    <w:t>中</w:t>
                  </w:r>
                  <w:r>
                    <w:rPr>
                      <w:rFonts w:hint="default" w:ascii="Times New Roman" w:hAnsi="Times New Roman" w:eastAsia="宋体" w:cs="Times New Roman"/>
                      <w:b w:val="0"/>
                      <w:bCs w:val="0"/>
                      <w:color w:val="000000"/>
                      <w:sz w:val="24"/>
                      <w:szCs w:val="24"/>
                      <w:highlight w:val="none"/>
                    </w:rPr>
                    <w:t>产生的</w:t>
                  </w:r>
                  <w:r>
                    <w:rPr>
                      <w:rFonts w:hint="eastAsia" w:ascii="Times New Roman" w:hAnsi="Times New Roman" w:eastAsia="宋体" w:cs="Times New Roman"/>
                      <w:b w:val="0"/>
                      <w:bCs w:val="0"/>
                      <w:color w:val="000000"/>
                      <w:sz w:val="24"/>
                      <w:szCs w:val="24"/>
                      <w:highlight w:val="none"/>
                      <w:lang w:val="en-US" w:eastAsia="zh-CN"/>
                    </w:rPr>
                    <w:t>废机油、废油桶</w:t>
                  </w:r>
                  <w:r>
                    <w:rPr>
                      <w:rFonts w:hint="default" w:ascii="Times New Roman" w:hAnsi="Times New Roman" w:eastAsia="宋体" w:cs="Times New Roman"/>
                      <w:b w:val="0"/>
                      <w:bCs w:val="0"/>
                      <w:color w:val="000000"/>
                      <w:sz w:val="24"/>
                      <w:szCs w:val="24"/>
                      <w:highlight w:val="none"/>
                    </w:rPr>
                    <w:t>等，定期交由有资质单位处理</w:t>
                  </w:r>
                </w:p>
              </w:tc>
              <w:tc>
                <w:tcPr>
                  <w:tcW w:w="1105" w:type="dxa"/>
                  <w:tcBorders>
                    <w:right w:val="nil"/>
                  </w:tcBorders>
                  <w:shd w:val="clear" w:color="auto" w:fill="FFFFFF"/>
                  <w:noWrap w:val="0"/>
                  <w:vAlign w:val="center"/>
                </w:tcPr>
                <w:p w14:paraId="239E8223">
                  <w:pPr>
                    <w:jc w:val="center"/>
                    <w:rPr>
                      <w:rFonts w:hint="default" w:ascii="Times New Roman" w:hAnsi="Times New Roman" w:eastAsia="宋体" w:cs="Times New Roman"/>
                      <w:b w:val="0"/>
                      <w:color w:val="000000"/>
                      <w:sz w:val="24"/>
                      <w:highlight w:val="none"/>
                      <w:lang w:eastAsia="zh-CN"/>
                    </w:rPr>
                  </w:pPr>
                  <w:r>
                    <w:rPr>
                      <w:rFonts w:hint="eastAsia" w:ascii="Times New Roman" w:hAnsi="Times New Roman" w:eastAsia="宋体" w:cs="Times New Roman"/>
                      <w:b w:val="0"/>
                      <w:bCs w:val="0"/>
                      <w:color w:val="000000"/>
                      <w:sz w:val="24"/>
                      <w:szCs w:val="24"/>
                      <w:highlight w:val="none"/>
                      <w:lang w:val="en-US" w:eastAsia="zh-CN"/>
                    </w:rPr>
                    <w:t>依托</w:t>
                  </w:r>
                </w:p>
              </w:tc>
            </w:tr>
            <w:tr w14:paraId="26EF3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0" w:type="auto"/>
                  <w:vMerge w:val="continue"/>
                  <w:tcBorders>
                    <w:left w:val="nil"/>
                  </w:tcBorders>
                  <w:shd w:val="clear" w:color="auto" w:fill="FFFFFF"/>
                  <w:noWrap w:val="0"/>
                  <w:vAlign w:val="center"/>
                </w:tcPr>
                <w:p w14:paraId="2B821800">
                  <w:pPr>
                    <w:pStyle w:val="6"/>
                    <w:spacing w:before="0" w:beforeLines="0"/>
                    <w:ind w:firstLine="420"/>
                    <w:jc w:val="center"/>
                    <w:rPr>
                      <w:rFonts w:hint="default" w:ascii="Times New Roman" w:hAnsi="Times New Roman" w:eastAsia="宋体" w:cs="Times New Roman"/>
                      <w:b w:val="0"/>
                      <w:bCs w:val="0"/>
                      <w:color w:val="000000"/>
                      <w:sz w:val="24"/>
                      <w:szCs w:val="24"/>
                      <w:highlight w:val="none"/>
                    </w:rPr>
                  </w:pPr>
                </w:p>
              </w:tc>
              <w:tc>
                <w:tcPr>
                  <w:tcW w:w="1205" w:type="dxa"/>
                  <w:vMerge w:val="continue"/>
                  <w:shd w:val="clear" w:color="auto" w:fill="FFFFFF"/>
                  <w:noWrap w:val="0"/>
                  <w:vAlign w:val="center"/>
                </w:tcPr>
                <w:p w14:paraId="3722104F">
                  <w:pPr>
                    <w:pStyle w:val="6"/>
                    <w:spacing w:before="0" w:beforeLines="0"/>
                    <w:jc w:val="center"/>
                    <w:rPr>
                      <w:rFonts w:hint="default" w:ascii="Times New Roman" w:hAnsi="Times New Roman" w:eastAsia="宋体" w:cs="Times New Roman"/>
                      <w:b w:val="0"/>
                      <w:bCs w:val="0"/>
                      <w:color w:val="000000"/>
                      <w:sz w:val="24"/>
                      <w:szCs w:val="24"/>
                      <w:highlight w:val="none"/>
                    </w:rPr>
                  </w:pPr>
                </w:p>
              </w:tc>
              <w:tc>
                <w:tcPr>
                  <w:tcW w:w="5521" w:type="dxa"/>
                  <w:shd w:val="clear" w:color="auto" w:fill="FFFFFF"/>
                  <w:noWrap w:val="0"/>
                  <w:vAlign w:val="center"/>
                </w:tcPr>
                <w:p w14:paraId="705214F1">
                  <w:pPr>
                    <w:pStyle w:val="6"/>
                    <w:spacing w:before="0" w:beforeLines="0"/>
                    <w:jc w:val="both"/>
                    <w:rPr>
                      <w:rFonts w:hint="default" w:ascii="Times New Roman" w:hAnsi="Times New Roman" w:eastAsia="宋体" w:cs="Times New Roman"/>
                      <w:b w:val="0"/>
                      <w:bCs w:val="0"/>
                      <w:color w:val="000000"/>
                      <w:sz w:val="24"/>
                      <w:szCs w:val="24"/>
                      <w:highlight w:val="none"/>
                      <w:lang w:val="en-US" w:eastAsia="zh-CN"/>
                    </w:rPr>
                  </w:pPr>
                  <w:r>
                    <w:rPr>
                      <w:rFonts w:hint="eastAsia" w:eastAsia="宋体" w:cs="Times New Roman"/>
                      <w:b w:val="0"/>
                      <w:bCs w:val="0"/>
                      <w:color w:val="000000"/>
                      <w:sz w:val="24"/>
                      <w:szCs w:val="24"/>
                      <w:highlight w:val="none"/>
                      <w:lang w:val="en-US" w:eastAsia="zh-CN"/>
                    </w:rPr>
                    <w:t>设置有15m</w:t>
                  </w:r>
                  <w:r>
                    <w:rPr>
                      <w:rFonts w:hint="eastAsia" w:eastAsia="宋体" w:cs="Times New Roman"/>
                      <w:b w:val="0"/>
                      <w:bCs w:val="0"/>
                      <w:color w:val="000000"/>
                      <w:sz w:val="24"/>
                      <w:szCs w:val="24"/>
                      <w:highlight w:val="none"/>
                      <w:vertAlign w:val="superscript"/>
                      <w:lang w:val="en-US" w:eastAsia="zh-CN"/>
                    </w:rPr>
                    <w:t>3</w:t>
                  </w:r>
                  <w:r>
                    <w:rPr>
                      <w:rFonts w:hint="eastAsia" w:eastAsia="宋体" w:cs="Times New Roman"/>
                      <w:b w:val="0"/>
                      <w:bCs w:val="0"/>
                      <w:color w:val="000000"/>
                      <w:sz w:val="24"/>
                      <w:szCs w:val="24"/>
                      <w:highlight w:val="none"/>
                      <w:lang w:val="en-US" w:eastAsia="zh-CN"/>
                    </w:rPr>
                    <w:t>的事故油池，用于收集事故状态下汽轮机油</w:t>
                  </w:r>
                </w:p>
              </w:tc>
              <w:tc>
                <w:tcPr>
                  <w:tcW w:w="1105" w:type="dxa"/>
                  <w:tcBorders>
                    <w:right w:val="nil"/>
                  </w:tcBorders>
                  <w:shd w:val="clear" w:color="auto" w:fill="FFFFFF"/>
                  <w:noWrap w:val="0"/>
                  <w:vAlign w:val="center"/>
                </w:tcPr>
                <w:p w14:paraId="5C479D3F">
                  <w:pPr>
                    <w:jc w:val="center"/>
                    <w:rPr>
                      <w:rFonts w:hint="eastAsia" w:ascii="Times New Roman" w:hAnsi="Times New Roman" w:eastAsia="宋体" w:cs="Times New Roman"/>
                      <w:b w:val="0"/>
                      <w:bCs w:val="0"/>
                      <w:color w:val="000000"/>
                      <w:sz w:val="24"/>
                      <w:szCs w:val="24"/>
                      <w:highlight w:val="none"/>
                      <w:lang w:val="en-US" w:eastAsia="zh-CN"/>
                    </w:rPr>
                  </w:pPr>
                </w:p>
              </w:tc>
            </w:tr>
            <w:tr w14:paraId="342AF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vMerge w:val="continue"/>
                  <w:tcBorders>
                    <w:left w:val="nil"/>
                  </w:tcBorders>
                  <w:shd w:val="clear" w:color="auto" w:fill="FFFFFF"/>
                  <w:noWrap w:val="0"/>
                  <w:vAlign w:val="center"/>
                </w:tcPr>
                <w:p w14:paraId="0D94B797">
                  <w:pPr>
                    <w:pStyle w:val="6"/>
                    <w:spacing w:before="0" w:beforeLines="0"/>
                    <w:jc w:val="center"/>
                    <w:rPr>
                      <w:rFonts w:hint="default" w:ascii="Times New Roman" w:hAnsi="Times New Roman" w:eastAsia="宋体" w:cs="Times New Roman"/>
                      <w:b w:val="0"/>
                      <w:bCs w:val="0"/>
                      <w:color w:val="000000"/>
                      <w:sz w:val="24"/>
                      <w:szCs w:val="24"/>
                      <w:highlight w:val="none"/>
                    </w:rPr>
                  </w:pPr>
                </w:p>
              </w:tc>
              <w:tc>
                <w:tcPr>
                  <w:tcW w:w="1205" w:type="dxa"/>
                  <w:shd w:val="clear" w:color="auto" w:fill="FFFFFF"/>
                  <w:noWrap w:val="0"/>
                  <w:vAlign w:val="center"/>
                </w:tcPr>
                <w:p w14:paraId="06F57EE5">
                  <w:pPr>
                    <w:pStyle w:val="6"/>
                    <w:spacing w:before="0" w:beforeLines="0"/>
                    <w:jc w:val="center"/>
                    <w:rPr>
                      <w:rFonts w:hint="default" w:ascii="Times New Roman" w:hAnsi="Times New Roman" w:eastAsia="宋体" w:cs="Times New Roman"/>
                      <w:b w:val="0"/>
                      <w:bCs w:val="0"/>
                      <w:color w:val="000000"/>
                      <w:sz w:val="24"/>
                      <w:szCs w:val="24"/>
                      <w:highlight w:val="none"/>
                      <w:lang w:bidi="ar"/>
                    </w:rPr>
                  </w:pPr>
                  <w:r>
                    <w:rPr>
                      <w:rFonts w:hint="default" w:ascii="Times New Roman" w:hAnsi="Times New Roman" w:eastAsia="宋体" w:cs="Times New Roman"/>
                      <w:b w:val="0"/>
                      <w:bCs w:val="0"/>
                      <w:color w:val="000000"/>
                      <w:sz w:val="24"/>
                      <w:szCs w:val="24"/>
                      <w:highlight w:val="none"/>
                    </w:rPr>
                    <w:t>噪声</w:t>
                  </w:r>
                </w:p>
              </w:tc>
              <w:tc>
                <w:tcPr>
                  <w:tcW w:w="5521" w:type="dxa"/>
                  <w:shd w:val="clear" w:color="auto" w:fill="FFFFFF"/>
                  <w:noWrap w:val="0"/>
                  <w:vAlign w:val="center"/>
                </w:tcPr>
                <w:p w14:paraId="11B7EA20">
                  <w:pPr>
                    <w:pStyle w:val="6"/>
                    <w:spacing w:before="0" w:beforeLines="0"/>
                    <w:jc w:val="left"/>
                    <w:rPr>
                      <w:rFonts w:hint="default" w:ascii="Times New Roman" w:hAnsi="Times New Roman" w:eastAsia="宋体" w:cs="Times New Roman"/>
                      <w:b w:val="0"/>
                      <w:bCs w:val="0"/>
                      <w:color w:val="000000"/>
                      <w:sz w:val="24"/>
                      <w:szCs w:val="24"/>
                      <w:highlight w:val="none"/>
                    </w:rPr>
                  </w:pPr>
                  <w:r>
                    <w:rPr>
                      <w:rFonts w:hint="default" w:ascii="Times New Roman" w:hAnsi="Times New Roman" w:eastAsia="宋体" w:cs="Times New Roman"/>
                      <w:b w:val="0"/>
                      <w:bCs w:val="0"/>
                      <w:color w:val="000000"/>
                      <w:sz w:val="24"/>
                      <w:szCs w:val="24"/>
                      <w:highlight w:val="none"/>
                    </w:rPr>
                    <w:t>厂房全封闭具有一定隔声作用，采取选用低噪声设备、基础减振等措施</w:t>
                  </w:r>
                </w:p>
              </w:tc>
              <w:tc>
                <w:tcPr>
                  <w:tcW w:w="1105" w:type="dxa"/>
                  <w:tcBorders>
                    <w:right w:val="nil"/>
                  </w:tcBorders>
                  <w:shd w:val="clear" w:color="auto" w:fill="FFFFFF"/>
                  <w:noWrap w:val="0"/>
                  <w:vAlign w:val="center"/>
                </w:tcPr>
                <w:p w14:paraId="23C17CB6">
                  <w:pPr>
                    <w:jc w:val="center"/>
                    <w:rPr>
                      <w:rFonts w:hint="default" w:ascii="Times New Roman" w:hAnsi="Times New Roman" w:eastAsia="宋体" w:cs="Times New Roman"/>
                      <w:b w:val="0"/>
                      <w:color w:val="000000"/>
                      <w:sz w:val="24"/>
                      <w:highlight w:val="none"/>
                    </w:rPr>
                  </w:pPr>
                  <w:r>
                    <w:rPr>
                      <w:rFonts w:hint="eastAsia" w:ascii="Times New Roman" w:hAnsi="Times New Roman" w:eastAsia="宋体" w:cs="Times New Roman"/>
                      <w:b w:val="0"/>
                      <w:bCs w:val="0"/>
                      <w:color w:val="000000"/>
                      <w:sz w:val="24"/>
                      <w:szCs w:val="24"/>
                      <w:highlight w:val="none"/>
                      <w:lang w:val="en-US" w:eastAsia="zh-CN"/>
                    </w:rPr>
                    <w:t>新建</w:t>
                  </w:r>
                </w:p>
              </w:tc>
            </w:tr>
            <w:tr w14:paraId="385AB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vMerge w:val="continue"/>
                  <w:tcBorders>
                    <w:left w:val="nil"/>
                    <w:bottom w:val="single" w:color="000000" w:sz="12" w:space="0"/>
                  </w:tcBorders>
                  <w:shd w:val="clear" w:color="auto" w:fill="FFFFFF"/>
                  <w:noWrap w:val="0"/>
                  <w:vAlign w:val="center"/>
                </w:tcPr>
                <w:p w14:paraId="3F4ADAB7">
                  <w:pPr>
                    <w:pStyle w:val="6"/>
                    <w:spacing w:before="0" w:beforeLines="0"/>
                    <w:jc w:val="center"/>
                    <w:rPr>
                      <w:rFonts w:hint="default" w:ascii="Times New Roman" w:hAnsi="Times New Roman" w:eastAsia="宋体" w:cs="Times New Roman"/>
                      <w:b w:val="0"/>
                      <w:bCs w:val="0"/>
                      <w:color w:val="000000"/>
                      <w:sz w:val="24"/>
                      <w:szCs w:val="24"/>
                      <w:highlight w:val="none"/>
                    </w:rPr>
                  </w:pPr>
                </w:p>
              </w:tc>
              <w:tc>
                <w:tcPr>
                  <w:tcW w:w="1205" w:type="dxa"/>
                  <w:tcBorders>
                    <w:bottom w:val="single" w:color="000000" w:sz="12" w:space="0"/>
                  </w:tcBorders>
                  <w:shd w:val="clear" w:color="auto" w:fill="FFFFFF"/>
                  <w:noWrap w:val="0"/>
                  <w:vAlign w:val="center"/>
                </w:tcPr>
                <w:p w14:paraId="3897887E">
                  <w:pPr>
                    <w:pStyle w:val="6"/>
                    <w:spacing w:before="0" w:beforeLines="0"/>
                    <w:jc w:val="center"/>
                    <w:rPr>
                      <w:rFonts w:hint="default" w:ascii="Times New Roman" w:hAnsi="Times New Roman" w:eastAsia="宋体" w:cs="Times New Roman"/>
                      <w:b w:val="0"/>
                      <w:bCs w:val="0"/>
                      <w:color w:val="000000"/>
                      <w:sz w:val="24"/>
                      <w:szCs w:val="24"/>
                      <w:highlight w:val="none"/>
                      <w:lang w:bidi="ar"/>
                    </w:rPr>
                  </w:pPr>
                  <w:bookmarkStart w:id="5" w:name="_Toc118378997"/>
                  <w:r>
                    <w:rPr>
                      <w:rFonts w:hint="default" w:ascii="Times New Roman" w:hAnsi="Times New Roman" w:eastAsia="宋体" w:cs="Times New Roman"/>
                      <w:b w:val="0"/>
                      <w:bCs w:val="0"/>
                      <w:color w:val="000000"/>
                      <w:sz w:val="24"/>
                      <w:szCs w:val="24"/>
                      <w:highlight w:val="none"/>
                    </w:rPr>
                    <w:t>绿化</w:t>
                  </w:r>
                  <w:bookmarkEnd w:id="5"/>
                </w:p>
              </w:tc>
              <w:tc>
                <w:tcPr>
                  <w:tcW w:w="5521" w:type="dxa"/>
                  <w:tcBorders>
                    <w:bottom w:val="single" w:color="000000" w:sz="12" w:space="0"/>
                  </w:tcBorders>
                  <w:shd w:val="clear" w:color="auto" w:fill="FFFFFF"/>
                  <w:noWrap w:val="0"/>
                  <w:vAlign w:val="center"/>
                </w:tcPr>
                <w:p w14:paraId="7AD6CC58">
                  <w:pPr>
                    <w:pStyle w:val="6"/>
                    <w:spacing w:before="0" w:beforeLines="0"/>
                    <w:jc w:val="left"/>
                    <w:rPr>
                      <w:rFonts w:hint="default" w:ascii="Times New Roman" w:hAnsi="Times New Roman" w:eastAsia="宋体" w:cs="Times New Roman"/>
                      <w:b w:val="0"/>
                      <w:bCs w:val="0"/>
                      <w:color w:val="000000"/>
                      <w:sz w:val="24"/>
                      <w:szCs w:val="24"/>
                      <w:highlight w:val="none"/>
                      <w:lang w:val="en-US" w:eastAsia="zh-CN" w:bidi="ar"/>
                    </w:rPr>
                  </w:pPr>
                  <w:r>
                    <w:rPr>
                      <w:rFonts w:hint="eastAsia" w:ascii="Times New Roman" w:hAnsi="Times New Roman" w:eastAsia="宋体" w:cs="Times New Roman"/>
                      <w:b w:val="0"/>
                      <w:bCs w:val="0"/>
                      <w:color w:val="000000"/>
                      <w:sz w:val="24"/>
                      <w:szCs w:val="24"/>
                      <w:highlight w:val="none"/>
                      <w:lang w:val="en-US" w:eastAsia="zh-CN" w:bidi="ar"/>
                    </w:rPr>
                    <w:t>项目</w:t>
                  </w:r>
                  <w:r>
                    <w:rPr>
                      <w:rFonts w:hint="default" w:ascii="Times New Roman" w:hAnsi="Times New Roman" w:eastAsia="宋体" w:cs="Times New Roman"/>
                      <w:b w:val="0"/>
                      <w:bCs w:val="0"/>
                      <w:color w:val="000000"/>
                      <w:sz w:val="24"/>
                      <w:szCs w:val="24"/>
                      <w:highlight w:val="none"/>
                      <w:lang w:val="en-US" w:eastAsia="zh-CN" w:bidi="ar"/>
                    </w:rPr>
                    <w:t>四周</w:t>
                  </w:r>
                  <w:r>
                    <w:rPr>
                      <w:rFonts w:hint="eastAsia" w:ascii="Times New Roman" w:hAnsi="Times New Roman" w:eastAsia="宋体" w:cs="Times New Roman"/>
                      <w:b w:val="0"/>
                      <w:bCs w:val="0"/>
                      <w:color w:val="000000"/>
                      <w:sz w:val="24"/>
                      <w:szCs w:val="24"/>
                      <w:highlight w:val="none"/>
                      <w:lang w:val="en-US" w:eastAsia="zh-CN" w:bidi="ar"/>
                    </w:rPr>
                    <w:t>设置有绿化</w:t>
                  </w:r>
                </w:p>
              </w:tc>
              <w:tc>
                <w:tcPr>
                  <w:tcW w:w="1105" w:type="dxa"/>
                  <w:tcBorders>
                    <w:bottom w:val="single" w:color="000000" w:sz="12" w:space="0"/>
                    <w:right w:val="nil"/>
                  </w:tcBorders>
                  <w:shd w:val="clear" w:color="auto" w:fill="FFFFFF"/>
                  <w:noWrap w:val="0"/>
                  <w:vAlign w:val="center"/>
                </w:tcPr>
                <w:p w14:paraId="24A93F12">
                  <w:pPr>
                    <w:jc w:val="center"/>
                    <w:rPr>
                      <w:rFonts w:hint="default" w:ascii="Times New Roman" w:hAnsi="Times New Roman" w:eastAsia="宋体" w:cs="Times New Roman"/>
                      <w:b w:val="0"/>
                      <w:bCs/>
                      <w:color w:val="000000"/>
                      <w:sz w:val="24"/>
                      <w:highlight w:val="none"/>
                    </w:rPr>
                  </w:pPr>
                  <w:r>
                    <w:rPr>
                      <w:rFonts w:hint="default" w:ascii="Times New Roman" w:hAnsi="Times New Roman" w:eastAsia="宋体" w:cs="Times New Roman"/>
                      <w:b w:val="0"/>
                      <w:color w:val="000000"/>
                      <w:sz w:val="24"/>
                      <w:highlight w:val="none"/>
                      <w:lang w:val="en-US" w:eastAsia="zh-CN"/>
                    </w:rPr>
                    <w:t>依托</w:t>
                  </w:r>
                </w:p>
              </w:tc>
            </w:tr>
          </w:tbl>
          <w:p w14:paraId="5ED3FEDA">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ind w:firstLine="480" w:firstLineChars="200"/>
              <w:jc w:val="left"/>
              <w:textAlignment w:val="auto"/>
              <w:rPr>
                <w:rFonts w:ascii="Times New Roman" w:hAnsi="Times New Roman" w:eastAsia="宋体" w:cs="Times New Roman"/>
                <w:color w:val="auto"/>
                <w:kern w:val="0"/>
                <w:sz w:val="24"/>
              </w:rPr>
            </w:pPr>
            <w:r>
              <w:rPr>
                <w:rFonts w:ascii="Times New Roman" w:hAnsi="Times New Roman" w:eastAsia="宋体" w:cs="Times New Roman"/>
                <w:color w:val="auto"/>
                <w:kern w:val="0"/>
                <w:sz w:val="24"/>
              </w:rPr>
              <w:t>3、主要生产设施</w:t>
            </w:r>
          </w:p>
          <w:p w14:paraId="56257890">
            <w:pPr>
              <w:autoSpaceDE w:val="0"/>
              <w:autoSpaceDN w:val="0"/>
              <w:adjustRightInd w:val="0"/>
              <w:snapToGrid w:val="0"/>
              <w:spacing w:line="360" w:lineRule="auto"/>
              <w:ind w:firstLine="480" w:firstLineChars="200"/>
              <w:jc w:val="left"/>
              <w:rPr>
                <w:color w:val="auto"/>
                <w:kern w:val="0"/>
                <w:sz w:val="24"/>
              </w:rPr>
            </w:pPr>
            <w:r>
              <w:rPr>
                <w:color w:val="auto"/>
                <w:kern w:val="0"/>
                <w:sz w:val="24"/>
              </w:rPr>
              <w:t>本项目主要生产设施见下表2-</w:t>
            </w:r>
            <w:r>
              <w:rPr>
                <w:rFonts w:hint="eastAsia"/>
                <w:color w:val="auto"/>
                <w:kern w:val="0"/>
                <w:sz w:val="24"/>
              </w:rPr>
              <w:t>3</w:t>
            </w:r>
            <w:r>
              <w:rPr>
                <w:color w:val="auto"/>
                <w:kern w:val="0"/>
                <w:sz w:val="24"/>
              </w:rPr>
              <w:t>。</w:t>
            </w:r>
          </w:p>
          <w:p w14:paraId="13F9C28D">
            <w:pPr>
              <w:adjustRightInd w:val="0"/>
              <w:snapToGrid w:val="0"/>
              <w:spacing w:line="240" w:lineRule="auto"/>
              <w:jc w:val="center"/>
              <w:rPr>
                <w:b/>
                <w:color w:val="auto"/>
                <w:sz w:val="24"/>
              </w:rPr>
            </w:pPr>
            <w:r>
              <w:rPr>
                <w:b/>
                <w:color w:val="auto"/>
                <w:sz w:val="24"/>
              </w:rPr>
              <w:t>表2-</w:t>
            </w:r>
            <w:r>
              <w:rPr>
                <w:rFonts w:hint="eastAsia"/>
                <w:b/>
                <w:color w:val="auto"/>
                <w:sz w:val="24"/>
              </w:rPr>
              <w:t>3</w:t>
            </w:r>
            <w:r>
              <w:rPr>
                <w:b/>
                <w:color w:val="auto"/>
                <w:sz w:val="24"/>
              </w:rPr>
              <w:t>主要生产设施一览表</w:t>
            </w:r>
          </w:p>
          <w:tbl>
            <w:tblPr>
              <w:tblStyle w:val="54"/>
              <w:tblW w:w="4998" w:type="pct"/>
              <w:tblInd w:w="2" w:type="dxa"/>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Layout w:type="autofit"/>
              <w:tblCellMar>
                <w:top w:w="0" w:type="dxa"/>
                <w:left w:w="0" w:type="dxa"/>
                <w:bottom w:w="0" w:type="dxa"/>
                <w:right w:w="0" w:type="dxa"/>
              </w:tblCellMar>
            </w:tblPr>
            <w:tblGrid>
              <w:gridCol w:w="331"/>
              <w:gridCol w:w="582"/>
              <w:gridCol w:w="3810"/>
              <w:gridCol w:w="339"/>
              <w:gridCol w:w="339"/>
              <w:gridCol w:w="2988"/>
            </w:tblGrid>
            <w:tr w14:paraId="0ACE248C">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0" w:type="dxa"/>
                  <w:bottom w:w="0" w:type="dxa"/>
                  <w:right w:w="0" w:type="dxa"/>
                </w:tblCellMar>
              </w:tblPrEx>
              <w:trPr>
                <w:trHeight w:val="1234" w:hRule="atLeast"/>
              </w:trPr>
              <w:tc>
                <w:tcPr>
                  <w:tcW w:w="197" w:type="pct"/>
                  <w:tcBorders>
                    <w:top w:val="single" w:color="000000" w:sz="12" w:space="0"/>
                    <w:left w:val="nil"/>
                    <w:tl2br w:val="nil"/>
                  </w:tcBorders>
                  <w:shd w:val="clear" w:color="auto" w:fill="FFFFFF"/>
                  <w:noWrap w:val="0"/>
                  <w:vAlign w:val="center"/>
                </w:tcPr>
                <w:p w14:paraId="1871EF49">
                  <w:pPr>
                    <w:adjustRightInd w:val="0"/>
                    <w:snapToGrid w:val="0"/>
                    <w:jc w:val="center"/>
                    <w:rPr>
                      <w:b w:val="0"/>
                      <w:bCs/>
                      <w:color w:val="000000"/>
                      <w:sz w:val="24"/>
                    </w:rPr>
                  </w:pPr>
                  <w:r>
                    <w:rPr>
                      <w:b w:val="0"/>
                      <w:bCs/>
                      <w:color w:val="000000"/>
                      <w:sz w:val="24"/>
                    </w:rPr>
                    <w:t>序号</w:t>
                  </w:r>
                </w:p>
              </w:tc>
              <w:tc>
                <w:tcPr>
                  <w:tcW w:w="347" w:type="pct"/>
                  <w:tcBorders>
                    <w:top w:val="single" w:color="000000" w:sz="12" w:space="0"/>
                  </w:tcBorders>
                  <w:shd w:val="clear" w:color="auto" w:fill="FFFFFF"/>
                  <w:noWrap w:val="0"/>
                  <w:vAlign w:val="center"/>
                </w:tcPr>
                <w:p w14:paraId="504DB52A">
                  <w:pPr>
                    <w:adjustRightInd w:val="0"/>
                    <w:snapToGrid w:val="0"/>
                    <w:jc w:val="center"/>
                    <w:rPr>
                      <w:b w:val="0"/>
                      <w:bCs/>
                      <w:color w:val="000000"/>
                      <w:sz w:val="24"/>
                    </w:rPr>
                  </w:pPr>
                  <w:r>
                    <w:rPr>
                      <w:b w:val="0"/>
                      <w:bCs/>
                      <w:color w:val="000000"/>
                      <w:sz w:val="24"/>
                    </w:rPr>
                    <w:t>设备名称</w:t>
                  </w:r>
                </w:p>
              </w:tc>
              <w:tc>
                <w:tcPr>
                  <w:tcW w:w="2270" w:type="pct"/>
                  <w:tcBorders>
                    <w:top w:val="single" w:color="000000" w:sz="12" w:space="0"/>
                  </w:tcBorders>
                  <w:shd w:val="clear" w:color="auto" w:fill="FFFFFF"/>
                  <w:noWrap w:val="0"/>
                  <w:vAlign w:val="center"/>
                </w:tcPr>
                <w:p w14:paraId="58F096F1">
                  <w:pPr>
                    <w:adjustRightInd w:val="0"/>
                    <w:snapToGrid w:val="0"/>
                    <w:jc w:val="center"/>
                    <w:rPr>
                      <w:b w:val="0"/>
                      <w:bCs/>
                      <w:color w:val="000000"/>
                      <w:sz w:val="24"/>
                    </w:rPr>
                  </w:pPr>
                  <w:r>
                    <w:rPr>
                      <w:b w:val="0"/>
                      <w:bCs/>
                      <w:color w:val="000000"/>
                      <w:sz w:val="24"/>
                    </w:rPr>
                    <w:t>型号</w:t>
                  </w:r>
                </w:p>
              </w:tc>
              <w:tc>
                <w:tcPr>
                  <w:tcW w:w="202" w:type="pct"/>
                  <w:tcBorders>
                    <w:top w:val="single" w:color="000000" w:sz="12" w:space="0"/>
                  </w:tcBorders>
                  <w:shd w:val="clear" w:color="auto" w:fill="FFFFFF"/>
                  <w:noWrap w:val="0"/>
                  <w:vAlign w:val="center"/>
                </w:tcPr>
                <w:p w14:paraId="71857995">
                  <w:pPr>
                    <w:adjustRightInd w:val="0"/>
                    <w:snapToGrid w:val="0"/>
                    <w:jc w:val="center"/>
                    <w:rPr>
                      <w:b w:val="0"/>
                      <w:bCs/>
                      <w:color w:val="000000"/>
                      <w:sz w:val="24"/>
                    </w:rPr>
                  </w:pPr>
                  <w:r>
                    <w:rPr>
                      <w:b w:val="0"/>
                      <w:bCs/>
                      <w:color w:val="000000"/>
                      <w:sz w:val="24"/>
                    </w:rPr>
                    <w:t>单位</w:t>
                  </w:r>
                </w:p>
              </w:tc>
              <w:tc>
                <w:tcPr>
                  <w:tcW w:w="202" w:type="pct"/>
                  <w:tcBorders>
                    <w:top w:val="single" w:color="000000" w:sz="12" w:space="0"/>
                  </w:tcBorders>
                  <w:shd w:val="clear" w:color="auto" w:fill="FFFFFF"/>
                  <w:noWrap w:val="0"/>
                  <w:vAlign w:val="center"/>
                </w:tcPr>
                <w:p w14:paraId="1FA0BDEE">
                  <w:pPr>
                    <w:adjustRightInd w:val="0"/>
                    <w:snapToGrid w:val="0"/>
                    <w:jc w:val="center"/>
                    <w:rPr>
                      <w:b w:val="0"/>
                      <w:bCs/>
                      <w:color w:val="000000"/>
                      <w:sz w:val="24"/>
                    </w:rPr>
                  </w:pPr>
                  <w:r>
                    <w:rPr>
                      <w:b w:val="0"/>
                      <w:bCs/>
                      <w:color w:val="000000"/>
                      <w:sz w:val="24"/>
                    </w:rPr>
                    <w:t>数量</w:t>
                  </w:r>
                </w:p>
              </w:tc>
              <w:tc>
                <w:tcPr>
                  <w:tcW w:w="1780" w:type="pct"/>
                  <w:tcBorders>
                    <w:top w:val="single" w:color="000000" w:sz="12" w:space="0"/>
                    <w:right w:val="nil"/>
                  </w:tcBorders>
                  <w:shd w:val="clear" w:color="auto" w:fill="FFFFFF"/>
                  <w:noWrap w:val="0"/>
                  <w:vAlign w:val="center"/>
                </w:tcPr>
                <w:p w14:paraId="408E2279">
                  <w:pPr>
                    <w:adjustRightInd w:val="0"/>
                    <w:snapToGrid w:val="0"/>
                    <w:jc w:val="center"/>
                    <w:rPr>
                      <w:rFonts w:hint="eastAsia" w:eastAsia="宋体"/>
                      <w:b w:val="0"/>
                      <w:bCs/>
                      <w:color w:val="000000"/>
                      <w:sz w:val="24"/>
                      <w:lang w:eastAsia="zh-CN"/>
                    </w:rPr>
                  </w:pPr>
                  <w:r>
                    <w:rPr>
                      <w:rFonts w:hint="eastAsia"/>
                      <w:b w:val="0"/>
                      <w:bCs/>
                      <w:color w:val="000000"/>
                      <w:sz w:val="24"/>
                      <w:lang w:val="en-US" w:eastAsia="zh-CN"/>
                    </w:rPr>
                    <w:t>备注</w:t>
                  </w:r>
                </w:p>
              </w:tc>
            </w:tr>
            <w:tr w14:paraId="63B9AB6A">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97" w:type="pct"/>
                  <w:tcBorders>
                    <w:left w:val="nil"/>
                  </w:tcBorders>
                  <w:shd w:val="clear" w:color="auto" w:fill="FFFFFF"/>
                  <w:noWrap w:val="0"/>
                  <w:vAlign w:val="center"/>
                </w:tcPr>
                <w:p w14:paraId="4B625D62">
                  <w:pPr>
                    <w:adjustRightInd w:val="0"/>
                    <w:snapToGrid w:val="0"/>
                    <w:jc w:val="center"/>
                    <w:rPr>
                      <w:b w:val="0"/>
                      <w:bCs/>
                      <w:color w:val="000000"/>
                      <w:sz w:val="24"/>
                    </w:rPr>
                  </w:pPr>
                  <w:r>
                    <w:rPr>
                      <w:b w:val="0"/>
                      <w:bCs/>
                      <w:color w:val="000000"/>
                      <w:sz w:val="24"/>
                    </w:rPr>
                    <w:t>1</w:t>
                  </w:r>
                </w:p>
              </w:tc>
              <w:tc>
                <w:tcPr>
                  <w:tcW w:w="347" w:type="pct"/>
                  <w:shd w:val="clear" w:color="auto" w:fill="FFFFFF"/>
                  <w:noWrap w:val="0"/>
                  <w:vAlign w:val="center"/>
                </w:tcPr>
                <w:p w14:paraId="16D9C45E">
                  <w:pPr>
                    <w:adjustRightInd w:val="0"/>
                    <w:snapToGrid w:val="0"/>
                    <w:jc w:val="center"/>
                    <w:rPr>
                      <w:b w:val="0"/>
                      <w:bCs/>
                      <w:color w:val="000000"/>
                      <w:sz w:val="24"/>
                    </w:rPr>
                  </w:pPr>
                  <w:r>
                    <w:rPr>
                      <w:rFonts w:hint="eastAsia"/>
                      <w:b w:val="0"/>
                      <w:color w:val="000000"/>
                      <w:sz w:val="24"/>
                    </w:rPr>
                    <w:t>煤气锅炉</w:t>
                  </w:r>
                </w:p>
              </w:tc>
              <w:tc>
                <w:tcPr>
                  <w:tcW w:w="2270" w:type="pct"/>
                  <w:shd w:val="clear" w:color="auto" w:fill="FFFFFF"/>
                  <w:noWrap w:val="0"/>
                  <w:vAlign w:val="center"/>
                </w:tcPr>
                <w:p w14:paraId="0B9657C7">
                  <w:pPr>
                    <w:adjustRightInd w:val="0"/>
                    <w:snapToGrid w:val="0"/>
                    <w:jc w:val="center"/>
                    <w:rPr>
                      <w:b w:val="0"/>
                      <w:bCs/>
                      <w:color w:val="000000"/>
                      <w:sz w:val="24"/>
                    </w:rPr>
                  </w:pPr>
                  <w:r>
                    <w:rPr>
                      <w:rFonts w:hint="eastAsia"/>
                      <w:b w:val="0"/>
                      <w:bCs/>
                      <w:color w:val="000000"/>
                      <w:sz w:val="24"/>
                    </w:rPr>
                    <w:t xml:space="preserve"> JG-60-9.8-Q</w:t>
                  </w:r>
                </w:p>
              </w:tc>
              <w:tc>
                <w:tcPr>
                  <w:tcW w:w="202" w:type="pct"/>
                  <w:shd w:val="clear" w:color="auto" w:fill="FFFFFF"/>
                  <w:noWrap w:val="0"/>
                  <w:vAlign w:val="center"/>
                </w:tcPr>
                <w:p w14:paraId="68271343">
                  <w:pPr>
                    <w:adjustRightInd w:val="0"/>
                    <w:snapToGrid w:val="0"/>
                    <w:jc w:val="center"/>
                    <w:rPr>
                      <w:b w:val="0"/>
                      <w:bCs/>
                      <w:color w:val="000000"/>
                      <w:sz w:val="24"/>
                    </w:rPr>
                  </w:pPr>
                  <w:r>
                    <w:rPr>
                      <w:rFonts w:hint="eastAsia"/>
                      <w:b w:val="0"/>
                      <w:bCs/>
                      <w:color w:val="000000"/>
                      <w:sz w:val="24"/>
                    </w:rPr>
                    <w:t>台</w:t>
                  </w:r>
                </w:p>
              </w:tc>
              <w:tc>
                <w:tcPr>
                  <w:tcW w:w="202" w:type="pct"/>
                  <w:shd w:val="clear" w:color="auto" w:fill="FFFFFF"/>
                  <w:noWrap w:val="0"/>
                  <w:vAlign w:val="center"/>
                </w:tcPr>
                <w:p w14:paraId="01C839E6">
                  <w:pPr>
                    <w:adjustRightInd w:val="0"/>
                    <w:snapToGrid w:val="0"/>
                    <w:jc w:val="center"/>
                    <w:rPr>
                      <w:b w:val="0"/>
                      <w:bCs/>
                      <w:color w:val="000000"/>
                      <w:sz w:val="24"/>
                    </w:rPr>
                  </w:pPr>
                  <w:r>
                    <w:rPr>
                      <w:rFonts w:hint="eastAsia"/>
                      <w:b w:val="0"/>
                      <w:bCs/>
                      <w:color w:val="000000"/>
                      <w:sz w:val="24"/>
                    </w:rPr>
                    <w:t>1</w:t>
                  </w:r>
                </w:p>
              </w:tc>
              <w:tc>
                <w:tcPr>
                  <w:tcW w:w="1780" w:type="pct"/>
                  <w:tcBorders>
                    <w:right w:val="nil"/>
                  </w:tcBorders>
                  <w:shd w:val="clear" w:color="auto" w:fill="FFFFFF"/>
                  <w:noWrap w:val="0"/>
                  <w:vAlign w:val="center"/>
                </w:tcPr>
                <w:p w14:paraId="78DF19EA">
                  <w:pPr>
                    <w:adjustRightInd w:val="0"/>
                    <w:snapToGrid w:val="0"/>
                    <w:jc w:val="center"/>
                    <w:rPr>
                      <w:b w:val="0"/>
                      <w:bCs/>
                      <w:color w:val="000000"/>
                      <w:sz w:val="24"/>
                    </w:rPr>
                  </w:pPr>
                  <w:r>
                    <w:rPr>
                      <w:rFonts w:hint="eastAsia"/>
                      <w:b w:val="0"/>
                      <w:bCs/>
                      <w:color w:val="000000"/>
                      <w:sz w:val="24"/>
                    </w:rPr>
                    <w:t>额定蒸汽</w:t>
                  </w:r>
                  <w:r>
                    <w:rPr>
                      <w:b w:val="0"/>
                      <w:bCs/>
                      <w:color w:val="000000"/>
                      <w:sz w:val="24"/>
                    </w:rPr>
                    <w:t>流量</w:t>
                  </w:r>
                  <w:r>
                    <w:rPr>
                      <w:rFonts w:hint="eastAsia"/>
                      <w:b w:val="0"/>
                      <w:bCs/>
                      <w:color w:val="000000"/>
                      <w:sz w:val="24"/>
                    </w:rPr>
                    <w:t xml:space="preserve">   </w:t>
                  </w:r>
                  <w:r>
                    <w:rPr>
                      <w:b w:val="0"/>
                      <w:bCs/>
                      <w:color w:val="000000"/>
                      <w:sz w:val="24"/>
                    </w:rPr>
                    <w:t xml:space="preserve">       </w:t>
                  </w:r>
                  <w:r>
                    <w:rPr>
                      <w:rFonts w:hint="eastAsia"/>
                      <w:b w:val="0"/>
                      <w:bCs/>
                      <w:color w:val="000000"/>
                      <w:sz w:val="24"/>
                    </w:rPr>
                    <w:t xml:space="preserve"> </w:t>
                  </w:r>
                  <w:r>
                    <w:rPr>
                      <w:b w:val="0"/>
                      <w:bCs/>
                      <w:color w:val="000000"/>
                      <w:sz w:val="24"/>
                    </w:rPr>
                    <w:t xml:space="preserve">   </w:t>
                  </w:r>
                  <w:r>
                    <w:rPr>
                      <w:rFonts w:hint="eastAsia"/>
                      <w:b w:val="0"/>
                      <w:bCs/>
                      <w:color w:val="000000"/>
                      <w:sz w:val="24"/>
                    </w:rPr>
                    <w:t xml:space="preserve">  60</w:t>
                  </w:r>
                  <w:r>
                    <w:rPr>
                      <w:b w:val="0"/>
                      <w:bCs/>
                      <w:color w:val="000000"/>
                      <w:sz w:val="24"/>
                    </w:rPr>
                    <w:t>t/h</w:t>
                  </w:r>
                </w:p>
              </w:tc>
            </w:tr>
            <w:tr w14:paraId="117D8ABA">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97" w:type="pct"/>
                  <w:tcBorders>
                    <w:left w:val="nil"/>
                  </w:tcBorders>
                  <w:shd w:val="clear" w:color="auto" w:fill="FFFFFF"/>
                  <w:noWrap w:val="0"/>
                  <w:vAlign w:val="center"/>
                </w:tcPr>
                <w:p w14:paraId="25036130">
                  <w:pPr>
                    <w:adjustRightInd w:val="0"/>
                    <w:snapToGrid w:val="0"/>
                    <w:jc w:val="center"/>
                    <w:rPr>
                      <w:b w:val="0"/>
                      <w:bCs/>
                      <w:color w:val="000000"/>
                      <w:sz w:val="24"/>
                    </w:rPr>
                  </w:pPr>
                  <w:r>
                    <w:rPr>
                      <w:b w:val="0"/>
                      <w:bCs/>
                      <w:color w:val="000000"/>
                      <w:sz w:val="24"/>
                    </w:rPr>
                    <w:t>2</w:t>
                  </w:r>
                </w:p>
              </w:tc>
              <w:tc>
                <w:tcPr>
                  <w:tcW w:w="347" w:type="pct"/>
                  <w:shd w:val="clear" w:color="auto" w:fill="FFFFFF"/>
                  <w:noWrap w:val="0"/>
                  <w:vAlign w:val="center"/>
                </w:tcPr>
                <w:p w14:paraId="4081AA4F">
                  <w:pPr>
                    <w:adjustRightInd w:val="0"/>
                    <w:snapToGrid w:val="0"/>
                    <w:jc w:val="center"/>
                    <w:rPr>
                      <w:b w:val="0"/>
                      <w:bCs/>
                      <w:color w:val="000000"/>
                      <w:sz w:val="24"/>
                    </w:rPr>
                  </w:pPr>
                  <w:r>
                    <w:rPr>
                      <w:rFonts w:hint="eastAsia"/>
                      <w:b w:val="0"/>
                      <w:color w:val="000000"/>
                      <w:sz w:val="24"/>
                    </w:rPr>
                    <w:t>汽轮机</w:t>
                  </w:r>
                </w:p>
              </w:tc>
              <w:tc>
                <w:tcPr>
                  <w:tcW w:w="2270" w:type="pct"/>
                  <w:shd w:val="clear" w:color="auto" w:fill="FFFFFF"/>
                  <w:noWrap w:val="0"/>
                  <w:vAlign w:val="center"/>
                </w:tcPr>
                <w:p w14:paraId="0378692B">
                  <w:pPr>
                    <w:adjustRightInd w:val="0"/>
                    <w:snapToGrid w:val="0"/>
                    <w:jc w:val="center"/>
                    <w:rPr>
                      <w:b w:val="0"/>
                      <w:bCs/>
                      <w:color w:val="000000"/>
                      <w:sz w:val="24"/>
                    </w:rPr>
                  </w:pPr>
                  <w:r>
                    <w:rPr>
                      <w:rFonts w:hint="eastAsia"/>
                      <w:b w:val="0"/>
                      <w:color w:val="000000"/>
                      <w:sz w:val="24"/>
                    </w:rPr>
                    <w:t>N15-8.83/535</w:t>
                  </w:r>
                </w:p>
              </w:tc>
              <w:tc>
                <w:tcPr>
                  <w:tcW w:w="202" w:type="pct"/>
                  <w:shd w:val="clear" w:color="auto" w:fill="FFFFFF"/>
                  <w:noWrap w:val="0"/>
                  <w:vAlign w:val="center"/>
                </w:tcPr>
                <w:p w14:paraId="38048166">
                  <w:pPr>
                    <w:adjustRightInd w:val="0"/>
                    <w:snapToGrid w:val="0"/>
                    <w:jc w:val="center"/>
                    <w:rPr>
                      <w:b w:val="0"/>
                      <w:bCs/>
                      <w:color w:val="000000"/>
                      <w:sz w:val="24"/>
                    </w:rPr>
                  </w:pPr>
                  <w:r>
                    <w:rPr>
                      <w:rFonts w:hint="eastAsia"/>
                      <w:b w:val="0"/>
                      <w:bCs/>
                      <w:color w:val="000000"/>
                      <w:sz w:val="24"/>
                    </w:rPr>
                    <w:t>套</w:t>
                  </w:r>
                </w:p>
              </w:tc>
              <w:tc>
                <w:tcPr>
                  <w:tcW w:w="202" w:type="pct"/>
                  <w:shd w:val="clear" w:color="auto" w:fill="FFFFFF"/>
                  <w:noWrap w:val="0"/>
                  <w:vAlign w:val="center"/>
                </w:tcPr>
                <w:p w14:paraId="1629A16E">
                  <w:pPr>
                    <w:adjustRightInd w:val="0"/>
                    <w:snapToGrid w:val="0"/>
                    <w:jc w:val="center"/>
                    <w:rPr>
                      <w:b w:val="0"/>
                      <w:bCs/>
                      <w:color w:val="000000"/>
                      <w:sz w:val="24"/>
                    </w:rPr>
                  </w:pPr>
                  <w:r>
                    <w:rPr>
                      <w:rFonts w:hint="eastAsia"/>
                      <w:b w:val="0"/>
                      <w:bCs/>
                      <w:color w:val="000000"/>
                      <w:sz w:val="24"/>
                    </w:rPr>
                    <w:t>1</w:t>
                  </w:r>
                </w:p>
              </w:tc>
              <w:tc>
                <w:tcPr>
                  <w:tcW w:w="1780" w:type="pct"/>
                  <w:tcBorders>
                    <w:right w:val="nil"/>
                  </w:tcBorders>
                  <w:shd w:val="clear" w:color="auto" w:fill="FFFFFF"/>
                  <w:noWrap w:val="0"/>
                  <w:vAlign w:val="center"/>
                </w:tcPr>
                <w:p w14:paraId="041B3AD8">
                  <w:pPr>
                    <w:adjustRightInd w:val="0"/>
                    <w:snapToGrid w:val="0"/>
                    <w:jc w:val="center"/>
                    <w:rPr>
                      <w:b w:val="0"/>
                      <w:bCs/>
                      <w:color w:val="000000"/>
                      <w:sz w:val="24"/>
                    </w:rPr>
                  </w:pPr>
                  <w:r>
                    <w:rPr>
                      <w:rFonts w:hint="eastAsia"/>
                      <w:b w:val="0"/>
                      <w:color w:val="000000"/>
                      <w:sz w:val="24"/>
                    </w:rPr>
                    <w:t>额定功率</w:t>
                  </w:r>
                  <w:r>
                    <w:rPr>
                      <w:rFonts w:hint="eastAsia"/>
                      <w:b w:val="0"/>
                      <w:color w:val="000000"/>
                      <w:sz w:val="24"/>
                      <w:lang w:eastAsia="zh-CN"/>
                    </w:rPr>
                    <w:t>：</w:t>
                  </w:r>
                  <w:r>
                    <w:rPr>
                      <w:rFonts w:hint="eastAsia"/>
                      <w:b w:val="0"/>
                      <w:color w:val="000000"/>
                      <w:sz w:val="24"/>
                      <w:lang w:val="en-US" w:eastAsia="zh-CN"/>
                    </w:rPr>
                    <w:t>15</w:t>
                  </w:r>
                  <w:r>
                    <w:rPr>
                      <w:rFonts w:hint="eastAsia"/>
                      <w:b w:val="0"/>
                      <w:color w:val="000000"/>
                      <w:sz w:val="24"/>
                    </w:rPr>
                    <w:t>MW</w:t>
                  </w:r>
                </w:p>
              </w:tc>
            </w:tr>
            <w:tr w14:paraId="37C771C6">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97" w:type="pct"/>
                  <w:tcBorders>
                    <w:left w:val="nil"/>
                  </w:tcBorders>
                  <w:shd w:val="clear" w:color="auto" w:fill="FFFFFF"/>
                  <w:noWrap w:val="0"/>
                  <w:vAlign w:val="center"/>
                </w:tcPr>
                <w:p w14:paraId="0B8E6810">
                  <w:pPr>
                    <w:adjustRightInd w:val="0"/>
                    <w:snapToGrid w:val="0"/>
                    <w:jc w:val="center"/>
                    <w:rPr>
                      <w:b w:val="0"/>
                      <w:bCs/>
                      <w:color w:val="000000"/>
                      <w:sz w:val="24"/>
                    </w:rPr>
                  </w:pPr>
                  <w:r>
                    <w:rPr>
                      <w:b w:val="0"/>
                      <w:bCs/>
                      <w:color w:val="000000"/>
                      <w:sz w:val="24"/>
                    </w:rPr>
                    <w:t>3</w:t>
                  </w:r>
                </w:p>
              </w:tc>
              <w:tc>
                <w:tcPr>
                  <w:tcW w:w="347" w:type="pct"/>
                  <w:shd w:val="clear" w:color="auto" w:fill="FFFFFF"/>
                  <w:noWrap w:val="0"/>
                  <w:vAlign w:val="center"/>
                </w:tcPr>
                <w:p w14:paraId="21BAA60A">
                  <w:pPr>
                    <w:adjustRightInd w:val="0"/>
                    <w:snapToGrid w:val="0"/>
                    <w:jc w:val="center"/>
                    <w:rPr>
                      <w:b w:val="0"/>
                      <w:bCs/>
                      <w:color w:val="000000"/>
                      <w:sz w:val="24"/>
                    </w:rPr>
                  </w:pPr>
                  <w:r>
                    <w:rPr>
                      <w:rFonts w:hint="eastAsia"/>
                      <w:b w:val="0"/>
                      <w:color w:val="000000"/>
                      <w:sz w:val="24"/>
                    </w:rPr>
                    <w:t>发电机</w:t>
                  </w:r>
                </w:p>
              </w:tc>
              <w:tc>
                <w:tcPr>
                  <w:tcW w:w="2270" w:type="pct"/>
                  <w:shd w:val="clear" w:color="auto" w:fill="FFFFFF"/>
                  <w:noWrap w:val="0"/>
                  <w:vAlign w:val="center"/>
                </w:tcPr>
                <w:p w14:paraId="7E9663CA">
                  <w:pPr>
                    <w:adjustRightInd w:val="0"/>
                    <w:snapToGrid w:val="0"/>
                    <w:jc w:val="center"/>
                    <w:rPr>
                      <w:b w:val="0"/>
                      <w:bCs/>
                      <w:color w:val="000000"/>
                      <w:sz w:val="24"/>
                    </w:rPr>
                  </w:pPr>
                  <w:r>
                    <w:rPr>
                      <w:rFonts w:hint="eastAsia"/>
                      <w:b w:val="0"/>
                      <w:bCs/>
                      <w:color w:val="000000"/>
                      <w:sz w:val="24"/>
                    </w:rPr>
                    <w:t xml:space="preserve"> </w:t>
                  </w:r>
                  <w:r>
                    <w:rPr>
                      <w:b w:val="0"/>
                      <w:bCs/>
                      <w:color w:val="000000"/>
                      <w:sz w:val="24"/>
                    </w:rPr>
                    <w:t>QF</w:t>
                  </w:r>
                  <w:r>
                    <w:rPr>
                      <w:rFonts w:hint="eastAsia"/>
                      <w:b w:val="0"/>
                      <w:bCs/>
                      <w:color w:val="000000"/>
                      <w:sz w:val="24"/>
                    </w:rPr>
                    <w:t>18</w:t>
                  </w:r>
                  <w:r>
                    <w:rPr>
                      <w:b w:val="0"/>
                      <w:bCs/>
                      <w:color w:val="000000"/>
                      <w:sz w:val="24"/>
                    </w:rPr>
                    <w:t>-2-10.5</w:t>
                  </w:r>
                </w:p>
              </w:tc>
              <w:tc>
                <w:tcPr>
                  <w:tcW w:w="202" w:type="pct"/>
                  <w:shd w:val="clear" w:color="auto" w:fill="FFFFFF"/>
                  <w:noWrap w:val="0"/>
                  <w:vAlign w:val="center"/>
                </w:tcPr>
                <w:p w14:paraId="4AF72C8A">
                  <w:pPr>
                    <w:adjustRightInd w:val="0"/>
                    <w:snapToGrid w:val="0"/>
                    <w:jc w:val="center"/>
                    <w:rPr>
                      <w:b w:val="0"/>
                      <w:bCs/>
                      <w:color w:val="000000"/>
                      <w:sz w:val="24"/>
                    </w:rPr>
                  </w:pPr>
                  <w:r>
                    <w:rPr>
                      <w:rFonts w:hint="eastAsia"/>
                      <w:b w:val="0"/>
                      <w:bCs/>
                      <w:color w:val="000000"/>
                      <w:sz w:val="24"/>
                    </w:rPr>
                    <w:t>套</w:t>
                  </w:r>
                </w:p>
              </w:tc>
              <w:tc>
                <w:tcPr>
                  <w:tcW w:w="202" w:type="pct"/>
                  <w:shd w:val="clear" w:color="auto" w:fill="FFFFFF"/>
                  <w:noWrap w:val="0"/>
                  <w:vAlign w:val="center"/>
                </w:tcPr>
                <w:p w14:paraId="127041CB">
                  <w:pPr>
                    <w:adjustRightInd w:val="0"/>
                    <w:snapToGrid w:val="0"/>
                    <w:jc w:val="center"/>
                    <w:rPr>
                      <w:b w:val="0"/>
                      <w:bCs/>
                      <w:color w:val="000000"/>
                      <w:sz w:val="24"/>
                    </w:rPr>
                  </w:pPr>
                  <w:r>
                    <w:rPr>
                      <w:rFonts w:hint="eastAsia"/>
                      <w:b w:val="0"/>
                      <w:bCs/>
                      <w:color w:val="000000"/>
                      <w:sz w:val="24"/>
                    </w:rPr>
                    <w:t>1</w:t>
                  </w:r>
                </w:p>
              </w:tc>
              <w:tc>
                <w:tcPr>
                  <w:tcW w:w="1780" w:type="pct"/>
                  <w:tcBorders>
                    <w:right w:val="nil"/>
                  </w:tcBorders>
                  <w:shd w:val="clear" w:color="auto" w:fill="FFFFFF"/>
                  <w:noWrap w:val="0"/>
                  <w:vAlign w:val="center"/>
                </w:tcPr>
                <w:p w14:paraId="5134F2E9">
                  <w:pPr>
                    <w:adjustRightInd w:val="0"/>
                    <w:snapToGrid w:val="0"/>
                    <w:jc w:val="center"/>
                    <w:rPr>
                      <w:b w:val="0"/>
                      <w:bCs/>
                      <w:color w:val="000000"/>
                      <w:sz w:val="24"/>
                    </w:rPr>
                  </w:pPr>
                  <w:r>
                    <w:rPr>
                      <w:rFonts w:hint="eastAsia"/>
                      <w:b w:val="0"/>
                      <w:color w:val="000000"/>
                      <w:sz w:val="24"/>
                    </w:rPr>
                    <w:t>额定功率</w:t>
                  </w:r>
                  <w:r>
                    <w:rPr>
                      <w:rFonts w:hint="eastAsia"/>
                      <w:b w:val="0"/>
                      <w:color w:val="000000"/>
                      <w:sz w:val="24"/>
                      <w:lang w:eastAsia="zh-CN"/>
                    </w:rPr>
                    <w:t>：</w:t>
                  </w:r>
                  <w:r>
                    <w:rPr>
                      <w:rFonts w:hint="eastAsia"/>
                      <w:b w:val="0"/>
                      <w:color w:val="000000"/>
                      <w:sz w:val="24"/>
                      <w:lang w:val="en-US" w:eastAsia="zh-CN"/>
                    </w:rPr>
                    <w:t>18</w:t>
                  </w:r>
                  <w:r>
                    <w:rPr>
                      <w:rFonts w:hint="eastAsia"/>
                      <w:b w:val="0"/>
                      <w:color w:val="000000"/>
                      <w:sz w:val="24"/>
                    </w:rPr>
                    <w:t>MW</w:t>
                  </w:r>
                </w:p>
              </w:tc>
            </w:tr>
            <w:tr w14:paraId="64F05506">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97" w:type="pct"/>
                  <w:tcBorders>
                    <w:left w:val="nil"/>
                  </w:tcBorders>
                  <w:shd w:val="clear" w:color="auto" w:fill="FFFFFF"/>
                  <w:noWrap w:val="0"/>
                  <w:vAlign w:val="center"/>
                </w:tcPr>
                <w:p w14:paraId="7C998488">
                  <w:pPr>
                    <w:adjustRightInd w:val="0"/>
                    <w:snapToGrid w:val="0"/>
                    <w:jc w:val="center"/>
                    <w:rPr>
                      <w:b w:val="0"/>
                      <w:bCs/>
                      <w:color w:val="000000"/>
                      <w:sz w:val="24"/>
                    </w:rPr>
                  </w:pPr>
                  <w:r>
                    <w:rPr>
                      <w:b w:val="0"/>
                      <w:bCs/>
                      <w:color w:val="000000"/>
                      <w:sz w:val="24"/>
                    </w:rPr>
                    <w:t>4</w:t>
                  </w:r>
                </w:p>
              </w:tc>
              <w:tc>
                <w:tcPr>
                  <w:tcW w:w="347" w:type="pct"/>
                  <w:shd w:val="clear" w:color="auto" w:fill="FFFFFF"/>
                  <w:noWrap w:val="0"/>
                  <w:vAlign w:val="center"/>
                </w:tcPr>
                <w:p w14:paraId="00ECC568">
                  <w:pPr>
                    <w:adjustRightInd w:val="0"/>
                    <w:snapToGrid w:val="0"/>
                    <w:jc w:val="center"/>
                    <w:rPr>
                      <w:b w:val="0"/>
                      <w:bCs/>
                      <w:color w:val="000000"/>
                      <w:sz w:val="24"/>
                    </w:rPr>
                  </w:pPr>
                  <w:r>
                    <w:rPr>
                      <w:rFonts w:hint="eastAsia"/>
                      <w:b w:val="0"/>
                      <w:color w:val="000000"/>
                      <w:sz w:val="24"/>
                    </w:rPr>
                    <w:t>送风机</w:t>
                  </w:r>
                </w:p>
              </w:tc>
              <w:tc>
                <w:tcPr>
                  <w:tcW w:w="2270" w:type="pct"/>
                  <w:shd w:val="clear" w:color="auto" w:fill="FFFFFF"/>
                  <w:noWrap w:val="0"/>
                  <w:vAlign w:val="center"/>
                </w:tcPr>
                <w:p w14:paraId="3FB66D74">
                  <w:pPr>
                    <w:adjustRightInd w:val="0"/>
                    <w:snapToGrid w:val="0"/>
                    <w:jc w:val="center"/>
                    <w:rPr>
                      <w:b w:val="0"/>
                      <w:bCs/>
                      <w:color w:val="000000"/>
                      <w:sz w:val="24"/>
                    </w:rPr>
                  </w:pPr>
                  <w:r>
                    <w:rPr>
                      <w:rFonts w:hint="eastAsia"/>
                      <w:b w:val="0"/>
                      <w:color w:val="000000"/>
                      <w:sz w:val="24"/>
                    </w:rPr>
                    <w:t>风量</w:t>
                  </w:r>
                  <w:r>
                    <w:rPr>
                      <w:rFonts w:hint="eastAsia"/>
                      <w:b w:val="0"/>
                      <w:color w:val="000000"/>
                      <w:sz w:val="24"/>
                      <w:lang w:eastAsia="zh-CN"/>
                    </w:rPr>
                    <w:t>：</w:t>
                  </w:r>
                  <w:r>
                    <w:rPr>
                      <w:rFonts w:hint="eastAsia"/>
                      <w:b w:val="0"/>
                      <w:color w:val="000000"/>
                      <w:sz w:val="24"/>
                    </w:rPr>
                    <w:t>Q=</w:t>
                  </w:r>
                  <w:r>
                    <w:rPr>
                      <w:rFonts w:hint="eastAsia"/>
                      <w:b w:val="0"/>
                      <w:color w:val="000000"/>
                      <w:sz w:val="24"/>
                      <w:lang w:val="en-US" w:eastAsia="zh-CN"/>
                    </w:rPr>
                    <w:t>49000</w:t>
                  </w:r>
                  <w:r>
                    <w:rPr>
                      <w:rFonts w:hint="eastAsia"/>
                      <w:b w:val="0"/>
                      <w:color w:val="000000"/>
                      <w:sz w:val="24"/>
                    </w:rPr>
                    <w:t>m</w:t>
                  </w:r>
                  <w:r>
                    <w:rPr>
                      <w:rFonts w:hint="eastAsia"/>
                      <w:b w:val="0"/>
                      <w:color w:val="000000"/>
                      <w:sz w:val="24"/>
                      <w:vertAlign w:val="superscript"/>
                      <w:lang w:val="en-US" w:eastAsia="zh-CN"/>
                    </w:rPr>
                    <w:t>3</w:t>
                  </w:r>
                  <w:r>
                    <w:rPr>
                      <w:rFonts w:hint="eastAsia"/>
                      <w:b w:val="0"/>
                      <w:color w:val="000000"/>
                      <w:sz w:val="24"/>
                    </w:rPr>
                    <w:t>/h</w:t>
                  </w:r>
                </w:p>
              </w:tc>
              <w:tc>
                <w:tcPr>
                  <w:tcW w:w="202" w:type="pct"/>
                  <w:shd w:val="clear" w:color="auto" w:fill="FFFFFF"/>
                  <w:noWrap w:val="0"/>
                  <w:vAlign w:val="center"/>
                </w:tcPr>
                <w:p w14:paraId="3777B342">
                  <w:pPr>
                    <w:adjustRightInd w:val="0"/>
                    <w:snapToGrid w:val="0"/>
                    <w:jc w:val="center"/>
                    <w:rPr>
                      <w:b w:val="0"/>
                      <w:bCs/>
                      <w:color w:val="000000"/>
                      <w:sz w:val="24"/>
                    </w:rPr>
                  </w:pPr>
                  <w:r>
                    <w:rPr>
                      <w:rFonts w:hint="eastAsia"/>
                      <w:b w:val="0"/>
                      <w:bCs/>
                      <w:color w:val="000000"/>
                      <w:sz w:val="24"/>
                    </w:rPr>
                    <w:t>台</w:t>
                  </w:r>
                </w:p>
              </w:tc>
              <w:tc>
                <w:tcPr>
                  <w:tcW w:w="202" w:type="pct"/>
                  <w:shd w:val="clear" w:color="auto" w:fill="FFFFFF"/>
                  <w:noWrap w:val="0"/>
                  <w:vAlign w:val="center"/>
                </w:tcPr>
                <w:p w14:paraId="48028B97">
                  <w:pPr>
                    <w:adjustRightInd w:val="0"/>
                    <w:snapToGrid w:val="0"/>
                    <w:jc w:val="center"/>
                    <w:rPr>
                      <w:rFonts w:hint="eastAsia" w:eastAsia="宋体"/>
                      <w:b w:val="0"/>
                      <w:bCs/>
                      <w:color w:val="000000"/>
                      <w:sz w:val="24"/>
                      <w:lang w:eastAsia="zh-CN"/>
                    </w:rPr>
                  </w:pPr>
                  <w:r>
                    <w:rPr>
                      <w:rFonts w:hint="eastAsia"/>
                      <w:b w:val="0"/>
                      <w:bCs/>
                      <w:color w:val="000000"/>
                      <w:sz w:val="24"/>
                      <w:lang w:val="en-US" w:eastAsia="zh-CN"/>
                    </w:rPr>
                    <w:t>1</w:t>
                  </w:r>
                </w:p>
              </w:tc>
              <w:tc>
                <w:tcPr>
                  <w:tcW w:w="1780" w:type="pct"/>
                  <w:tcBorders>
                    <w:right w:val="nil"/>
                  </w:tcBorders>
                  <w:shd w:val="clear" w:color="auto" w:fill="FFFFFF"/>
                  <w:noWrap w:val="0"/>
                  <w:vAlign w:val="center"/>
                </w:tcPr>
                <w:p w14:paraId="08616109">
                  <w:pPr>
                    <w:adjustRightInd w:val="0"/>
                    <w:snapToGrid w:val="0"/>
                    <w:jc w:val="center"/>
                    <w:rPr>
                      <w:rFonts w:hint="eastAsia" w:eastAsia="宋体"/>
                      <w:b w:val="0"/>
                      <w:bCs/>
                      <w:color w:val="000000"/>
                      <w:sz w:val="24"/>
                      <w:lang w:eastAsia="zh-CN"/>
                    </w:rPr>
                  </w:pPr>
                  <w:r>
                    <w:rPr>
                      <w:rFonts w:hint="eastAsia"/>
                      <w:b w:val="0"/>
                      <w:bCs/>
                      <w:color w:val="000000"/>
                      <w:sz w:val="24"/>
                    </w:rPr>
                    <w:t>采用变频调速</w:t>
                  </w:r>
                  <w:r>
                    <w:rPr>
                      <w:rFonts w:hint="eastAsia"/>
                      <w:b w:val="0"/>
                      <w:bCs/>
                      <w:color w:val="000000"/>
                      <w:sz w:val="24"/>
                      <w:lang w:eastAsia="zh-CN"/>
                    </w:rPr>
                    <w:t>，以满足锅炉不同工况下的需要</w:t>
                  </w:r>
                </w:p>
              </w:tc>
            </w:tr>
            <w:tr w14:paraId="7C90C533">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97" w:type="pct"/>
                  <w:tcBorders>
                    <w:left w:val="nil"/>
                  </w:tcBorders>
                  <w:shd w:val="clear" w:color="auto" w:fill="FFFFFF"/>
                  <w:noWrap w:val="0"/>
                  <w:vAlign w:val="center"/>
                </w:tcPr>
                <w:p w14:paraId="2CBD2A29">
                  <w:pPr>
                    <w:adjustRightInd w:val="0"/>
                    <w:snapToGrid w:val="0"/>
                    <w:jc w:val="center"/>
                    <w:rPr>
                      <w:b w:val="0"/>
                      <w:bCs/>
                      <w:color w:val="000000"/>
                      <w:sz w:val="24"/>
                    </w:rPr>
                  </w:pPr>
                  <w:r>
                    <w:rPr>
                      <w:b w:val="0"/>
                      <w:bCs/>
                      <w:color w:val="000000"/>
                      <w:sz w:val="24"/>
                    </w:rPr>
                    <w:t>5</w:t>
                  </w:r>
                </w:p>
              </w:tc>
              <w:tc>
                <w:tcPr>
                  <w:tcW w:w="347" w:type="pct"/>
                  <w:shd w:val="clear" w:color="auto" w:fill="FFFFFF"/>
                  <w:noWrap w:val="0"/>
                  <w:vAlign w:val="center"/>
                </w:tcPr>
                <w:p w14:paraId="6DA560C8">
                  <w:pPr>
                    <w:adjustRightInd w:val="0"/>
                    <w:snapToGrid w:val="0"/>
                    <w:jc w:val="center"/>
                    <w:rPr>
                      <w:b w:val="0"/>
                      <w:bCs/>
                      <w:color w:val="000000"/>
                      <w:sz w:val="24"/>
                    </w:rPr>
                  </w:pPr>
                  <w:r>
                    <w:rPr>
                      <w:rFonts w:hint="eastAsia"/>
                      <w:b w:val="0"/>
                      <w:color w:val="000000"/>
                      <w:sz w:val="24"/>
                    </w:rPr>
                    <w:t>引风机</w:t>
                  </w:r>
                </w:p>
              </w:tc>
              <w:tc>
                <w:tcPr>
                  <w:tcW w:w="2270" w:type="pct"/>
                  <w:shd w:val="clear" w:color="auto" w:fill="FFFFFF"/>
                  <w:noWrap w:val="0"/>
                  <w:vAlign w:val="center"/>
                </w:tcPr>
                <w:p w14:paraId="58B73803">
                  <w:pPr>
                    <w:adjustRightInd w:val="0"/>
                    <w:snapToGrid w:val="0"/>
                    <w:jc w:val="center"/>
                    <w:rPr>
                      <w:b w:val="0"/>
                      <w:bCs/>
                      <w:color w:val="000000"/>
                      <w:sz w:val="24"/>
                    </w:rPr>
                  </w:pPr>
                  <w:r>
                    <w:rPr>
                      <w:rFonts w:hint="eastAsia"/>
                      <w:b w:val="0"/>
                      <w:color w:val="000000"/>
                      <w:sz w:val="24"/>
                    </w:rPr>
                    <w:t>风量</w:t>
                  </w:r>
                  <w:r>
                    <w:rPr>
                      <w:rFonts w:hint="eastAsia"/>
                      <w:b w:val="0"/>
                      <w:color w:val="000000"/>
                      <w:sz w:val="24"/>
                      <w:lang w:eastAsia="zh-CN"/>
                    </w:rPr>
                    <w:t>：</w:t>
                  </w:r>
                  <w:r>
                    <w:rPr>
                      <w:rFonts w:hint="eastAsia"/>
                      <w:b w:val="0"/>
                      <w:color w:val="000000"/>
                      <w:sz w:val="24"/>
                    </w:rPr>
                    <w:t>Q=</w:t>
                  </w:r>
                  <w:r>
                    <w:rPr>
                      <w:rFonts w:hint="eastAsia"/>
                      <w:b w:val="0"/>
                      <w:color w:val="000000"/>
                      <w:sz w:val="24"/>
                      <w:lang w:val="en-US" w:eastAsia="zh-CN"/>
                    </w:rPr>
                    <w:t>118300</w:t>
                  </w:r>
                  <w:r>
                    <w:rPr>
                      <w:rFonts w:hint="eastAsia"/>
                      <w:b w:val="0"/>
                      <w:color w:val="000000"/>
                      <w:sz w:val="24"/>
                    </w:rPr>
                    <w:t>m</w:t>
                  </w:r>
                  <w:r>
                    <w:rPr>
                      <w:rFonts w:hint="eastAsia"/>
                      <w:b w:val="0"/>
                      <w:color w:val="000000"/>
                      <w:sz w:val="24"/>
                      <w:vertAlign w:val="superscript"/>
                      <w:lang w:val="en-US" w:eastAsia="zh-CN"/>
                    </w:rPr>
                    <w:t>3</w:t>
                  </w:r>
                  <w:r>
                    <w:rPr>
                      <w:rFonts w:hint="eastAsia"/>
                      <w:b w:val="0"/>
                      <w:color w:val="000000"/>
                      <w:sz w:val="24"/>
                    </w:rPr>
                    <w:t>/h</w:t>
                  </w:r>
                </w:p>
              </w:tc>
              <w:tc>
                <w:tcPr>
                  <w:tcW w:w="202" w:type="pct"/>
                  <w:shd w:val="clear" w:color="auto" w:fill="FFFFFF"/>
                  <w:noWrap w:val="0"/>
                  <w:vAlign w:val="center"/>
                </w:tcPr>
                <w:p w14:paraId="77F7652D">
                  <w:pPr>
                    <w:adjustRightInd w:val="0"/>
                    <w:snapToGrid w:val="0"/>
                    <w:jc w:val="center"/>
                    <w:rPr>
                      <w:b w:val="0"/>
                      <w:bCs/>
                      <w:color w:val="000000"/>
                      <w:sz w:val="24"/>
                    </w:rPr>
                  </w:pPr>
                  <w:r>
                    <w:rPr>
                      <w:rFonts w:hint="eastAsia"/>
                      <w:b w:val="0"/>
                      <w:bCs/>
                      <w:color w:val="000000"/>
                      <w:sz w:val="24"/>
                    </w:rPr>
                    <w:t>台</w:t>
                  </w:r>
                </w:p>
              </w:tc>
              <w:tc>
                <w:tcPr>
                  <w:tcW w:w="202" w:type="pct"/>
                  <w:shd w:val="clear" w:color="auto" w:fill="FFFFFF"/>
                  <w:noWrap w:val="0"/>
                  <w:vAlign w:val="center"/>
                </w:tcPr>
                <w:p w14:paraId="77D33E09">
                  <w:pPr>
                    <w:adjustRightInd w:val="0"/>
                    <w:snapToGrid w:val="0"/>
                    <w:jc w:val="center"/>
                    <w:rPr>
                      <w:rFonts w:hint="eastAsia" w:eastAsia="宋体"/>
                      <w:b w:val="0"/>
                      <w:bCs/>
                      <w:color w:val="000000"/>
                      <w:sz w:val="24"/>
                      <w:lang w:eastAsia="zh-CN"/>
                    </w:rPr>
                  </w:pPr>
                  <w:r>
                    <w:rPr>
                      <w:rFonts w:hint="eastAsia"/>
                      <w:b w:val="0"/>
                      <w:bCs/>
                      <w:color w:val="000000"/>
                      <w:sz w:val="24"/>
                      <w:lang w:val="en-US" w:eastAsia="zh-CN"/>
                    </w:rPr>
                    <w:t>1</w:t>
                  </w:r>
                </w:p>
              </w:tc>
              <w:tc>
                <w:tcPr>
                  <w:tcW w:w="1780" w:type="pct"/>
                  <w:tcBorders>
                    <w:right w:val="nil"/>
                  </w:tcBorders>
                  <w:shd w:val="clear" w:color="auto" w:fill="FFFFFF"/>
                  <w:noWrap w:val="0"/>
                  <w:vAlign w:val="center"/>
                </w:tcPr>
                <w:p w14:paraId="3D266FA3">
                  <w:pPr>
                    <w:adjustRightInd w:val="0"/>
                    <w:snapToGrid w:val="0"/>
                    <w:jc w:val="center"/>
                    <w:rPr>
                      <w:b w:val="0"/>
                      <w:bCs/>
                      <w:color w:val="000000"/>
                      <w:sz w:val="24"/>
                    </w:rPr>
                  </w:pPr>
                  <w:r>
                    <w:rPr>
                      <w:rFonts w:hint="eastAsia"/>
                      <w:b w:val="0"/>
                      <w:bCs/>
                      <w:color w:val="000000"/>
                      <w:sz w:val="24"/>
                    </w:rPr>
                    <w:t>采用变频调速</w:t>
                  </w:r>
                  <w:r>
                    <w:rPr>
                      <w:rFonts w:hint="eastAsia"/>
                      <w:b w:val="0"/>
                      <w:bCs/>
                      <w:color w:val="000000"/>
                      <w:sz w:val="24"/>
                      <w:lang w:eastAsia="zh-CN"/>
                    </w:rPr>
                    <w:t>，以满足锅炉不同工况下的需要</w:t>
                  </w:r>
                </w:p>
              </w:tc>
            </w:tr>
            <w:tr w14:paraId="736AC090">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97" w:type="pct"/>
                  <w:tcBorders>
                    <w:left w:val="nil"/>
                  </w:tcBorders>
                  <w:shd w:val="clear" w:color="auto" w:fill="FFFFFF"/>
                  <w:noWrap w:val="0"/>
                  <w:vAlign w:val="center"/>
                </w:tcPr>
                <w:p w14:paraId="7711EFB0">
                  <w:pPr>
                    <w:adjustRightInd w:val="0"/>
                    <w:snapToGrid w:val="0"/>
                    <w:jc w:val="center"/>
                    <w:rPr>
                      <w:b w:val="0"/>
                      <w:bCs/>
                      <w:color w:val="000000"/>
                      <w:sz w:val="24"/>
                    </w:rPr>
                  </w:pPr>
                  <w:r>
                    <w:rPr>
                      <w:b w:val="0"/>
                      <w:bCs/>
                      <w:color w:val="000000"/>
                      <w:sz w:val="24"/>
                    </w:rPr>
                    <w:t>6</w:t>
                  </w:r>
                </w:p>
              </w:tc>
              <w:tc>
                <w:tcPr>
                  <w:tcW w:w="347" w:type="pct"/>
                  <w:shd w:val="clear" w:color="auto" w:fill="FFFFFF"/>
                  <w:noWrap w:val="0"/>
                  <w:vAlign w:val="center"/>
                </w:tcPr>
                <w:p w14:paraId="3CD4997F">
                  <w:pPr>
                    <w:adjustRightInd w:val="0"/>
                    <w:snapToGrid w:val="0"/>
                    <w:jc w:val="center"/>
                    <w:rPr>
                      <w:b w:val="0"/>
                      <w:bCs/>
                      <w:color w:val="000000"/>
                      <w:sz w:val="24"/>
                    </w:rPr>
                  </w:pPr>
                  <w:r>
                    <w:rPr>
                      <w:rFonts w:hint="eastAsia"/>
                      <w:b w:val="0"/>
                      <w:color w:val="000000"/>
                      <w:sz w:val="24"/>
                    </w:rPr>
                    <w:t>高压除氧器</w:t>
                  </w:r>
                </w:p>
              </w:tc>
              <w:tc>
                <w:tcPr>
                  <w:tcW w:w="2270" w:type="pct"/>
                  <w:shd w:val="clear" w:color="auto" w:fill="FFFFFF"/>
                  <w:noWrap w:val="0"/>
                  <w:vAlign w:val="center"/>
                </w:tcPr>
                <w:p w14:paraId="20DAED6E">
                  <w:pPr>
                    <w:adjustRightInd w:val="0"/>
                    <w:snapToGrid w:val="0"/>
                    <w:jc w:val="center"/>
                    <w:rPr>
                      <w:b w:val="0"/>
                      <w:bCs/>
                      <w:color w:val="000000"/>
                      <w:sz w:val="24"/>
                    </w:rPr>
                  </w:pPr>
                  <w:r>
                    <w:rPr>
                      <w:b w:val="0"/>
                      <w:bCs/>
                      <w:color w:val="000000"/>
                      <w:sz w:val="24"/>
                    </w:rPr>
                    <w:t>出力</w:t>
                  </w:r>
                  <w:r>
                    <w:rPr>
                      <w:rFonts w:hint="eastAsia"/>
                      <w:b w:val="0"/>
                      <w:bCs/>
                      <w:color w:val="000000"/>
                      <w:sz w:val="24"/>
                      <w:lang w:val="en-US" w:eastAsia="zh-CN"/>
                    </w:rPr>
                    <w:t>7</w:t>
                  </w:r>
                  <w:r>
                    <w:rPr>
                      <w:b w:val="0"/>
                      <w:bCs/>
                      <w:color w:val="000000"/>
                      <w:sz w:val="24"/>
                    </w:rPr>
                    <w:t>0t/h，</w:t>
                  </w:r>
                  <w:r>
                    <w:rPr>
                      <w:rFonts w:hint="eastAsia"/>
                      <w:b w:val="0"/>
                      <w:bCs/>
                      <w:color w:val="000000"/>
                      <w:sz w:val="24"/>
                    </w:rPr>
                    <w:t>水箱</w:t>
                  </w:r>
                  <w:r>
                    <w:rPr>
                      <w:b w:val="0"/>
                      <w:bCs/>
                      <w:color w:val="000000"/>
                      <w:sz w:val="24"/>
                    </w:rPr>
                    <w:t>容积</w:t>
                  </w:r>
                  <w:r>
                    <w:rPr>
                      <w:rFonts w:hint="eastAsia"/>
                      <w:b w:val="0"/>
                      <w:bCs/>
                      <w:color w:val="000000"/>
                      <w:sz w:val="24"/>
                      <w:lang w:val="en-US" w:eastAsia="zh-CN"/>
                    </w:rPr>
                    <w:t>25</w:t>
                  </w:r>
                  <w:r>
                    <w:rPr>
                      <w:b w:val="0"/>
                      <w:bCs/>
                      <w:color w:val="000000"/>
                      <w:sz w:val="24"/>
                    </w:rPr>
                    <w:t>m</w:t>
                  </w:r>
                  <w:r>
                    <w:rPr>
                      <w:rFonts w:hint="eastAsia"/>
                      <w:b w:val="0"/>
                      <w:bCs/>
                      <w:color w:val="000000"/>
                      <w:sz w:val="24"/>
                      <w:vertAlign w:val="superscript"/>
                    </w:rPr>
                    <w:t>3</w:t>
                  </w:r>
                </w:p>
              </w:tc>
              <w:tc>
                <w:tcPr>
                  <w:tcW w:w="202" w:type="pct"/>
                  <w:shd w:val="clear" w:color="auto" w:fill="FFFFFF"/>
                  <w:noWrap w:val="0"/>
                  <w:vAlign w:val="center"/>
                </w:tcPr>
                <w:p w14:paraId="7953BE1B">
                  <w:pPr>
                    <w:adjustRightInd w:val="0"/>
                    <w:snapToGrid w:val="0"/>
                    <w:jc w:val="center"/>
                    <w:rPr>
                      <w:b w:val="0"/>
                      <w:bCs/>
                      <w:color w:val="000000"/>
                      <w:sz w:val="24"/>
                    </w:rPr>
                  </w:pPr>
                  <w:r>
                    <w:rPr>
                      <w:rFonts w:hint="eastAsia"/>
                      <w:b w:val="0"/>
                      <w:bCs/>
                      <w:color w:val="000000"/>
                      <w:sz w:val="24"/>
                    </w:rPr>
                    <w:t>台</w:t>
                  </w:r>
                </w:p>
              </w:tc>
              <w:tc>
                <w:tcPr>
                  <w:tcW w:w="202" w:type="pct"/>
                  <w:shd w:val="clear" w:color="auto" w:fill="FFFFFF"/>
                  <w:noWrap w:val="0"/>
                  <w:vAlign w:val="center"/>
                </w:tcPr>
                <w:p w14:paraId="3BAEAA1F">
                  <w:pPr>
                    <w:adjustRightInd w:val="0"/>
                    <w:snapToGrid w:val="0"/>
                    <w:jc w:val="center"/>
                    <w:rPr>
                      <w:b w:val="0"/>
                      <w:bCs/>
                      <w:color w:val="000000"/>
                      <w:sz w:val="24"/>
                    </w:rPr>
                  </w:pPr>
                  <w:r>
                    <w:rPr>
                      <w:rFonts w:hint="eastAsia"/>
                      <w:b w:val="0"/>
                      <w:bCs/>
                      <w:color w:val="000000"/>
                      <w:sz w:val="24"/>
                    </w:rPr>
                    <w:t>1</w:t>
                  </w:r>
                </w:p>
              </w:tc>
              <w:tc>
                <w:tcPr>
                  <w:tcW w:w="1780" w:type="pct"/>
                  <w:tcBorders>
                    <w:right w:val="nil"/>
                  </w:tcBorders>
                  <w:shd w:val="clear" w:color="auto" w:fill="FFFFFF"/>
                  <w:noWrap w:val="0"/>
                  <w:vAlign w:val="center"/>
                </w:tcPr>
                <w:p w14:paraId="5F028886">
                  <w:pPr>
                    <w:adjustRightInd w:val="0"/>
                    <w:snapToGrid w:val="0"/>
                    <w:jc w:val="center"/>
                    <w:rPr>
                      <w:rFonts w:hint="eastAsia" w:eastAsia="宋体"/>
                      <w:b w:val="0"/>
                      <w:bCs/>
                      <w:color w:val="000000"/>
                      <w:sz w:val="24"/>
                      <w:lang w:eastAsia="zh-CN"/>
                    </w:rPr>
                  </w:pPr>
                  <w:r>
                    <w:rPr>
                      <w:rFonts w:hint="eastAsia"/>
                      <w:b w:val="0"/>
                      <w:bCs/>
                      <w:color w:val="000000"/>
                      <w:sz w:val="24"/>
                      <w:lang w:val="en-US" w:eastAsia="zh-CN"/>
                    </w:rPr>
                    <w:t>旋膜式</w:t>
                  </w:r>
                </w:p>
              </w:tc>
            </w:tr>
            <w:tr w14:paraId="20B22A03">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97" w:type="pct"/>
                  <w:tcBorders>
                    <w:left w:val="nil"/>
                  </w:tcBorders>
                  <w:shd w:val="clear" w:color="auto" w:fill="FFFFFF"/>
                  <w:noWrap w:val="0"/>
                  <w:vAlign w:val="center"/>
                </w:tcPr>
                <w:p w14:paraId="241BD2FF">
                  <w:pPr>
                    <w:adjustRightInd w:val="0"/>
                    <w:snapToGrid w:val="0"/>
                    <w:jc w:val="center"/>
                    <w:rPr>
                      <w:rFonts w:hint="eastAsia" w:eastAsia="宋体"/>
                      <w:b w:val="0"/>
                      <w:bCs/>
                      <w:color w:val="000000"/>
                      <w:sz w:val="24"/>
                      <w:lang w:val="en-US" w:eastAsia="zh-CN"/>
                    </w:rPr>
                  </w:pPr>
                  <w:r>
                    <w:rPr>
                      <w:rFonts w:hint="eastAsia"/>
                      <w:b w:val="0"/>
                      <w:bCs/>
                      <w:color w:val="000000"/>
                      <w:sz w:val="24"/>
                      <w:lang w:val="en-US" w:eastAsia="zh-CN"/>
                    </w:rPr>
                    <w:t>7</w:t>
                  </w:r>
                </w:p>
              </w:tc>
              <w:tc>
                <w:tcPr>
                  <w:tcW w:w="347" w:type="pct"/>
                  <w:shd w:val="clear" w:color="auto" w:fill="FFFFFF"/>
                  <w:noWrap w:val="0"/>
                  <w:vAlign w:val="center"/>
                </w:tcPr>
                <w:p w14:paraId="1BD9287F">
                  <w:pPr>
                    <w:adjustRightInd w:val="0"/>
                    <w:snapToGrid w:val="0"/>
                    <w:jc w:val="center"/>
                    <w:rPr>
                      <w:rFonts w:hint="default" w:eastAsia="宋体"/>
                      <w:b w:val="0"/>
                      <w:color w:val="000000"/>
                      <w:sz w:val="24"/>
                      <w:lang w:val="en-US" w:eastAsia="zh-CN"/>
                    </w:rPr>
                  </w:pPr>
                  <w:r>
                    <w:rPr>
                      <w:rFonts w:hint="eastAsia"/>
                      <w:b w:val="0"/>
                      <w:color w:val="000000"/>
                      <w:sz w:val="24"/>
                      <w:lang w:val="en-US" w:eastAsia="zh-CN"/>
                    </w:rPr>
                    <w:t>循环水泵</w:t>
                  </w:r>
                </w:p>
              </w:tc>
              <w:tc>
                <w:tcPr>
                  <w:tcW w:w="2270" w:type="pct"/>
                  <w:shd w:val="clear" w:color="auto" w:fill="FFFFFF"/>
                  <w:noWrap w:val="0"/>
                  <w:vAlign w:val="center"/>
                </w:tcPr>
                <w:p w14:paraId="1671DB4C">
                  <w:pPr>
                    <w:adjustRightInd w:val="0"/>
                    <w:snapToGrid w:val="0"/>
                    <w:jc w:val="center"/>
                    <w:rPr>
                      <w:rFonts w:hint="eastAsia"/>
                      <w:b w:val="0"/>
                      <w:bCs/>
                      <w:color w:val="000000"/>
                      <w:sz w:val="24"/>
                    </w:rPr>
                  </w:pPr>
                  <w:r>
                    <w:rPr>
                      <w:rFonts w:hint="eastAsia"/>
                      <w:b w:val="0"/>
                      <w:bCs/>
                      <w:color w:val="000000"/>
                      <w:sz w:val="24"/>
                    </w:rPr>
                    <w:t>水泵流量：2000t/h</w:t>
                  </w:r>
                </w:p>
                <w:p w14:paraId="3670D5AF">
                  <w:pPr>
                    <w:adjustRightInd w:val="0"/>
                    <w:snapToGrid w:val="0"/>
                    <w:jc w:val="center"/>
                    <w:rPr>
                      <w:b w:val="0"/>
                      <w:bCs/>
                      <w:color w:val="000000"/>
                      <w:sz w:val="24"/>
                    </w:rPr>
                  </w:pPr>
                  <w:r>
                    <w:rPr>
                      <w:rFonts w:hint="eastAsia"/>
                      <w:b w:val="0"/>
                      <w:bCs/>
                      <w:color w:val="000000"/>
                      <w:sz w:val="24"/>
                    </w:rPr>
                    <w:t>水泵扬程：</w:t>
                  </w:r>
                  <w:r>
                    <w:rPr>
                      <w:rFonts w:hint="eastAsia"/>
                      <w:b w:val="0"/>
                      <w:bCs/>
                      <w:color w:val="000000"/>
                      <w:sz w:val="24"/>
                      <w:lang w:val="en-US" w:eastAsia="zh-CN"/>
                    </w:rPr>
                    <w:t>23</w:t>
                  </w:r>
                  <w:r>
                    <w:rPr>
                      <w:rFonts w:hint="eastAsia"/>
                      <w:b w:val="0"/>
                      <w:bCs/>
                      <w:color w:val="000000"/>
                      <w:sz w:val="24"/>
                    </w:rPr>
                    <w:t>m</w:t>
                  </w:r>
                </w:p>
              </w:tc>
              <w:tc>
                <w:tcPr>
                  <w:tcW w:w="202" w:type="pct"/>
                  <w:shd w:val="clear" w:color="auto" w:fill="FFFFFF"/>
                  <w:noWrap w:val="0"/>
                  <w:vAlign w:val="center"/>
                </w:tcPr>
                <w:p w14:paraId="201B1197">
                  <w:pPr>
                    <w:adjustRightInd w:val="0"/>
                    <w:snapToGrid w:val="0"/>
                    <w:jc w:val="center"/>
                    <w:rPr>
                      <w:rFonts w:hint="eastAsia"/>
                      <w:b w:val="0"/>
                      <w:bCs/>
                      <w:color w:val="000000"/>
                      <w:sz w:val="24"/>
                    </w:rPr>
                  </w:pPr>
                  <w:r>
                    <w:rPr>
                      <w:rFonts w:hint="eastAsia"/>
                      <w:b w:val="0"/>
                      <w:bCs/>
                      <w:color w:val="000000"/>
                      <w:sz w:val="24"/>
                    </w:rPr>
                    <w:t>台</w:t>
                  </w:r>
                </w:p>
              </w:tc>
              <w:tc>
                <w:tcPr>
                  <w:tcW w:w="202" w:type="pct"/>
                  <w:shd w:val="clear" w:color="auto" w:fill="FFFFFF"/>
                  <w:noWrap w:val="0"/>
                  <w:vAlign w:val="center"/>
                </w:tcPr>
                <w:p w14:paraId="1E1521FA">
                  <w:pPr>
                    <w:adjustRightInd w:val="0"/>
                    <w:snapToGrid w:val="0"/>
                    <w:jc w:val="center"/>
                    <w:rPr>
                      <w:rFonts w:hint="eastAsia" w:eastAsia="宋体"/>
                      <w:b w:val="0"/>
                      <w:bCs/>
                      <w:color w:val="000000"/>
                      <w:sz w:val="24"/>
                      <w:lang w:eastAsia="zh-CN"/>
                    </w:rPr>
                  </w:pPr>
                  <w:r>
                    <w:rPr>
                      <w:rFonts w:hint="eastAsia"/>
                      <w:b w:val="0"/>
                      <w:bCs/>
                      <w:color w:val="000000"/>
                      <w:sz w:val="24"/>
                      <w:lang w:val="en-US" w:eastAsia="zh-CN"/>
                    </w:rPr>
                    <w:t>3</w:t>
                  </w:r>
                </w:p>
              </w:tc>
              <w:tc>
                <w:tcPr>
                  <w:tcW w:w="1780" w:type="pct"/>
                  <w:tcBorders>
                    <w:right w:val="nil"/>
                  </w:tcBorders>
                  <w:shd w:val="clear" w:color="auto" w:fill="FFFFFF"/>
                  <w:noWrap w:val="0"/>
                  <w:vAlign w:val="center"/>
                </w:tcPr>
                <w:p w14:paraId="0038A56F">
                  <w:pPr>
                    <w:adjustRightInd w:val="0"/>
                    <w:snapToGrid w:val="0"/>
                    <w:jc w:val="center"/>
                    <w:rPr>
                      <w:rFonts w:hint="eastAsia"/>
                      <w:b w:val="0"/>
                      <w:bCs/>
                      <w:color w:val="000000"/>
                      <w:sz w:val="24"/>
                      <w:lang w:val="en-US" w:eastAsia="zh-CN"/>
                    </w:rPr>
                  </w:pPr>
                  <w:r>
                    <w:rPr>
                      <w:rFonts w:hint="eastAsia"/>
                      <w:b w:val="0"/>
                      <w:bCs/>
                      <w:color w:val="000000"/>
                      <w:sz w:val="24"/>
                      <w:lang w:val="en-US" w:eastAsia="zh-CN"/>
                    </w:rPr>
                    <w:t>两台为变频，一台工频软启。正常情况下二用一备，为自灌式启动。</w:t>
                  </w:r>
                </w:p>
              </w:tc>
            </w:tr>
            <w:tr w14:paraId="37D665FA">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97" w:type="pct"/>
                  <w:tcBorders>
                    <w:left w:val="nil"/>
                    <w:bottom w:val="single" w:color="000000" w:sz="12" w:space="0"/>
                  </w:tcBorders>
                  <w:shd w:val="clear" w:color="auto" w:fill="FFFFFF"/>
                  <w:noWrap w:val="0"/>
                  <w:vAlign w:val="center"/>
                </w:tcPr>
                <w:p w14:paraId="57B013C0">
                  <w:pPr>
                    <w:adjustRightInd w:val="0"/>
                    <w:snapToGrid w:val="0"/>
                    <w:jc w:val="center"/>
                    <w:rPr>
                      <w:rFonts w:hint="eastAsia" w:eastAsia="宋体"/>
                      <w:b w:val="0"/>
                      <w:bCs/>
                      <w:color w:val="000000"/>
                      <w:sz w:val="24"/>
                      <w:lang w:eastAsia="zh-CN"/>
                    </w:rPr>
                  </w:pPr>
                  <w:r>
                    <w:rPr>
                      <w:rFonts w:hint="eastAsia"/>
                      <w:b w:val="0"/>
                      <w:bCs/>
                      <w:color w:val="000000"/>
                      <w:sz w:val="24"/>
                      <w:lang w:val="en-US" w:eastAsia="zh-CN"/>
                    </w:rPr>
                    <w:t>8</w:t>
                  </w:r>
                </w:p>
              </w:tc>
              <w:tc>
                <w:tcPr>
                  <w:tcW w:w="347" w:type="pct"/>
                  <w:tcBorders>
                    <w:bottom w:val="single" w:color="000000" w:sz="12" w:space="0"/>
                  </w:tcBorders>
                  <w:shd w:val="clear" w:color="auto" w:fill="FFFFFF"/>
                  <w:noWrap w:val="0"/>
                  <w:vAlign w:val="center"/>
                </w:tcPr>
                <w:p w14:paraId="3CF67B1D">
                  <w:pPr>
                    <w:adjustRightInd w:val="0"/>
                    <w:snapToGrid w:val="0"/>
                    <w:jc w:val="center"/>
                    <w:rPr>
                      <w:b w:val="0"/>
                      <w:color w:val="000000"/>
                      <w:sz w:val="24"/>
                    </w:rPr>
                  </w:pPr>
                  <w:r>
                    <w:rPr>
                      <w:rFonts w:hint="eastAsia"/>
                      <w:b w:val="0"/>
                      <w:color w:val="000000"/>
                      <w:sz w:val="24"/>
                    </w:rPr>
                    <w:t>化水系统</w:t>
                  </w:r>
                </w:p>
              </w:tc>
              <w:tc>
                <w:tcPr>
                  <w:tcW w:w="2270" w:type="pct"/>
                  <w:tcBorders>
                    <w:bottom w:val="single" w:color="000000" w:sz="12" w:space="0"/>
                  </w:tcBorders>
                  <w:shd w:val="clear" w:color="auto" w:fill="FFFFFF"/>
                  <w:noWrap w:val="0"/>
                  <w:vAlign w:val="center"/>
                </w:tcPr>
                <w:p w14:paraId="370AD111">
                  <w:pPr>
                    <w:adjustRightInd w:val="0"/>
                    <w:snapToGrid w:val="0"/>
                    <w:jc w:val="center"/>
                    <w:rPr>
                      <w:b w:val="0"/>
                      <w:bCs/>
                      <w:color w:val="000000"/>
                      <w:sz w:val="24"/>
                    </w:rPr>
                  </w:pPr>
                  <w:r>
                    <w:rPr>
                      <w:b w:val="0"/>
                      <w:bCs/>
                      <w:color w:val="000000"/>
                      <w:sz w:val="24"/>
                    </w:rPr>
                    <w:t>2</w:t>
                  </w:r>
                  <w:r>
                    <w:rPr>
                      <w:rFonts w:hint="eastAsia"/>
                      <w:b w:val="0"/>
                      <w:bCs/>
                      <w:color w:val="000000"/>
                      <w:sz w:val="24"/>
                    </w:rPr>
                    <w:t>×</w:t>
                  </w:r>
                  <w:r>
                    <w:rPr>
                      <w:rFonts w:hint="eastAsia"/>
                      <w:b w:val="0"/>
                      <w:bCs/>
                      <w:color w:val="000000"/>
                      <w:sz w:val="24"/>
                      <w:lang w:val="en-US" w:eastAsia="zh-CN"/>
                    </w:rPr>
                    <w:t>5</w:t>
                  </w:r>
                  <w:r>
                    <w:rPr>
                      <w:b w:val="0"/>
                      <w:bCs/>
                      <w:color w:val="000000"/>
                      <w:sz w:val="24"/>
                    </w:rPr>
                    <w:t>t/h</w:t>
                  </w:r>
                  <w:r>
                    <w:rPr>
                      <w:rFonts w:hint="eastAsia"/>
                      <w:b w:val="0"/>
                      <w:bCs/>
                      <w:color w:val="000000"/>
                      <w:sz w:val="24"/>
                    </w:rPr>
                    <w:t>化水系统，</w:t>
                  </w:r>
                  <w:r>
                    <w:rPr>
                      <w:b w:val="0"/>
                      <w:bCs/>
                      <w:color w:val="000000"/>
                      <w:sz w:val="24"/>
                    </w:rPr>
                    <w:t>工艺流程</w:t>
                  </w:r>
                  <w:r>
                    <w:rPr>
                      <w:rFonts w:hint="eastAsia"/>
                      <w:b w:val="0"/>
                      <w:bCs/>
                      <w:color w:val="000000"/>
                      <w:sz w:val="24"/>
                      <w:lang w:eastAsia="zh-CN"/>
                    </w:rPr>
                    <w:t>：多介质过滤器+活性炭过滤器+二级反渗透+EDI</w:t>
                  </w:r>
                </w:p>
              </w:tc>
              <w:tc>
                <w:tcPr>
                  <w:tcW w:w="202" w:type="pct"/>
                  <w:tcBorders>
                    <w:bottom w:val="single" w:color="000000" w:sz="12" w:space="0"/>
                  </w:tcBorders>
                  <w:shd w:val="clear" w:color="auto" w:fill="FFFFFF"/>
                  <w:noWrap w:val="0"/>
                  <w:vAlign w:val="center"/>
                </w:tcPr>
                <w:p w14:paraId="3033924F">
                  <w:pPr>
                    <w:adjustRightInd w:val="0"/>
                    <w:snapToGrid w:val="0"/>
                    <w:jc w:val="center"/>
                    <w:rPr>
                      <w:b w:val="0"/>
                      <w:bCs/>
                      <w:color w:val="000000"/>
                      <w:sz w:val="24"/>
                    </w:rPr>
                  </w:pPr>
                  <w:r>
                    <w:rPr>
                      <w:rFonts w:hint="eastAsia"/>
                      <w:b w:val="0"/>
                      <w:bCs/>
                      <w:color w:val="000000"/>
                      <w:sz w:val="24"/>
                    </w:rPr>
                    <w:t>套</w:t>
                  </w:r>
                </w:p>
              </w:tc>
              <w:tc>
                <w:tcPr>
                  <w:tcW w:w="202" w:type="pct"/>
                  <w:tcBorders>
                    <w:bottom w:val="single" w:color="000000" w:sz="12" w:space="0"/>
                  </w:tcBorders>
                  <w:shd w:val="clear" w:color="auto" w:fill="FFFFFF"/>
                  <w:noWrap w:val="0"/>
                  <w:vAlign w:val="center"/>
                </w:tcPr>
                <w:p w14:paraId="787E3121">
                  <w:pPr>
                    <w:adjustRightInd w:val="0"/>
                    <w:snapToGrid w:val="0"/>
                    <w:jc w:val="center"/>
                    <w:rPr>
                      <w:b w:val="0"/>
                      <w:bCs/>
                      <w:color w:val="000000"/>
                      <w:sz w:val="24"/>
                    </w:rPr>
                  </w:pPr>
                  <w:r>
                    <w:rPr>
                      <w:rFonts w:hint="eastAsia"/>
                      <w:b w:val="0"/>
                      <w:bCs/>
                      <w:color w:val="000000"/>
                      <w:sz w:val="24"/>
                    </w:rPr>
                    <w:t>1</w:t>
                  </w:r>
                </w:p>
              </w:tc>
              <w:tc>
                <w:tcPr>
                  <w:tcW w:w="1780" w:type="pct"/>
                  <w:tcBorders>
                    <w:bottom w:val="single" w:color="000000" w:sz="12" w:space="0"/>
                    <w:right w:val="nil"/>
                  </w:tcBorders>
                  <w:shd w:val="clear" w:color="auto" w:fill="FFFFFF"/>
                  <w:noWrap w:val="0"/>
                  <w:vAlign w:val="center"/>
                </w:tcPr>
                <w:p w14:paraId="46E12BD4">
                  <w:pPr>
                    <w:adjustRightInd w:val="0"/>
                    <w:snapToGrid w:val="0"/>
                    <w:jc w:val="center"/>
                    <w:rPr>
                      <w:b w:val="0"/>
                      <w:bCs/>
                      <w:color w:val="000000"/>
                      <w:sz w:val="24"/>
                    </w:rPr>
                  </w:pPr>
                  <w:r>
                    <w:rPr>
                      <w:rFonts w:hint="eastAsia"/>
                      <w:b w:val="0"/>
                      <w:bCs/>
                      <w:color w:val="000000"/>
                      <w:sz w:val="24"/>
                    </w:rPr>
                    <w:t>配有2座60m</w:t>
                  </w:r>
                  <w:r>
                    <w:rPr>
                      <w:rFonts w:hint="eastAsia"/>
                      <w:b w:val="0"/>
                      <w:bCs/>
                      <w:color w:val="000000"/>
                      <w:sz w:val="24"/>
                      <w:vertAlign w:val="superscript"/>
                    </w:rPr>
                    <w:t>3</w:t>
                  </w:r>
                  <w:r>
                    <w:rPr>
                      <w:rFonts w:hint="eastAsia"/>
                      <w:b w:val="0"/>
                      <w:bCs/>
                      <w:color w:val="000000"/>
                      <w:sz w:val="24"/>
                    </w:rPr>
                    <w:t>除盐水箱</w:t>
                  </w:r>
                </w:p>
              </w:tc>
            </w:tr>
          </w:tbl>
          <w:p w14:paraId="2AECC0B2">
            <w:pPr>
              <w:autoSpaceDE w:val="0"/>
              <w:autoSpaceDN w:val="0"/>
              <w:adjustRightInd w:val="0"/>
              <w:snapToGrid w:val="0"/>
              <w:spacing w:line="360" w:lineRule="auto"/>
              <w:ind w:firstLine="480" w:firstLineChars="200"/>
              <w:jc w:val="left"/>
              <w:rPr>
                <w:rFonts w:hint="eastAsia" w:ascii="Times New Roman" w:hAnsi="Times New Roman" w:eastAsia="宋体" w:cs="Times New Roman"/>
                <w:color w:val="auto"/>
                <w:kern w:val="0"/>
                <w:sz w:val="24"/>
                <w:lang w:val="en-US" w:eastAsia="zh-CN"/>
              </w:rPr>
            </w:pPr>
            <w:r>
              <w:rPr>
                <w:rFonts w:hint="eastAsia" w:ascii="Times New Roman" w:hAnsi="Times New Roman" w:eastAsia="宋体" w:cs="Times New Roman"/>
                <w:color w:val="auto"/>
                <w:kern w:val="0"/>
                <w:sz w:val="24"/>
                <w:lang w:val="en-US" w:eastAsia="zh-CN"/>
              </w:rPr>
              <w:t>其中发电机的容量略大于汽轮机的容量。这是因为汽轮机除了额定输出容量外，考虑高炉煤气量可能大于设计额定值，汽轮机组会有一个最大连续输出容量，设计中为了与这个最大连续输出容量匹配，要求发电机的容量略大于汽轮机。</w:t>
            </w:r>
          </w:p>
          <w:p w14:paraId="32DB50FA">
            <w:pPr>
              <w:autoSpaceDE w:val="0"/>
              <w:autoSpaceDN w:val="0"/>
              <w:adjustRightInd w:val="0"/>
              <w:snapToGrid w:val="0"/>
              <w:spacing w:line="360" w:lineRule="auto"/>
              <w:ind w:firstLine="480" w:firstLineChars="200"/>
              <w:jc w:val="left"/>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本项目配置的额定功率15MW汽轮机具备10%的超发能力，最高煤气消耗量可达5.5万Nm</w:t>
            </w:r>
            <w:r>
              <w:rPr>
                <w:rFonts w:hint="eastAsia" w:ascii="Times New Roman" w:hAnsi="Times New Roman" w:eastAsia="宋体" w:cs="Times New Roman"/>
                <w:color w:val="auto"/>
                <w:kern w:val="0"/>
                <w:sz w:val="24"/>
                <w:highlight w:val="none"/>
                <w:vertAlign w:val="superscript"/>
                <w:lang w:val="en-US" w:eastAsia="zh-CN"/>
              </w:rPr>
              <w:t>3</w:t>
            </w:r>
            <w:r>
              <w:rPr>
                <w:rFonts w:hint="eastAsia" w:ascii="Times New Roman" w:hAnsi="Times New Roman" w:eastAsia="宋体" w:cs="Times New Roman"/>
                <w:color w:val="auto"/>
                <w:kern w:val="0"/>
                <w:sz w:val="24"/>
                <w:highlight w:val="none"/>
                <w:lang w:val="en-US" w:eastAsia="zh-CN"/>
              </w:rPr>
              <w:t>/h；煤气热值800大卡情况下，冬季工况背压低时发电功率能到16.2MW。</w:t>
            </w:r>
          </w:p>
          <w:p w14:paraId="40EA18D5">
            <w:pPr>
              <w:autoSpaceDE w:val="0"/>
              <w:autoSpaceDN w:val="0"/>
              <w:adjustRightInd w:val="0"/>
              <w:snapToGrid w:val="0"/>
              <w:spacing w:line="360" w:lineRule="auto"/>
              <w:ind w:firstLine="480" w:firstLineChars="200"/>
              <w:jc w:val="left"/>
              <w:rPr>
                <w:rFonts w:hint="eastAsia" w:ascii="Times New Roman" w:hAnsi="Times New Roman" w:eastAsia="宋体" w:cs="Times New Roman"/>
                <w:color w:val="auto"/>
                <w:kern w:val="0"/>
                <w:sz w:val="24"/>
                <w:highlight w:val="yellow"/>
                <w:lang w:val="en-US" w:eastAsia="zh-CN"/>
              </w:rPr>
            </w:pPr>
            <w:r>
              <w:rPr>
                <w:rFonts w:hint="eastAsia" w:ascii="Times New Roman" w:hAnsi="Times New Roman" w:eastAsia="宋体" w:cs="Times New Roman"/>
                <w:color w:val="auto"/>
                <w:kern w:val="0"/>
                <w:sz w:val="24"/>
                <w:highlight w:val="none"/>
                <w:lang w:val="en-US" w:eastAsia="zh-CN"/>
              </w:rPr>
              <w:t>考虑到实际运行中，煤气量和煤气热值也处于波动工况，实际发电有可能更高。根据生产厂家资料，在电力、钢铁、垃圾焚烧发电等领域的多个项目中，15MW汽轮机匹配18MW发电机组，可满足不同生产工况的需求，为可能出现的汽轮机短时超额出力提供了安全缓冲，保护了发电机，提高了系统运行的稳定性，也保障了整个电网的稳定；同时可以使项目在汽轮机达到最大出力时依然能满发，避免发电能力的浪费，提升了项目的长期经济性。故本项目配置18MW发电机。</w:t>
            </w:r>
          </w:p>
          <w:p w14:paraId="0640A6F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color w:val="auto"/>
                <w:kern w:val="0"/>
                <w:sz w:val="24"/>
              </w:rPr>
            </w:pPr>
            <w:r>
              <w:rPr>
                <w:rFonts w:hint="eastAsia"/>
                <w:color w:val="auto"/>
                <w:kern w:val="0"/>
                <w:sz w:val="24"/>
              </w:rPr>
              <w:t>4、</w:t>
            </w:r>
            <w:r>
              <w:rPr>
                <w:color w:val="auto"/>
                <w:kern w:val="0"/>
                <w:sz w:val="24"/>
              </w:rPr>
              <w:t>原辅材料及能源消耗</w:t>
            </w:r>
          </w:p>
          <w:p w14:paraId="2D7463D5">
            <w:pPr>
              <w:autoSpaceDE w:val="0"/>
              <w:autoSpaceDN w:val="0"/>
              <w:adjustRightInd w:val="0"/>
              <w:snapToGrid w:val="0"/>
              <w:spacing w:line="360" w:lineRule="auto"/>
              <w:ind w:firstLine="480" w:firstLineChars="200"/>
              <w:jc w:val="left"/>
              <w:rPr>
                <w:color w:val="auto"/>
                <w:kern w:val="0"/>
                <w:sz w:val="24"/>
              </w:rPr>
            </w:pPr>
            <w:r>
              <w:rPr>
                <w:color w:val="auto"/>
                <w:kern w:val="0"/>
                <w:sz w:val="24"/>
              </w:rPr>
              <w:t>本项目</w:t>
            </w:r>
            <w:r>
              <w:rPr>
                <w:rFonts w:hint="eastAsia"/>
                <w:color w:val="auto"/>
                <w:kern w:val="0"/>
                <w:sz w:val="24"/>
              </w:rPr>
              <w:t>主要</w:t>
            </w:r>
            <w:r>
              <w:rPr>
                <w:color w:val="auto"/>
                <w:kern w:val="0"/>
                <w:sz w:val="24"/>
              </w:rPr>
              <w:t>原辅材料</w:t>
            </w:r>
            <w:r>
              <w:rPr>
                <w:rFonts w:hint="eastAsia"/>
                <w:color w:val="auto"/>
                <w:kern w:val="0"/>
                <w:sz w:val="24"/>
                <w:lang w:eastAsia="zh-CN"/>
              </w:rPr>
              <w:t>见</w:t>
            </w:r>
            <w:r>
              <w:rPr>
                <w:color w:val="auto"/>
                <w:kern w:val="0"/>
                <w:sz w:val="24"/>
              </w:rPr>
              <w:t>表2-</w:t>
            </w:r>
            <w:r>
              <w:rPr>
                <w:rFonts w:hint="eastAsia"/>
                <w:color w:val="auto"/>
                <w:kern w:val="0"/>
                <w:sz w:val="24"/>
              </w:rPr>
              <w:t>4</w:t>
            </w:r>
            <w:r>
              <w:rPr>
                <w:color w:val="auto"/>
                <w:kern w:val="0"/>
                <w:sz w:val="24"/>
              </w:rPr>
              <w:t>。</w:t>
            </w:r>
          </w:p>
          <w:p w14:paraId="4E97C7D9">
            <w:pPr>
              <w:adjustRightInd w:val="0"/>
              <w:snapToGrid w:val="0"/>
              <w:jc w:val="center"/>
              <w:rPr>
                <w:rFonts w:hint="eastAsia"/>
                <w:b/>
                <w:color w:val="auto"/>
                <w:sz w:val="24"/>
                <w:lang w:val="en-US" w:eastAsia="zh-CN"/>
              </w:rPr>
            </w:pPr>
            <w:r>
              <w:rPr>
                <w:b/>
                <w:color w:val="auto"/>
                <w:sz w:val="24"/>
              </w:rPr>
              <w:t>表2-4项目主要原辅材料消耗一览表</w:t>
            </w:r>
          </w:p>
          <w:tbl>
            <w:tblPr>
              <w:tblStyle w:val="27"/>
              <w:tblW w:w="499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8"/>
              <w:gridCol w:w="1956"/>
              <w:gridCol w:w="1357"/>
              <w:gridCol w:w="1956"/>
              <w:gridCol w:w="1957"/>
            </w:tblGrid>
            <w:tr w14:paraId="78F65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690" w:type="pct"/>
                  <w:tcBorders>
                    <w:top w:val="single" w:color="000000" w:sz="12" w:space="0"/>
                    <w:left w:val="nil"/>
                    <w:tl2br w:val="nil"/>
                  </w:tcBorders>
                  <w:shd w:val="clear" w:color="auto" w:fill="FFFFFF"/>
                  <w:noWrap w:val="0"/>
                  <w:vAlign w:val="center"/>
                </w:tcPr>
                <w:p w14:paraId="3217BBDC">
                  <w:pPr>
                    <w:adjustRightInd w:val="0"/>
                    <w:snapToGrid w:val="0"/>
                    <w:jc w:val="center"/>
                    <w:rPr>
                      <w:rFonts w:hint="default"/>
                      <w:b w:val="0"/>
                      <w:color w:val="000000"/>
                      <w:sz w:val="24"/>
                      <w:vertAlign w:val="baseline"/>
                      <w:lang w:val="en-US" w:eastAsia="zh-CN"/>
                    </w:rPr>
                  </w:pPr>
                  <w:r>
                    <w:rPr>
                      <w:b w:val="0"/>
                      <w:bCs/>
                      <w:color w:val="000000"/>
                      <w:sz w:val="24"/>
                    </w:rPr>
                    <w:t>分类</w:t>
                  </w:r>
                </w:p>
              </w:tc>
              <w:tc>
                <w:tcPr>
                  <w:tcW w:w="1166" w:type="pct"/>
                  <w:tcBorders>
                    <w:top w:val="single" w:color="000000" w:sz="12" w:space="0"/>
                  </w:tcBorders>
                  <w:shd w:val="clear" w:color="auto" w:fill="FFFFFF"/>
                  <w:noWrap w:val="0"/>
                  <w:vAlign w:val="center"/>
                </w:tcPr>
                <w:p w14:paraId="169DC885">
                  <w:pPr>
                    <w:adjustRightInd w:val="0"/>
                    <w:snapToGrid w:val="0"/>
                    <w:jc w:val="center"/>
                    <w:rPr>
                      <w:rFonts w:hint="default"/>
                      <w:b w:val="0"/>
                      <w:color w:val="000000"/>
                      <w:sz w:val="24"/>
                      <w:vertAlign w:val="baseline"/>
                      <w:lang w:val="en-US" w:eastAsia="zh-CN"/>
                    </w:rPr>
                  </w:pPr>
                  <w:r>
                    <w:rPr>
                      <w:b w:val="0"/>
                      <w:bCs/>
                      <w:color w:val="000000"/>
                      <w:sz w:val="24"/>
                    </w:rPr>
                    <w:t>名称</w:t>
                  </w:r>
                </w:p>
              </w:tc>
              <w:tc>
                <w:tcPr>
                  <w:tcW w:w="809" w:type="pct"/>
                  <w:tcBorders>
                    <w:top w:val="single" w:color="000000" w:sz="12" w:space="0"/>
                  </w:tcBorders>
                  <w:shd w:val="clear" w:color="auto" w:fill="FFFFFF"/>
                  <w:noWrap w:val="0"/>
                  <w:vAlign w:val="center"/>
                </w:tcPr>
                <w:p w14:paraId="4CA4314B">
                  <w:pPr>
                    <w:adjustRightInd w:val="0"/>
                    <w:snapToGrid w:val="0"/>
                    <w:jc w:val="center"/>
                    <w:rPr>
                      <w:rFonts w:hint="default"/>
                      <w:b w:val="0"/>
                      <w:color w:val="000000"/>
                      <w:sz w:val="24"/>
                      <w:vertAlign w:val="baseline"/>
                      <w:lang w:val="en-US" w:eastAsia="zh-CN"/>
                    </w:rPr>
                  </w:pPr>
                  <w:r>
                    <w:rPr>
                      <w:b w:val="0"/>
                      <w:bCs/>
                      <w:color w:val="000000"/>
                      <w:sz w:val="24"/>
                    </w:rPr>
                    <w:t>用量</w:t>
                  </w:r>
                </w:p>
              </w:tc>
              <w:tc>
                <w:tcPr>
                  <w:tcW w:w="1166" w:type="pct"/>
                  <w:tcBorders>
                    <w:top w:val="single" w:color="000000" w:sz="12" w:space="0"/>
                  </w:tcBorders>
                  <w:shd w:val="clear" w:color="auto" w:fill="FFFFFF"/>
                  <w:noWrap w:val="0"/>
                  <w:vAlign w:val="center"/>
                </w:tcPr>
                <w:p w14:paraId="69E9EC02">
                  <w:pPr>
                    <w:adjustRightInd w:val="0"/>
                    <w:snapToGrid w:val="0"/>
                    <w:jc w:val="center"/>
                    <w:rPr>
                      <w:rFonts w:hint="default"/>
                      <w:b w:val="0"/>
                      <w:color w:val="000000"/>
                      <w:sz w:val="24"/>
                      <w:vertAlign w:val="baseline"/>
                      <w:lang w:val="en-US" w:eastAsia="zh-CN"/>
                    </w:rPr>
                  </w:pPr>
                  <w:r>
                    <w:rPr>
                      <w:b w:val="0"/>
                      <w:bCs/>
                      <w:color w:val="000000"/>
                      <w:sz w:val="24"/>
                    </w:rPr>
                    <w:t>储存方式</w:t>
                  </w:r>
                </w:p>
              </w:tc>
              <w:tc>
                <w:tcPr>
                  <w:tcW w:w="1166" w:type="pct"/>
                  <w:tcBorders>
                    <w:top w:val="single" w:color="000000" w:sz="12" w:space="0"/>
                    <w:right w:val="nil"/>
                  </w:tcBorders>
                  <w:shd w:val="clear" w:color="auto" w:fill="FFFFFF"/>
                  <w:noWrap w:val="0"/>
                  <w:vAlign w:val="center"/>
                </w:tcPr>
                <w:p w14:paraId="49E6C721">
                  <w:pPr>
                    <w:adjustRightInd w:val="0"/>
                    <w:snapToGrid w:val="0"/>
                    <w:jc w:val="center"/>
                    <w:rPr>
                      <w:rFonts w:hint="eastAsia" w:eastAsia="宋体"/>
                      <w:b w:val="0"/>
                      <w:color w:val="000000"/>
                      <w:sz w:val="24"/>
                      <w:vertAlign w:val="baseline"/>
                      <w:lang w:val="en-US" w:eastAsia="zh-CN"/>
                    </w:rPr>
                  </w:pPr>
                  <w:r>
                    <w:rPr>
                      <w:rFonts w:hint="eastAsia"/>
                      <w:b w:val="0"/>
                      <w:bCs/>
                      <w:color w:val="000000"/>
                      <w:sz w:val="24"/>
                      <w:lang w:val="en-US" w:eastAsia="zh-CN"/>
                    </w:rPr>
                    <w:t>备注</w:t>
                  </w:r>
                </w:p>
              </w:tc>
            </w:tr>
            <w:tr w14:paraId="2DDD0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pct"/>
                  <w:tcBorders>
                    <w:left w:val="nil"/>
                  </w:tcBorders>
                  <w:shd w:val="clear" w:color="auto" w:fill="FFFFFF"/>
                  <w:noWrap w:val="0"/>
                  <w:vAlign w:val="center"/>
                </w:tcPr>
                <w:p w14:paraId="11F00916">
                  <w:pPr>
                    <w:adjustRightInd w:val="0"/>
                    <w:snapToGrid w:val="0"/>
                    <w:jc w:val="center"/>
                    <w:rPr>
                      <w:rFonts w:hint="default"/>
                      <w:b w:val="0"/>
                      <w:color w:val="000000"/>
                      <w:sz w:val="24"/>
                      <w:vertAlign w:val="baseline"/>
                      <w:lang w:val="en-US" w:eastAsia="zh-CN"/>
                    </w:rPr>
                  </w:pPr>
                  <w:r>
                    <w:rPr>
                      <w:rFonts w:hint="eastAsia"/>
                      <w:b w:val="0"/>
                      <w:bCs/>
                      <w:color w:val="000000"/>
                      <w:sz w:val="24"/>
                      <w:vertAlign w:val="baseline"/>
                      <w:lang w:val="en-US" w:eastAsia="zh-CN"/>
                    </w:rPr>
                    <w:t>原料</w:t>
                  </w:r>
                </w:p>
              </w:tc>
              <w:tc>
                <w:tcPr>
                  <w:tcW w:w="1166" w:type="pct"/>
                  <w:shd w:val="clear" w:color="auto" w:fill="FFFFFF"/>
                  <w:noWrap w:val="0"/>
                  <w:vAlign w:val="center"/>
                </w:tcPr>
                <w:p w14:paraId="40E5A581">
                  <w:pPr>
                    <w:adjustRightInd w:val="0"/>
                    <w:snapToGrid w:val="0"/>
                    <w:jc w:val="center"/>
                    <w:rPr>
                      <w:rFonts w:hint="default"/>
                      <w:b w:val="0"/>
                      <w:color w:val="000000"/>
                      <w:sz w:val="24"/>
                      <w:vertAlign w:val="baseline"/>
                      <w:lang w:val="en-US" w:eastAsia="zh-CN"/>
                    </w:rPr>
                  </w:pPr>
                  <w:r>
                    <w:rPr>
                      <w:rFonts w:hint="eastAsia"/>
                      <w:b w:val="0"/>
                      <w:bCs/>
                      <w:color w:val="000000"/>
                      <w:sz w:val="24"/>
                    </w:rPr>
                    <w:t>高炉煤气</w:t>
                  </w:r>
                </w:p>
              </w:tc>
              <w:tc>
                <w:tcPr>
                  <w:tcW w:w="809" w:type="pct"/>
                  <w:shd w:val="clear" w:color="auto" w:fill="FFFFFF"/>
                  <w:noWrap w:val="0"/>
                  <w:vAlign w:val="center"/>
                </w:tcPr>
                <w:p w14:paraId="5E2570A0">
                  <w:pPr>
                    <w:adjustRightInd w:val="0"/>
                    <w:snapToGrid w:val="0"/>
                    <w:jc w:val="center"/>
                    <w:rPr>
                      <w:rFonts w:hint="default" w:ascii="Times New Roman" w:hAnsi="Times New Roman" w:eastAsia="宋体" w:cs="Times New Roman"/>
                      <w:b w:val="0"/>
                      <w:bCs/>
                      <w:color w:val="000000"/>
                      <w:kern w:val="2"/>
                      <w:sz w:val="24"/>
                      <w:szCs w:val="24"/>
                      <w:lang w:val="en-US" w:eastAsia="zh-CN" w:bidi="ar-SA"/>
                    </w:rPr>
                  </w:pPr>
                  <w:r>
                    <w:rPr>
                      <w:rFonts w:hint="eastAsia"/>
                      <w:b w:val="0"/>
                      <w:bCs/>
                      <w:color w:val="000000"/>
                      <w:sz w:val="24"/>
                      <w:lang w:val="en-US" w:eastAsia="zh-CN"/>
                    </w:rPr>
                    <w:t>50000m</w:t>
                  </w:r>
                  <w:r>
                    <w:rPr>
                      <w:rFonts w:hint="eastAsia"/>
                      <w:b w:val="0"/>
                      <w:bCs/>
                      <w:color w:val="000000"/>
                      <w:sz w:val="24"/>
                      <w:vertAlign w:val="superscript"/>
                      <w:lang w:val="en-US" w:eastAsia="zh-CN"/>
                    </w:rPr>
                    <w:t>3</w:t>
                  </w:r>
                  <w:r>
                    <w:rPr>
                      <w:rFonts w:hint="eastAsia"/>
                      <w:b w:val="0"/>
                      <w:bCs/>
                      <w:color w:val="000000"/>
                      <w:sz w:val="24"/>
                      <w:lang w:val="en-US" w:eastAsia="zh-CN"/>
                    </w:rPr>
                    <w:t>/a</w:t>
                  </w:r>
                </w:p>
              </w:tc>
              <w:tc>
                <w:tcPr>
                  <w:tcW w:w="1166" w:type="pct"/>
                  <w:shd w:val="clear" w:color="auto" w:fill="FFFFFF"/>
                  <w:noWrap w:val="0"/>
                  <w:vAlign w:val="center"/>
                </w:tcPr>
                <w:p w14:paraId="5D8873D4">
                  <w:pPr>
                    <w:adjustRightInd w:val="0"/>
                    <w:snapToGrid w:val="0"/>
                    <w:jc w:val="center"/>
                    <w:rPr>
                      <w:rFonts w:hint="default" w:ascii="Times New Roman" w:hAnsi="Times New Roman" w:eastAsia="宋体" w:cs="Times New Roman"/>
                      <w:b w:val="0"/>
                      <w:bCs/>
                      <w:color w:val="000000"/>
                      <w:kern w:val="2"/>
                      <w:sz w:val="24"/>
                      <w:szCs w:val="24"/>
                      <w:lang w:val="en-US" w:eastAsia="zh-CN" w:bidi="ar-SA"/>
                    </w:rPr>
                  </w:pPr>
                  <w:r>
                    <w:rPr>
                      <w:rFonts w:hint="eastAsia"/>
                      <w:b w:val="0"/>
                      <w:bCs/>
                      <w:color w:val="000000"/>
                      <w:sz w:val="24"/>
                    </w:rPr>
                    <w:t>管道运输</w:t>
                  </w:r>
                </w:p>
              </w:tc>
              <w:tc>
                <w:tcPr>
                  <w:tcW w:w="1166" w:type="pct"/>
                  <w:tcBorders>
                    <w:right w:val="nil"/>
                  </w:tcBorders>
                  <w:shd w:val="clear" w:color="auto" w:fill="FFFFFF"/>
                  <w:noWrap w:val="0"/>
                  <w:vAlign w:val="center"/>
                </w:tcPr>
                <w:p w14:paraId="0B655265">
                  <w:pPr>
                    <w:adjustRightInd w:val="0"/>
                    <w:snapToGrid w:val="0"/>
                    <w:jc w:val="center"/>
                    <w:rPr>
                      <w:rFonts w:hint="default" w:eastAsia="宋体"/>
                      <w:b w:val="0"/>
                      <w:color w:val="000000"/>
                      <w:sz w:val="24"/>
                      <w:vertAlign w:val="baseline"/>
                      <w:lang w:val="en-US" w:eastAsia="zh-CN"/>
                    </w:rPr>
                  </w:pPr>
                  <w:r>
                    <w:rPr>
                      <w:rFonts w:hint="eastAsia" w:ascii="Times New Roman" w:hAnsi="Times New Roman" w:eastAsia="宋体" w:cs="Times New Roman"/>
                      <w:b w:val="0"/>
                      <w:bCs/>
                      <w:color w:val="000000"/>
                      <w:sz w:val="24"/>
                      <w:lang w:val="en-US" w:eastAsia="zh-CN"/>
                    </w:rPr>
                    <w:t>富余高炉煤气热值：3400kJ/Nm</w:t>
                  </w:r>
                  <w:r>
                    <w:rPr>
                      <w:rFonts w:hint="eastAsia" w:ascii="Times New Roman" w:hAnsi="Times New Roman" w:eastAsia="宋体" w:cs="Times New Roman"/>
                      <w:b w:val="0"/>
                      <w:bCs/>
                      <w:color w:val="000000"/>
                      <w:sz w:val="24"/>
                      <w:vertAlign w:val="superscript"/>
                      <w:lang w:val="en-US" w:eastAsia="zh-CN"/>
                    </w:rPr>
                    <w:t>3</w:t>
                  </w:r>
                </w:p>
              </w:tc>
            </w:tr>
            <w:tr w14:paraId="26779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pct"/>
                  <w:tcBorders>
                    <w:left w:val="nil"/>
                    <w:bottom w:val="single" w:color="000000" w:sz="12" w:space="0"/>
                  </w:tcBorders>
                  <w:shd w:val="clear" w:color="auto" w:fill="auto"/>
                  <w:noWrap w:val="0"/>
                  <w:vAlign w:val="center"/>
                </w:tcPr>
                <w:p w14:paraId="3AE9653F">
                  <w:pPr>
                    <w:adjustRightInd w:val="0"/>
                    <w:snapToGrid w:val="0"/>
                    <w:jc w:val="center"/>
                    <w:rPr>
                      <w:rFonts w:hint="default"/>
                      <w:b w:val="0"/>
                      <w:bCs/>
                      <w:color w:val="000000"/>
                      <w:sz w:val="24"/>
                      <w:highlight w:val="none"/>
                      <w:vertAlign w:val="baseline"/>
                      <w:lang w:val="en-US" w:eastAsia="zh-CN"/>
                    </w:rPr>
                  </w:pPr>
                  <w:r>
                    <w:rPr>
                      <w:rFonts w:hint="eastAsia"/>
                      <w:b w:val="0"/>
                      <w:bCs/>
                      <w:color w:val="000000"/>
                      <w:sz w:val="24"/>
                      <w:highlight w:val="none"/>
                      <w:vertAlign w:val="baseline"/>
                      <w:lang w:val="en-US" w:eastAsia="zh-CN"/>
                    </w:rPr>
                    <w:t>脱硫剂</w:t>
                  </w:r>
                </w:p>
              </w:tc>
              <w:tc>
                <w:tcPr>
                  <w:tcW w:w="1166" w:type="pct"/>
                  <w:tcBorders>
                    <w:bottom w:val="single" w:color="000000" w:sz="12" w:space="0"/>
                  </w:tcBorders>
                  <w:shd w:val="clear" w:color="auto" w:fill="auto"/>
                  <w:noWrap w:val="0"/>
                  <w:vAlign w:val="center"/>
                </w:tcPr>
                <w:p w14:paraId="70C88CC4">
                  <w:pPr>
                    <w:adjustRightInd w:val="0"/>
                    <w:snapToGrid w:val="0"/>
                    <w:jc w:val="center"/>
                    <w:rPr>
                      <w:rFonts w:hint="eastAsia"/>
                      <w:b w:val="0"/>
                      <w:bCs/>
                      <w:color w:val="000000"/>
                      <w:sz w:val="24"/>
                      <w:highlight w:val="none"/>
                    </w:rPr>
                  </w:pPr>
                  <w:r>
                    <w:rPr>
                      <w:rFonts w:hint="eastAsia" w:ascii="Times New Roman" w:hAnsi="Times New Roman" w:eastAsia="宋体" w:cs="Times New Roman"/>
                      <w:b w:val="0"/>
                      <w:color w:val="000000"/>
                      <w:kern w:val="2"/>
                      <w:sz w:val="24"/>
                      <w:szCs w:val="24"/>
                      <w:highlight w:val="none"/>
                      <w:lang w:val="en-US" w:eastAsia="zh-CN" w:bidi="ar-SA"/>
                    </w:rPr>
                    <w:t>高活性钙基脱硫粉剂</w:t>
                  </w:r>
                </w:p>
              </w:tc>
              <w:tc>
                <w:tcPr>
                  <w:tcW w:w="809" w:type="pct"/>
                  <w:tcBorders>
                    <w:bottom w:val="single" w:color="000000" w:sz="12" w:space="0"/>
                  </w:tcBorders>
                  <w:shd w:val="clear" w:color="auto" w:fill="auto"/>
                  <w:noWrap w:val="0"/>
                  <w:vAlign w:val="center"/>
                </w:tcPr>
                <w:p w14:paraId="5F2E77BC">
                  <w:pPr>
                    <w:adjustRightInd w:val="0"/>
                    <w:snapToGrid w:val="0"/>
                    <w:jc w:val="center"/>
                    <w:rPr>
                      <w:rFonts w:hint="eastAsia"/>
                      <w:b w:val="0"/>
                      <w:bCs/>
                      <w:color w:val="000000"/>
                      <w:sz w:val="24"/>
                      <w:highlight w:val="none"/>
                      <w:lang w:val="en-US" w:eastAsia="zh-CN"/>
                    </w:rPr>
                  </w:pPr>
                  <w:r>
                    <w:rPr>
                      <w:rFonts w:hint="eastAsia" w:ascii="Times New Roman" w:hAnsi="Times New Roman" w:eastAsia="宋体" w:cs="Times New Roman"/>
                      <w:b w:val="0"/>
                      <w:color w:val="000000"/>
                      <w:kern w:val="2"/>
                      <w:sz w:val="24"/>
                      <w:szCs w:val="24"/>
                      <w:highlight w:val="none"/>
                      <w:lang w:val="en-US" w:eastAsia="zh-CN" w:bidi="ar-SA"/>
                    </w:rPr>
                    <w:t>720t/a</w:t>
                  </w:r>
                </w:p>
              </w:tc>
              <w:tc>
                <w:tcPr>
                  <w:tcW w:w="1166" w:type="pct"/>
                  <w:tcBorders>
                    <w:bottom w:val="single" w:color="000000" w:sz="12" w:space="0"/>
                  </w:tcBorders>
                  <w:shd w:val="clear" w:color="auto" w:fill="auto"/>
                  <w:noWrap w:val="0"/>
                  <w:vAlign w:val="center"/>
                </w:tcPr>
                <w:p w14:paraId="38E034E8">
                  <w:pPr>
                    <w:adjustRightInd w:val="0"/>
                    <w:snapToGrid w:val="0"/>
                    <w:jc w:val="center"/>
                    <w:rPr>
                      <w:rFonts w:hint="default" w:eastAsia="宋体"/>
                      <w:b w:val="0"/>
                      <w:bCs/>
                      <w:color w:val="000000"/>
                      <w:sz w:val="24"/>
                      <w:highlight w:val="none"/>
                      <w:lang w:val="en-US" w:eastAsia="zh-CN"/>
                    </w:rPr>
                  </w:pPr>
                  <w:r>
                    <w:rPr>
                      <w:rFonts w:hint="eastAsia" w:ascii="Times New Roman" w:hAnsi="Times New Roman" w:eastAsia="宋体" w:cs="Times New Roman"/>
                      <w:kern w:val="2"/>
                      <w:sz w:val="24"/>
                      <w:highlight w:val="none"/>
                    </w:rPr>
                    <w:t>30m</w:t>
                  </w:r>
                  <w:r>
                    <w:rPr>
                      <w:rFonts w:hint="eastAsia" w:ascii="Times New Roman" w:hAnsi="Times New Roman" w:eastAsia="宋体" w:cs="Times New Roman"/>
                      <w:kern w:val="2"/>
                      <w:sz w:val="24"/>
                      <w:highlight w:val="none"/>
                      <w:vertAlign w:val="superscript"/>
                      <w:lang w:val="en-US" w:eastAsia="zh-CN"/>
                    </w:rPr>
                    <w:t>3</w:t>
                  </w:r>
                  <w:r>
                    <w:rPr>
                      <w:rFonts w:hint="eastAsia"/>
                      <w:b w:val="0"/>
                      <w:bCs/>
                      <w:color w:val="000000"/>
                      <w:sz w:val="24"/>
                      <w:highlight w:val="none"/>
                      <w:lang w:val="en-US" w:eastAsia="zh-CN"/>
                    </w:rPr>
                    <w:t>脱硫粉仓</w:t>
                  </w:r>
                </w:p>
              </w:tc>
              <w:tc>
                <w:tcPr>
                  <w:tcW w:w="1166" w:type="pct"/>
                  <w:tcBorders>
                    <w:bottom w:val="single" w:color="000000" w:sz="12" w:space="0"/>
                    <w:right w:val="nil"/>
                  </w:tcBorders>
                  <w:shd w:val="clear" w:color="auto" w:fill="auto"/>
                  <w:noWrap w:val="0"/>
                  <w:vAlign w:val="center"/>
                </w:tcPr>
                <w:p w14:paraId="6D644EAF">
                  <w:pPr>
                    <w:adjustRightInd w:val="0"/>
                    <w:snapToGrid w:val="0"/>
                    <w:jc w:val="center"/>
                    <w:rPr>
                      <w:rFonts w:hint="default" w:ascii="Times New Roman" w:hAnsi="Times New Roman" w:eastAsia="宋体" w:cs="Times New Roman"/>
                      <w:b w:val="0"/>
                      <w:bCs/>
                      <w:color w:val="000000"/>
                      <w:sz w:val="24"/>
                      <w:highlight w:val="none"/>
                      <w:lang w:val="en-US" w:eastAsia="zh-CN"/>
                    </w:rPr>
                  </w:pPr>
                  <w:r>
                    <w:rPr>
                      <w:rFonts w:hint="eastAsia" w:ascii="Times New Roman" w:hAnsi="Times New Roman" w:eastAsia="宋体" w:cs="Times New Roman"/>
                      <w:b w:val="0"/>
                      <w:bCs/>
                      <w:color w:val="000000"/>
                      <w:sz w:val="24"/>
                      <w:highlight w:val="none"/>
                      <w:lang w:val="en-US" w:eastAsia="zh-CN"/>
                    </w:rPr>
                    <w:t>脱硫系统配套</w:t>
                  </w:r>
                </w:p>
              </w:tc>
            </w:tr>
          </w:tbl>
          <w:p w14:paraId="628D6D53">
            <w:pPr>
              <w:autoSpaceDE w:val="0"/>
              <w:autoSpaceDN w:val="0"/>
              <w:adjustRightInd w:val="0"/>
              <w:snapToGrid w:val="0"/>
              <w:spacing w:beforeLines="50"/>
              <w:ind w:firstLine="482" w:firstLineChars="200"/>
              <w:jc w:val="center"/>
              <w:rPr>
                <w:b/>
                <w:bCs/>
                <w:color w:val="auto"/>
                <w:kern w:val="0"/>
                <w:sz w:val="24"/>
              </w:rPr>
            </w:pPr>
            <w:r>
              <w:rPr>
                <w:rFonts w:hint="eastAsia"/>
                <w:b/>
                <w:bCs/>
                <w:color w:val="auto"/>
                <w:kern w:val="0"/>
                <w:sz w:val="24"/>
              </w:rPr>
              <w:t>表2-5</w:t>
            </w:r>
            <w:r>
              <w:rPr>
                <w:rFonts w:hint="eastAsia"/>
                <w:b/>
                <w:bCs/>
                <w:color w:val="auto"/>
                <w:sz w:val="24"/>
                <w:lang w:val="en-US" w:eastAsia="zh-CN"/>
              </w:rPr>
              <w:t>全厂</w:t>
            </w:r>
            <w:r>
              <w:rPr>
                <w:rFonts w:hint="eastAsia"/>
                <w:b/>
                <w:bCs/>
                <w:color w:val="auto"/>
                <w:sz w:val="24"/>
              </w:rPr>
              <w:t>煤气</w:t>
            </w:r>
            <w:r>
              <w:rPr>
                <w:rFonts w:hint="eastAsia"/>
                <w:b/>
                <w:bCs/>
                <w:color w:val="auto"/>
                <w:sz w:val="24"/>
                <w:lang w:val="en-US" w:eastAsia="zh-CN"/>
              </w:rPr>
              <w:t>平衡</w:t>
            </w:r>
            <w:r>
              <w:rPr>
                <w:b/>
                <w:bCs/>
                <w:color w:val="auto"/>
                <w:sz w:val="24"/>
              </w:rPr>
              <w:t>表</w:t>
            </w:r>
            <w:r>
              <w:rPr>
                <w:rFonts w:hint="eastAsia"/>
                <w:b/>
                <w:bCs/>
                <w:color w:val="auto"/>
                <w:sz w:val="24"/>
                <w:lang w:eastAsia="zh-CN"/>
              </w:rPr>
              <w:t xml:space="preserve"> </w:t>
            </w:r>
            <w:r>
              <w:rPr>
                <w:rFonts w:hint="eastAsia"/>
                <w:b/>
                <w:bCs/>
                <w:color w:val="auto"/>
                <w:sz w:val="24"/>
              </w:rPr>
              <w:t>单位：</w:t>
            </w:r>
            <w:r>
              <w:rPr>
                <w:rFonts w:hint="eastAsia"/>
                <w:b/>
                <w:bCs/>
                <w:color w:val="auto"/>
                <w:sz w:val="24"/>
                <w:lang w:val="en-US" w:eastAsia="zh-CN"/>
              </w:rPr>
              <w:t>万</w:t>
            </w:r>
            <w:r>
              <w:rPr>
                <w:rFonts w:hint="eastAsia"/>
                <w:b/>
                <w:bCs/>
                <w:color w:val="auto"/>
                <w:sz w:val="24"/>
              </w:rPr>
              <w:t>m</w:t>
            </w:r>
            <w:r>
              <w:rPr>
                <w:rFonts w:hint="eastAsia"/>
                <w:b/>
                <w:bCs/>
                <w:color w:val="auto"/>
                <w:sz w:val="24"/>
                <w:vertAlign w:val="superscript"/>
              </w:rPr>
              <w:t>3</w:t>
            </w:r>
            <w:r>
              <w:rPr>
                <w:rFonts w:hint="eastAsia"/>
                <w:b/>
                <w:bCs/>
                <w:color w:val="auto"/>
                <w:sz w:val="24"/>
              </w:rPr>
              <w:t>/h</w:t>
            </w:r>
          </w:p>
          <w:tbl>
            <w:tblPr>
              <w:tblStyle w:val="5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932"/>
              <w:gridCol w:w="3876"/>
              <w:gridCol w:w="2573"/>
              <w:gridCol w:w="3"/>
            </w:tblGrid>
            <w:tr w14:paraId="749A5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3463" w:type="pct"/>
                  <w:gridSpan w:val="2"/>
                  <w:vMerge w:val="restart"/>
                  <w:tcBorders>
                    <w:top w:val="single" w:color="000000" w:sz="12" w:space="0"/>
                    <w:left w:val="nil"/>
                    <w:tl2br w:val="nil"/>
                  </w:tcBorders>
                  <w:shd w:val="clear" w:color="auto" w:fill="FFFFFF"/>
                  <w:noWrap w:val="0"/>
                  <w:vAlign w:val="center"/>
                </w:tcPr>
                <w:p w14:paraId="17E3DF14">
                  <w:pPr>
                    <w:adjustRightInd w:val="0"/>
                    <w:snapToGrid w:val="0"/>
                    <w:jc w:val="center"/>
                    <w:rPr>
                      <w:b w:val="0"/>
                      <w:bCs/>
                      <w:color w:val="000000"/>
                      <w:sz w:val="24"/>
                    </w:rPr>
                  </w:pPr>
                  <w:r>
                    <w:rPr>
                      <w:b w:val="0"/>
                      <w:bCs/>
                      <w:color w:val="000000"/>
                      <w:sz w:val="24"/>
                    </w:rPr>
                    <w:t>名称</w:t>
                  </w:r>
                </w:p>
              </w:tc>
              <w:tc>
                <w:tcPr>
                  <w:tcW w:w="1536" w:type="pct"/>
                  <w:gridSpan w:val="2"/>
                  <w:tcBorders>
                    <w:top w:val="single" w:color="000000" w:sz="12" w:space="0"/>
                    <w:right w:val="nil"/>
                  </w:tcBorders>
                  <w:shd w:val="clear" w:color="auto" w:fill="FFFFFF"/>
                  <w:noWrap w:val="0"/>
                  <w:vAlign w:val="center"/>
                </w:tcPr>
                <w:p w14:paraId="01BE4D63">
                  <w:pPr>
                    <w:adjustRightInd w:val="0"/>
                    <w:snapToGrid w:val="0"/>
                    <w:jc w:val="center"/>
                    <w:rPr>
                      <w:b w:val="0"/>
                      <w:bCs/>
                      <w:color w:val="000000"/>
                      <w:sz w:val="24"/>
                    </w:rPr>
                  </w:pPr>
                  <w:r>
                    <w:rPr>
                      <w:rFonts w:hint="eastAsia"/>
                      <w:b w:val="0"/>
                      <w:bCs/>
                      <w:color w:val="000000"/>
                      <w:sz w:val="24"/>
                    </w:rPr>
                    <w:t>实际建设内容</w:t>
                  </w:r>
                </w:p>
              </w:tc>
            </w:tr>
            <w:tr w14:paraId="4B62B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 w:type="pct"/>
                <w:trHeight w:val="320" w:hRule="atLeast"/>
                <w:jc w:val="center"/>
              </w:trPr>
              <w:tc>
                <w:tcPr>
                  <w:tcW w:w="3463" w:type="pct"/>
                  <w:gridSpan w:val="2"/>
                  <w:vMerge w:val="continue"/>
                  <w:tcBorders>
                    <w:left w:val="nil"/>
                  </w:tcBorders>
                  <w:shd w:val="clear" w:color="auto" w:fill="FFFFFF"/>
                  <w:noWrap w:val="0"/>
                  <w:vAlign w:val="center"/>
                </w:tcPr>
                <w:p w14:paraId="72E72D0D">
                  <w:pPr>
                    <w:adjustRightInd w:val="0"/>
                    <w:snapToGrid w:val="0"/>
                    <w:jc w:val="center"/>
                    <w:rPr>
                      <w:b w:val="0"/>
                      <w:color w:val="000000"/>
                    </w:rPr>
                  </w:pPr>
                </w:p>
              </w:tc>
              <w:tc>
                <w:tcPr>
                  <w:tcW w:w="1534" w:type="pct"/>
                  <w:tcBorders>
                    <w:right w:val="nil"/>
                  </w:tcBorders>
                  <w:shd w:val="clear" w:color="auto" w:fill="FFFFFF"/>
                  <w:noWrap w:val="0"/>
                  <w:vAlign w:val="center"/>
                </w:tcPr>
                <w:p w14:paraId="5C2C9B1F">
                  <w:pPr>
                    <w:adjustRightInd w:val="0"/>
                    <w:snapToGrid w:val="0"/>
                    <w:jc w:val="center"/>
                    <w:rPr>
                      <w:b w:val="0"/>
                      <w:bCs/>
                      <w:color w:val="000000"/>
                      <w:sz w:val="24"/>
                    </w:rPr>
                  </w:pPr>
                  <w:r>
                    <w:rPr>
                      <w:rFonts w:hint="eastAsia"/>
                      <w:b w:val="0"/>
                      <w:bCs/>
                      <w:color w:val="000000"/>
                      <w:sz w:val="24"/>
                    </w:rPr>
                    <w:t>高炉煤气</w:t>
                  </w:r>
                </w:p>
              </w:tc>
            </w:tr>
            <w:tr w14:paraId="5B80E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 w:type="pct"/>
                <w:trHeight w:val="372" w:hRule="atLeast"/>
                <w:jc w:val="center"/>
              </w:trPr>
              <w:tc>
                <w:tcPr>
                  <w:tcW w:w="1152" w:type="pct"/>
                  <w:vMerge w:val="restart"/>
                  <w:tcBorders>
                    <w:left w:val="nil"/>
                  </w:tcBorders>
                  <w:shd w:val="clear" w:color="auto" w:fill="FFFFFF"/>
                  <w:noWrap w:val="0"/>
                  <w:vAlign w:val="center"/>
                </w:tcPr>
                <w:p w14:paraId="6E311BD9">
                  <w:pPr>
                    <w:adjustRightInd w:val="0"/>
                    <w:snapToGrid w:val="0"/>
                    <w:jc w:val="center"/>
                    <w:rPr>
                      <w:rFonts w:hint="default" w:eastAsia="宋体"/>
                      <w:b w:val="0"/>
                      <w:bCs/>
                      <w:color w:val="000000"/>
                      <w:sz w:val="24"/>
                      <w:lang w:val="en-US" w:eastAsia="zh-CN"/>
                    </w:rPr>
                  </w:pPr>
                  <w:r>
                    <w:rPr>
                      <w:rFonts w:hint="eastAsia"/>
                      <w:b w:val="0"/>
                      <w:bCs/>
                      <w:color w:val="000000"/>
                      <w:sz w:val="24"/>
                      <w:lang w:val="en-US" w:eastAsia="zh-CN"/>
                    </w:rPr>
                    <w:t>产生情况</w:t>
                  </w:r>
                </w:p>
              </w:tc>
              <w:tc>
                <w:tcPr>
                  <w:tcW w:w="2311" w:type="pct"/>
                  <w:shd w:val="clear" w:color="auto" w:fill="FFFFFF"/>
                  <w:noWrap w:val="0"/>
                  <w:vAlign w:val="center"/>
                </w:tcPr>
                <w:p w14:paraId="22D8DA66">
                  <w:pPr>
                    <w:adjustRightInd w:val="0"/>
                    <w:snapToGrid w:val="0"/>
                    <w:jc w:val="center"/>
                    <w:rPr>
                      <w:rFonts w:hint="eastAsia" w:ascii="Times New Roman" w:hAnsi="Times New Roman" w:eastAsia="宋体" w:cs="Times New Roman"/>
                      <w:b w:val="0"/>
                      <w:bCs/>
                      <w:color w:val="000000"/>
                      <w:kern w:val="2"/>
                      <w:sz w:val="24"/>
                      <w:szCs w:val="24"/>
                      <w:lang w:val="en-US" w:eastAsia="zh-CN" w:bidi="ar-SA"/>
                    </w:rPr>
                  </w:pPr>
                  <w:r>
                    <w:rPr>
                      <w:rFonts w:hint="eastAsia"/>
                      <w:b w:val="0"/>
                      <w:bCs/>
                      <w:color w:val="000000"/>
                      <w:sz w:val="24"/>
                      <w:lang w:val="en-US" w:eastAsia="zh-CN"/>
                    </w:rPr>
                    <w:t>1#高炉</w:t>
                  </w:r>
                </w:p>
              </w:tc>
              <w:tc>
                <w:tcPr>
                  <w:tcW w:w="1534" w:type="pct"/>
                  <w:tcBorders>
                    <w:right w:val="nil"/>
                  </w:tcBorders>
                  <w:shd w:val="clear" w:color="auto" w:fill="FFFFFF"/>
                  <w:noWrap w:val="0"/>
                  <w:vAlign w:val="center"/>
                </w:tcPr>
                <w:p w14:paraId="3CC13BD6">
                  <w:pPr>
                    <w:adjustRightInd w:val="0"/>
                    <w:snapToGrid w:val="0"/>
                    <w:jc w:val="center"/>
                    <w:rPr>
                      <w:rFonts w:hint="default"/>
                      <w:b w:val="0"/>
                      <w:bCs/>
                      <w:color w:val="000000"/>
                      <w:sz w:val="24"/>
                      <w:lang w:val="en-US" w:eastAsia="zh-CN"/>
                    </w:rPr>
                  </w:pPr>
                  <w:r>
                    <w:rPr>
                      <w:rFonts w:hint="eastAsia"/>
                      <w:b w:val="0"/>
                      <w:bCs/>
                      <w:color w:val="000000"/>
                      <w:sz w:val="24"/>
                      <w:lang w:val="en-US" w:eastAsia="zh-CN"/>
                    </w:rPr>
                    <w:t>12.10</w:t>
                  </w:r>
                </w:p>
              </w:tc>
            </w:tr>
            <w:tr w14:paraId="4606A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 w:type="pct"/>
                <w:trHeight w:val="372" w:hRule="atLeast"/>
                <w:jc w:val="center"/>
              </w:trPr>
              <w:tc>
                <w:tcPr>
                  <w:tcW w:w="1152" w:type="pct"/>
                  <w:vMerge w:val="continue"/>
                  <w:tcBorders>
                    <w:left w:val="nil"/>
                  </w:tcBorders>
                  <w:shd w:val="clear" w:color="auto" w:fill="FFFFFF"/>
                  <w:noWrap w:val="0"/>
                  <w:vAlign w:val="center"/>
                </w:tcPr>
                <w:p w14:paraId="5DC46F38">
                  <w:pPr>
                    <w:adjustRightInd w:val="0"/>
                    <w:snapToGrid w:val="0"/>
                    <w:jc w:val="center"/>
                    <w:rPr>
                      <w:rFonts w:hint="default" w:eastAsia="宋体"/>
                      <w:b w:val="0"/>
                      <w:bCs/>
                      <w:color w:val="000000"/>
                      <w:sz w:val="24"/>
                      <w:lang w:val="en-US" w:eastAsia="zh-CN"/>
                    </w:rPr>
                  </w:pPr>
                </w:p>
              </w:tc>
              <w:tc>
                <w:tcPr>
                  <w:tcW w:w="2311" w:type="pct"/>
                  <w:shd w:val="clear" w:color="auto" w:fill="FFFFFF"/>
                  <w:noWrap w:val="0"/>
                  <w:vAlign w:val="center"/>
                </w:tcPr>
                <w:p w14:paraId="4F8EED37">
                  <w:pPr>
                    <w:adjustRightInd w:val="0"/>
                    <w:snapToGrid w:val="0"/>
                    <w:jc w:val="center"/>
                    <w:rPr>
                      <w:rFonts w:hint="eastAsia" w:ascii="Times New Roman" w:hAnsi="Times New Roman" w:eastAsia="宋体" w:cs="Times New Roman"/>
                      <w:b w:val="0"/>
                      <w:bCs/>
                      <w:color w:val="000000"/>
                      <w:kern w:val="2"/>
                      <w:sz w:val="24"/>
                      <w:szCs w:val="24"/>
                      <w:lang w:val="en-US" w:eastAsia="zh-CN" w:bidi="ar-SA"/>
                    </w:rPr>
                  </w:pPr>
                  <w:r>
                    <w:rPr>
                      <w:rFonts w:hint="eastAsia"/>
                      <w:b w:val="0"/>
                      <w:bCs/>
                      <w:color w:val="000000"/>
                      <w:sz w:val="24"/>
                      <w:lang w:val="en-US" w:eastAsia="zh-CN"/>
                    </w:rPr>
                    <w:t>2#高炉</w:t>
                  </w:r>
                </w:p>
              </w:tc>
              <w:tc>
                <w:tcPr>
                  <w:tcW w:w="1534" w:type="pct"/>
                  <w:tcBorders>
                    <w:right w:val="nil"/>
                  </w:tcBorders>
                  <w:shd w:val="clear" w:color="auto" w:fill="FFFFFF"/>
                  <w:noWrap w:val="0"/>
                  <w:vAlign w:val="center"/>
                </w:tcPr>
                <w:p w14:paraId="2BF2C2F0">
                  <w:pPr>
                    <w:adjustRightInd w:val="0"/>
                    <w:snapToGrid w:val="0"/>
                    <w:jc w:val="center"/>
                    <w:rPr>
                      <w:rFonts w:hint="default"/>
                      <w:b w:val="0"/>
                      <w:bCs/>
                      <w:color w:val="000000"/>
                      <w:sz w:val="24"/>
                      <w:lang w:val="en-US" w:eastAsia="zh-CN"/>
                    </w:rPr>
                  </w:pPr>
                  <w:r>
                    <w:rPr>
                      <w:rFonts w:hint="eastAsia"/>
                      <w:b w:val="0"/>
                      <w:bCs/>
                      <w:color w:val="000000"/>
                      <w:sz w:val="24"/>
                      <w:lang w:val="en-US" w:eastAsia="zh-CN"/>
                    </w:rPr>
                    <w:t>11.75</w:t>
                  </w:r>
                </w:p>
              </w:tc>
            </w:tr>
            <w:tr w14:paraId="65CE3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 w:type="pct"/>
                <w:trHeight w:val="372" w:hRule="atLeast"/>
                <w:jc w:val="center"/>
              </w:trPr>
              <w:tc>
                <w:tcPr>
                  <w:tcW w:w="3463" w:type="pct"/>
                  <w:gridSpan w:val="2"/>
                  <w:tcBorders>
                    <w:left w:val="nil"/>
                  </w:tcBorders>
                  <w:shd w:val="clear" w:color="auto" w:fill="FFFFFF"/>
                  <w:noWrap w:val="0"/>
                  <w:vAlign w:val="center"/>
                </w:tcPr>
                <w:p w14:paraId="4D80436C">
                  <w:pPr>
                    <w:adjustRightInd w:val="0"/>
                    <w:snapToGrid w:val="0"/>
                    <w:jc w:val="center"/>
                    <w:rPr>
                      <w:b w:val="0"/>
                      <w:bCs/>
                      <w:color w:val="000000"/>
                      <w:sz w:val="24"/>
                    </w:rPr>
                  </w:pPr>
                  <w:r>
                    <w:rPr>
                      <w:rFonts w:hint="eastAsia"/>
                      <w:b w:val="0"/>
                      <w:bCs/>
                      <w:color w:val="000000"/>
                      <w:sz w:val="24"/>
                      <w:lang w:val="en-US" w:eastAsia="zh-CN"/>
                    </w:rPr>
                    <w:t>总</w:t>
                  </w:r>
                  <w:r>
                    <w:rPr>
                      <w:rFonts w:hint="eastAsia"/>
                      <w:b w:val="0"/>
                      <w:bCs/>
                      <w:color w:val="000000"/>
                      <w:sz w:val="24"/>
                    </w:rPr>
                    <w:t>产生量</w:t>
                  </w:r>
                </w:p>
              </w:tc>
              <w:tc>
                <w:tcPr>
                  <w:tcW w:w="1534" w:type="pct"/>
                  <w:tcBorders>
                    <w:right w:val="nil"/>
                  </w:tcBorders>
                  <w:shd w:val="clear" w:color="auto" w:fill="FFFFFF"/>
                  <w:noWrap w:val="0"/>
                  <w:vAlign w:val="center"/>
                </w:tcPr>
                <w:p w14:paraId="4A3DB18C">
                  <w:pPr>
                    <w:adjustRightInd w:val="0"/>
                    <w:snapToGrid w:val="0"/>
                    <w:jc w:val="center"/>
                    <w:rPr>
                      <w:rFonts w:hint="default" w:eastAsia="宋体"/>
                      <w:b w:val="0"/>
                      <w:bCs/>
                      <w:color w:val="000000"/>
                      <w:sz w:val="24"/>
                      <w:lang w:val="en-US" w:eastAsia="zh-CN"/>
                    </w:rPr>
                  </w:pPr>
                  <w:r>
                    <w:rPr>
                      <w:rFonts w:hint="eastAsia"/>
                      <w:b w:val="0"/>
                      <w:bCs/>
                      <w:color w:val="000000"/>
                      <w:sz w:val="24"/>
                      <w:lang w:val="en-US" w:eastAsia="zh-CN"/>
                    </w:rPr>
                    <w:t>23.85</w:t>
                  </w:r>
                </w:p>
              </w:tc>
            </w:tr>
            <w:tr w14:paraId="08642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 w:type="pct"/>
                <w:trHeight w:val="372" w:hRule="atLeast"/>
                <w:jc w:val="center"/>
              </w:trPr>
              <w:tc>
                <w:tcPr>
                  <w:tcW w:w="1152" w:type="pct"/>
                  <w:vMerge w:val="restart"/>
                  <w:tcBorders>
                    <w:left w:val="nil"/>
                  </w:tcBorders>
                  <w:shd w:val="clear" w:color="auto" w:fill="FFFFFF"/>
                  <w:noWrap w:val="0"/>
                  <w:vAlign w:val="center"/>
                </w:tcPr>
                <w:p w14:paraId="73D37E11">
                  <w:pPr>
                    <w:adjustRightInd w:val="0"/>
                    <w:snapToGrid w:val="0"/>
                    <w:jc w:val="center"/>
                    <w:rPr>
                      <w:rFonts w:hint="eastAsia" w:eastAsia="宋体"/>
                      <w:b w:val="0"/>
                      <w:bCs/>
                      <w:color w:val="000000"/>
                      <w:sz w:val="24"/>
                      <w:lang w:eastAsia="zh-CN"/>
                    </w:rPr>
                  </w:pPr>
                  <w:r>
                    <w:rPr>
                      <w:rFonts w:hint="eastAsia"/>
                      <w:b w:val="0"/>
                      <w:bCs/>
                      <w:color w:val="000000"/>
                      <w:sz w:val="24"/>
                    </w:rPr>
                    <w:t>消耗</w:t>
                  </w:r>
                  <w:r>
                    <w:rPr>
                      <w:rFonts w:hint="eastAsia"/>
                      <w:b w:val="0"/>
                      <w:bCs/>
                      <w:color w:val="000000"/>
                      <w:sz w:val="24"/>
                      <w:lang w:val="en-US" w:eastAsia="zh-CN"/>
                    </w:rPr>
                    <w:t>情况</w:t>
                  </w:r>
                </w:p>
              </w:tc>
              <w:tc>
                <w:tcPr>
                  <w:tcW w:w="2311" w:type="pct"/>
                  <w:shd w:val="clear" w:color="auto" w:fill="FFFFFF"/>
                  <w:noWrap w:val="0"/>
                  <w:vAlign w:val="center"/>
                </w:tcPr>
                <w:p w14:paraId="4057A136">
                  <w:pPr>
                    <w:adjustRightInd w:val="0"/>
                    <w:snapToGrid w:val="0"/>
                    <w:jc w:val="center"/>
                    <w:rPr>
                      <w:b w:val="0"/>
                      <w:bCs/>
                      <w:color w:val="000000"/>
                      <w:sz w:val="24"/>
                    </w:rPr>
                  </w:pPr>
                  <w:r>
                    <w:rPr>
                      <w:b w:val="0"/>
                      <w:bCs/>
                      <w:color w:val="000000"/>
                      <w:sz w:val="24"/>
                    </w:rPr>
                    <w:t>1#高炉热风炉用量</w:t>
                  </w:r>
                </w:p>
              </w:tc>
              <w:tc>
                <w:tcPr>
                  <w:tcW w:w="1534" w:type="pct"/>
                  <w:tcBorders>
                    <w:right w:val="nil"/>
                  </w:tcBorders>
                  <w:shd w:val="clear" w:color="auto" w:fill="FFFFFF"/>
                  <w:noWrap w:val="0"/>
                  <w:vAlign w:val="center"/>
                </w:tcPr>
                <w:p w14:paraId="17D9EF12">
                  <w:pPr>
                    <w:adjustRightInd w:val="0"/>
                    <w:snapToGrid w:val="0"/>
                    <w:jc w:val="center"/>
                    <w:rPr>
                      <w:rFonts w:hint="default" w:eastAsia="宋体"/>
                      <w:b w:val="0"/>
                      <w:bCs/>
                      <w:color w:val="000000"/>
                      <w:sz w:val="24"/>
                      <w:lang w:val="en-US" w:eastAsia="zh-CN"/>
                    </w:rPr>
                  </w:pPr>
                  <w:r>
                    <w:rPr>
                      <w:rFonts w:hint="eastAsia"/>
                      <w:b w:val="0"/>
                      <w:bCs/>
                      <w:color w:val="000000"/>
                      <w:sz w:val="24"/>
                      <w:lang w:val="en-US" w:eastAsia="zh-CN"/>
                    </w:rPr>
                    <w:t>4.50</w:t>
                  </w:r>
                </w:p>
              </w:tc>
            </w:tr>
            <w:tr w14:paraId="3F693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 w:type="pct"/>
                <w:trHeight w:val="372" w:hRule="atLeast"/>
                <w:jc w:val="center"/>
              </w:trPr>
              <w:tc>
                <w:tcPr>
                  <w:tcW w:w="1152" w:type="pct"/>
                  <w:vMerge w:val="continue"/>
                  <w:tcBorders>
                    <w:left w:val="nil"/>
                  </w:tcBorders>
                  <w:shd w:val="clear" w:color="auto" w:fill="FFFFFF"/>
                  <w:noWrap w:val="0"/>
                  <w:vAlign w:val="center"/>
                </w:tcPr>
                <w:p w14:paraId="0528E37D">
                  <w:pPr>
                    <w:adjustRightInd w:val="0"/>
                    <w:snapToGrid w:val="0"/>
                    <w:jc w:val="center"/>
                    <w:rPr>
                      <w:rFonts w:hint="eastAsia"/>
                      <w:b w:val="0"/>
                      <w:bCs/>
                      <w:color w:val="000000"/>
                      <w:sz w:val="24"/>
                    </w:rPr>
                  </w:pPr>
                </w:p>
              </w:tc>
              <w:tc>
                <w:tcPr>
                  <w:tcW w:w="2311" w:type="pct"/>
                  <w:shd w:val="clear" w:color="auto" w:fill="FFFFFF"/>
                  <w:noWrap w:val="0"/>
                  <w:vAlign w:val="center"/>
                </w:tcPr>
                <w:p w14:paraId="07230656">
                  <w:pPr>
                    <w:adjustRightInd w:val="0"/>
                    <w:snapToGrid w:val="0"/>
                    <w:jc w:val="center"/>
                    <w:rPr>
                      <w:b w:val="0"/>
                      <w:bCs/>
                      <w:color w:val="000000"/>
                      <w:sz w:val="24"/>
                    </w:rPr>
                  </w:pPr>
                  <w:r>
                    <w:rPr>
                      <w:b w:val="0"/>
                      <w:bCs/>
                      <w:color w:val="000000"/>
                      <w:sz w:val="24"/>
                    </w:rPr>
                    <w:t>2#高炉热风炉用量</w:t>
                  </w:r>
                </w:p>
              </w:tc>
              <w:tc>
                <w:tcPr>
                  <w:tcW w:w="1534" w:type="pct"/>
                  <w:tcBorders>
                    <w:right w:val="nil"/>
                  </w:tcBorders>
                  <w:shd w:val="clear" w:color="auto" w:fill="FFFFFF"/>
                  <w:noWrap w:val="0"/>
                  <w:vAlign w:val="center"/>
                </w:tcPr>
                <w:p w14:paraId="3C17FB71">
                  <w:pPr>
                    <w:adjustRightInd w:val="0"/>
                    <w:snapToGrid w:val="0"/>
                    <w:jc w:val="center"/>
                    <w:rPr>
                      <w:rFonts w:hint="default" w:eastAsia="宋体"/>
                      <w:b w:val="0"/>
                      <w:bCs/>
                      <w:color w:val="000000"/>
                      <w:sz w:val="24"/>
                      <w:lang w:val="en-US" w:eastAsia="zh-CN"/>
                    </w:rPr>
                  </w:pPr>
                  <w:r>
                    <w:rPr>
                      <w:rFonts w:hint="eastAsia"/>
                      <w:b w:val="0"/>
                      <w:bCs/>
                      <w:color w:val="000000"/>
                      <w:sz w:val="24"/>
                      <w:lang w:val="en-US" w:eastAsia="zh-CN"/>
                    </w:rPr>
                    <w:t>4.50</w:t>
                  </w:r>
                </w:p>
              </w:tc>
            </w:tr>
            <w:tr w14:paraId="5B76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 w:type="pct"/>
                <w:trHeight w:val="372" w:hRule="atLeast"/>
                <w:jc w:val="center"/>
              </w:trPr>
              <w:tc>
                <w:tcPr>
                  <w:tcW w:w="1152" w:type="pct"/>
                  <w:vMerge w:val="continue"/>
                  <w:tcBorders>
                    <w:left w:val="nil"/>
                  </w:tcBorders>
                  <w:shd w:val="clear" w:color="auto" w:fill="FFFFFF"/>
                  <w:noWrap w:val="0"/>
                  <w:vAlign w:val="center"/>
                </w:tcPr>
                <w:p w14:paraId="2E357A48">
                  <w:pPr>
                    <w:adjustRightInd w:val="0"/>
                    <w:snapToGrid w:val="0"/>
                    <w:jc w:val="center"/>
                    <w:rPr>
                      <w:rFonts w:hint="eastAsia"/>
                      <w:b w:val="0"/>
                      <w:bCs/>
                      <w:color w:val="000000"/>
                      <w:sz w:val="24"/>
                    </w:rPr>
                  </w:pPr>
                </w:p>
              </w:tc>
              <w:tc>
                <w:tcPr>
                  <w:tcW w:w="2311" w:type="pct"/>
                  <w:shd w:val="clear" w:color="auto" w:fill="FFFFFF"/>
                  <w:noWrap w:val="0"/>
                  <w:vAlign w:val="center"/>
                </w:tcPr>
                <w:p w14:paraId="4BE0775C">
                  <w:pPr>
                    <w:adjustRightInd w:val="0"/>
                    <w:snapToGrid w:val="0"/>
                    <w:jc w:val="center"/>
                    <w:rPr>
                      <w:b w:val="0"/>
                      <w:bCs/>
                      <w:color w:val="000000"/>
                      <w:sz w:val="24"/>
                    </w:rPr>
                  </w:pPr>
                  <w:r>
                    <w:rPr>
                      <w:b w:val="0"/>
                      <w:bCs/>
                      <w:color w:val="000000"/>
                      <w:sz w:val="24"/>
                    </w:rPr>
                    <w:t>1#高炉炼铁喷煤用量</w:t>
                  </w:r>
                </w:p>
              </w:tc>
              <w:tc>
                <w:tcPr>
                  <w:tcW w:w="1534" w:type="pct"/>
                  <w:tcBorders>
                    <w:right w:val="nil"/>
                  </w:tcBorders>
                  <w:shd w:val="clear" w:color="auto" w:fill="FFFFFF"/>
                  <w:noWrap w:val="0"/>
                  <w:vAlign w:val="center"/>
                </w:tcPr>
                <w:p w14:paraId="3CEDA68E">
                  <w:pPr>
                    <w:adjustRightInd w:val="0"/>
                    <w:snapToGrid w:val="0"/>
                    <w:jc w:val="center"/>
                    <w:rPr>
                      <w:rFonts w:hint="default" w:eastAsia="宋体"/>
                      <w:b w:val="0"/>
                      <w:bCs/>
                      <w:color w:val="000000"/>
                      <w:sz w:val="24"/>
                      <w:lang w:val="en-US" w:eastAsia="zh-CN"/>
                    </w:rPr>
                  </w:pPr>
                  <w:r>
                    <w:rPr>
                      <w:rFonts w:hint="eastAsia"/>
                      <w:b w:val="0"/>
                      <w:bCs/>
                      <w:color w:val="000000"/>
                      <w:sz w:val="24"/>
                      <w:lang w:val="en-US" w:eastAsia="zh-CN"/>
                    </w:rPr>
                    <w:t>0.60</w:t>
                  </w:r>
                </w:p>
              </w:tc>
            </w:tr>
            <w:tr w14:paraId="01117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 w:type="pct"/>
                <w:trHeight w:val="372" w:hRule="atLeast"/>
                <w:jc w:val="center"/>
              </w:trPr>
              <w:tc>
                <w:tcPr>
                  <w:tcW w:w="1152" w:type="pct"/>
                  <w:vMerge w:val="continue"/>
                  <w:tcBorders>
                    <w:left w:val="nil"/>
                  </w:tcBorders>
                  <w:shd w:val="clear" w:color="auto" w:fill="FFFFFF"/>
                  <w:noWrap w:val="0"/>
                  <w:vAlign w:val="center"/>
                </w:tcPr>
                <w:p w14:paraId="594C2A83">
                  <w:pPr>
                    <w:adjustRightInd w:val="0"/>
                    <w:snapToGrid w:val="0"/>
                    <w:jc w:val="center"/>
                    <w:rPr>
                      <w:rFonts w:hint="eastAsia"/>
                      <w:b w:val="0"/>
                      <w:bCs/>
                      <w:color w:val="000000"/>
                      <w:sz w:val="24"/>
                    </w:rPr>
                  </w:pPr>
                </w:p>
              </w:tc>
              <w:tc>
                <w:tcPr>
                  <w:tcW w:w="2311" w:type="pct"/>
                  <w:shd w:val="clear" w:color="auto" w:fill="FFFFFF"/>
                  <w:noWrap w:val="0"/>
                  <w:vAlign w:val="center"/>
                </w:tcPr>
                <w:p w14:paraId="2EA898B3">
                  <w:pPr>
                    <w:adjustRightInd w:val="0"/>
                    <w:snapToGrid w:val="0"/>
                    <w:jc w:val="center"/>
                    <w:rPr>
                      <w:rFonts w:hint="eastAsia"/>
                      <w:b w:val="0"/>
                      <w:bCs/>
                      <w:color w:val="000000"/>
                      <w:sz w:val="24"/>
                    </w:rPr>
                  </w:pPr>
                  <w:r>
                    <w:rPr>
                      <w:rFonts w:hint="eastAsia"/>
                      <w:b w:val="0"/>
                      <w:bCs/>
                      <w:color w:val="000000"/>
                      <w:sz w:val="24"/>
                    </w:rPr>
                    <w:t>烧结</w:t>
                  </w:r>
                </w:p>
              </w:tc>
              <w:tc>
                <w:tcPr>
                  <w:tcW w:w="1534" w:type="pct"/>
                  <w:tcBorders>
                    <w:right w:val="nil"/>
                  </w:tcBorders>
                  <w:shd w:val="clear" w:color="auto" w:fill="FFFFFF"/>
                  <w:noWrap w:val="0"/>
                  <w:vAlign w:val="center"/>
                </w:tcPr>
                <w:p w14:paraId="0E62D6E3">
                  <w:pPr>
                    <w:adjustRightInd w:val="0"/>
                    <w:snapToGrid w:val="0"/>
                    <w:jc w:val="center"/>
                    <w:rPr>
                      <w:rFonts w:hint="default" w:eastAsia="宋体"/>
                      <w:b w:val="0"/>
                      <w:bCs/>
                      <w:color w:val="000000"/>
                      <w:sz w:val="24"/>
                      <w:lang w:val="en-US" w:eastAsia="zh-CN"/>
                    </w:rPr>
                  </w:pPr>
                  <w:r>
                    <w:rPr>
                      <w:rFonts w:hint="eastAsia"/>
                      <w:b w:val="0"/>
                      <w:bCs/>
                      <w:color w:val="000000"/>
                      <w:sz w:val="24"/>
                      <w:lang w:val="en-US" w:eastAsia="zh-CN"/>
                    </w:rPr>
                    <w:t>2.30</w:t>
                  </w:r>
                </w:p>
              </w:tc>
            </w:tr>
            <w:tr w14:paraId="095E4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 w:type="pct"/>
                <w:trHeight w:val="372" w:hRule="atLeast"/>
                <w:jc w:val="center"/>
              </w:trPr>
              <w:tc>
                <w:tcPr>
                  <w:tcW w:w="1152" w:type="pct"/>
                  <w:vMerge w:val="continue"/>
                  <w:tcBorders>
                    <w:left w:val="nil"/>
                  </w:tcBorders>
                  <w:shd w:val="clear" w:color="auto" w:fill="FFFFFF"/>
                  <w:noWrap w:val="0"/>
                  <w:vAlign w:val="center"/>
                </w:tcPr>
                <w:p w14:paraId="27278CD8">
                  <w:pPr>
                    <w:adjustRightInd w:val="0"/>
                    <w:snapToGrid w:val="0"/>
                    <w:jc w:val="center"/>
                    <w:rPr>
                      <w:rFonts w:hint="eastAsia"/>
                      <w:b w:val="0"/>
                      <w:bCs/>
                      <w:color w:val="000000"/>
                      <w:sz w:val="24"/>
                    </w:rPr>
                  </w:pPr>
                </w:p>
              </w:tc>
              <w:tc>
                <w:tcPr>
                  <w:tcW w:w="2311" w:type="pct"/>
                  <w:shd w:val="clear" w:color="auto" w:fill="FFFFFF"/>
                  <w:noWrap w:val="0"/>
                  <w:vAlign w:val="center"/>
                </w:tcPr>
                <w:p w14:paraId="7F786093">
                  <w:pPr>
                    <w:adjustRightInd w:val="0"/>
                    <w:snapToGrid w:val="0"/>
                    <w:jc w:val="center"/>
                    <w:rPr>
                      <w:rFonts w:hint="eastAsia"/>
                      <w:b w:val="0"/>
                      <w:bCs/>
                      <w:color w:val="000000"/>
                      <w:sz w:val="24"/>
                    </w:rPr>
                  </w:pPr>
                  <w:r>
                    <w:rPr>
                      <w:rFonts w:hint="eastAsia"/>
                      <w:b w:val="0"/>
                      <w:bCs/>
                      <w:color w:val="000000"/>
                      <w:sz w:val="24"/>
                    </w:rPr>
                    <w:t>1#轧钢加热炉用量</w:t>
                  </w:r>
                </w:p>
              </w:tc>
              <w:tc>
                <w:tcPr>
                  <w:tcW w:w="1534" w:type="pct"/>
                  <w:tcBorders>
                    <w:right w:val="nil"/>
                  </w:tcBorders>
                  <w:shd w:val="clear" w:color="auto" w:fill="FFFFFF"/>
                  <w:noWrap w:val="0"/>
                  <w:vAlign w:val="center"/>
                </w:tcPr>
                <w:p w14:paraId="24340C3D">
                  <w:pPr>
                    <w:adjustRightInd w:val="0"/>
                    <w:snapToGrid w:val="0"/>
                    <w:jc w:val="center"/>
                    <w:rPr>
                      <w:rFonts w:hint="default"/>
                      <w:b w:val="0"/>
                      <w:bCs/>
                      <w:color w:val="000000"/>
                      <w:sz w:val="24"/>
                      <w:lang w:val="en-US" w:eastAsia="zh-CN"/>
                    </w:rPr>
                  </w:pPr>
                  <w:r>
                    <w:rPr>
                      <w:rFonts w:hint="eastAsia"/>
                      <w:b w:val="0"/>
                      <w:bCs/>
                      <w:color w:val="000000"/>
                      <w:sz w:val="24"/>
                      <w:lang w:val="en-US" w:eastAsia="zh-CN"/>
                    </w:rPr>
                    <w:t>3.50</w:t>
                  </w:r>
                </w:p>
              </w:tc>
            </w:tr>
            <w:tr w14:paraId="6F5C9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 w:type="pct"/>
                <w:trHeight w:val="372" w:hRule="atLeast"/>
                <w:jc w:val="center"/>
              </w:trPr>
              <w:tc>
                <w:tcPr>
                  <w:tcW w:w="1152" w:type="pct"/>
                  <w:vMerge w:val="continue"/>
                  <w:tcBorders>
                    <w:left w:val="nil"/>
                  </w:tcBorders>
                  <w:shd w:val="clear" w:color="auto" w:fill="FFFFFF"/>
                  <w:noWrap w:val="0"/>
                  <w:vAlign w:val="center"/>
                </w:tcPr>
                <w:p w14:paraId="6BB4A9DA">
                  <w:pPr>
                    <w:adjustRightInd w:val="0"/>
                    <w:snapToGrid w:val="0"/>
                    <w:jc w:val="center"/>
                    <w:rPr>
                      <w:rFonts w:hint="eastAsia"/>
                      <w:b w:val="0"/>
                      <w:bCs/>
                      <w:color w:val="000000"/>
                      <w:sz w:val="24"/>
                    </w:rPr>
                  </w:pPr>
                </w:p>
              </w:tc>
              <w:tc>
                <w:tcPr>
                  <w:tcW w:w="2311" w:type="pct"/>
                  <w:shd w:val="clear" w:color="auto" w:fill="FFFFFF"/>
                  <w:noWrap w:val="0"/>
                  <w:vAlign w:val="center"/>
                </w:tcPr>
                <w:p w14:paraId="46093EB9">
                  <w:pPr>
                    <w:adjustRightInd w:val="0"/>
                    <w:snapToGrid w:val="0"/>
                    <w:jc w:val="center"/>
                    <w:rPr>
                      <w:rFonts w:hint="eastAsia"/>
                      <w:b w:val="0"/>
                      <w:bCs/>
                      <w:color w:val="000000"/>
                      <w:sz w:val="24"/>
                    </w:rPr>
                  </w:pPr>
                  <w:r>
                    <w:rPr>
                      <w:rFonts w:hint="eastAsia"/>
                      <w:b w:val="0"/>
                      <w:bCs/>
                      <w:color w:val="000000"/>
                      <w:sz w:val="24"/>
                      <w:lang w:val="en-US" w:eastAsia="zh-CN"/>
                    </w:rPr>
                    <w:t>2</w:t>
                  </w:r>
                  <w:r>
                    <w:rPr>
                      <w:rFonts w:hint="eastAsia"/>
                      <w:b w:val="0"/>
                      <w:bCs/>
                      <w:color w:val="000000"/>
                      <w:sz w:val="24"/>
                    </w:rPr>
                    <w:t>#轧钢加热炉用量</w:t>
                  </w:r>
                </w:p>
              </w:tc>
              <w:tc>
                <w:tcPr>
                  <w:tcW w:w="1534" w:type="pct"/>
                  <w:tcBorders>
                    <w:right w:val="nil"/>
                  </w:tcBorders>
                  <w:shd w:val="clear" w:color="auto" w:fill="FFFFFF"/>
                  <w:noWrap w:val="0"/>
                  <w:vAlign w:val="center"/>
                </w:tcPr>
                <w:p w14:paraId="2BE605C5">
                  <w:pPr>
                    <w:adjustRightInd w:val="0"/>
                    <w:snapToGrid w:val="0"/>
                    <w:jc w:val="center"/>
                    <w:rPr>
                      <w:rFonts w:hint="default"/>
                      <w:b w:val="0"/>
                      <w:bCs/>
                      <w:color w:val="000000"/>
                      <w:sz w:val="24"/>
                      <w:lang w:val="en-US" w:eastAsia="zh-CN"/>
                    </w:rPr>
                  </w:pPr>
                  <w:r>
                    <w:rPr>
                      <w:rFonts w:hint="eastAsia"/>
                      <w:b w:val="0"/>
                      <w:bCs/>
                      <w:color w:val="000000"/>
                      <w:sz w:val="24"/>
                      <w:lang w:val="en-US" w:eastAsia="zh-CN"/>
                    </w:rPr>
                    <w:t>3.50</w:t>
                  </w:r>
                </w:p>
              </w:tc>
            </w:tr>
            <w:tr w14:paraId="19121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 w:type="pct"/>
                <w:trHeight w:val="372" w:hRule="atLeast"/>
                <w:jc w:val="center"/>
              </w:trPr>
              <w:tc>
                <w:tcPr>
                  <w:tcW w:w="3463" w:type="pct"/>
                  <w:gridSpan w:val="2"/>
                  <w:tcBorders>
                    <w:left w:val="nil"/>
                  </w:tcBorders>
                  <w:shd w:val="clear" w:color="auto" w:fill="FFFFFF"/>
                  <w:noWrap w:val="0"/>
                  <w:vAlign w:val="center"/>
                </w:tcPr>
                <w:p w14:paraId="1F023611">
                  <w:pPr>
                    <w:adjustRightInd w:val="0"/>
                    <w:snapToGrid w:val="0"/>
                    <w:jc w:val="center"/>
                    <w:rPr>
                      <w:rFonts w:hint="default" w:eastAsia="宋体"/>
                      <w:b w:val="0"/>
                      <w:bCs/>
                      <w:color w:val="000000"/>
                      <w:sz w:val="24"/>
                      <w:lang w:val="en-US" w:eastAsia="zh-CN"/>
                    </w:rPr>
                  </w:pPr>
                  <w:r>
                    <w:rPr>
                      <w:rFonts w:hint="eastAsia"/>
                      <w:b w:val="0"/>
                      <w:bCs/>
                      <w:color w:val="000000"/>
                      <w:sz w:val="24"/>
                      <w:lang w:val="en-US" w:eastAsia="zh-CN"/>
                    </w:rPr>
                    <w:t>总消耗量</w:t>
                  </w:r>
                </w:p>
              </w:tc>
              <w:tc>
                <w:tcPr>
                  <w:tcW w:w="1534" w:type="pct"/>
                  <w:tcBorders>
                    <w:right w:val="nil"/>
                  </w:tcBorders>
                  <w:shd w:val="clear" w:color="auto" w:fill="FFFFFF"/>
                  <w:noWrap w:val="0"/>
                  <w:vAlign w:val="center"/>
                </w:tcPr>
                <w:p w14:paraId="5AA4574E">
                  <w:pPr>
                    <w:adjustRightInd w:val="0"/>
                    <w:snapToGrid w:val="0"/>
                    <w:jc w:val="center"/>
                    <w:rPr>
                      <w:rFonts w:hint="default"/>
                      <w:b w:val="0"/>
                      <w:bCs/>
                      <w:color w:val="000000"/>
                      <w:sz w:val="24"/>
                      <w:lang w:val="en-US" w:eastAsia="zh-CN"/>
                    </w:rPr>
                  </w:pPr>
                  <w:r>
                    <w:rPr>
                      <w:rFonts w:hint="eastAsia"/>
                      <w:b w:val="0"/>
                      <w:bCs/>
                      <w:color w:val="000000"/>
                      <w:sz w:val="24"/>
                      <w:lang w:val="en-US" w:eastAsia="zh-CN"/>
                    </w:rPr>
                    <w:fldChar w:fldCharType="begin"/>
                  </w:r>
                  <w:r>
                    <w:rPr>
                      <w:rFonts w:hint="eastAsia"/>
                      <w:b w:val="0"/>
                      <w:bCs/>
                      <w:color w:val="000000"/>
                      <w:sz w:val="24"/>
                      <w:lang w:val="en-US" w:eastAsia="zh-CN"/>
                    </w:rPr>
                    <w:instrText xml:space="preserve"> = sum(C6:C11) \* MERGEFORMAT </w:instrText>
                  </w:r>
                  <w:r>
                    <w:rPr>
                      <w:rFonts w:hint="eastAsia"/>
                      <w:b w:val="0"/>
                      <w:bCs/>
                      <w:color w:val="000000"/>
                      <w:sz w:val="24"/>
                      <w:lang w:val="en-US" w:eastAsia="zh-CN"/>
                    </w:rPr>
                    <w:fldChar w:fldCharType="separate"/>
                  </w:r>
                  <w:r>
                    <w:rPr>
                      <w:rFonts w:hint="eastAsia"/>
                      <w:b w:val="0"/>
                      <w:bCs/>
                      <w:color w:val="000000"/>
                      <w:sz w:val="24"/>
                      <w:lang w:val="en-US" w:eastAsia="zh-CN"/>
                    </w:rPr>
                    <w:t>18.9</w:t>
                  </w:r>
                  <w:r>
                    <w:rPr>
                      <w:rFonts w:hint="eastAsia"/>
                      <w:b w:val="0"/>
                      <w:bCs/>
                      <w:color w:val="000000"/>
                      <w:sz w:val="24"/>
                      <w:lang w:val="en-US" w:eastAsia="zh-CN"/>
                    </w:rPr>
                    <w:fldChar w:fldCharType="end"/>
                  </w:r>
                  <w:r>
                    <w:rPr>
                      <w:rFonts w:hint="eastAsia"/>
                      <w:b w:val="0"/>
                      <w:bCs/>
                      <w:color w:val="000000"/>
                      <w:sz w:val="24"/>
                      <w:lang w:val="en-US" w:eastAsia="zh-CN"/>
                    </w:rPr>
                    <w:t>0</w:t>
                  </w:r>
                </w:p>
              </w:tc>
            </w:tr>
            <w:tr w14:paraId="79301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 w:type="pct"/>
                <w:trHeight w:val="372" w:hRule="atLeast"/>
                <w:jc w:val="center"/>
              </w:trPr>
              <w:tc>
                <w:tcPr>
                  <w:tcW w:w="3463" w:type="pct"/>
                  <w:gridSpan w:val="2"/>
                  <w:tcBorders>
                    <w:left w:val="nil"/>
                  </w:tcBorders>
                  <w:shd w:val="clear" w:color="auto" w:fill="FFFFFF"/>
                  <w:noWrap w:val="0"/>
                  <w:vAlign w:val="center"/>
                </w:tcPr>
                <w:p w14:paraId="6F536FC1">
                  <w:pPr>
                    <w:adjustRightInd w:val="0"/>
                    <w:snapToGrid w:val="0"/>
                    <w:jc w:val="center"/>
                    <w:rPr>
                      <w:rFonts w:hint="default" w:eastAsia="宋体"/>
                      <w:b w:val="0"/>
                      <w:bCs/>
                      <w:color w:val="000000"/>
                      <w:sz w:val="24"/>
                      <w:lang w:val="en-US" w:eastAsia="zh-CN"/>
                    </w:rPr>
                  </w:pPr>
                  <w:r>
                    <w:rPr>
                      <w:rFonts w:hint="eastAsia"/>
                      <w:b w:val="0"/>
                      <w:bCs/>
                      <w:color w:val="000000"/>
                      <w:sz w:val="24"/>
                      <w:lang w:val="en-US" w:eastAsia="zh-CN"/>
                    </w:rPr>
                    <w:t>高炉煤气富余量</w:t>
                  </w:r>
                </w:p>
              </w:tc>
              <w:tc>
                <w:tcPr>
                  <w:tcW w:w="1534" w:type="pct"/>
                  <w:tcBorders>
                    <w:right w:val="nil"/>
                  </w:tcBorders>
                  <w:shd w:val="clear" w:color="auto" w:fill="FFFFFF"/>
                  <w:noWrap w:val="0"/>
                  <w:vAlign w:val="center"/>
                </w:tcPr>
                <w:p w14:paraId="664DD5B6">
                  <w:pPr>
                    <w:adjustRightInd w:val="0"/>
                    <w:snapToGrid w:val="0"/>
                    <w:jc w:val="center"/>
                    <w:rPr>
                      <w:rFonts w:hint="default"/>
                      <w:b w:val="0"/>
                      <w:bCs/>
                      <w:color w:val="000000"/>
                      <w:sz w:val="24"/>
                      <w:lang w:val="en-US" w:eastAsia="zh-CN"/>
                    </w:rPr>
                  </w:pPr>
                  <w:r>
                    <w:rPr>
                      <w:rFonts w:hint="eastAsia"/>
                      <w:b w:val="0"/>
                      <w:bCs/>
                      <w:color w:val="000000"/>
                      <w:sz w:val="24"/>
                      <w:lang w:val="en-US" w:eastAsia="zh-CN"/>
                    </w:rPr>
                    <w:t>4.95</w:t>
                  </w:r>
                </w:p>
              </w:tc>
            </w:tr>
            <w:tr w14:paraId="2BE97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 w:type="pct"/>
                <w:trHeight w:val="372" w:hRule="atLeast"/>
                <w:jc w:val="center"/>
              </w:trPr>
              <w:tc>
                <w:tcPr>
                  <w:tcW w:w="3463" w:type="pct"/>
                  <w:gridSpan w:val="2"/>
                  <w:tcBorders>
                    <w:left w:val="nil"/>
                    <w:bottom w:val="single" w:color="000000" w:sz="12" w:space="0"/>
                  </w:tcBorders>
                  <w:shd w:val="clear" w:color="auto" w:fill="FFFFFF"/>
                  <w:noWrap w:val="0"/>
                  <w:vAlign w:val="center"/>
                </w:tcPr>
                <w:p w14:paraId="434AB7D3">
                  <w:pPr>
                    <w:adjustRightInd w:val="0"/>
                    <w:snapToGrid w:val="0"/>
                    <w:jc w:val="center"/>
                    <w:rPr>
                      <w:rFonts w:hint="default" w:eastAsia="宋体"/>
                      <w:b w:val="0"/>
                      <w:bCs/>
                      <w:color w:val="000000"/>
                      <w:sz w:val="24"/>
                      <w:lang w:val="en-US" w:eastAsia="zh-CN"/>
                    </w:rPr>
                  </w:pPr>
                  <w:r>
                    <w:rPr>
                      <w:rFonts w:hint="eastAsia"/>
                      <w:b w:val="0"/>
                      <w:bCs/>
                      <w:color w:val="000000"/>
                      <w:sz w:val="24"/>
                      <w:lang w:val="en-US" w:eastAsia="zh-CN"/>
                    </w:rPr>
                    <w:t>本项目设计高炉煤气消耗量</w:t>
                  </w:r>
                </w:p>
              </w:tc>
              <w:tc>
                <w:tcPr>
                  <w:tcW w:w="1534" w:type="pct"/>
                  <w:tcBorders>
                    <w:bottom w:val="single" w:color="000000" w:sz="12" w:space="0"/>
                    <w:right w:val="nil"/>
                  </w:tcBorders>
                  <w:shd w:val="clear" w:color="auto" w:fill="FFFFFF"/>
                  <w:noWrap w:val="0"/>
                  <w:vAlign w:val="center"/>
                </w:tcPr>
                <w:p w14:paraId="2D98C25F">
                  <w:pPr>
                    <w:adjustRightInd w:val="0"/>
                    <w:snapToGrid w:val="0"/>
                    <w:jc w:val="center"/>
                    <w:rPr>
                      <w:rFonts w:hint="default"/>
                      <w:b w:val="0"/>
                      <w:bCs/>
                      <w:color w:val="000000"/>
                      <w:sz w:val="24"/>
                      <w:lang w:val="en-US" w:eastAsia="zh-CN"/>
                    </w:rPr>
                  </w:pPr>
                  <w:r>
                    <w:rPr>
                      <w:rFonts w:hint="eastAsia"/>
                      <w:b w:val="0"/>
                      <w:bCs/>
                      <w:color w:val="000000"/>
                      <w:sz w:val="24"/>
                      <w:lang w:val="en-US" w:eastAsia="zh-CN"/>
                    </w:rPr>
                    <w:t>5.00</w:t>
                  </w:r>
                </w:p>
              </w:tc>
            </w:tr>
          </w:tbl>
          <w:p w14:paraId="5477745B">
            <w:pPr>
              <w:autoSpaceDE w:val="0"/>
              <w:autoSpaceDN w:val="0"/>
              <w:adjustRightInd w:val="0"/>
              <w:snapToGrid w:val="0"/>
              <w:spacing w:line="360" w:lineRule="auto"/>
              <w:ind w:firstLine="480" w:firstLineChars="200"/>
              <w:jc w:val="left"/>
              <w:rPr>
                <w:rFonts w:hint="eastAsia" w:ascii="Times New Roman" w:hAnsi="Times New Roman" w:eastAsia="宋体" w:cs="Times New Roman"/>
                <w:color w:val="auto"/>
                <w:kern w:val="0"/>
                <w:sz w:val="24"/>
                <w:lang w:val="en-US" w:eastAsia="zh-CN"/>
              </w:rPr>
            </w:pPr>
            <w:r>
              <w:rPr>
                <w:rFonts w:hint="eastAsia" w:ascii="Times New Roman" w:hAnsi="Times New Roman" w:eastAsia="宋体" w:cs="Times New Roman"/>
                <w:color w:val="auto"/>
                <w:kern w:val="0"/>
                <w:sz w:val="24"/>
                <w:lang w:val="en-US" w:eastAsia="zh-CN"/>
              </w:rPr>
              <w:t>根据上表，全厂高炉煤气富余量为4.95万m</w:t>
            </w:r>
            <w:r>
              <w:rPr>
                <w:rFonts w:hint="eastAsia" w:ascii="Times New Roman" w:hAnsi="Times New Roman" w:eastAsia="宋体" w:cs="Times New Roman"/>
                <w:color w:val="auto"/>
                <w:kern w:val="0"/>
                <w:sz w:val="24"/>
                <w:vertAlign w:val="superscript"/>
                <w:lang w:val="en-US" w:eastAsia="zh-CN"/>
              </w:rPr>
              <w:t>3</w:t>
            </w:r>
            <w:r>
              <w:rPr>
                <w:rFonts w:hint="eastAsia" w:ascii="Times New Roman" w:hAnsi="Times New Roman" w:eastAsia="宋体" w:cs="Times New Roman"/>
                <w:color w:val="auto"/>
                <w:kern w:val="0"/>
                <w:sz w:val="24"/>
                <w:lang w:val="en-US" w:eastAsia="zh-CN"/>
              </w:rPr>
              <w:t>/h，考虑到设计冗余，以及部分消耗煤气单元检修停用，存在煤气富余量。原富余高炉煤气送至配套电厂，但该电厂停用，故建设本项目消纳富余高炉煤气。</w:t>
            </w:r>
          </w:p>
          <w:p w14:paraId="10B2D5FF">
            <w:pPr>
              <w:autoSpaceDE w:val="0"/>
              <w:autoSpaceDN w:val="0"/>
              <w:adjustRightInd w:val="0"/>
              <w:snapToGrid w:val="0"/>
              <w:spacing w:line="360" w:lineRule="auto"/>
              <w:ind w:firstLine="480" w:firstLineChars="200"/>
              <w:jc w:val="left"/>
              <w:rPr>
                <w:rFonts w:hint="eastAsia" w:ascii="Times New Roman" w:hAnsi="Times New Roman" w:eastAsia="宋体" w:cs="Times New Roman"/>
                <w:color w:val="auto"/>
                <w:kern w:val="0"/>
                <w:sz w:val="24"/>
                <w:highlight w:val="none"/>
                <w:vertAlign w:val="baseline"/>
                <w:lang w:val="en-US" w:eastAsia="zh-CN"/>
              </w:rPr>
            </w:pPr>
            <w:r>
              <w:rPr>
                <w:rFonts w:hint="eastAsia" w:ascii="Times New Roman" w:hAnsi="Times New Roman" w:eastAsia="宋体" w:cs="Times New Roman"/>
                <w:color w:val="auto"/>
                <w:kern w:val="0"/>
                <w:sz w:val="24"/>
                <w:highlight w:val="none"/>
                <w:vertAlign w:val="baseline"/>
                <w:lang w:val="en-US" w:eastAsia="zh-CN"/>
              </w:rPr>
              <w:t>其中60t/h锅炉产生高温高压蒸汽为60t/h，煤气热值800大卡、锅炉热效率89.2%的情况下，每公斤水变成蒸汽需要吸收的热量（焓差）=3041kJ/kg，即Q产热量=60×3041×10</w:t>
            </w:r>
            <w:r>
              <w:rPr>
                <w:rFonts w:hint="eastAsia" w:ascii="Times New Roman" w:hAnsi="Times New Roman" w:eastAsia="宋体" w:cs="Times New Roman"/>
                <w:color w:val="auto"/>
                <w:kern w:val="0"/>
                <w:sz w:val="24"/>
                <w:highlight w:val="none"/>
                <w:vertAlign w:val="superscript"/>
                <w:lang w:val="en-US" w:eastAsia="zh-CN"/>
              </w:rPr>
              <w:t>3</w:t>
            </w:r>
            <w:r>
              <w:rPr>
                <w:rFonts w:hint="eastAsia" w:ascii="Times New Roman" w:hAnsi="Times New Roman" w:eastAsia="宋体" w:cs="Times New Roman"/>
                <w:color w:val="auto"/>
                <w:kern w:val="0"/>
                <w:sz w:val="24"/>
                <w:highlight w:val="none"/>
                <w:vertAlign w:val="baseline"/>
                <w:lang w:val="en-US" w:eastAsia="zh-CN"/>
              </w:rPr>
              <w:t>kJ/h=1.82×10</w:t>
            </w:r>
            <w:r>
              <w:rPr>
                <w:rFonts w:hint="eastAsia" w:ascii="Times New Roman" w:hAnsi="Times New Roman" w:eastAsia="宋体" w:cs="Times New Roman"/>
                <w:color w:val="auto"/>
                <w:kern w:val="0"/>
                <w:sz w:val="24"/>
                <w:highlight w:val="none"/>
                <w:vertAlign w:val="superscript"/>
                <w:lang w:val="en-US" w:eastAsia="zh-CN"/>
              </w:rPr>
              <w:t>8</w:t>
            </w:r>
            <w:r>
              <w:rPr>
                <w:rFonts w:hint="eastAsia" w:ascii="Times New Roman" w:hAnsi="Times New Roman" w:eastAsia="宋体" w:cs="Times New Roman"/>
                <w:color w:val="auto"/>
                <w:kern w:val="0"/>
                <w:sz w:val="24"/>
                <w:highlight w:val="none"/>
                <w:vertAlign w:val="baseline"/>
                <w:lang w:val="en-US" w:eastAsia="zh-CN"/>
              </w:rPr>
              <w:t>kJ/h=4.36×10</w:t>
            </w:r>
            <w:r>
              <w:rPr>
                <w:rFonts w:hint="eastAsia" w:ascii="Times New Roman" w:hAnsi="Times New Roman" w:eastAsia="宋体" w:cs="Times New Roman"/>
                <w:color w:val="auto"/>
                <w:kern w:val="0"/>
                <w:sz w:val="24"/>
                <w:highlight w:val="none"/>
                <w:vertAlign w:val="superscript"/>
                <w:lang w:val="en-US" w:eastAsia="zh-CN"/>
              </w:rPr>
              <w:t>7</w:t>
            </w:r>
            <w:r>
              <w:rPr>
                <w:rFonts w:hint="eastAsia" w:ascii="Times New Roman" w:hAnsi="Times New Roman" w:eastAsia="宋体" w:cs="Times New Roman"/>
                <w:color w:val="auto"/>
                <w:kern w:val="0"/>
                <w:sz w:val="24"/>
                <w:highlight w:val="none"/>
                <w:vertAlign w:val="baseline"/>
                <w:lang w:val="en-US" w:eastAsia="zh-CN"/>
              </w:rPr>
              <w:t>kcal/h。Q燃烧热量=Q产热量÷热效率=4.88×10</w:t>
            </w:r>
            <w:r>
              <w:rPr>
                <w:rFonts w:hint="eastAsia" w:ascii="Times New Roman" w:hAnsi="Times New Roman" w:eastAsia="宋体" w:cs="Times New Roman"/>
                <w:color w:val="auto"/>
                <w:kern w:val="0"/>
                <w:sz w:val="24"/>
                <w:highlight w:val="none"/>
                <w:vertAlign w:val="superscript"/>
                <w:lang w:val="en-US" w:eastAsia="zh-CN"/>
              </w:rPr>
              <w:t>7</w:t>
            </w:r>
            <w:r>
              <w:rPr>
                <w:rFonts w:hint="eastAsia" w:ascii="Times New Roman" w:hAnsi="Times New Roman" w:eastAsia="宋体" w:cs="Times New Roman"/>
                <w:color w:val="auto"/>
                <w:kern w:val="0"/>
                <w:sz w:val="24"/>
                <w:highlight w:val="none"/>
                <w:vertAlign w:val="baseline"/>
                <w:lang w:val="en-US" w:eastAsia="zh-CN"/>
              </w:rPr>
              <w:t>kcal/h。理论最大高炉煤气量=Q燃烧热量÷煤气热值=61082m3/h。常见锅炉的富裕度为10%。则设计高炉煤气消耗量=理论最大高炉煤气量÷1.1=55529m</w:t>
            </w:r>
            <w:r>
              <w:rPr>
                <w:rFonts w:hint="eastAsia" w:ascii="Times New Roman" w:hAnsi="Times New Roman" w:eastAsia="宋体" w:cs="Times New Roman"/>
                <w:color w:val="auto"/>
                <w:kern w:val="0"/>
                <w:sz w:val="24"/>
                <w:highlight w:val="none"/>
                <w:vertAlign w:val="superscript"/>
                <w:lang w:val="en-US" w:eastAsia="zh-CN"/>
              </w:rPr>
              <w:t>3</w:t>
            </w:r>
            <w:r>
              <w:rPr>
                <w:rFonts w:hint="eastAsia" w:ascii="Times New Roman" w:hAnsi="Times New Roman" w:eastAsia="宋体" w:cs="Times New Roman"/>
                <w:color w:val="auto"/>
                <w:kern w:val="0"/>
                <w:sz w:val="24"/>
                <w:highlight w:val="none"/>
                <w:vertAlign w:val="baseline"/>
                <w:lang w:val="en-US" w:eastAsia="zh-CN"/>
              </w:rPr>
              <w:t>/h，既满足15MW汽轮机10%的超发能力，又能满足高炉煤气富余量的50000m</w:t>
            </w:r>
            <w:r>
              <w:rPr>
                <w:rFonts w:hint="eastAsia" w:ascii="Times New Roman" w:hAnsi="Times New Roman" w:eastAsia="宋体" w:cs="Times New Roman"/>
                <w:color w:val="auto"/>
                <w:kern w:val="0"/>
                <w:sz w:val="24"/>
                <w:highlight w:val="none"/>
                <w:vertAlign w:val="superscript"/>
                <w:lang w:val="en-US" w:eastAsia="zh-CN"/>
              </w:rPr>
              <w:t>3</w:t>
            </w:r>
            <w:r>
              <w:rPr>
                <w:rFonts w:hint="eastAsia" w:ascii="Times New Roman" w:hAnsi="Times New Roman" w:eastAsia="宋体" w:cs="Times New Roman"/>
                <w:color w:val="auto"/>
                <w:kern w:val="0"/>
                <w:sz w:val="24"/>
                <w:highlight w:val="none"/>
                <w:vertAlign w:val="baseline"/>
                <w:lang w:val="en-US" w:eastAsia="zh-CN"/>
              </w:rPr>
              <w:t>/h常态稳定供应量。</w:t>
            </w:r>
          </w:p>
          <w:p w14:paraId="3ACF629F">
            <w:pPr>
              <w:autoSpaceDE w:val="0"/>
              <w:autoSpaceDN w:val="0"/>
              <w:adjustRightInd w:val="0"/>
              <w:snapToGrid w:val="0"/>
              <w:spacing w:line="360" w:lineRule="auto"/>
              <w:ind w:firstLine="480" w:firstLineChars="200"/>
              <w:jc w:val="left"/>
              <w:rPr>
                <w:rFonts w:hint="default" w:ascii="Times New Roman" w:hAnsi="Times New Roman" w:eastAsia="宋体" w:cs="Times New Roman"/>
                <w:color w:val="auto"/>
                <w:kern w:val="0"/>
                <w:sz w:val="24"/>
                <w:highlight w:val="none"/>
                <w:vertAlign w:val="baseline"/>
                <w:lang w:val="en-US" w:eastAsia="zh-CN"/>
              </w:rPr>
            </w:pPr>
            <w:r>
              <w:rPr>
                <w:rFonts w:hint="default" w:ascii="Times New Roman" w:hAnsi="Times New Roman" w:eastAsia="宋体" w:cs="Times New Roman"/>
                <w:color w:val="auto"/>
                <w:kern w:val="0"/>
                <w:sz w:val="24"/>
                <w:highlight w:val="none"/>
                <w:vertAlign w:val="baseline"/>
                <w:lang w:val="en-US" w:eastAsia="zh-CN"/>
              </w:rPr>
              <w:t>本项目属于余</w:t>
            </w:r>
            <w:r>
              <w:rPr>
                <w:rFonts w:hint="eastAsia" w:ascii="Times New Roman" w:hAnsi="Times New Roman" w:eastAsia="宋体" w:cs="Times New Roman"/>
                <w:color w:val="auto"/>
                <w:kern w:val="0"/>
                <w:sz w:val="24"/>
                <w:highlight w:val="none"/>
                <w:vertAlign w:val="baseline"/>
                <w:lang w:val="en-US" w:eastAsia="zh-CN"/>
              </w:rPr>
              <w:t>气</w:t>
            </w:r>
            <w:r>
              <w:rPr>
                <w:rFonts w:hint="default" w:ascii="Times New Roman" w:hAnsi="Times New Roman" w:eastAsia="宋体" w:cs="Times New Roman"/>
                <w:color w:val="auto"/>
                <w:kern w:val="0"/>
                <w:sz w:val="24"/>
                <w:highlight w:val="none"/>
                <w:vertAlign w:val="baseline"/>
                <w:lang w:val="en-US" w:eastAsia="zh-CN"/>
              </w:rPr>
              <w:t>发电，锅炉耗气主要取决于富余煤气量</w:t>
            </w:r>
            <w:r>
              <w:rPr>
                <w:rFonts w:hint="eastAsia" w:ascii="Times New Roman" w:hAnsi="Times New Roman" w:eastAsia="宋体" w:cs="Times New Roman"/>
                <w:color w:val="auto"/>
                <w:kern w:val="0"/>
                <w:sz w:val="24"/>
                <w:highlight w:val="none"/>
                <w:vertAlign w:val="baseline"/>
                <w:lang w:val="en-US" w:eastAsia="zh-CN"/>
              </w:rPr>
              <w:t>。</w:t>
            </w:r>
            <w:r>
              <w:rPr>
                <w:rFonts w:hint="default" w:ascii="Times New Roman" w:hAnsi="Times New Roman" w:eastAsia="宋体" w:cs="Times New Roman"/>
                <w:color w:val="auto"/>
                <w:kern w:val="0"/>
                <w:sz w:val="24"/>
                <w:highlight w:val="none"/>
                <w:vertAlign w:val="baseline"/>
                <w:lang w:val="en-US" w:eastAsia="zh-CN"/>
              </w:rPr>
              <w:t>由于高炉煤气的产气量随高炉工况波动而变化，机组设计考虑这一特性，具备30%~110%宽负荷变工况调节能力，可根据煤气富余量的实时变化灵活调整出力，无需依赖外部调峰气源或大型煤气柜进行大幅度缓冲。同时，针对高炉煤气热值低、着火稳定性差的特点，锅炉燃烧系统均配置自动燃烧控制系统，可在煤气压力或热值波动时快速响应，确保燃烧稳定，避免熄火或放散。</w:t>
            </w:r>
          </w:p>
          <w:p w14:paraId="1AC06B98">
            <w:pPr>
              <w:autoSpaceDE w:val="0"/>
              <w:autoSpaceDN w:val="0"/>
              <w:adjustRightInd w:val="0"/>
              <w:snapToGrid w:val="0"/>
              <w:spacing w:beforeLines="50"/>
              <w:ind w:firstLine="482" w:firstLineChars="200"/>
              <w:jc w:val="center"/>
              <w:rPr>
                <w:rFonts w:hint="eastAsia" w:ascii="Times New Roman" w:hAnsi="Times New Roman" w:eastAsia="宋体" w:cs="Times New Roman"/>
                <w:b/>
                <w:bCs/>
                <w:color w:val="auto"/>
                <w:kern w:val="0"/>
                <w:sz w:val="24"/>
              </w:rPr>
            </w:pPr>
            <w:r>
              <w:rPr>
                <w:rFonts w:hint="eastAsia" w:ascii="Times New Roman" w:hAnsi="Times New Roman" w:eastAsia="宋体" w:cs="Times New Roman"/>
                <w:b/>
                <w:bCs/>
                <w:color w:val="auto"/>
                <w:kern w:val="0"/>
                <w:sz w:val="24"/>
              </w:rPr>
              <w:t>表2-</w:t>
            </w:r>
            <w:r>
              <w:rPr>
                <w:rFonts w:hint="eastAsia" w:ascii="Times New Roman" w:hAnsi="Times New Roman" w:eastAsia="宋体" w:cs="Times New Roman"/>
                <w:b/>
                <w:bCs/>
                <w:color w:val="auto"/>
                <w:kern w:val="0"/>
                <w:sz w:val="24"/>
                <w:lang w:val="en-US" w:eastAsia="zh-CN"/>
              </w:rPr>
              <w:t xml:space="preserve">6 </w:t>
            </w:r>
            <w:r>
              <w:rPr>
                <w:rFonts w:hint="eastAsia" w:ascii="Times New Roman" w:hAnsi="Times New Roman" w:eastAsia="宋体" w:cs="Times New Roman"/>
                <w:b/>
                <w:bCs/>
                <w:color w:val="auto"/>
                <w:kern w:val="0"/>
                <w:sz w:val="24"/>
              </w:rPr>
              <w:t>高炉煤气燃料成分表</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3284"/>
              <w:gridCol w:w="3286"/>
            </w:tblGrid>
            <w:tr w14:paraId="1AFEA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2" w:type="pct"/>
                  <w:noWrap w:val="0"/>
                  <w:vAlign w:val="center"/>
                </w:tcPr>
                <w:p w14:paraId="406E3329">
                  <w:pPr>
                    <w:adjustRightInd w:val="0"/>
                    <w:snapToGrid w:val="0"/>
                    <w:jc w:val="center"/>
                    <w:rPr>
                      <w:rFonts w:hint="eastAsia" w:ascii="Times New Roman" w:hAnsi="Times New Roman" w:eastAsia="宋体" w:cs="Times New Roman"/>
                      <w:bCs/>
                      <w:color w:val="auto"/>
                      <w:sz w:val="24"/>
                    </w:rPr>
                  </w:pPr>
                  <w:r>
                    <w:rPr>
                      <w:rFonts w:hint="eastAsia" w:ascii="Times New Roman" w:hAnsi="Times New Roman" w:eastAsia="宋体" w:cs="Times New Roman"/>
                      <w:bCs/>
                      <w:color w:val="auto"/>
                      <w:sz w:val="24"/>
                    </w:rPr>
                    <w:t>序号</w:t>
                  </w:r>
                </w:p>
              </w:tc>
              <w:tc>
                <w:tcPr>
                  <w:tcW w:w="1958" w:type="pct"/>
                  <w:noWrap w:val="0"/>
                  <w:vAlign w:val="center"/>
                </w:tcPr>
                <w:p w14:paraId="60658CC1">
                  <w:pPr>
                    <w:adjustRightInd w:val="0"/>
                    <w:snapToGrid w:val="0"/>
                    <w:jc w:val="center"/>
                    <w:rPr>
                      <w:rFonts w:hint="eastAsia" w:ascii="Times New Roman" w:hAnsi="Times New Roman" w:eastAsia="宋体" w:cs="Times New Roman"/>
                      <w:bCs/>
                      <w:color w:val="auto"/>
                      <w:sz w:val="24"/>
                    </w:rPr>
                  </w:pPr>
                  <w:r>
                    <w:rPr>
                      <w:rFonts w:hint="eastAsia" w:ascii="Times New Roman" w:hAnsi="Times New Roman" w:eastAsia="宋体" w:cs="Times New Roman"/>
                      <w:bCs/>
                      <w:color w:val="auto"/>
                      <w:sz w:val="24"/>
                    </w:rPr>
                    <w:t>成分</w:t>
                  </w:r>
                </w:p>
              </w:tc>
              <w:tc>
                <w:tcPr>
                  <w:tcW w:w="1959" w:type="pct"/>
                  <w:noWrap w:val="0"/>
                  <w:vAlign w:val="center"/>
                </w:tcPr>
                <w:p w14:paraId="670F4AB0">
                  <w:pPr>
                    <w:adjustRightInd w:val="0"/>
                    <w:snapToGrid w:val="0"/>
                    <w:jc w:val="center"/>
                    <w:rPr>
                      <w:rFonts w:hint="eastAsia" w:ascii="Times New Roman" w:hAnsi="Times New Roman" w:eastAsia="宋体" w:cs="Times New Roman"/>
                      <w:bCs/>
                      <w:color w:val="auto"/>
                      <w:sz w:val="24"/>
                    </w:rPr>
                  </w:pPr>
                  <w:r>
                    <w:rPr>
                      <w:rFonts w:hint="eastAsia" w:ascii="Times New Roman" w:hAnsi="Times New Roman" w:eastAsia="宋体" w:cs="Times New Roman"/>
                      <w:bCs/>
                      <w:color w:val="auto"/>
                      <w:sz w:val="24"/>
                    </w:rPr>
                    <w:t>百分含量</w:t>
                  </w:r>
                </w:p>
              </w:tc>
            </w:tr>
            <w:tr w14:paraId="68CBF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2" w:type="pct"/>
                  <w:noWrap w:val="0"/>
                  <w:vAlign w:val="center"/>
                </w:tcPr>
                <w:p w14:paraId="2E1D8662">
                  <w:pPr>
                    <w:adjustRightInd w:val="0"/>
                    <w:snapToGrid w:val="0"/>
                    <w:jc w:val="center"/>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1</w:t>
                  </w:r>
                </w:p>
              </w:tc>
              <w:tc>
                <w:tcPr>
                  <w:tcW w:w="1958" w:type="pct"/>
                  <w:noWrap w:val="0"/>
                  <w:vAlign w:val="center"/>
                </w:tcPr>
                <w:p w14:paraId="18638E08">
                  <w:pPr>
                    <w:adjustRightInd w:val="0"/>
                    <w:snapToGrid w:val="0"/>
                    <w:jc w:val="center"/>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N</w:t>
                  </w:r>
                  <w:r>
                    <w:rPr>
                      <w:rFonts w:hint="eastAsia" w:ascii="Times New Roman" w:hAnsi="Times New Roman" w:eastAsia="宋体" w:cs="Times New Roman"/>
                      <w:bCs/>
                      <w:color w:val="auto"/>
                      <w:sz w:val="24"/>
                      <w:vertAlign w:val="subscript"/>
                      <w:lang w:val="en-US" w:eastAsia="zh-CN"/>
                    </w:rPr>
                    <w:t>2</w:t>
                  </w:r>
                </w:p>
              </w:tc>
              <w:tc>
                <w:tcPr>
                  <w:tcW w:w="1959" w:type="pct"/>
                  <w:noWrap w:val="0"/>
                  <w:vAlign w:val="center"/>
                </w:tcPr>
                <w:p w14:paraId="1F00DD81">
                  <w:pPr>
                    <w:adjustRightInd w:val="0"/>
                    <w:snapToGrid w:val="0"/>
                    <w:jc w:val="center"/>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53.99</w:t>
                  </w:r>
                </w:p>
              </w:tc>
            </w:tr>
            <w:tr w14:paraId="4DB86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2" w:type="pct"/>
                  <w:noWrap w:val="0"/>
                  <w:vAlign w:val="center"/>
                </w:tcPr>
                <w:p w14:paraId="6F3C47C6">
                  <w:pPr>
                    <w:adjustRightInd w:val="0"/>
                    <w:snapToGrid w:val="0"/>
                    <w:jc w:val="center"/>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2</w:t>
                  </w:r>
                </w:p>
              </w:tc>
              <w:tc>
                <w:tcPr>
                  <w:tcW w:w="1958" w:type="pct"/>
                  <w:noWrap w:val="0"/>
                  <w:vAlign w:val="center"/>
                </w:tcPr>
                <w:p w14:paraId="171E55A3">
                  <w:pPr>
                    <w:adjustRightInd w:val="0"/>
                    <w:snapToGrid w:val="0"/>
                    <w:jc w:val="center"/>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H</w:t>
                  </w:r>
                  <w:r>
                    <w:rPr>
                      <w:rFonts w:hint="eastAsia" w:ascii="Times New Roman" w:hAnsi="Times New Roman" w:eastAsia="宋体" w:cs="Times New Roman"/>
                      <w:bCs/>
                      <w:color w:val="auto"/>
                      <w:sz w:val="24"/>
                      <w:vertAlign w:val="subscript"/>
                      <w:lang w:val="en-US" w:eastAsia="zh-CN"/>
                    </w:rPr>
                    <w:t>2</w:t>
                  </w:r>
                </w:p>
              </w:tc>
              <w:tc>
                <w:tcPr>
                  <w:tcW w:w="1959" w:type="pct"/>
                  <w:noWrap w:val="0"/>
                  <w:vAlign w:val="center"/>
                </w:tcPr>
                <w:p w14:paraId="08D601DC">
                  <w:pPr>
                    <w:adjustRightInd w:val="0"/>
                    <w:snapToGrid w:val="0"/>
                    <w:jc w:val="center"/>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3.97</w:t>
                  </w:r>
                </w:p>
              </w:tc>
            </w:tr>
            <w:tr w14:paraId="6DE62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2" w:type="pct"/>
                  <w:noWrap w:val="0"/>
                  <w:vAlign w:val="center"/>
                </w:tcPr>
                <w:p w14:paraId="1E0693E8">
                  <w:pPr>
                    <w:adjustRightInd w:val="0"/>
                    <w:snapToGrid w:val="0"/>
                    <w:jc w:val="center"/>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3</w:t>
                  </w:r>
                </w:p>
              </w:tc>
              <w:tc>
                <w:tcPr>
                  <w:tcW w:w="1958" w:type="pct"/>
                  <w:noWrap w:val="0"/>
                  <w:vAlign w:val="center"/>
                </w:tcPr>
                <w:p w14:paraId="0B2C48C2">
                  <w:pPr>
                    <w:adjustRightInd w:val="0"/>
                    <w:snapToGrid w:val="0"/>
                    <w:jc w:val="center"/>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CO</w:t>
                  </w:r>
                  <w:r>
                    <w:rPr>
                      <w:rFonts w:hint="eastAsia" w:ascii="Times New Roman" w:hAnsi="Times New Roman" w:eastAsia="宋体" w:cs="Times New Roman"/>
                      <w:bCs/>
                      <w:color w:val="auto"/>
                      <w:sz w:val="24"/>
                      <w:vertAlign w:val="subscript"/>
                      <w:lang w:val="en-US" w:eastAsia="zh-CN"/>
                    </w:rPr>
                    <w:t>2</w:t>
                  </w:r>
                </w:p>
              </w:tc>
              <w:tc>
                <w:tcPr>
                  <w:tcW w:w="1959" w:type="pct"/>
                  <w:noWrap w:val="0"/>
                  <w:vAlign w:val="center"/>
                </w:tcPr>
                <w:p w14:paraId="718D0474">
                  <w:pPr>
                    <w:adjustRightInd w:val="0"/>
                    <w:snapToGrid w:val="0"/>
                    <w:jc w:val="center"/>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19.8</w:t>
                  </w:r>
                </w:p>
              </w:tc>
            </w:tr>
            <w:tr w14:paraId="2B2C8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2" w:type="pct"/>
                  <w:noWrap w:val="0"/>
                  <w:vAlign w:val="center"/>
                </w:tcPr>
                <w:p w14:paraId="09F54AF4">
                  <w:pPr>
                    <w:adjustRightInd w:val="0"/>
                    <w:snapToGrid w:val="0"/>
                    <w:jc w:val="center"/>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4</w:t>
                  </w:r>
                </w:p>
              </w:tc>
              <w:tc>
                <w:tcPr>
                  <w:tcW w:w="1958" w:type="pct"/>
                  <w:noWrap w:val="0"/>
                  <w:vAlign w:val="center"/>
                </w:tcPr>
                <w:p w14:paraId="2C1CA55D">
                  <w:pPr>
                    <w:adjustRightInd w:val="0"/>
                    <w:snapToGrid w:val="0"/>
                    <w:jc w:val="center"/>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CO</w:t>
                  </w:r>
                </w:p>
              </w:tc>
              <w:tc>
                <w:tcPr>
                  <w:tcW w:w="1959" w:type="pct"/>
                  <w:noWrap w:val="0"/>
                  <w:vAlign w:val="center"/>
                </w:tcPr>
                <w:p w14:paraId="3DBED22C">
                  <w:pPr>
                    <w:adjustRightInd w:val="0"/>
                    <w:snapToGrid w:val="0"/>
                    <w:jc w:val="center"/>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20.37</w:t>
                  </w:r>
                </w:p>
              </w:tc>
            </w:tr>
            <w:tr w14:paraId="5ECFB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2" w:type="pct"/>
                  <w:noWrap w:val="0"/>
                  <w:vAlign w:val="center"/>
                </w:tcPr>
                <w:p w14:paraId="7C011610">
                  <w:pPr>
                    <w:adjustRightInd w:val="0"/>
                    <w:snapToGrid w:val="0"/>
                    <w:jc w:val="center"/>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5</w:t>
                  </w:r>
                </w:p>
              </w:tc>
              <w:tc>
                <w:tcPr>
                  <w:tcW w:w="1958" w:type="pct"/>
                  <w:noWrap w:val="0"/>
                  <w:vAlign w:val="center"/>
                </w:tcPr>
                <w:p w14:paraId="6B0F928D">
                  <w:pPr>
                    <w:adjustRightInd w:val="0"/>
                    <w:snapToGrid w:val="0"/>
                    <w:jc w:val="center"/>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CH</w:t>
                  </w:r>
                  <w:r>
                    <w:rPr>
                      <w:rFonts w:hint="eastAsia" w:ascii="Times New Roman" w:hAnsi="Times New Roman" w:eastAsia="宋体" w:cs="Times New Roman"/>
                      <w:bCs/>
                      <w:color w:val="auto"/>
                      <w:sz w:val="24"/>
                      <w:vertAlign w:val="subscript"/>
                      <w:lang w:val="en-US" w:eastAsia="zh-CN"/>
                    </w:rPr>
                    <w:t>4</w:t>
                  </w:r>
                </w:p>
              </w:tc>
              <w:tc>
                <w:tcPr>
                  <w:tcW w:w="1959" w:type="pct"/>
                  <w:noWrap w:val="0"/>
                  <w:vAlign w:val="center"/>
                </w:tcPr>
                <w:p w14:paraId="07C5AAEC">
                  <w:pPr>
                    <w:adjustRightInd w:val="0"/>
                    <w:snapToGrid w:val="0"/>
                    <w:jc w:val="center"/>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1.07</w:t>
                  </w:r>
                </w:p>
              </w:tc>
            </w:tr>
            <w:tr w14:paraId="1630D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2" w:type="pct"/>
                  <w:noWrap w:val="0"/>
                  <w:vAlign w:val="center"/>
                </w:tcPr>
                <w:p w14:paraId="5FBFFDB2">
                  <w:pPr>
                    <w:adjustRightInd w:val="0"/>
                    <w:snapToGrid w:val="0"/>
                    <w:jc w:val="center"/>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6</w:t>
                  </w:r>
                </w:p>
              </w:tc>
              <w:tc>
                <w:tcPr>
                  <w:tcW w:w="1958" w:type="pct"/>
                  <w:noWrap w:val="0"/>
                  <w:vAlign w:val="center"/>
                </w:tcPr>
                <w:p w14:paraId="27E6AD4F">
                  <w:pPr>
                    <w:adjustRightInd w:val="0"/>
                    <w:snapToGrid w:val="0"/>
                    <w:jc w:val="center"/>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CnHm</w:t>
                  </w:r>
                </w:p>
              </w:tc>
              <w:tc>
                <w:tcPr>
                  <w:tcW w:w="1959" w:type="pct"/>
                  <w:noWrap w:val="0"/>
                  <w:vAlign w:val="center"/>
                </w:tcPr>
                <w:p w14:paraId="01CBD283">
                  <w:pPr>
                    <w:adjustRightInd w:val="0"/>
                    <w:snapToGrid w:val="0"/>
                    <w:jc w:val="center"/>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w:t>
                  </w:r>
                </w:p>
              </w:tc>
            </w:tr>
            <w:tr w14:paraId="6C7A9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2" w:type="pct"/>
                  <w:noWrap w:val="0"/>
                  <w:vAlign w:val="center"/>
                </w:tcPr>
                <w:p w14:paraId="1F9BE35A">
                  <w:pPr>
                    <w:adjustRightInd w:val="0"/>
                    <w:snapToGrid w:val="0"/>
                    <w:jc w:val="center"/>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7</w:t>
                  </w:r>
                </w:p>
              </w:tc>
              <w:tc>
                <w:tcPr>
                  <w:tcW w:w="1958" w:type="pct"/>
                  <w:noWrap w:val="0"/>
                  <w:vAlign w:val="center"/>
                </w:tcPr>
                <w:p w14:paraId="4634D5A0">
                  <w:pPr>
                    <w:adjustRightInd w:val="0"/>
                    <w:snapToGrid w:val="0"/>
                    <w:jc w:val="center"/>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O</w:t>
                  </w:r>
                  <w:r>
                    <w:rPr>
                      <w:rFonts w:hint="eastAsia" w:ascii="Times New Roman" w:hAnsi="Times New Roman" w:eastAsia="宋体" w:cs="Times New Roman"/>
                      <w:bCs/>
                      <w:color w:val="auto"/>
                      <w:sz w:val="24"/>
                      <w:vertAlign w:val="subscript"/>
                      <w:lang w:val="en-US" w:eastAsia="zh-CN"/>
                    </w:rPr>
                    <w:t>2</w:t>
                  </w:r>
                </w:p>
              </w:tc>
              <w:tc>
                <w:tcPr>
                  <w:tcW w:w="1959" w:type="pct"/>
                  <w:noWrap w:val="0"/>
                  <w:vAlign w:val="center"/>
                </w:tcPr>
                <w:p w14:paraId="619286FE">
                  <w:pPr>
                    <w:adjustRightInd w:val="0"/>
                    <w:snapToGrid w:val="0"/>
                    <w:jc w:val="center"/>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0.8</w:t>
                  </w:r>
                </w:p>
              </w:tc>
            </w:tr>
            <w:tr w14:paraId="714E1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82" w:type="pct"/>
                  <w:noWrap w:val="0"/>
                  <w:vAlign w:val="center"/>
                </w:tcPr>
                <w:p w14:paraId="30F74B9E">
                  <w:pPr>
                    <w:adjustRightInd w:val="0"/>
                    <w:snapToGrid w:val="0"/>
                    <w:jc w:val="center"/>
                    <w:rPr>
                      <w:rFonts w:hint="default"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8</w:t>
                  </w:r>
                </w:p>
              </w:tc>
              <w:tc>
                <w:tcPr>
                  <w:tcW w:w="1958" w:type="pct"/>
                  <w:shd w:val="clear" w:color="auto" w:fill="auto"/>
                  <w:noWrap w:val="0"/>
                  <w:vAlign w:val="center"/>
                </w:tcPr>
                <w:p w14:paraId="5AEDD1DB">
                  <w:pPr>
                    <w:adjustRightInd w:val="0"/>
                    <w:snapToGrid w:val="0"/>
                    <w:jc w:val="center"/>
                    <w:rPr>
                      <w:rFonts w:hint="eastAsia" w:ascii="Times New Roman" w:hAnsi="Times New Roman" w:eastAsia="宋体" w:cs="Times New Roman"/>
                      <w:bCs/>
                      <w:color w:val="auto"/>
                      <w:kern w:val="2"/>
                      <w:sz w:val="24"/>
                      <w:szCs w:val="24"/>
                      <w:lang w:val="en-US" w:eastAsia="zh-CN" w:bidi="ar-SA"/>
                    </w:rPr>
                  </w:pPr>
                  <w:r>
                    <w:rPr>
                      <w:rFonts w:hint="eastAsia" w:ascii="Times New Roman" w:hAnsi="Times New Roman" w:eastAsia="宋体" w:cs="Times New Roman"/>
                      <w:bCs/>
                      <w:color w:val="auto"/>
                      <w:sz w:val="24"/>
                      <w:lang w:val="en-US" w:eastAsia="zh-CN"/>
                    </w:rPr>
                    <w:t>COS（mg/m</w:t>
                  </w:r>
                  <w:r>
                    <w:rPr>
                      <w:rFonts w:hint="eastAsia" w:ascii="Times New Roman" w:hAnsi="Times New Roman" w:eastAsia="宋体" w:cs="Times New Roman"/>
                      <w:bCs/>
                      <w:color w:val="auto"/>
                      <w:sz w:val="24"/>
                      <w:vertAlign w:val="superscript"/>
                      <w:lang w:val="en-US" w:eastAsia="zh-CN"/>
                    </w:rPr>
                    <w:t>3</w:t>
                  </w:r>
                  <w:r>
                    <w:rPr>
                      <w:rFonts w:hint="eastAsia" w:ascii="Times New Roman" w:hAnsi="Times New Roman" w:eastAsia="宋体" w:cs="Times New Roman"/>
                      <w:bCs/>
                      <w:color w:val="auto"/>
                      <w:sz w:val="24"/>
                      <w:lang w:val="en-US" w:eastAsia="zh-CN"/>
                    </w:rPr>
                    <w:t>）</w:t>
                  </w:r>
                </w:p>
              </w:tc>
              <w:tc>
                <w:tcPr>
                  <w:tcW w:w="1959" w:type="pct"/>
                  <w:shd w:val="clear" w:color="auto" w:fill="auto"/>
                  <w:noWrap w:val="0"/>
                  <w:vAlign w:val="center"/>
                </w:tcPr>
                <w:p w14:paraId="7EE85E70">
                  <w:pPr>
                    <w:adjustRightInd w:val="0"/>
                    <w:snapToGrid w:val="0"/>
                    <w:jc w:val="center"/>
                    <w:rPr>
                      <w:rFonts w:hint="eastAsia" w:ascii="Times New Roman" w:hAnsi="Times New Roman" w:eastAsia="宋体" w:cs="Times New Roman"/>
                      <w:bCs/>
                      <w:color w:val="auto"/>
                      <w:kern w:val="2"/>
                      <w:sz w:val="24"/>
                      <w:szCs w:val="24"/>
                      <w:lang w:val="en-US" w:eastAsia="zh-CN" w:bidi="ar-SA"/>
                    </w:rPr>
                  </w:pPr>
                  <w:r>
                    <w:rPr>
                      <w:rFonts w:hint="eastAsia" w:ascii="Times New Roman" w:hAnsi="Times New Roman" w:eastAsia="宋体" w:cs="Times New Roman"/>
                      <w:bCs/>
                      <w:color w:val="auto"/>
                      <w:sz w:val="24"/>
                      <w:lang w:val="en-US" w:eastAsia="zh-CN"/>
                    </w:rPr>
                    <w:t>67.15-85.87</w:t>
                  </w:r>
                </w:p>
              </w:tc>
            </w:tr>
            <w:tr w14:paraId="62BB2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2" w:type="pct"/>
                  <w:noWrap w:val="0"/>
                  <w:vAlign w:val="center"/>
                </w:tcPr>
                <w:p w14:paraId="28CB9B8E">
                  <w:pPr>
                    <w:adjustRightInd w:val="0"/>
                    <w:snapToGrid w:val="0"/>
                    <w:jc w:val="center"/>
                    <w:rPr>
                      <w:rFonts w:hint="default"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9</w:t>
                  </w:r>
                </w:p>
              </w:tc>
              <w:tc>
                <w:tcPr>
                  <w:tcW w:w="1958" w:type="pct"/>
                  <w:shd w:val="clear" w:color="auto" w:fill="auto"/>
                  <w:noWrap w:val="0"/>
                  <w:vAlign w:val="center"/>
                </w:tcPr>
                <w:p w14:paraId="69C285C1">
                  <w:pPr>
                    <w:adjustRightInd w:val="0"/>
                    <w:snapToGrid w:val="0"/>
                    <w:jc w:val="center"/>
                    <w:rPr>
                      <w:rFonts w:hint="eastAsia" w:ascii="Times New Roman" w:hAnsi="Times New Roman" w:eastAsia="宋体" w:cs="Times New Roman"/>
                      <w:bCs/>
                      <w:color w:val="auto"/>
                      <w:kern w:val="2"/>
                      <w:sz w:val="24"/>
                      <w:szCs w:val="24"/>
                      <w:lang w:val="en-US" w:eastAsia="zh-CN" w:bidi="ar-SA"/>
                    </w:rPr>
                  </w:pPr>
                  <w:r>
                    <w:rPr>
                      <w:rFonts w:hint="eastAsia" w:ascii="Times New Roman" w:hAnsi="Times New Roman" w:eastAsia="宋体" w:cs="Times New Roman"/>
                      <w:bCs/>
                      <w:color w:val="auto"/>
                      <w:sz w:val="24"/>
                      <w:lang w:val="en-US" w:eastAsia="zh-CN"/>
                    </w:rPr>
                    <w:t>H</w:t>
                  </w:r>
                  <w:r>
                    <w:rPr>
                      <w:rFonts w:hint="eastAsia" w:ascii="Times New Roman" w:hAnsi="Times New Roman" w:eastAsia="宋体" w:cs="Times New Roman"/>
                      <w:bCs/>
                      <w:color w:val="auto"/>
                      <w:sz w:val="24"/>
                      <w:vertAlign w:val="subscript"/>
                      <w:lang w:val="en-US" w:eastAsia="zh-CN"/>
                    </w:rPr>
                    <w:t>2</w:t>
                  </w:r>
                  <w:r>
                    <w:rPr>
                      <w:rFonts w:hint="eastAsia" w:ascii="Times New Roman" w:hAnsi="Times New Roman" w:eastAsia="宋体" w:cs="Times New Roman"/>
                      <w:bCs/>
                      <w:color w:val="auto"/>
                      <w:sz w:val="24"/>
                      <w:lang w:val="en-US" w:eastAsia="zh-CN"/>
                    </w:rPr>
                    <w:t>S（mg/m</w:t>
                  </w:r>
                  <w:r>
                    <w:rPr>
                      <w:rFonts w:hint="eastAsia" w:ascii="Times New Roman" w:hAnsi="Times New Roman" w:eastAsia="宋体" w:cs="Times New Roman"/>
                      <w:bCs/>
                      <w:color w:val="auto"/>
                      <w:sz w:val="24"/>
                      <w:vertAlign w:val="superscript"/>
                      <w:lang w:val="en-US" w:eastAsia="zh-CN"/>
                    </w:rPr>
                    <w:t>3</w:t>
                  </w:r>
                  <w:r>
                    <w:rPr>
                      <w:rFonts w:hint="eastAsia" w:ascii="Times New Roman" w:hAnsi="Times New Roman" w:eastAsia="宋体" w:cs="Times New Roman"/>
                      <w:bCs/>
                      <w:color w:val="auto"/>
                      <w:sz w:val="24"/>
                      <w:lang w:val="en-US" w:eastAsia="zh-CN"/>
                    </w:rPr>
                    <w:t>）</w:t>
                  </w:r>
                </w:p>
              </w:tc>
              <w:tc>
                <w:tcPr>
                  <w:tcW w:w="1959" w:type="pct"/>
                  <w:shd w:val="clear" w:color="auto" w:fill="auto"/>
                  <w:noWrap w:val="0"/>
                  <w:vAlign w:val="center"/>
                </w:tcPr>
                <w:p w14:paraId="503B5E14">
                  <w:pPr>
                    <w:adjustRightInd w:val="0"/>
                    <w:snapToGrid w:val="0"/>
                    <w:jc w:val="center"/>
                    <w:rPr>
                      <w:rFonts w:hint="default" w:ascii="Times New Roman" w:hAnsi="Times New Roman" w:eastAsia="宋体" w:cs="Times New Roman"/>
                      <w:bCs/>
                      <w:color w:val="auto"/>
                      <w:kern w:val="2"/>
                      <w:sz w:val="24"/>
                      <w:szCs w:val="24"/>
                      <w:lang w:val="en-US" w:eastAsia="zh-CN" w:bidi="ar-SA"/>
                    </w:rPr>
                  </w:pPr>
                  <w:r>
                    <w:rPr>
                      <w:rFonts w:hint="eastAsia" w:ascii="Times New Roman" w:hAnsi="Times New Roman" w:eastAsia="宋体" w:cs="Times New Roman"/>
                      <w:bCs/>
                      <w:color w:val="auto"/>
                      <w:sz w:val="24"/>
                      <w:lang w:val="en-US" w:eastAsia="zh-CN"/>
                    </w:rPr>
                    <w:t>23.14-25.78</w:t>
                  </w:r>
                </w:p>
              </w:tc>
            </w:tr>
            <w:tr w14:paraId="44123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pct"/>
                  <w:gridSpan w:val="2"/>
                  <w:noWrap w:val="0"/>
                  <w:vAlign w:val="center"/>
                </w:tcPr>
                <w:p w14:paraId="0D40CBB6">
                  <w:pPr>
                    <w:adjustRightInd w:val="0"/>
                    <w:snapToGrid w:val="0"/>
                    <w:jc w:val="center"/>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rPr>
                    <w:t>合计</w:t>
                  </w:r>
                </w:p>
              </w:tc>
              <w:tc>
                <w:tcPr>
                  <w:tcW w:w="1959" w:type="pct"/>
                  <w:noWrap w:val="0"/>
                  <w:vAlign w:val="center"/>
                </w:tcPr>
                <w:p w14:paraId="3A97F4D3">
                  <w:pPr>
                    <w:adjustRightInd w:val="0"/>
                    <w:snapToGrid w:val="0"/>
                    <w:jc w:val="center"/>
                    <w:rPr>
                      <w:rFonts w:hint="default"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100</w:t>
                  </w:r>
                </w:p>
              </w:tc>
            </w:tr>
          </w:tbl>
          <w:p w14:paraId="70E517A1">
            <w:pPr>
              <w:autoSpaceDE w:val="0"/>
              <w:autoSpaceDN w:val="0"/>
              <w:adjustRightInd w:val="0"/>
              <w:snapToGrid w:val="0"/>
              <w:spacing w:line="360" w:lineRule="auto"/>
              <w:ind w:firstLine="480" w:firstLineChars="200"/>
              <w:jc w:val="left"/>
              <w:rPr>
                <w:rFonts w:hint="eastAsia" w:ascii="Times New Roman" w:hAnsi="Times New Roman" w:eastAsia="宋体" w:cs="Times New Roman"/>
                <w:color w:val="auto"/>
                <w:kern w:val="0"/>
                <w:sz w:val="24"/>
                <w:lang w:val="en-US" w:eastAsia="zh-CN"/>
              </w:rPr>
            </w:pPr>
            <w:r>
              <w:rPr>
                <w:rFonts w:hint="eastAsia" w:ascii="Times New Roman" w:hAnsi="Times New Roman" w:eastAsia="宋体" w:cs="Times New Roman"/>
                <w:color w:val="auto"/>
                <w:kern w:val="0"/>
                <w:sz w:val="24"/>
                <w:lang w:val="en-US" w:eastAsia="zh-CN"/>
              </w:rPr>
              <w:t>本工程利用</w:t>
            </w:r>
            <w:r>
              <w:rPr>
                <w:rFonts w:hint="eastAsia" w:cs="Times New Roman"/>
                <w:color w:val="auto"/>
                <w:kern w:val="0"/>
                <w:sz w:val="24"/>
                <w:lang w:val="en-US" w:eastAsia="zh-CN"/>
              </w:rPr>
              <w:t>金烨钢铁集团有限公司</w:t>
            </w:r>
            <w:r>
              <w:rPr>
                <w:rFonts w:hint="eastAsia" w:ascii="Times New Roman" w:hAnsi="Times New Roman" w:eastAsia="宋体" w:cs="Times New Roman"/>
                <w:color w:val="auto"/>
                <w:kern w:val="0"/>
                <w:sz w:val="24"/>
                <w:lang w:val="en-US" w:eastAsia="zh-CN"/>
              </w:rPr>
              <w:t>现有的煤气输送管线。将高炉煤气经架空煤气总管道引入发电厂区域主厂房东北侧阀门组平台，经分支燃气管道，送入煤气锅炉，煤气输送管网详见附图3。</w:t>
            </w:r>
          </w:p>
          <w:p w14:paraId="3BEE8A91">
            <w:pPr>
              <w:autoSpaceDE w:val="0"/>
              <w:autoSpaceDN w:val="0"/>
              <w:adjustRightInd w:val="0"/>
              <w:snapToGrid w:val="0"/>
              <w:spacing w:line="360" w:lineRule="auto"/>
              <w:ind w:firstLine="480" w:firstLineChars="200"/>
              <w:jc w:val="left"/>
              <w:rPr>
                <w:color w:val="auto"/>
                <w:kern w:val="0"/>
                <w:sz w:val="24"/>
              </w:rPr>
            </w:pPr>
            <w:r>
              <w:rPr>
                <w:rFonts w:hint="eastAsia"/>
                <w:color w:val="auto"/>
                <w:kern w:val="0"/>
                <w:sz w:val="24"/>
                <w:lang w:val="en-US" w:eastAsia="zh-CN"/>
              </w:rPr>
              <w:t>5</w:t>
            </w:r>
            <w:r>
              <w:rPr>
                <w:color w:val="auto"/>
                <w:kern w:val="0"/>
                <w:sz w:val="24"/>
              </w:rPr>
              <w:t>、劳动定员及工作制度</w:t>
            </w:r>
          </w:p>
          <w:p w14:paraId="107E72C1">
            <w:pPr>
              <w:autoSpaceDE w:val="0"/>
              <w:autoSpaceDN w:val="0"/>
              <w:adjustRightInd w:val="0"/>
              <w:snapToGrid w:val="0"/>
              <w:spacing w:line="360" w:lineRule="auto"/>
              <w:ind w:firstLine="480" w:firstLineChars="200"/>
              <w:jc w:val="left"/>
              <w:rPr>
                <w:color w:val="auto"/>
                <w:kern w:val="0"/>
                <w:sz w:val="24"/>
              </w:rPr>
            </w:pPr>
            <w:r>
              <w:rPr>
                <w:color w:val="auto"/>
                <w:kern w:val="0"/>
                <w:sz w:val="24"/>
              </w:rPr>
              <w:t>本项目劳动定员</w:t>
            </w:r>
            <w:r>
              <w:rPr>
                <w:rFonts w:hint="eastAsia"/>
                <w:color w:val="auto"/>
                <w:kern w:val="0"/>
                <w:sz w:val="24"/>
              </w:rPr>
              <w:t>6</w:t>
            </w:r>
            <w:r>
              <w:rPr>
                <w:color w:val="auto"/>
                <w:kern w:val="0"/>
                <w:sz w:val="24"/>
              </w:rPr>
              <w:t>0人</w:t>
            </w:r>
            <w:r>
              <w:rPr>
                <w:rFonts w:hint="eastAsia"/>
                <w:color w:val="auto"/>
                <w:kern w:val="0"/>
                <w:sz w:val="24"/>
                <w:lang w:eastAsia="zh-CN"/>
              </w:rPr>
              <w:t>，</w:t>
            </w:r>
            <w:r>
              <w:rPr>
                <w:rFonts w:hint="eastAsia"/>
                <w:color w:val="auto"/>
                <w:kern w:val="0"/>
                <w:sz w:val="24"/>
                <w:lang w:val="en-US" w:eastAsia="zh-CN"/>
              </w:rPr>
              <w:t>为</w:t>
            </w:r>
            <w:r>
              <w:rPr>
                <w:rFonts w:hint="eastAsia"/>
                <w:color w:val="auto"/>
                <w:sz w:val="24"/>
                <w:lang w:val="en-US" w:eastAsia="zh-CN"/>
              </w:rPr>
              <w:t>金烨</w:t>
            </w:r>
            <w:r>
              <w:rPr>
                <w:color w:val="auto"/>
                <w:sz w:val="24"/>
              </w:rPr>
              <w:t>钢铁集团有限公司煤气发电站原有职工</w:t>
            </w:r>
            <w:r>
              <w:rPr>
                <w:rFonts w:hint="eastAsia"/>
                <w:color w:val="auto"/>
                <w:sz w:val="24"/>
                <w:lang w:eastAsia="zh-CN"/>
              </w:rPr>
              <w:t>，</w:t>
            </w:r>
            <w:r>
              <w:rPr>
                <w:rFonts w:hint="eastAsia"/>
                <w:color w:val="auto"/>
                <w:sz w:val="24"/>
                <w:lang w:val="en-US" w:eastAsia="zh-CN"/>
              </w:rPr>
              <w:t>不新增劳动定员</w:t>
            </w:r>
            <w:r>
              <w:rPr>
                <w:color w:val="auto"/>
                <w:kern w:val="0"/>
                <w:sz w:val="24"/>
              </w:rPr>
              <w:t>，年工作</w:t>
            </w:r>
            <w:r>
              <w:rPr>
                <w:rFonts w:hint="eastAsia"/>
                <w:color w:val="auto"/>
                <w:kern w:val="0"/>
                <w:sz w:val="24"/>
                <w:lang w:val="en-US" w:eastAsia="zh-CN"/>
              </w:rPr>
              <w:t>250</w:t>
            </w:r>
            <w:r>
              <w:rPr>
                <w:color w:val="auto"/>
                <w:kern w:val="0"/>
                <w:sz w:val="24"/>
              </w:rPr>
              <w:t>天，每天工作</w:t>
            </w:r>
            <w:r>
              <w:rPr>
                <w:rFonts w:hint="eastAsia"/>
                <w:color w:val="auto"/>
                <w:kern w:val="0"/>
                <w:sz w:val="24"/>
              </w:rPr>
              <w:t>24</w:t>
            </w:r>
            <w:r>
              <w:rPr>
                <w:color w:val="auto"/>
                <w:kern w:val="0"/>
                <w:sz w:val="24"/>
              </w:rPr>
              <w:t>小时</w:t>
            </w:r>
            <w:r>
              <w:rPr>
                <w:rFonts w:hint="eastAsia"/>
                <w:color w:val="auto"/>
                <w:kern w:val="0"/>
                <w:sz w:val="24"/>
                <w:lang w:eastAsia="zh-CN"/>
              </w:rPr>
              <w:t>，</w:t>
            </w:r>
            <w:r>
              <w:rPr>
                <w:rFonts w:hint="eastAsia"/>
                <w:color w:val="auto"/>
                <w:kern w:val="0"/>
                <w:sz w:val="24"/>
                <w:lang w:val="en-US" w:eastAsia="zh-CN"/>
              </w:rPr>
              <w:t>年生产6000小时</w:t>
            </w:r>
            <w:r>
              <w:rPr>
                <w:rFonts w:hint="eastAsia"/>
                <w:color w:val="auto"/>
                <w:kern w:val="0"/>
                <w:sz w:val="24"/>
              </w:rPr>
              <w:t>，按四班三运转来配置，每班工作8小时</w:t>
            </w:r>
            <w:r>
              <w:rPr>
                <w:color w:val="auto"/>
                <w:kern w:val="0"/>
                <w:sz w:val="24"/>
              </w:rPr>
              <w:t>。</w:t>
            </w:r>
          </w:p>
          <w:p w14:paraId="07CC66FA">
            <w:pPr>
              <w:autoSpaceDE w:val="0"/>
              <w:autoSpaceDN w:val="0"/>
              <w:adjustRightInd w:val="0"/>
              <w:snapToGrid w:val="0"/>
              <w:spacing w:line="360" w:lineRule="auto"/>
              <w:ind w:firstLine="480" w:firstLineChars="200"/>
              <w:jc w:val="left"/>
              <w:rPr>
                <w:rFonts w:hint="eastAsia" w:ascii="Times New Roman" w:hAnsi="Times New Roman" w:eastAsia="宋体" w:cs="Times New Roman"/>
                <w:color w:val="auto"/>
                <w:kern w:val="0"/>
                <w:sz w:val="24"/>
                <w:lang w:val="en-US" w:eastAsia="zh-CN"/>
              </w:rPr>
            </w:pPr>
            <w:r>
              <w:rPr>
                <w:rFonts w:hint="eastAsia" w:ascii="Times New Roman" w:hAnsi="Times New Roman" w:eastAsia="宋体" w:cs="Times New Roman"/>
                <w:color w:val="auto"/>
                <w:kern w:val="0"/>
                <w:sz w:val="24"/>
                <w:lang w:val="en-US" w:eastAsia="zh-CN"/>
              </w:rPr>
              <w:t>6、发电量情况</w:t>
            </w:r>
          </w:p>
          <w:p w14:paraId="39A9891C">
            <w:pPr>
              <w:autoSpaceDE w:val="0"/>
              <w:autoSpaceDN w:val="0"/>
              <w:adjustRightInd w:val="0"/>
              <w:snapToGrid w:val="0"/>
              <w:spacing w:line="360" w:lineRule="auto"/>
              <w:ind w:firstLine="480" w:firstLineChars="200"/>
              <w:jc w:val="left"/>
              <w:rPr>
                <w:rFonts w:hint="default" w:ascii="Times New Roman" w:hAnsi="Times New Roman" w:eastAsia="宋体" w:cs="Times New Roman"/>
                <w:color w:val="auto"/>
                <w:kern w:val="0"/>
                <w:sz w:val="24"/>
                <w:lang w:val="en-US" w:eastAsia="zh-CN"/>
              </w:rPr>
            </w:pPr>
            <w:r>
              <w:rPr>
                <w:rFonts w:hint="eastAsia" w:ascii="Times New Roman" w:hAnsi="Times New Roman" w:eastAsia="宋体" w:cs="Times New Roman"/>
                <w:color w:val="auto"/>
                <w:kern w:val="0"/>
                <w:sz w:val="24"/>
                <w:lang w:val="en-US" w:eastAsia="zh-CN"/>
              </w:rPr>
              <w:t>设计年发电量为12000×10</w:t>
            </w:r>
            <w:r>
              <w:rPr>
                <w:rFonts w:hint="eastAsia" w:ascii="Times New Roman" w:hAnsi="Times New Roman" w:eastAsia="宋体" w:cs="Times New Roman"/>
                <w:color w:val="auto"/>
                <w:kern w:val="0"/>
                <w:sz w:val="24"/>
                <w:vertAlign w:val="superscript"/>
                <w:lang w:val="en-US" w:eastAsia="zh-CN"/>
              </w:rPr>
              <w:t>4</w:t>
            </w:r>
            <w:r>
              <w:rPr>
                <w:rFonts w:hint="eastAsia" w:ascii="Times New Roman" w:hAnsi="Times New Roman" w:eastAsia="宋体" w:cs="Times New Roman"/>
                <w:color w:val="auto"/>
                <w:kern w:val="0"/>
                <w:sz w:val="24"/>
                <w:lang w:val="en-US" w:eastAsia="zh-CN"/>
              </w:rPr>
              <w:t>kWh，年供电量为11450×10</w:t>
            </w:r>
            <w:r>
              <w:rPr>
                <w:rFonts w:hint="eastAsia" w:ascii="Times New Roman" w:hAnsi="Times New Roman" w:eastAsia="宋体" w:cs="Times New Roman"/>
                <w:color w:val="auto"/>
                <w:kern w:val="0"/>
                <w:sz w:val="24"/>
                <w:vertAlign w:val="superscript"/>
                <w:lang w:val="en-US" w:eastAsia="zh-CN"/>
              </w:rPr>
              <w:t>4</w:t>
            </w:r>
            <w:r>
              <w:rPr>
                <w:rFonts w:hint="eastAsia" w:ascii="Times New Roman" w:hAnsi="Times New Roman" w:eastAsia="宋体" w:cs="Times New Roman"/>
                <w:color w:val="auto"/>
                <w:kern w:val="0"/>
                <w:sz w:val="24"/>
                <w:lang w:val="en-US" w:eastAsia="zh-CN"/>
              </w:rPr>
              <w:t>kWh。所发电量全部</w:t>
            </w:r>
            <w:r>
              <w:rPr>
                <w:rFonts w:hint="eastAsia" w:cs="Times New Roman"/>
                <w:color w:val="auto"/>
                <w:kern w:val="0"/>
                <w:sz w:val="24"/>
                <w:lang w:val="en-US" w:eastAsia="zh-CN"/>
              </w:rPr>
              <w:t>供金</w:t>
            </w:r>
            <w:r>
              <w:rPr>
                <w:rFonts w:hint="eastAsia" w:ascii="Times New Roman" w:hAnsi="Times New Roman" w:eastAsia="宋体" w:cs="Times New Roman"/>
                <w:color w:val="auto"/>
                <w:kern w:val="0"/>
                <w:sz w:val="24"/>
                <w:lang w:val="en-US" w:eastAsia="zh-CN"/>
              </w:rPr>
              <w:t>烨钢铁厂厂区自用。</w:t>
            </w:r>
          </w:p>
          <w:p w14:paraId="37A1D509">
            <w:pPr>
              <w:autoSpaceDE w:val="0"/>
              <w:autoSpaceDN w:val="0"/>
              <w:adjustRightInd w:val="0"/>
              <w:snapToGrid w:val="0"/>
              <w:spacing w:line="360" w:lineRule="auto"/>
              <w:ind w:firstLine="480" w:firstLineChars="200"/>
              <w:jc w:val="left"/>
              <w:rPr>
                <w:rFonts w:hint="eastAsia" w:ascii="Times New Roman" w:hAnsi="Times New Roman" w:eastAsia="宋体" w:cs="Times New Roman"/>
                <w:color w:val="auto"/>
                <w:kern w:val="0"/>
                <w:sz w:val="24"/>
                <w:lang w:val="en-US" w:eastAsia="zh-CN"/>
              </w:rPr>
            </w:pPr>
            <w:r>
              <w:rPr>
                <w:rFonts w:hint="eastAsia" w:ascii="Times New Roman" w:hAnsi="Times New Roman" w:eastAsia="宋体" w:cs="Times New Roman"/>
                <w:color w:val="auto"/>
                <w:kern w:val="0"/>
                <w:sz w:val="24"/>
                <w:lang w:val="en-US" w:eastAsia="zh-CN"/>
              </w:rPr>
              <w:t>7、水平衡</w:t>
            </w:r>
          </w:p>
          <w:p w14:paraId="4532F9BB">
            <w:pPr>
              <w:autoSpaceDE w:val="0"/>
              <w:autoSpaceDN w:val="0"/>
              <w:adjustRightInd w:val="0"/>
              <w:snapToGrid w:val="0"/>
              <w:spacing w:line="360" w:lineRule="auto"/>
              <w:ind w:firstLine="480" w:firstLineChars="200"/>
              <w:jc w:val="left"/>
              <w:rPr>
                <w:rFonts w:hint="eastAsia" w:ascii="Times New Roman" w:hAnsi="Times New Roman" w:eastAsia="宋体" w:cs="Times New Roman"/>
                <w:color w:val="auto"/>
                <w:kern w:val="0"/>
                <w:sz w:val="24"/>
                <w:lang w:val="en-US" w:eastAsia="zh-CN"/>
              </w:rPr>
            </w:pPr>
            <w:r>
              <w:rPr>
                <w:rFonts w:hint="eastAsia" w:ascii="Times New Roman" w:hAnsi="Times New Roman" w:eastAsia="宋体" w:cs="Times New Roman"/>
                <w:color w:val="auto"/>
                <w:kern w:val="0"/>
                <w:sz w:val="24"/>
                <w:lang w:val="en-US" w:eastAsia="zh-CN"/>
              </w:rPr>
              <w:t>（1）给水</w:t>
            </w:r>
          </w:p>
          <w:p w14:paraId="09399455">
            <w:pPr>
              <w:autoSpaceDE w:val="0"/>
              <w:autoSpaceDN w:val="0"/>
              <w:adjustRightInd w:val="0"/>
              <w:snapToGrid w:val="0"/>
              <w:spacing w:line="360" w:lineRule="auto"/>
              <w:ind w:firstLine="480" w:firstLineChars="20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项目劳动定员</w:t>
            </w:r>
            <w:r>
              <w:rPr>
                <w:rFonts w:hint="eastAsia" w:ascii="Times New Roman" w:hAnsi="Times New Roman" w:eastAsia="宋体" w:cs="Times New Roman"/>
                <w:kern w:val="0"/>
                <w:sz w:val="24"/>
                <w:highlight w:val="none"/>
                <w:lang w:val="en-US" w:eastAsia="zh-CN"/>
              </w:rPr>
              <w:t>6</w:t>
            </w:r>
            <w:r>
              <w:rPr>
                <w:rFonts w:hint="default" w:ascii="Times New Roman" w:hAnsi="Times New Roman" w:eastAsia="宋体" w:cs="Times New Roman"/>
                <w:kern w:val="0"/>
                <w:sz w:val="24"/>
                <w:highlight w:val="none"/>
              </w:rPr>
              <w:t>0人。根据《山西省用水定额第4部分：居民生活用水定额》（DB14/T1049.4-2021）生活用水量以90L/人天计，则职工生活用水量为</w:t>
            </w:r>
            <w:r>
              <w:rPr>
                <w:rFonts w:hint="eastAsia" w:ascii="Times New Roman" w:hAnsi="Times New Roman" w:eastAsia="宋体" w:cs="Times New Roman"/>
                <w:kern w:val="0"/>
                <w:sz w:val="24"/>
                <w:highlight w:val="none"/>
                <w:lang w:val="en-US" w:eastAsia="zh-CN"/>
              </w:rPr>
              <w:t>5.4</w:t>
            </w:r>
            <w:r>
              <w:rPr>
                <w:rFonts w:hint="default" w:ascii="Times New Roman" w:hAnsi="Times New Roman" w:eastAsia="宋体" w:cs="Times New Roman"/>
                <w:kern w:val="0"/>
                <w:sz w:val="24"/>
                <w:highlight w:val="none"/>
              </w:rPr>
              <w:t>m</w:t>
            </w:r>
            <w:r>
              <w:rPr>
                <w:rFonts w:hint="default" w:ascii="Times New Roman" w:hAnsi="Times New Roman" w:eastAsia="宋体" w:cs="Times New Roman"/>
                <w:kern w:val="0"/>
                <w:sz w:val="24"/>
                <w:highlight w:val="none"/>
                <w:vertAlign w:val="superscript"/>
              </w:rPr>
              <w:t>3</w:t>
            </w:r>
            <w:r>
              <w:rPr>
                <w:rFonts w:hint="default" w:ascii="Times New Roman" w:hAnsi="Times New Roman" w:eastAsia="宋体" w:cs="Times New Roman"/>
                <w:kern w:val="0"/>
                <w:sz w:val="24"/>
                <w:highlight w:val="none"/>
              </w:rPr>
              <w:t>/d。</w:t>
            </w:r>
          </w:p>
          <w:p w14:paraId="30BE9327">
            <w:pPr>
              <w:autoSpaceDE w:val="0"/>
              <w:autoSpaceDN w:val="0"/>
              <w:adjustRightInd w:val="0"/>
              <w:snapToGrid w:val="0"/>
              <w:spacing w:line="360" w:lineRule="auto"/>
              <w:ind w:firstLine="480" w:firstLineChars="200"/>
              <w:jc w:val="left"/>
              <w:rPr>
                <w:rFonts w:hint="eastAsia" w:ascii="Times New Roman" w:hAnsi="Times New Roman" w:eastAsia="宋体" w:cs="Times New Roman"/>
                <w:b w:val="0"/>
                <w:bCs w:val="0"/>
                <w:color w:val="auto"/>
                <w:kern w:val="0"/>
                <w:sz w:val="24"/>
                <w:lang w:val="en-US" w:eastAsia="zh-CN"/>
              </w:rPr>
            </w:pPr>
            <w:r>
              <w:rPr>
                <w:rFonts w:hint="eastAsia" w:ascii="Times New Roman" w:hAnsi="Times New Roman" w:eastAsia="宋体" w:cs="Times New Roman"/>
                <w:color w:val="auto"/>
                <w:kern w:val="0"/>
                <w:sz w:val="24"/>
                <w:lang w:val="en-US" w:eastAsia="zh-CN"/>
              </w:rPr>
              <w:t>本项目生产用水主要包括循环冷却系统补水、除盐水用水和锅炉补水，循环冷却系统补水和除盐水用水采用污水处理厂中水管网供给，锅炉补给水由化学水处理车间除盐水系统提</w:t>
            </w:r>
            <w:r>
              <w:rPr>
                <w:rFonts w:hint="eastAsia" w:ascii="Times New Roman" w:hAnsi="Times New Roman" w:eastAsia="宋体" w:cs="Times New Roman"/>
                <w:b w:val="0"/>
                <w:bCs w:val="0"/>
                <w:color w:val="auto"/>
                <w:kern w:val="0"/>
                <w:sz w:val="24"/>
                <w:lang w:val="en-US" w:eastAsia="zh-CN"/>
              </w:rPr>
              <w:t>供。</w:t>
            </w:r>
          </w:p>
          <w:p w14:paraId="3A5BB992">
            <w:pPr>
              <w:autoSpaceDE w:val="0"/>
              <w:autoSpaceDN w:val="0"/>
              <w:adjustRightInd w:val="0"/>
              <w:snapToGrid w:val="0"/>
              <w:spacing w:line="360" w:lineRule="auto"/>
              <w:ind w:firstLine="480" w:firstLineChars="200"/>
              <w:jc w:val="left"/>
              <w:rPr>
                <w:rFonts w:hint="eastAsia" w:ascii="Times New Roman" w:hAnsi="Times New Roman" w:eastAsia="宋体" w:cs="Times New Roman"/>
                <w:b w:val="0"/>
                <w:bCs w:val="0"/>
                <w:color w:val="auto"/>
                <w:kern w:val="0"/>
                <w:sz w:val="24"/>
                <w:lang w:val="en-US" w:eastAsia="zh-CN"/>
              </w:rPr>
            </w:pPr>
            <w:r>
              <w:rPr>
                <w:rFonts w:hint="eastAsia" w:ascii="Times New Roman" w:hAnsi="Times New Roman" w:eastAsia="宋体" w:cs="Times New Roman"/>
                <w:b w:val="0"/>
                <w:bCs w:val="0"/>
                <w:color w:val="auto"/>
                <w:kern w:val="0"/>
                <w:sz w:val="24"/>
                <w:lang w:val="en-US" w:eastAsia="zh-CN"/>
              </w:rPr>
              <w:t>本期全厂循环水冷却水量约4000</w:t>
            </w:r>
            <w:r>
              <w:rPr>
                <w:rFonts w:hint="eastAsia"/>
                <w:b w:val="0"/>
                <w:bCs w:val="0"/>
                <w:color w:val="auto"/>
                <w:sz w:val="24"/>
              </w:rPr>
              <w:t>m</w:t>
            </w:r>
            <w:r>
              <w:rPr>
                <w:rFonts w:hint="eastAsia"/>
                <w:b w:val="0"/>
                <w:bCs w:val="0"/>
                <w:color w:val="auto"/>
                <w:sz w:val="24"/>
                <w:vertAlign w:val="superscript"/>
              </w:rPr>
              <w:t>3</w:t>
            </w:r>
            <w:r>
              <w:rPr>
                <w:rFonts w:hint="eastAsia" w:ascii="Times New Roman" w:hAnsi="Times New Roman" w:eastAsia="宋体" w:cs="Times New Roman"/>
                <w:b w:val="0"/>
                <w:bCs w:val="0"/>
                <w:color w:val="auto"/>
                <w:kern w:val="0"/>
                <w:sz w:val="24"/>
                <w:lang w:val="en-US" w:eastAsia="zh-CN"/>
              </w:rPr>
              <w:t>/h，循环冷却水的工业水补水量：非采暖期最热时候补水量75.8</w:t>
            </w:r>
            <w:r>
              <w:rPr>
                <w:rFonts w:hint="eastAsia"/>
                <w:b w:val="0"/>
                <w:bCs w:val="0"/>
                <w:color w:val="auto"/>
                <w:sz w:val="24"/>
              </w:rPr>
              <w:t>m</w:t>
            </w:r>
            <w:r>
              <w:rPr>
                <w:rFonts w:hint="eastAsia"/>
                <w:b w:val="0"/>
                <w:bCs w:val="0"/>
                <w:color w:val="auto"/>
                <w:sz w:val="24"/>
                <w:vertAlign w:val="superscript"/>
              </w:rPr>
              <w:t>3</w:t>
            </w:r>
            <w:r>
              <w:rPr>
                <w:rFonts w:hint="eastAsia" w:ascii="Times New Roman" w:hAnsi="Times New Roman" w:eastAsia="宋体" w:cs="Times New Roman"/>
                <w:b w:val="0"/>
                <w:bCs w:val="0"/>
                <w:color w:val="auto"/>
                <w:kern w:val="0"/>
                <w:sz w:val="24"/>
                <w:lang w:val="en-US" w:eastAsia="zh-CN"/>
              </w:rPr>
              <w:t>/h，采暖期36.4</w:t>
            </w:r>
            <w:r>
              <w:rPr>
                <w:rFonts w:hint="eastAsia"/>
                <w:b w:val="0"/>
                <w:bCs w:val="0"/>
                <w:color w:val="auto"/>
                <w:sz w:val="24"/>
              </w:rPr>
              <w:t>m</w:t>
            </w:r>
            <w:r>
              <w:rPr>
                <w:rFonts w:hint="eastAsia"/>
                <w:b w:val="0"/>
                <w:bCs w:val="0"/>
                <w:color w:val="auto"/>
                <w:sz w:val="24"/>
                <w:vertAlign w:val="superscript"/>
              </w:rPr>
              <w:t>3</w:t>
            </w:r>
            <w:r>
              <w:rPr>
                <w:rFonts w:hint="eastAsia" w:ascii="Times New Roman" w:hAnsi="Times New Roman" w:eastAsia="宋体" w:cs="Times New Roman"/>
                <w:b w:val="0"/>
                <w:bCs w:val="0"/>
                <w:color w:val="auto"/>
                <w:kern w:val="0"/>
                <w:sz w:val="24"/>
                <w:lang w:val="en-US" w:eastAsia="zh-CN"/>
              </w:rPr>
              <w:t>/h。除盐水5t/h制水，耗水约8.5t/h，间断运行，满足锅炉需求。锅炉60t/h，连排加上定排约1.2t/h，加上1.8t/h的循环损失，除盐水约3t/h的需求。</w:t>
            </w:r>
          </w:p>
          <w:p w14:paraId="1F5C6F26">
            <w:pPr>
              <w:autoSpaceDE w:val="0"/>
              <w:autoSpaceDN w:val="0"/>
              <w:adjustRightInd w:val="0"/>
              <w:snapToGrid w:val="0"/>
              <w:spacing w:line="360" w:lineRule="auto"/>
              <w:ind w:firstLine="480" w:firstLineChars="200"/>
              <w:jc w:val="left"/>
              <w:rPr>
                <w:rFonts w:hint="default" w:ascii="Times New Roman" w:hAnsi="Times New Roman" w:eastAsia="宋体" w:cs="Times New Roman"/>
                <w:b w:val="0"/>
                <w:bCs w:val="0"/>
                <w:color w:val="auto"/>
                <w:kern w:val="0"/>
                <w:sz w:val="24"/>
                <w:lang w:val="en-US" w:eastAsia="zh-CN"/>
              </w:rPr>
            </w:pPr>
            <w:r>
              <w:rPr>
                <w:rFonts w:hint="eastAsia" w:ascii="Times New Roman" w:hAnsi="Times New Roman" w:eastAsia="宋体" w:cs="Times New Roman"/>
                <w:b w:val="0"/>
                <w:bCs w:val="0"/>
                <w:color w:val="auto"/>
                <w:kern w:val="0"/>
                <w:sz w:val="24"/>
                <w:lang w:val="en-US" w:eastAsia="zh-CN"/>
              </w:rPr>
              <w:t>本项目工业用水采用壶关县第一污水处理厂处理后的中水，铺设有2km中水输送管道。</w:t>
            </w:r>
          </w:p>
          <w:p w14:paraId="3BA6BB88">
            <w:pPr>
              <w:autoSpaceDE w:val="0"/>
              <w:autoSpaceDN w:val="0"/>
              <w:adjustRightInd w:val="0"/>
              <w:snapToGrid w:val="0"/>
              <w:spacing w:line="360" w:lineRule="auto"/>
              <w:ind w:firstLine="480" w:firstLineChars="200"/>
              <w:jc w:val="left"/>
              <w:rPr>
                <w:color w:val="auto"/>
                <w:kern w:val="0"/>
                <w:sz w:val="24"/>
              </w:rPr>
            </w:pPr>
            <w:r>
              <w:rPr>
                <w:rFonts w:hint="eastAsia"/>
                <w:color w:val="auto"/>
                <w:kern w:val="0"/>
                <w:sz w:val="24"/>
              </w:rPr>
              <w:t>（2</w:t>
            </w:r>
            <w:r>
              <w:rPr>
                <w:color w:val="auto"/>
                <w:kern w:val="0"/>
                <w:sz w:val="24"/>
              </w:rPr>
              <w:t>）</w:t>
            </w:r>
            <w:r>
              <w:rPr>
                <w:rFonts w:hint="eastAsia"/>
                <w:color w:val="auto"/>
                <w:kern w:val="0"/>
                <w:sz w:val="24"/>
              </w:rPr>
              <w:t>排水</w:t>
            </w:r>
          </w:p>
          <w:p w14:paraId="4421B69B">
            <w:pPr>
              <w:autoSpaceDE w:val="0"/>
              <w:autoSpaceDN w:val="0"/>
              <w:adjustRightInd w:val="0"/>
              <w:snapToGrid w:val="0"/>
              <w:spacing w:line="360" w:lineRule="auto"/>
              <w:ind w:firstLine="480" w:firstLineChars="20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生活污水的产物系数按0.8计，则生活污水产生量为</w:t>
            </w:r>
            <w:r>
              <w:rPr>
                <w:rFonts w:hint="eastAsia" w:ascii="Times New Roman" w:hAnsi="Times New Roman" w:eastAsia="宋体" w:cs="Times New Roman"/>
                <w:kern w:val="0"/>
                <w:sz w:val="24"/>
                <w:highlight w:val="none"/>
                <w:lang w:val="en-US" w:eastAsia="zh-CN"/>
              </w:rPr>
              <w:t>4.32</w:t>
            </w:r>
            <w:r>
              <w:rPr>
                <w:rFonts w:hint="default" w:ascii="Times New Roman" w:hAnsi="Times New Roman" w:eastAsia="宋体" w:cs="Times New Roman"/>
                <w:kern w:val="0"/>
                <w:sz w:val="24"/>
                <w:highlight w:val="none"/>
              </w:rPr>
              <w:t>m</w:t>
            </w:r>
            <w:r>
              <w:rPr>
                <w:rFonts w:hint="default" w:ascii="Times New Roman" w:hAnsi="Times New Roman" w:eastAsia="宋体" w:cs="Times New Roman"/>
                <w:kern w:val="0"/>
                <w:sz w:val="24"/>
                <w:highlight w:val="none"/>
                <w:vertAlign w:val="superscript"/>
              </w:rPr>
              <w:t>3</w:t>
            </w:r>
            <w:r>
              <w:rPr>
                <w:rFonts w:hint="default" w:ascii="Times New Roman" w:hAnsi="Times New Roman" w:eastAsia="宋体" w:cs="Times New Roman"/>
                <w:kern w:val="0"/>
                <w:sz w:val="24"/>
                <w:highlight w:val="none"/>
              </w:rPr>
              <w:t>/d</w:t>
            </w:r>
            <w:r>
              <w:rPr>
                <w:rFonts w:hint="eastAsia" w:ascii="Times New Roman" w:hAnsi="Times New Roman" w:eastAsia="宋体" w:cs="Times New Roman"/>
                <w:kern w:val="0"/>
                <w:sz w:val="24"/>
                <w:highlight w:val="none"/>
                <w:lang w:eastAsia="zh-CN"/>
              </w:rPr>
              <w:t>，</w:t>
            </w:r>
            <w:r>
              <w:rPr>
                <w:rFonts w:hint="eastAsia" w:ascii="Times New Roman" w:hAnsi="Times New Roman" w:eastAsia="宋体" w:cs="Times New Roman"/>
                <w:kern w:val="0"/>
                <w:sz w:val="24"/>
                <w:highlight w:val="none"/>
                <w:lang w:val="en-US" w:eastAsia="zh-CN"/>
              </w:rPr>
              <w:t>排入生活污水管网，进入壶关县污水处理站</w:t>
            </w:r>
            <w:r>
              <w:rPr>
                <w:rFonts w:hint="default" w:ascii="Times New Roman" w:hAnsi="Times New Roman" w:eastAsia="宋体" w:cs="Times New Roman"/>
                <w:kern w:val="0"/>
                <w:sz w:val="24"/>
                <w:highlight w:val="none"/>
              </w:rPr>
              <w:t>。</w:t>
            </w:r>
          </w:p>
          <w:p w14:paraId="50C4B43A">
            <w:pPr>
              <w:autoSpaceDE w:val="0"/>
              <w:autoSpaceDN w:val="0"/>
              <w:adjustRightInd w:val="0"/>
              <w:snapToGrid w:val="0"/>
              <w:spacing w:line="360" w:lineRule="auto"/>
              <w:ind w:firstLine="480" w:firstLineChars="200"/>
              <w:jc w:val="left"/>
              <w:rPr>
                <w:color w:val="auto"/>
                <w:kern w:val="0"/>
                <w:sz w:val="24"/>
              </w:rPr>
            </w:pPr>
            <w:r>
              <w:rPr>
                <w:rFonts w:hint="eastAsia"/>
                <w:color w:val="auto"/>
                <w:kern w:val="0"/>
                <w:sz w:val="24"/>
              </w:rPr>
              <w:t>本项目</w:t>
            </w:r>
            <w:r>
              <w:rPr>
                <w:rFonts w:hint="eastAsia"/>
                <w:color w:val="auto"/>
                <w:kern w:val="0"/>
                <w:sz w:val="24"/>
                <w:lang w:val="en-US" w:eastAsia="zh-CN"/>
              </w:rPr>
              <w:t>工业</w:t>
            </w:r>
            <w:r>
              <w:rPr>
                <w:rFonts w:hint="eastAsia"/>
                <w:color w:val="auto"/>
                <w:kern w:val="0"/>
                <w:sz w:val="24"/>
              </w:rPr>
              <w:t>废水包括锅炉排污水、化学水车间排水、循环冷却排污水</w:t>
            </w:r>
            <w:r>
              <w:rPr>
                <w:rFonts w:hint="eastAsia"/>
                <w:color w:val="auto"/>
                <w:kern w:val="0"/>
                <w:sz w:val="24"/>
                <w:lang w:eastAsia="zh-CN"/>
              </w:rPr>
              <w:t>，</w:t>
            </w:r>
            <w:r>
              <w:rPr>
                <w:rFonts w:hint="eastAsia"/>
                <w:color w:val="auto"/>
                <w:kern w:val="0"/>
                <w:sz w:val="24"/>
              </w:rPr>
              <w:t>废水属含盐废水，</w:t>
            </w:r>
            <w:r>
              <w:rPr>
                <w:rFonts w:hint="eastAsia"/>
                <w:color w:val="auto"/>
                <w:kern w:val="0"/>
                <w:sz w:val="24"/>
                <w:lang w:val="en-US" w:eastAsia="zh-CN"/>
              </w:rPr>
              <w:t>总排水量为6.1m</w:t>
            </w:r>
            <w:r>
              <w:rPr>
                <w:rFonts w:hint="eastAsia"/>
                <w:color w:val="auto"/>
                <w:kern w:val="0"/>
                <w:sz w:val="24"/>
                <w:vertAlign w:val="superscript"/>
                <w:lang w:val="en-US" w:eastAsia="zh-CN"/>
              </w:rPr>
              <w:t>3</w:t>
            </w:r>
            <w:r>
              <w:rPr>
                <w:rFonts w:hint="eastAsia"/>
                <w:color w:val="auto"/>
                <w:kern w:val="0"/>
                <w:sz w:val="24"/>
                <w:lang w:val="en-US" w:eastAsia="zh-CN"/>
              </w:rPr>
              <w:t>/h（采暖期）、7.5m</w:t>
            </w:r>
            <w:r>
              <w:rPr>
                <w:rFonts w:hint="eastAsia"/>
                <w:color w:val="auto"/>
                <w:kern w:val="0"/>
                <w:sz w:val="24"/>
                <w:vertAlign w:val="superscript"/>
                <w:lang w:val="en-US" w:eastAsia="zh-CN"/>
              </w:rPr>
              <w:t>3</w:t>
            </w:r>
            <w:r>
              <w:rPr>
                <w:rFonts w:hint="eastAsia"/>
                <w:color w:val="auto"/>
                <w:kern w:val="0"/>
                <w:sz w:val="24"/>
                <w:lang w:val="en-US" w:eastAsia="zh-CN"/>
              </w:rPr>
              <w:t>/h（非采暖期），</w:t>
            </w:r>
            <w:r>
              <w:rPr>
                <w:rFonts w:hint="eastAsia"/>
                <w:color w:val="auto"/>
                <w:kern w:val="0"/>
                <w:sz w:val="24"/>
              </w:rPr>
              <w:t>经</w:t>
            </w:r>
            <w:r>
              <w:rPr>
                <w:rFonts w:hint="eastAsia"/>
                <w:color w:val="auto"/>
                <w:kern w:val="0"/>
                <w:sz w:val="24"/>
                <w:lang w:val="en-US" w:eastAsia="zh-CN"/>
              </w:rPr>
              <w:t>收集后</w:t>
            </w:r>
            <w:r>
              <w:rPr>
                <w:rFonts w:hint="eastAsia"/>
                <w:color w:val="auto"/>
                <w:kern w:val="0"/>
                <w:sz w:val="24"/>
              </w:rPr>
              <w:t>排入水处理站，废水经处理后全部回用于生产，无废水外排。</w:t>
            </w:r>
          </w:p>
          <w:p w14:paraId="1C6B1A91">
            <w:pPr>
              <w:autoSpaceDE w:val="0"/>
              <w:autoSpaceDN w:val="0"/>
              <w:adjustRightInd w:val="0"/>
              <w:snapToGrid w:val="0"/>
              <w:spacing w:beforeLines="50"/>
              <w:ind w:firstLine="482" w:firstLineChars="200"/>
              <w:jc w:val="center"/>
              <w:rPr>
                <w:b/>
                <w:bCs/>
                <w:color w:val="auto"/>
                <w:kern w:val="0"/>
                <w:sz w:val="24"/>
                <w:highlight w:val="none"/>
              </w:rPr>
            </w:pPr>
            <w:r>
              <w:rPr>
                <w:rFonts w:hint="eastAsia"/>
                <w:b/>
                <w:bCs/>
                <w:color w:val="auto"/>
                <w:kern w:val="0"/>
                <w:sz w:val="24"/>
                <w:highlight w:val="none"/>
              </w:rPr>
              <w:t>表2-</w:t>
            </w:r>
            <w:r>
              <w:rPr>
                <w:rFonts w:hint="eastAsia"/>
                <w:b/>
                <w:bCs/>
                <w:color w:val="auto"/>
                <w:kern w:val="0"/>
                <w:sz w:val="24"/>
                <w:highlight w:val="none"/>
                <w:lang w:val="en-US" w:eastAsia="zh-CN"/>
              </w:rPr>
              <w:t>8</w:t>
            </w:r>
            <w:r>
              <w:rPr>
                <w:rFonts w:hint="eastAsia"/>
                <w:b/>
                <w:bCs/>
                <w:color w:val="auto"/>
                <w:kern w:val="0"/>
                <w:sz w:val="24"/>
                <w:highlight w:val="none"/>
                <w:lang w:eastAsia="zh-CN"/>
              </w:rPr>
              <w:t xml:space="preserve"> </w:t>
            </w:r>
            <w:r>
              <w:rPr>
                <w:rFonts w:hint="eastAsia"/>
                <w:b/>
                <w:bCs/>
                <w:color w:val="auto"/>
                <w:kern w:val="0"/>
                <w:sz w:val="24"/>
                <w:highlight w:val="none"/>
              </w:rPr>
              <w:t>本项目需水量一览表和排水量</w:t>
            </w:r>
            <w:r>
              <w:rPr>
                <w:b/>
                <w:bCs/>
                <w:color w:val="auto"/>
                <w:sz w:val="24"/>
                <w:highlight w:val="none"/>
              </w:rPr>
              <w:t>一览表</w:t>
            </w:r>
            <w:r>
              <w:rPr>
                <w:rFonts w:hint="eastAsia"/>
                <w:b/>
                <w:bCs/>
                <w:color w:val="auto"/>
                <w:sz w:val="24"/>
                <w:highlight w:val="none"/>
                <w:lang w:eastAsia="zh-CN"/>
              </w:rPr>
              <w:t xml:space="preserve"> </w:t>
            </w:r>
            <w:r>
              <w:rPr>
                <w:rFonts w:hint="eastAsia"/>
                <w:b/>
                <w:bCs/>
                <w:color w:val="auto"/>
                <w:sz w:val="24"/>
                <w:highlight w:val="none"/>
              </w:rPr>
              <w:t>单位：m</w:t>
            </w:r>
            <w:r>
              <w:rPr>
                <w:rFonts w:hint="eastAsia"/>
                <w:b/>
                <w:bCs/>
                <w:color w:val="auto"/>
                <w:sz w:val="24"/>
                <w:highlight w:val="none"/>
                <w:vertAlign w:val="superscript"/>
              </w:rPr>
              <w:t>3</w:t>
            </w:r>
            <w:r>
              <w:rPr>
                <w:rFonts w:hint="eastAsia"/>
                <w:b/>
                <w:bCs/>
                <w:color w:val="auto"/>
                <w:sz w:val="24"/>
                <w:highlight w:val="none"/>
              </w:rPr>
              <w:t>/h</w:t>
            </w:r>
          </w:p>
          <w:tbl>
            <w:tblPr>
              <w:tblStyle w:val="54"/>
              <w:tblW w:w="4997" w:type="pct"/>
              <w:jc w:val="center"/>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autofit"/>
              <w:tblCellMar>
                <w:top w:w="0" w:type="dxa"/>
                <w:left w:w="0" w:type="dxa"/>
                <w:bottom w:w="0" w:type="dxa"/>
                <w:right w:w="0" w:type="dxa"/>
              </w:tblCellMar>
            </w:tblPr>
            <w:tblGrid>
              <w:gridCol w:w="923"/>
              <w:gridCol w:w="2493"/>
              <w:gridCol w:w="1241"/>
              <w:gridCol w:w="1241"/>
              <w:gridCol w:w="1241"/>
              <w:gridCol w:w="1243"/>
            </w:tblGrid>
            <w:tr w14:paraId="43FD3A9D">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153" w:hRule="atLeast"/>
                <w:jc w:val="center"/>
              </w:trPr>
              <w:tc>
                <w:tcPr>
                  <w:tcW w:w="551" w:type="pct"/>
                  <w:vMerge w:val="restart"/>
                  <w:noWrap w:val="0"/>
                  <w:vAlign w:val="center"/>
                </w:tcPr>
                <w:p w14:paraId="0CC774EC">
                  <w:pPr>
                    <w:adjustRightInd w:val="0"/>
                    <w:snapToGrid w:val="0"/>
                    <w:jc w:val="center"/>
                    <w:rPr>
                      <w:bCs/>
                      <w:color w:val="auto"/>
                      <w:sz w:val="24"/>
                      <w:highlight w:val="none"/>
                    </w:rPr>
                  </w:pPr>
                  <w:r>
                    <w:rPr>
                      <w:rFonts w:hint="eastAsia"/>
                      <w:bCs/>
                      <w:color w:val="auto"/>
                      <w:sz w:val="24"/>
                      <w:highlight w:val="none"/>
                    </w:rPr>
                    <w:t>序号</w:t>
                  </w:r>
                </w:p>
              </w:tc>
              <w:tc>
                <w:tcPr>
                  <w:tcW w:w="1487" w:type="pct"/>
                  <w:vMerge w:val="restart"/>
                  <w:noWrap w:val="0"/>
                  <w:vAlign w:val="center"/>
                </w:tcPr>
                <w:p w14:paraId="5603B6F9">
                  <w:pPr>
                    <w:adjustRightInd w:val="0"/>
                    <w:snapToGrid w:val="0"/>
                    <w:jc w:val="center"/>
                    <w:rPr>
                      <w:bCs/>
                      <w:color w:val="auto"/>
                      <w:sz w:val="24"/>
                      <w:highlight w:val="none"/>
                    </w:rPr>
                  </w:pPr>
                  <w:r>
                    <w:rPr>
                      <w:rFonts w:hint="eastAsia"/>
                      <w:bCs/>
                      <w:color w:val="auto"/>
                      <w:sz w:val="24"/>
                      <w:highlight w:val="none"/>
                    </w:rPr>
                    <w:t>项目</w:t>
                  </w:r>
                </w:p>
              </w:tc>
              <w:tc>
                <w:tcPr>
                  <w:tcW w:w="1480" w:type="pct"/>
                  <w:gridSpan w:val="2"/>
                  <w:noWrap w:val="0"/>
                  <w:vAlign w:val="center"/>
                </w:tcPr>
                <w:p w14:paraId="60D34653">
                  <w:pPr>
                    <w:adjustRightInd w:val="0"/>
                    <w:snapToGrid w:val="0"/>
                    <w:jc w:val="center"/>
                    <w:rPr>
                      <w:rFonts w:hint="eastAsia"/>
                      <w:bCs/>
                      <w:color w:val="auto"/>
                      <w:sz w:val="24"/>
                      <w:highlight w:val="none"/>
                    </w:rPr>
                  </w:pPr>
                  <w:r>
                    <w:rPr>
                      <w:rFonts w:hint="eastAsia"/>
                      <w:bCs/>
                      <w:color w:val="auto"/>
                      <w:sz w:val="24"/>
                      <w:highlight w:val="none"/>
                    </w:rPr>
                    <w:t>需水量</w:t>
                  </w:r>
                </w:p>
              </w:tc>
              <w:tc>
                <w:tcPr>
                  <w:tcW w:w="1481" w:type="pct"/>
                  <w:gridSpan w:val="2"/>
                  <w:noWrap w:val="0"/>
                  <w:vAlign w:val="center"/>
                </w:tcPr>
                <w:p w14:paraId="7FA2E568">
                  <w:pPr>
                    <w:adjustRightInd w:val="0"/>
                    <w:snapToGrid w:val="0"/>
                    <w:jc w:val="center"/>
                    <w:rPr>
                      <w:rFonts w:hint="eastAsia"/>
                      <w:bCs/>
                      <w:color w:val="auto"/>
                      <w:sz w:val="24"/>
                      <w:highlight w:val="none"/>
                    </w:rPr>
                  </w:pPr>
                  <w:r>
                    <w:rPr>
                      <w:rFonts w:hint="eastAsia"/>
                      <w:bCs/>
                      <w:color w:val="auto"/>
                      <w:sz w:val="24"/>
                      <w:highlight w:val="none"/>
                    </w:rPr>
                    <w:t>排水量</w:t>
                  </w:r>
                </w:p>
              </w:tc>
            </w:tr>
            <w:tr w14:paraId="4E1C9C73">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153" w:hRule="atLeast"/>
                <w:jc w:val="center"/>
              </w:trPr>
              <w:tc>
                <w:tcPr>
                  <w:tcW w:w="551" w:type="pct"/>
                  <w:vMerge w:val="continue"/>
                  <w:noWrap w:val="0"/>
                  <w:vAlign w:val="center"/>
                </w:tcPr>
                <w:p w14:paraId="4946F3B5">
                  <w:pPr>
                    <w:adjustRightInd w:val="0"/>
                    <w:snapToGrid w:val="0"/>
                    <w:jc w:val="center"/>
                    <w:rPr>
                      <w:highlight w:val="none"/>
                    </w:rPr>
                  </w:pPr>
                </w:p>
              </w:tc>
              <w:tc>
                <w:tcPr>
                  <w:tcW w:w="1487" w:type="pct"/>
                  <w:vMerge w:val="continue"/>
                  <w:noWrap w:val="0"/>
                  <w:vAlign w:val="center"/>
                </w:tcPr>
                <w:p w14:paraId="5B0F25D4">
                  <w:pPr>
                    <w:adjustRightInd w:val="0"/>
                    <w:snapToGrid w:val="0"/>
                    <w:jc w:val="center"/>
                    <w:rPr>
                      <w:highlight w:val="none"/>
                    </w:rPr>
                  </w:pPr>
                </w:p>
              </w:tc>
              <w:tc>
                <w:tcPr>
                  <w:tcW w:w="740" w:type="pct"/>
                  <w:noWrap w:val="0"/>
                  <w:vAlign w:val="center"/>
                </w:tcPr>
                <w:p w14:paraId="17C03854">
                  <w:pPr>
                    <w:adjustRightInd w:val="0"/>
                    <w:snapToGrid w:val="0"/>
                    <w:jc w:val="center"/>
                    <w:rPr>
                      <w:rFonts w:hint="default" w:eastAsia="宋体"/>
                      <w:highlight w:val="none"/>
                      <w:lang w:val="en-US" w:eastAsia="zh-CN"/>
                    </w:rPr>
                  </w:pPr>
                  <w:r>
                    <w:rPr>
                      <w:rFonts w:hint="eastAsia"/>
                      <w:highlight w:val="none"/>
                      <w:lang w:val="en-US" w:eastAsia="zh-CN"/>
                    </w:rPr>
                    <w:t>采暖期</w:t>
                  </w:r>
                </w:p>
              </w:tc>
              <w:tc>
                <w:tcPr>
                  <w:tcW w:w="740" w:type="pct"/>
                  <w:noWrap w:val="0"/>
                  <w:vAlign w:val="center"/>
                </w:tcPr>
                <w:p w14:paraId="4986A638">
                  <w:pPr>
                    <w:adjustRightInd w:val="0"/>
                    <w:snapToGrid w:val="0"/>
                    <w:jc w:val="center"/>
                    <w:rPr>
                      <w:rFonts w:hint="eastAsia" w:eastAsia="宋体"/>
                      <w:highlight w:val="none"/>
                      <w:lang w:val="en-US" w:eastAsia="zh-CN"/>
                    </w:rPr>
                  </w:pPr>
                  <w:r>
                    <w:rPr>
                      <w:rFonts w:hint="eastAsia"/>
                      <w:highlight w:val="none"/>
                      <w:lang w:val="en-US" w:eastAsia="zh-CN"/>
                    </w:rPr>
                    <w:t>非采暖期</w:t>
                  </w:r>
                </w:p>
              </w:tc>
              <w:tc>
                <w:tcPr>
                  <w:tcW w:w="740" w:type="pct"/>
                  <w:noWrap w:val="0"/>
                  <w:vAlign w:val="center"/>
                </w:tcPr>
                <w:p w14:paraId="40D5351D">
                  <w:pPr>
                    <w:adjustRightInd w:val="0"/>
                    <w:snapToGrid w:val="0"/>
                    <w:jc w:val="center"/>
                    <w:rPr>
                      <w:rFonts w:hint="eastAsia"/>
                      <w:bCs/>
                      <w:color w:val="auto"/>
                      <w:sz w:val="24"/>
                      <w:highlight w:val="none"/>
                    </w:rPr>
                  </w:pPr>
                  <w:r>
                    <w:rPr>
                      <w:rFonts w:hint="eastAsia"/>
                      <w:highlight w:val="none"/>
                      <w:lang w:val="en-US" w:eastAsia="zh-CN"/>
                    </w:rPr>
                    <w:t>采暖期</w:t>
                  </w:r>
                </w:p>
              </w:tc>
              <w:tc>
                <w:tcPr>
                  <w:tcW w:w="741" w:type="pct"/>
                  <w:noWrap w:val="0"/>
                  <w:vAlign w:val="center"/>
                </w:tcPr>
                <w:p w14:paraId="751CD04E">
                  <w:pPr>
                    <w:adjustRightInd w:val="0"/>
                    <w:snapToGrid w:val="0"/>
                    <w:jc w:val="center"/>
                    <w:rPr>
                      <w:rFonts w:hint="eastAsia"/>
                      <w:bCs/>
                      <w:color w:val="auto"/>
                      <w:sz w:val="24"/>
                      <w:highlight w:val="none"/>
                    </w:rPr>
                  </w:pPr>
                  <w:r>
                    <w:rPr>
                      <w:rFonts w:hint="eastAsia"/>
                      <w:highlight w:val="none"/>
                      <w:lang w:val="en-US" w:eastAsia="zh-CN"/>
                    </w:rPr>
                    <w:t>非采暖期</w:t>
                  </w:r>
                </w:p>
              </w:tc>
            </w:tr>
            <w:tr w14:paraId="4E3AAEED">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372" w:hRule="atLeast"/>
                <w:jc w:val="center"/>
              </w:trPr>
              <w:tc>
                <w:tcPr>
                  <w:tcW w:w="551" w:type="pct"/>
                  <w:noWrap w:val="0"/>
                  <w:vAlign w:val="center"/>
                </w:tcPr>
                <w:p w14:paraId="1B38DEBB">
                  <w:pPr>
                    <w:adjustRightInd w:val="0"/>
                    <w:snapToGrid w:val="0"/>
                    <w:jc w:val="center"/>
                    <w:rPr>
                      <w:color w:val="auto"/>
                      <w:highlight w:val="none"/>
                    </w:rPr>
                  </w:pPr>
                  <w:r>
                    <w:rPr>
                      <w:rFonts w:hint="eastAsia"/>
                      <w:color w:val="auto"/>
                      <w:highlight w:val="none"/>
                    </w:rPr>
                    <w:t>1</w:t>
                  </w:r>
                </w:p>
              </w:tc>
              <w:tc>
                <w:tcPr>
                  <w:tcW w:w="1487" w:type="pct"/>
                  <w:noWrap w:val="0"/>
                  <w:vAlign w:val="center"/>
                </w:tcPr>
                <w:p w14:paraId="0966BE8A">
                  <w:pPr>
                    <w:adjustRightInd w:val="0"/>
                    <w:snapToGrid w:val="0"/>
                    <w:jc w:val="center"/>
                    <w:rPr>
                      <w:rFonts w:hint="default" w:ascii="Times New Roman" w:hAnsi="Times New Roman" w:eastAsia="宋体" w:cs="Times New Roman"/>
                      <w:bCs/>
                      <w:color w:val="auto"/>
                      <w:kern w:val="2"/>
                      <w:sz w:val="24"/>
                      <w:szCs w:val="24"/>
                      <w:highlight w:val="none"/>
                      <w:lang w:val="en-US" w:eastAsia="zh-CN" w:bidi="ar-SA"/>
                    </w:rPr>
                  </w:pPr>
                  <w:r>
                    <w:rPr>
                      <w:rFonts w:hint="eastAsia"/>
                      <w:bCs/>
                      <w:color w:val="auto"/>
                      <w:sz w:val="24"/>
                      <w:highlight w:val="none"/>
                      <w:lang w:val="en-US" w:eastAsia="zh-CN"/>
                    </w:rPr>
                    <w:t>生活污水</w:t>
                  </w:r>
                </w:p>
              </w:tc>
              <w:tc>
                <w:tcPr>
                  <w:tcW w:w="1480" w:type="pct"/>
                  <w:gridSpan w:val="2"/>
                  <w:noWrap w:val="0"/>
                  <w:vAlign w:val="center"/>
                </w:tcPr>
                <w:p w14:paraId="1FE4F295">
                  <w:pPr>
                    <w:adjustRightInd w:val="0"/>
                    <w:snapToGrid w:val="0"/>
                    <w:jc w:val="center"/>
                    <w:rPr>
                      <w:rFonts w:hint="default"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kern w:val="0"/>
                      <w:sz w:val="24"/>
                      <w:highlight w:val="none"/>
                      <w:lang w:val="en-US" w:eastAsia="zh-CN"/>
                    </w:rPr>
                    <w:t>5.4</w:t>
                  </w:r>
                  <w:r>
                    <w:rPr>
                      <w:rFonts w:hint="default" w:ascii="Times New Roman" w:hAnsi="Times New Roman" w:eastAsia="宋体" w:cs="Times New Roman"/>
                      <w:kern w:val="0"/>
                      <w:sz w:val="24"/>
                      <w:highlight w:val="none"/>
                    </w:rPr>
                    <w:t>m</w:t>
                  </w:r>
                  <w:r>
                    <w:rPr>
                      <w:rFonts w:hint="default" w:ascii="Times New Roman" w:hAnsi="Times New Roman" w:eastAsia="宋体" w:cs="Times New Roman"/>
                      <w:kern w:val="0"/>
                      <w:sz w:val="24"/>
                      <w:highlight w:val="none"/>
                      <w:vertAlign w:val="superscript"/>
                    </w:rPr>
                    <w:t>3</w:t>
                  </w:r>
                  <w:r>
                    <w:rPr>
                      <w:rFonts w:hint="default" w:ascii="Times New Roman" w:hAnsi="Times New Roman" w:eastAsia="宋体" w:cs="Times New Roman"/>
                      <w:kern w:val="0"/>
                      <w:sz w:val="24"/>
                      <w:highlight w:val="none"/>
                    </w:rPr>
                    <w:t>/d</w:t>
                  </w:r>
                </w:p>
              </w:tc>
              <w:tc>
                <w:tcPr>
                  <w:tcW w:w="1481" w:type="pct"/>
                  <w:gridSpan w:val="2"/>
                  <w:noWrap w:val="0"/>
                  <w:vAlign w:val="center"/>
                </w:tcPr>
                <w:p w14:paraId="114FC34D">
                  <w:pPr>
                    <w:adjustRightInd w:val="0"/>
                    <w:snapToGrid w:val="0"/>
                    <w:jc w:val="center"/>
                    <w:rPr>
                      <w:rFonts w:hint="default"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kern w:val="0"/>
                      <w:sz w:val="24"/>
                      <w:highlight w:val="none"/>
                      <w:lang w:val="en-US" w:eastAsia="zh-CN"/>
                    </w:rPr>
                    <w:t>4.32</w:t>
                  </w:r>
                  <w:r>
                    <w:rPr>
                      <w:rFonts w:hint="default" w:ascii="Times New Roman" w:hAnsi="Times New Roman" w:eastAsia="宋体" w:cs="Times New Roman"/>
                      <w:kern w:val="0"/>
                      <w:sz w:val="24"/>
                      <w:highlight w:val="none"/>
                    </w:rPr>
                    <w:t>m</w:t>
                  </w:r>
                  <w:r>
                    <w:rPr>
                      <w:rFonts w:hint="default" w:ascii="Times New Roman" w:hAnsi="Times New Roman" w:eastAsia="宋体" w:cs="Times New Roman"/>
                      <w:kern w:val="0"/>
                      <w:sz w:val="24"/>
                      <w:highlight w:val="none"/>
                      <w:vertAlign w:val="superscript"/>
                    </w:rPr>
                    <w:t>3</w:t>
                  </w:r>
                  <w:r>
                    <w:rPr>
                      <w:rFonts w:hint="default" w:ascii="Times New Roman" w:hAnsi="Times New Roman" w:eastAsia="宋体" w:cs="Times New Roman"/>
                      <w:kern w:val="0"/>
                      <w:sz w:val="24"/>
                      <w:highlight w:val="none"/>
                    </w:rPr>
                    <w:t>/d</w:t>
                  </w:r>
                </w:p>
              </w:tc>
            </w:tr>
            <w:tr w14:paraId="5B064DBE">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372" w:hRule="atLeast"/>
                <w:jc w:val="center"/>
              </w:trPr>
              <w:tc>
                <w:tcPr>
                  <w:tcW w:w="2038" w:type="pct"/>
                  <w:gridSpan w:val="2"/>
                  <w:noWrap w:val="0"/>
                  <w:vAlign w:val="center"/>
                </w:tcPr>
                <w:p w14:paraId="257B39DE">
                  <w:pPr>
                    <w:adjustRightInd w:val="0"/>
                    <w:snapToGrid w:val="0"/>
                    <w:jc w:val="center"/>
                    <w:rPr>
                      <w:rFonts w:hint="default"/>
                      <w:bCs/>
                      <w:color w:val="auto"/>
                      <w:sz w:val="24"/>
                      <w:highlight w:val="none"/>
                      <w:lang w:val="en-US" w:eastAsia="zh-CN"/>
                    </w:rPr>
                  </w:pPr>
                  <w:r>
                    <w:rPr>
                      <w:rFonts w:hint="eastAsia"/>
                      <w:bCs/>
                      <w:color w:val="auto"/>
                      <w:sz w:val="24"/>
                      <w:highlight w:val="none"/>
                      <w:lang w:val="en-US" w:eastAsia="zh-CN"/>
                    </w:rPr>
                    <w:t>合计</w:t>
                  </w:r>
                </w:p>
              </w:tc>
              <w:tc>
                <w:tcPr>
                  <w:tcW w:w="1480" w:type="pct"/>
                  <w:gridSpan w:val="2"/>
                  <w:noWrap w:val="0"/>
                  <w:vAlign w:val="center"/>
                </w:tcPr>
                <w:p w14:paraId="7A41EA76">
                  <w:pPr>
                    <w:adjustRightInd w:val="0"/>
                    <w:snapToGrid w:val="0"/>
                    <w:jc w:val="center"/>
                    <w:rPr>
                      <w:rFonts w:hint="default"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kern w:val="0"/>
                      <w:sz w:val="24"/>
                      <w:highlight w:val="none"/>
                      <w:lang w:val="en-US" w:eastAsia="zh-CN"/>
                    </w:rPr>
                    <w:t>5.4</w:t>
                  </w:r>
                  <w:r>
                    <w:rPr>
                      <w:rFonts w:hint="default" w:ascii="Times New Roman" w:hAnsi="Times New Roman" w:eastAsia="宋体" w:cs="Times New Roman"/>
                      <w:kern w:val="0"/>
                      <w:sz w:val="24"/>
                      <w:highlight w:val="none"/>
                    </w:rPr>
                    <w:t>m</w:t>
                  </w:r>
                  <w:r>
                    <w:rPr>
                      <w:rFonts w:hint="default" w:ascii="Times New Roman" w:hAnsi="Times New Roman" w:eastAsia="宋体" w:cs="Times New Roman"/>
                      <w:kern w:val="0"/>
                      <w:sz w:val="24"/>
                      <w:highlight w:val="none"/>
                      <w:vertAlign w:val="superscript"/>
                    </w:rPr>
                    <w:t>3</w:t>
                  </w:r>
                  <w:r>
                    <w:rPr>
                      <w:rFonts w:hint="default" w:ascii="Times New Roman" w:hAnsi="Times New Roman" w:eastAsia="宋体" w:cs="Times New Roman"/>
                      <w:kern w:val="0"/>
                      <w:sz w:val="24"/>
                      <w:highlight w:val="none"/>
                    </w:rPr>
                    <w:t>/d</w:t>
                  </w:r>
                </w:p>
              </w:tc>
              <w:tc>
                <w:tcPr>
                  <w:tcW w:w="1481" w:type="pct"/>
                  <w:gridSpan w:val="2"/>
                  <w:noWrap w:val="0"/>
                  <w:vAlign w:val="center"/>
                </w:tcPr>
                <w:p w14:paraId="12CE5B71">
                  <w:pPr>
                    <w:adjustRightInd w:val="0"/>
                    <w:snapToGrid w:val="0"/>
                    <w:jc w:val="center"/>
                    <w:rPr>
                      <w:rFonts w:hint="default"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kern w:val="0"/>
                      <w:sz w:val="24"/>
                      <w:highlight w:val="none"/>
                      <w:lang w:val="en-US" w:eastAsia="zh-CN"/>
                    </w:rPr>
                    <w:t>4.32</w:t>
                  </w:r>
                  <w:r>
                    <w:rPr>
                      <w:rFonts w:hint="default" w:ascii="Times New Roman" w:hAnsi="Times New Roman" w:eastAsia="宋体" w:cs="Times New Roman"/>
                      <w:kern w:val="0"/>
                      <w:sz w:val="24"/>
                      <w:highlight w:val="none"/>
                    </w:rPr>
                    <w:t>m</w:t>
                  </w:r>
                  <w:r>
                    <w:rPr>
                      <w:rFonts w:hint="default" w:ascii="Times New Roman" w:hAnsi="Times New Roman" w:eastAsia="宋体" w:cs="Times New Roman"/>
                      <w:kern w:val="0"/>
                      <w:sz w:val="24"/>
                      <w:highlight w:val="none"/>
                      <w:vertAlign w:val="superscript"/>
                    </w:rPr>
                    <w:t>3</w:t>
                  </w:r>
                  <w:r>
                    <w:rPr>
                      <w:rFonts w:hint="default" w:ascii="Times New Roman" w:hAnsi="Times New Roman" w:eastAsia="宋体" w:cs="Times New Roman"/>
                      <w:kern w:val="0"/>
                      <w:sz w:val="24"/>
                      <w:highlight w:val="none"/>
                    </w:rPr>
                    <w:t>/d</w:t>
                  </w:r>
                </w:p>
              </w:tc>
            </w:tr>
            <w:tr w14:paraId="6EB4BF5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372" w:hRule="atLeast"/>
                <w:jc w:val="center"/>
              </w:trPr>
              <w:tc>
                <w:tcPr>
                  <w:tcW w:w="551" w:type="pct"/>
                  <w:noWrap w:val="0"/>
                  <w:vAlign w:val="center"/>
                </w:tcPr>
                <w:p w14:paraId="3F0372B0">
                  <w:pPr>
                    <w:adjustRightInd w:val="0"/>
                    <w:snapToGrid w:val="0"/>
                    <w:jc w:val="center"/>
                    <w:rPr>
                      <w:rFonts w:hint="eastAsia" w:eastAsia="宋体"/>
                      <w:bCs/>
                      <w:color w:val="auto"/>
                      <w:sz w:val="24"/>
                      <w:highlight w:val="none"/>
                      <w:lang w:val="en-US" w:eastAsia="zh-CN"/>
                    </w:rPr>
                  </w:pPr>
                  <w:r>
                    <w:rPr>
                      <w:rFonts w:hint="eastAsia"/>
                      <w:bCs/>
                      <w:color w:val="auto"/>
                      <w:sz w:val="24"/>
                      <w:highlight w:val="none"/>
                      <w:lang w:val="en-US" w:eastAsia="zh-CN"/>
                    </w:rPr>
                    <w:t>1</w:t>
                  </w:r>
                </w:p>
              </w:tc>
              <w:tc>
                <w:tcPr>
                  <w:tcW w:w="1487" w:type="pct"/>
                  <w:noWrap w:val="0"/>
                  <w:vAlign w:val="center"/>
                </w:tcPr>
                <w:p w14:paraId="51B3568F">
                  <w:pPr>
                    <w:adjustRightInd w:val="0"/>
                    <w:snapToGrid w:val="0"/>
                    <w:jc w:val="center"/>
                    <w:rPr>
                      <w:rFonts w:ascii="Times New Roman" w:hAnsi="Times New Roman" w:eastAsia="宋体" w:cs="Times New Roman"/>
                      <w:bCs/>
                      <w:color w:val="auto"/>
                      <w:kern w:val="2"/>
                      <w:sz w:val="24"/>
                      <w:szCs w:val="24"/>
                      <w:highlight w:val="none"/>
                      <w:lang w:val="en-US" w:eastAsia="zh-CN" w:bidi="ar-SA"/>
                    </w:rPr>
                  </w:pPr>
                  <w:r>
                    <w:rPr>
                      <w:rFonts w:hint="eastAsia"/>
                      <w:color w:val="auto"/>
                      <w:kern w:val="0"/>
                      <w:sz w:val="24"/>
                      <w:highlight w:val="none"/>
                    </w:rPr>
                    <w:t>锅炉</w:t>
                  </w:r>
                  <w:r>
                    <w:rPr>
                      <w:rFonts w:hint="eastAsia"/>
                      <w:bCs/>
                      <w:color w:val="auto"/>
                      <w:sz w:val="24"/>
                      <w:highlight w:val="none"/>
                    </w:rPr>
                    <w:t>用水</w:t>
                  </w:r>
                </w:p>
              </w:tc>
              <w:tc>
                <w:tcPr>
                  <w:tcW w:w="740" w:type="pct"/>
                  <w:noWrap w:val="0"/>
                  <w:vAlign w:val="center"/>
                </w:tcPr>
                <w:p w14:paraId="59BC2713">
                  <w:pPr>
                    <w:adjustRightInd w:val="0"/>
                    <w:snapToGrid w:val="0"/>
                    <w:jc w:val="center"/>
                    <w:rPr>
                      <w:rFonts w:hint="default" w:ascii="Times New Roman" w:hAnsi="Times New Roman" w:eastAsia="宋体" w:cs="Times New Roman"/>
                      <w:bCs/>
                      <w:color w:val="auto"/>
                      <w:kern w:val="2"/>
                      <w:sz w:val="24"/>
                      <w:szCs w:val="24"/>
                      <w:highlight w:val="none"/>
                      <w:lang w:val="en-US" w:eastAsia="zh-CN" w:bidi="ar-SA"/>
                    </w:rPr>
                  </w:pPr>
                  <w:r>
                    <w:rPr>
                      <w:rFonts w:hint="eastAsia" w:cs="Times New Roman"/>
                      <w:bCs/>
                      <w:color w:val="auto"/>
                      <w:kern w:val="2"/>
                      <w:sz w:val="24"/>
                      <w:szCs w:val="24"/>
                      <w:highlight w:val="none"/>
                      <w:lang w:val="en-US" w:eastAsia="zh-CN" w:bidi="ar-SA"/>
                    </w:rPr>
                    <w:t>3</w:t>
                  </w:r>
                </w:p>
              </w:tc>
              <w:tc>
                <w:tcPr>
                  <w:tcW w:w="740" w:type="pct"/>
                  <w:noWrap w:val="0"/>
                  <w:vAlign w:val="center"/>
                </w:tcPr>
                <w:p w14:paraId="71FD4228">
                  <w:pPr>
                    <w:adjustRightInd w:val="0"/>
                    <w:snapToGrid w:val="0"/>
                    <w:jc w:val="center"/>
                    <w:rPr>
                      <w:rFonts w:hint="default" w:ascii="Times New Roman" w:hAnsi="Times New Roman" w:eastAsia="宋体" w:cs="Times New Roman"/>
                      <w:bCs/>
                      <w:color w:val="auto"/>
                      <w:kern w:val="2"/>
                      <w:sz w:val="24"/>
                      <w:szCs w:val="24"/>
                      <w:highlight w:val="none"/>
                      <w:lang w:val="en-US" w:eastAsia="zh-CN" w:bidi="ar-SA"/>
                    </w:rPr>
                  </w:pPr>
                  <w:r>
                    <w:rPr>
                      <w:rFonts w:hint="eastAsia" w:cs="Times New Roman"/>
                      <w:bCs/>
                      <w:color w:val="auto"/>
                      <w:kern w:val="2"/>
                      <w:sz w:val="24"/>
                      <w:szCs w:val="24"/>
                      <w:highlight w:val="none"/>
                      <w:lang w:val="en-US" w:eastAsia="zh-CN" w:bidi="ar-SA"/>
                    </w:rPr>
                    <w:t>3</w:t>
                  </w:r>
                </w:p>
              </w:tc>
              <w:tc>
                <w:tcPr>
                  <w:tcW w:w="740" w:type="pct"/>
                  <w:noWrap w:val="0"/>
                  <w:vAlign w:val="center"/>
                </w:tcPr>
                <w:p w14:paraId="32F21EDF">
                  <w:pPr>
                    <w:adjustRightInd w:val="0"/>
                    <w:snapToGrid w:val="0"/>
                    <w:jc w:val="center"/>
                    <w:rPr>
                      <w:rFonts w:hint="default" w:ascii="Times New Roman" w:hAnsi="Times New Roman" w:eastAsia="宋体" w:cs="Times New Roman"/>
                      <w:bCs/>
                      <w:color w:val="auto"/>
                      <w:kern w:val="2"/>
                      <w:sz w:val="24"/>
                      <w:szCs w:val="24"/>
                      <w:highlight w:val="none"/>
                      <w:lang w:val="en-US" w:eastAsia="zh-CN" w:bidi="ar-SA"/>
                    </w:rPr>
                  </w:pPr>
                  <w:r>
                    <w:rPr>
                      <w:rFonts w:hint="eastAsia"/>
                      <w:bCs/>
                      <w:color w:val="auto"/>
                      <w:sz w:val="24"/>
                      <w:highlight w:val="none"/>
                      <w:lang w:val="en-US" w:eastAsia="zh-CN"/>
                    </w:rPr>
                    <w:t>1.2</w:t>
                  </w:r>
                </w:p>
              </w:tc>
              <w:tc>
                <w:tcPr>
                  <w:tcW w:w="741" w:type="pct"/>
                  <w:noWrap w:val="0"/>
                  <w:vAlign w:val="center"/>
                </w:tcPr>
                <w:p w14:paraId="0B667678">
                  <w:pPr>
                    <w:adjustRightInd w:val="0"/>
                    <w:snapToGrid w:val="0"/>
                    <w:jc w:val="center"/>
                    <w:rPr>
                      <w:rFonts w:hint="default" w:ascii="Times New Roman" w:hAnsi="Times New Roman" w:eastAsia="宋体" w:cs="Times New Roman"/>
                      <w:bCs/>
                      <w:color w:val="auto"/>
                      <w:kern w:val="2"/>
                      <w:sz w:val="24"/>
                      <w:szCs w:val="24"/>
                      <w:highlight w:val="none"/>
                      <w:lang w:val="en-US" w:eastAsia="zh-CN" w:bidi="ar-SA"/>
                    </w:rPr>
                  </w:pPr>
                  <w:r>
                    <w:rPr>
                      <w:rFonts w:hint="eastAsia"/>
                      <w:bCs/>
                      <w:color w:val="auto"/>
                      <w:sz w:val="24"/>
                      <w:highlight w:val="none"/>
                      <w:lang w:val="en-US" w:eastAsia="zh-CN"/>
                    </w:rPr>
                    <w:t>1.2</w:t>
                  </w:r>
                </w:p>
              </w:tc>
            </w:tr>
            <w:tr w14:paraId="08DDC7E7">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372" w:hRule="atLeast"/>
                <w:jc w:val="center"/>
              </w:trPr>
              <w:tc>
                <w:tcPr>
                  <w:tcW w:w="551" w:type="pct"/>
                  <w:noWrap w:val="0"/>
                  <w:vAlign w:val="center"/>
                </w:tcPr>
                <w:p w14:paraId="198354C7">
                  <w:pPr>
                    <w:adjustRightInd w:val="0"/>
                    <w:snapToGrid w:val="0"/>
                    <w:jc w:val="center"/>
                    <w:rPr>
                      <w:rFonts w:hint="eastAsia" w:eastAsia="宋体"/>
                      <w:bCs/>
                      <w:color w:val="auto"/>
                      <w:sz w:val="24"/>
                      <w:highlight w:val="none"/>
                      <w:lang w:val="en-US" w:eastAsia="zh-CN"/>
                    </w:rPr>
                  </w:pPr>
                  <w:r>
                    <w:rPr>
                      <w:rFonts w:hint="eastAsia"/>
                      <w:bCs/>
                      <w:color w:val="auto"/>
                      <w:sz w:val="24"/>
                      <w:highlight w:val="none"/>
                      <w:lang w:val="en-US" w:eastAsia="zh-CN"/>
                    </w:rPr>
                    <w:t>2</w:t>
                  </w:r>
                </w:p>
              </w:tc>
              <w:tc>
                <w:tcPr>
                  <w:tcW w:w="1487" w:type="pct"/>
                  <w:noWrap w:val="0"/>
                  <w:vAlign w:val="center"/>
                </w:tcPr>
                <w:p w14:paraId="75A18F7A">
                  <w:pPr>
                    <w:adjustRightInd w:val="0"/>
                    <w:snapToGrid w:val="0"/>
                    <w:jc w:val="center"/>
                    <w:rPr>
                      <w:rFonts w:ascii="Times New Roman" w:hAnsi="Times New Roman" w:eastAsia="宋体" w:cs="Times New Roman"/>
                      <w:bCs/>
                      <w:color w:val="auto"/>
                      <w:kern w:val="2"/>
                      <w:sz w:val="24"/>
                      <w:szCs w:val="24"/>
                      <w:highlight w:val="none"/>
                      <w:lang w:val="en-US" w:eastAsia="zh-CN" w:bidi="ar-SA"/>
                    </w:rPr>
                  </w:pPr>
                  <w:r>
                    <w:rPr>
                      <w:rFonts w:hint="eastAsia"/>
                      <w:color w:val="auto"/>
                      <w:kern w:val="0"/>
                      <w:sz w:val="24"/>
                      <w:highlight w:val="none"/>
                      <w:lang w:val="en-US" w:eastAsia="zh-CN"/>
                    </w:rPr>
                    <w:t>化</w:t>
                  </w:r>
                  <w:r>
                    <w:rPr>
                      <w:rFonts w:hint="eastAsia"/>
                      <w:color w:val="auto"/>
                      <w:kern w:val="0"/>
                      <w:sz w:val="24"/>
                      <w:highlight w:val="none"/>
                    </w:rPr>
                    <w:t>水车间</w:t>
                  </w:r>
                  <w:r>
                    <w:rPr>
                      <w:rFonts w:hint="eastAsia"/>
                      <w:bCs/>
                      <w:color w:val="auto"/>
                      <w:sz w:val="24"/>
                      <w:highlight w:val="none"/>
                    </w:rPr>
                    <w:t>用水</w:t>
                  </w:r>
                </w:p>
              </w:tc>
              <w:tc>
                <w:tcPr>
                  <w:tcW w:w="740" w:type="pct"/>
                  <w:noWrap w:val="0"/>
                  <w:vAlign w:val="center"/>
                </w:tcPr>
                <w:p w14:paraId="6A21DD13">
                  <w:pPr>
                    <w:adjustRightInd w:val="0"/>
                    <w:snapToGrid w:val="0"/>
                    <w:jc w:val="center"/>
                    <w:rPr>
                      <w:rFonts w:hint="default" w:ascii="Times New Roman" w:hAnsi="Times New Roman" w:eastAsia="宋体" w:cs="Times New Roman"/>
                      <w:bCs/>
                      <w:color w:val="auto"/>
                      <w:kern w:val="2"/>
                      <w:sz w:val="24"/>
                      <w:szCs w:val="24"/>
                      <w:highlight w:val="none"/>
                      <w:lang w:val="en-US" w:eastAsia="zh-CN" w:bidi="ar-SA"/>
                    </w:rPr>
                  </w:pPr>
                  <w:r>
                    <w:rPr>
                      <w:rFonts w:hint="eastAsia" w:cs="Times New Roman"/>
                      <w:bCs/>
                      <w:color w:val="auto"/>
                      <w:kern w:val="2"/>
                      <w:sz w:val="24"/>
                      <w:szCs w:val="24"/>
                      <w:highlight w:val="none"/>
                      <w:lang w:val="en-US" w:eastAsia="zh-CN" w:bidi="ar-SA"/>
                    </w:rPr>
                    <w:t>8.5</w:t>
                  </w:r>
                </w:p>
              </w:tc>
              <w:tc>
                <w:tcPr>
                  <w:tcW w:w="740" w:type="pct"/>
                  <w:noWrap w:val="0"/>
                  <w:vAlign w:val="center"/>
                </w:tcPr>
                <w:p w14:paraId="47ECCAE9">
                  <w:pPr>
                    <w:adjustRightInd w:val="0"/>
                    <w:snapToGrid w:val="0"/>
                    <w:jc w:val="center"/>
                    <w:rPr>
                      <w:rFonts w:hint="default" w:ascii="Times New Roman" w:hAnsi="Times New Roman" w:eastAsia="宋体" w:cs="Times New Roman"/>
                      <w:bCs/>
                      <w:color w:val="auto"/>
                      <w:kern w:val="2"/>
                      <w:sz w:val="24"/>
                      <w:szCs w:val="24"/>
                      <w:highlight w:val="none"/>
                      <w:lang w:val="en-US" w:eastAsia="zh-CN" w:bidi="ar-SA"/>
                    </w:rPr>
                  </w:pPr>
                  <w:r>
                    <w:rPr>
                      <w:rFonts w:hint="eastAsia" w:cs="Times New Roman"/>
                      <w:bCs/>
                      <w:color w:val="auto"/>
                      <w:kern w:val="2"/>
                      <w:sz w:val="24"/>
                      <w:szCs w:val="24"/>
                      <w:highlight w:val="none"/>
                      <w:lang w:val="en-US" w:eastAsia="zh-CN" w:bidi="ar-SA"/>
                    </w:rPr>
                    <w:t>8.5</w:t>
                  </w:r>
                </w:p>
              </w:tc>
              <w:tc>
                <w:tcPr>
                  <w:tcW w:w="740" w:type="pct"/>
                  <w:noWrap w:val="0"/>
                  <w:vAlign w:val="center"/>
                </w:tcPr>
                <w:p w14:paraId="171B84A2">
                  <w:pPr>
                    <w:adjustRightInd w:val="0"/>
                    <w:snapToGrid w:val="0"/>
                    <w:jc w:val="center"/>
                    <w:rPr>
                      <w:rFonts w:hint="eastAsia" w:ascii="Times New Roman" w:hAnsi="Times New Roman" w:eastAsia="宋体" w:cs="Times New Roman"/>
                      <w:bCs/>
                      <w:color w:val="auto"/>
                      <w:kern w:val="2"/>
                      <w:sz w:val="24"/>
                      <w:szCs w:val="24"/>
                      <w:highlight w:val="none"/>
                      <w:lang w:val="en-US" w:eastAsia="zh-CN" w:bidi="ar-SA"/>
                    </w:rPr>
                  </w:pPr>
                  <w:r>
                    <w:rPr>
                      <w:rFonts w:hint="eastAsia" w:cs="Times New Roman"/>
                      <w:bCs/>
                      <w:color w:val="auto"/>
                      <w:kern w:val="2"/>
                      <w:sz w:val="24"/>
                      <w:szCs w:val="24"/>
                      <w:highlight w:val="none"/>
                      <w:lang w:val="en-US" w:eastAsia="zh-CN" w:bidi="ar-SA"/>
                    </w:rPr>
                    <w:t>3.5</w:t>
                  </w:r>
                </w:p>
              </w:tc>
              <w:tc>
                <w:tcPr>
                  <w:tcW w:w="741" w:type="pct"/>
                  <w:noWrap w:val="0"/>
                  <w:vAlign w:val="center"/>
                </w:tcPr>
                <w:p w14:paraId="0A6594D7">
                  <w:pPr>
                    <w:adjustRightInd w:val="0"/>
                    <w:snapToGrid w:val="0"/>
                    <w:jc w:val="center"/>
                    <w:rPr>
                      <w:rFonts w:hint="eastAsia" w:ascii="Times New Roman" w:hAnsi="Times New Roman" w:eastAsia="宋体" w:cs="Times New Roman"/>
                      <w:bCs/>
                      <w:color w:val="auto"/>
                      <w:kern w:val="2"/>
                      <w:sz w:val="24"/>
                      <w:szCs w:val="24"/>
                      <w:highlight w:val="none"/>
                      <w:lang w:val="en-US" w:eastAsia="zh-CN" w:bidi="ar-SA"/>
                    </w:rPr>
                  </w:pPr>
                  <w:r>
                    <w:rPr>
                      <w:rFonts w:hint="eastAsia" w:cs="Times New Roman"/>
                      <w:bCs/>
                      <w:color w:val="auto"/>
                      <w:kern w:val="2"/>
                      <w:sz w:val="24"/>
                      <w:szCs w:val="24"/>
                      <w:highlight w:val="none"/>
                      <w:lang w:val="en-US" w:eastAsia="zh-CN" w:bidi="ar-SA"/>
                    </w:rPr>
                    <w:t>3.5</w:t>
                  </w:r>
                </w:p>
              </w:tc>
            </w:tr>
            <w:tr w14:paraId="4358AD71">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372" w:hRule="atLeast"/>
                <w:jc w:val="center"/>
              </w:trPr>
              <w:tc>
                <w:tcPr>
                  <w:tcW w:w="551" w:type="pct"/>
                  <w:noWrap w:val="0"/>
                  <w:vAlign w:val="center"/>
                </w:tcPr>
                <w:p w14:paraId="67375A3D">
                  <w:pPr>
                    <w:adjustRightInd w:val="0"/>
                    <w:snapToGrid w:val="0"/>
                    <w:jc w:val="center"/>
                    <w:rPr>
                      <w:rFonts w:hint="eastAsia" w:eastAsia="宋体"/>
                      <w:bCs/>
                      <w:color w:val="auto"/>
                      <w:sz w:val="24"/>
                      <w:highlight w:val="none"/>
                      <w:lang w:val="en-US" w:eastAsia="zh-CN"/>
                    </w:rPr>
                  </w:pPr>
                  <w:r>
                    <w:rPr>
                      <w:rFonts w:hint="eastAsia"/>
                      <w:bCs/>
                      <w:color w:val="auto"/>
                      <w:sz w:val="24"/>
                      <w:highlight w:val="none"/>
                      <w:lang w:val="en-US" w:eastAsia="zh-CN"/>
                    </w:rPr>
                    <w:t>3</w:t>
                  </w:r>
                </w:p>
              </w:tc>
              <w:tc>
                <w:tcPr>
                  <w:tcW w:w="1487" w:type="pct"/>
                  <w:noWrap w:val="0"/>
                  <w:vAlign w:val="center"/>
                </w:tcPr>
                <w:p w14:paraId="6D07E567">
                  <w:pPr>
                    <w:adjustRightInd w:val="0"/>
                    <w:snapToGrid w:val="0"/>
                    <w:jc w:val="center"/>
                    <w:rPr>
                      <w:rFonts w:hint="eastAsia" w:ascii="Times New Roman" w:hAnsi="Times New Roman" w:eastAsia="宋体" w:cs="Times New Roman"/>
                      <w:bCs/>
                      <w:color w:val="auto"/>
                      <w:kern w:val="2"/>
                      <w:sz w:val="24"/>
                      <w:szCs w:val="24"/>
                      <w:highlight w:val="none"/>
                      <w:lang w:val="en-US" w:eastAsia="zh-CN" w:bidi="ar-SA"/>
                    </w:rPr>
                  </w:pPr>
                  <w:r>
                    <w:rPr>
                      <w:rFonts w:hint="eastAsia"/>
                      <w:color w:val="auto"/>
                      <w:kern w:val="0"/>
                      <w:sz w:val="24"/>
                      <w:highlight w:val="none"/>
                    </w:rPr>
                    <w:t>循环冷却</w:t>
                  </w:r>
                  <w:r>
                    <w:rPr>
                      <w:rFonts w:hint="eastAsia"/>
                      <w:bCs/>
                      <w:color w:val="auto"/>
                      <w:sz w:val="24"/>
                      <w:highlight w:val="none"/>
                    </w:rPr>
                    <w:t>用水</w:t>
                  </w:r>
                </w:p>
              </w:tc>
              <w:tc>
                <w:tcPr>
                  <w:tcW w:w="740" w:type="pct"/>
                  <w:noWrap w:val="0"/>
                  <w:vAlign w:val="center"/>
                </w:tcPr>
                <w:p w14:paraId="5F842BFA">
                  <w:pPr>
                    <w:adjustRightInd w:val="0"/>
                    <w:snapToGrid w:val="0"/>
                    <w:jc w:val="center"/>
                    <w:rPr>
                      <w:rFonts w:hint="default" w:ascii="Times New Roman" w:hAnsi="Times New Roman" w:eastAsia="宋体" w:cs="Times New Roman"/>
                      <w:bCs/>
                      <w:color w:val="auto"/>
                      <w:kern w:val="2"/>
                      <w:sz w:val="24"/>
                      <w:szCs w:val="24"/>
                      <w:highlight w:val="none"/>
                      <w:lang w:val="en-US" w:eastAsia="zh-CN" w:bidi="ar-SA"/>
                    </w:rPr>
                  </w:pPr>
                  <w:r>
                    <w:rPr>
                      <w:rFonts w:hint="eastAsia"/>
                      <w:bCs/>
                      <w:color w:val="auto"/>
                      <w:sz w:val="24"/>
                      <w:highlight w:val="none"/>
                      <w:lang w:val="en-US" w:eastAsia="zh-CN"/>
                    </w:rPr>
                    <w:t>36.4</w:t>
                  </w:r>
                </w:p>
              </w:tc>
              <w:tc>
                <w:tcPr>
                  <w:tcW w:w="740" w:type="pct"/>
                  <w:noWrap w:val="0"/>
                  <w:vAlign w:val="center"/>
                </w:tcPr>
                <w:p w14:paraId="5C89F04C">
                  <w:pPr>
                    <w:adjustRightInd w:val="0"/>
                    <w:snapToGrid w:val="0"/>
                    <w:jc w:val="center"/>
                    <w:rPr>
                      <w:rFonts w:hint="default" w:ascii="Times New Roman" w:hAnsi="Times New Roman" w:eastAsia="宋体" w:cs="Times New Roman"/>
                      <w:bCs/>
                      <w:color w:val="auto"/>
                      <w:kern w:val="2"/>
                      <w:sz w:val="24"/>
                      <w:szCs w:val="24"/>
                      <w:highlight w:val="none"/>
                      <w:lang w:val="en-US" w:eastAsia="zh-CN" w:bidi="ar-SA"/>
                    </w:rPr>
                  </w:pPr>
                  <w:r>
                    <w:rPr>
                      <w:rFonts w:hint="eastAsia"/>
                      <w:bCs/>
                      <w:color w:val="auto"/>
                      <w:sz w:val="24"/>
                      <w:highlight w:val="none"/>
                      <w:lang w:val="en-US" w:eastAsia="zh-CN"/>
                    </w:rPr>
                    <w:t>75.8</w:t>
                  </w:r>
                </w:p>
              </w:tc>
              <w:tc>
                <w:tcPr>
                  <w:tcW w:w="740" w:type="pct"/>
                  <w:noWrap w:val="0"/>
                  <w:vAlign w:val="center"/>
                </w:tcPr>
                <w:p w14:paraId="1D341E49">
                  <w:pPr>
                    <w:adjustRightInd w:val="0"/>
                    <w:snapToGrid w:val="0"/>
                    <w:jc w:val="center"/>
                    <w:rPr>
                      <w:rFonts w:hint="eastAsia" w:ascii="Times New Roman" w:hAnsi="Times New Roman" w:eastAsia="宋体" w:cs="Times New Roman"/>
                      <w:bCs/>
                      <w:color w:val="auto"/>
                      <w:kern w:val="2"/>
                      <w:sz w:val="24"/>
                      <w:szCs w:val="24"/>
                      <w:highlight w:val="none"/>
                      <w:lang w:val="en-US" w:eastAsia="zh-CN" w:bidi="ar-SA"/>
                    </w:rPr>
                  </w:pPr>
                  <w:r>
                    <w:rPr>
                      <w:rFonts w:hint="eastAsia"/>
                      <w:bCs/>
                      <w:color w:val="auto"/>
                      <w:sz w:val="24"/>
                      <w:highlight w:val="none"/>
                      <w:lang w:val="en-US" w:eastAsia="zh-CN"/>
                    </w:rPr>
                    <w:t>1.4</w:t>
                  </w:r>
                </w:p>
              </w:tc>
              <w:tc>
                <w:tcPr>
                  <w:tcW w:w="741" w:type="pct"/>
                  <w:noWrap w:val="0"/>
                  <w:vAlign w:val="center"/>
                </w:tcPr>
                <w:p w14:paraId="0CBE51A2">
                  <w:pPr>
                    <w:adjustRightInd w:val="0"/>
                    <w:snapToGrid w:val="0"/>
                    <w:jc w:val="center"/>
                    <w:rPr>
                      <w:rFonts w:hint="eastAsia" w:ascii="Times New Roman" w:hAnsi="Times New Roman" w:eastAsia="宋体" w:cs="Times New Roman"/>
                      <w:bCs/>
                      <w:color w:val="auto"/>
                      <w:kern w:val="2"/>
                      <w:sz w:val="24"/>
                      <w:szCs w:val="24"/>
                      <w:highlight w:val="none"/>
                      <w:lang w:val="en-US" w:eastAsia="zh-CN" w:bidi="ar-SA"/>
                    </w:rPr>
                  </w:pPr>
                  <w:r>
                    <w:rPr>
                      <w:rFonts w:hint="eastAsia"/>
                      <w:bCs/>
                      <w:color w:val="auto"/>
                      <w:sz w:val="24"/>
                      <w:highlight w:val="none"/>
                      <w:lang w:val="en-US" w:eastAsia="zh-CN"/>
                    </w:rPr>
                    <w:t>2.8</w:t>
                  </w:r>
                </w:p>
              </w:tc>
            </w:tr>
            <w:tr w14:paraId="3444C20E">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372" w:hRule="atLeast"/>
                <w:jc w:val="center"/>
              </w:trPr>
              <w:tc>
                <w:tcPr>
                  <w:tcW w:w="2038" w:type="pct"/>
                  <w:gridSpan w:val="2"/>
                  <w:noWrap w:val="0"/>
                  <w:vAlign w:val="center"/>
                </w:tcPr>
                <w:p w14:paraId="551B5DDC">
                  <w:pPr>
                    <w:adjustRightInd w:val="0"/>
                    <w:snapToGrid w:val="0"/>
                    <w:jc w:val="center"/>
                    <w:rPr>
                      <w:bCs/>
                      <w:color w:val="auto"/>
                      <w:sz w:val="24"/>
                      <w:highlight w:val="none"/>
                    </w:rPr>
                  </w:pPr>
                  <w:r>
                    <w:rPr>
                      <w:rFonts w:hint="eastAsia"/>
                      <w:bCs/>
                      <w:color w:val="auto"/>
                      <w:sz w:val="24"/>
                      <w:highlight w:val="none"/>
                    </w:rPr>
                    <w:t>合计</w:t>
                  </w:r>
                </w:p>
              </w:tc>
              <w:tc>
                <w:tcPr>
                  <w:tcW w:w="740" w:type="pct"/>
                  <w:shd w:val="clear" w:color="auto" w:fill="auto"/>
                  <w:noWrap w:val="0"/>
                  <w:vAlign w:val="center"/>
                </w:tcPr>
                <w:p w14:paraId="7085A7B5">
                  <w:pPr>
                    <w:adjustRightInd w:val="0"/>
                    <w:snapToGrid w:val="0"/>
                    <w:jc w:val="center"/>
                    <w:rPr>
                      <w:rFonts w:hint="default" w:ascii="Times New Roman" w:hAnsi="Times New Roman" w:eastAsia="宋体" w:cs="Times New Roman"/>
                      <w:bCs/>
                      <w:color w:val="auto"/>
                      <w:kern w:val="2"/>
                      <w:sz w:val="24"/>
                      <w:szCs w:val="24"/>
                      <w:highlight w:val="none"/>
                      <w:lang w:val="en-US" w:eastAsia="zh-CN" w:bidi="ar-SA"/>
                    </w:rPr>
                  </w:pPr>
                  <w:r>
                    <w:rPr>
                      <w:rFonts w:hint="default" w:eastAsia="宋体"/>
                      <w:bCs/>
                      <w:color w:val="auto"/>
                      <w:sz w:val="24"/>
                      <w:highlight w:val="none"/>
                      <w:lang w:val="en-US" w:eastAsia="zh-CN"/>
                    </w:rPr>
                    <w:fldChar w:fldCharType="begin"/>
                  </w:r>
                  <w:r>
                    <w:rPr>
                      <w:rFonts w:hint="default" w:eastAsia="宋体"/>
                      <w:bCs/>
                      <w:color w:val="auto"/>
                      <w:sz w:val="24"/>
                      <w:highlight w:val="none"/>
                      <w:lang w:val="en-US" w:eastAsia="zh-CN"/>
                    </w:rPr>
                    <w:instrText xml:space="preserve"> = sum(C5:C7) \* MERGEFORMAT </w:instrText>
                  </w:r>
                  <w:r>
                    <w:rPr>
                      <w:rFonts w:hint="default" w:eastAsia="宋体"/>
                      <w:bCs/>
                      <w:color w:val="auto"/>
                      <w:sz w:val="24"/>
                      <w:highlight w:val="none"/>
                      <w:lang w:val="en-US" w:eastAsia="zh-CN"/>
                    </w:rPr>
                    <w:fldChar w:fldCharType="separate"/>
                  </w:r>
                  <w:r>
                    <w:rPr>
                      <w:rFonts w:hint="eastAsia" w:eastAsia="宋体"/>
                      <w:bCs/>
                      <w:color w:val="auto"/>
                      <w:sz w:val="24"/>
                      <w:highlight w:val="none"/>
                      <w:lang w:val="en-US" w:eastAsia="zh-CN"/>
                    </w:rPr>
                    <w:t>4</w:t>
                  </w:r>
                  <w:r>
                    <w:rPr>
                      <w:rFonts w:hint="default" w:eastAsia="宋体"/>
                      <w:bCs/>
                      <w:color w:val="auto"/>
                      <w:sz w:val="24"/>
                      <w:highlight w:val="none"/>
                      <w:lang w:val="en-US" w:eastAsia="zh-CN"/>
                    </w:rPr>
                    <w:t>7.9</w:t>
                  </w:r>
                  <w:r>
                    <w:rPr>
                      <w:rFonts w:hint="default" w:eastAsia="宋体"/>
                      <w:bCs/>
                      <w:color w:val="auto"/>
                      <w:sz w:val="24"/>
                      <w:highlight w:val="none"/>
                      <w:lang w:val="en-US" w:eastAsia="zh-CN"/>
                    </w:rPr>
                    <w:fldChar w:fldCharType="end"/>
                  </w:r>
                </w:p>
              </w:tc>
              <w:tc>
                <w:tcPr>
                  <w:tcW w:w="740" w:type="pct"/>
                  <w:shd w:val="clear" w:color="auto" w:fill="auto"/>
                  <w:noWrap w:val="0"/>
                  <w:vAlign w:val="center"/>
                </w:tcPr>
                <w:p w14:paraId="450E6209">
                  <w:pPr>
                    <w:adjustRightInd w:val="0"/>
                    <w:snapToGrid w:val="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bCs/>
                      <w:color w:val="auto"/>
                      <w:kern w:val="2"/>
                      <w:sz w:val="24"/>
                      <w:szCs w:val="24"/>
                      <w:highlight w:val="none"/>
                      <w:lang w:val="en-US" w:eastAsia="zh-CN" w:bidi="ar-SA"/>
                    </w:rPr>
                    <w:fldChar w:fldCharType="begin"/>
                  </w:r>
                  <w:r>
                    <w:rPr>
                      <w:rFonts w:hint="default" w:ascii="Times New Roman" w:hAnsi="Times New Roman" w:eastAsia="宋体" w:cs="Times New Roman"/>
                      <w:bCs/>
                      <w:color w:val="auto"/>
                      <w:kern w:val="2"/>
                      <w:sz w:val="24"/>
                      <w:szCs w:val="24"/>
                      <w:highlight w:val="none"/>
                      <w:lang w:val="en-US" w:eastAsia="zh-CN" w:bidi="ar-SA"/>
                    </w:rPr>
                    <w:instrText xml:space="preserve"> = sum(D5:D7) \* MERGEFORMAT </w:instrText>
                  </w:r>
                  <w:r>
                    <w:rPr>
                      <w:rFonts w:hint="default" w:ascii="Times New Roman" w:hAnsi="Times New Roman" w:eastAsia="宋体" w:cs="Times New Roman"/>
                      <w:bCs/>
                      <w:color w:val="auto"/>
                      <w:kern w:val="2"/>
                      <w:sz w:val="24"/>
                      <w:szCs w:val="24"/>
                      <w:highlight w:val="none"/>
                      <w:lang w:val="en-US" w:eastAsia="zh-CN" w:bidi="ar-SA"/>
                    </w:rPr>
                    <w:fldChar w:fldCharType="separate"/>
                  </w:r>
                  <w:r>
                    <w:rPr>
                      <w:rFonts w:hint="eastAsia" w:ascii="Times New Roman" w:hAnsi="Times New Roman" w:eastAsia="宋体" w:cs="Times New Roman"/>
                      <w:bCs/>
                      <w:color w:val="auto"/>
                      <w:kern w:val="2"/>
                      <w:sz w:val="24"/>
                      <w:szCs w:val="24"/>
                      <w:highlight w:val="none"/>
                      <w:lang w:val="en-US" w:eastAsia="zh-CN" w:bidi="ar-SA"/>
                    </w:rPr>
                    <w:t>8</w:t>
                  </w:r>
                  <w:r>
                    <w:rPr>
                      <w:rFonts w:hint="default" w:ascii="Times New Roman" w:hAnsi="Times New Roman" w:eastAsia="宋体" w:cs="Times New Roman"/>
                      <w:bCs/>
                      <w:color w:val="auto"/>
                      <w:kern w:val="2"/>
                      <w:sz w:val="24"/>
                      <w:szCs w:val="24"/>
                      <w:highlight w:val="none"/>
                      <w:lang w:val="en-US" w:eastAsia="zh-CN" w:bidi="ar-SA"/>
                    </w:rPr>
                    <w:t>7.3</w:t>
                  </w:r>
                  <w:r>
                    <w:rPr>
                      <w:rFonts w:hint="default" w:ascii="Times New Roman" w:hAnsi="Times New Roman" w:eastAsia="宋体" w:cs="Times New Roman"/>
                      <w:bCs/>
                      <w:color w:val="auto"/>
                      <w:kern w:val="2"/>
                      <w:sz w:val="24"/>
                      <w:szCs w:val="24"/>
                      <w:highlight w:val="none"/>
                      <w:lang w:val="en-US" w:eastAsia="zh-CN" w:bidi="ar-SA"/>
                    </w:rPr>
                    <w:fldChar w:fldCharType="end"/>
                  </w:r>
                </w:p>
              </w:tc>
              <w:tc>
                <w:tcPr>
                  <w:tcW w:w="740" w:type="pct"/>
                  <w:shd w:val="clear" w:color="auto" w:fill="auto"/>
                  <w:noWrap w:val="0"/>
                  <w:vAlign w:val="center"/>
                </w:tcPr>
                <w:p w14:paraId="5EF721FB">
                  <w:pPr>
                    <w:adjustRightInd w:val="0"/>
                    <w:snapToGrid w:val="0"/>
                    <w:jc w:val="center"/>
                    <w:rPr>
                      <w:rFonts w:hint="default" w:ascii="Times New Roman" w:hAnsi="Times New Roman" w:eastAsia="宋体" w:cs="Times New Roman"/>
                      <w:bCs/>
                      <w:color w:val="auto"/>
                      <w:kern w:val="2"/>
                      <w:sz w:val="24"/>
                      <w:szCs w:val="24"/>
                      <w:highlight w:val="none"/>
                      <w:lang w:val="en-US" w:eastAsia="zh-CN" w:bidi="ar-SA"/>
                    </w:rPr>
                  </w:pPr>
                  <w:r>
                    <w:rPr>
                      <w:rFonts w:hint="eastAsia" w:eastAsia="宋体"/>
                      <w:bCs/>
                      <w:color w:val="auto"/>
                      <w:sz w:val="24"/>
                      <w:highlight w:val="none"/>
                      <w:lang w:val="en-US" w:eastAsia="zh-CN"/>
                    </w:rPr>
                    <w:t>6.1</w:t>
                  </w:r>
                </w:p>
              </w:tc>
              <w:tc>
                <w:tcPr>
                  <w:tcW w:w="741" w:type="pct"/>
                  <w:noWrap w:val="0"/>
                  <w:vAlign w:val="center"/>
                </w:tcPr>
                <w:p w14:paraId="70D707BE">
                  <w:pPr>
                    <w:adjustRightInd w:val="0"/>
                    <w:snapToGrid w:val="0"/>
                    <w:jc w:val="center"/>
                    <w:rPr>
                      <w:rFonts w:hint="default" w:eastAsia="宋体"/>
                      <w:bCs/>
                      <w:color w:val="auto"/>
                      <w:sz w:val="24"/>
                      <w:highlight w:val="none"/>
                      <w:lang w:val="en-US" w:eastAsia="zh-CN"/>
                    </w:rPr>
                  </w:pPr>
                  <w:r>
                    <w:rPr>
                      <w:rFonts w:hint="eastAsia"/>
                      <w:bCs/>
                      <w:color w:val="auto"/>
                      <w:sz w:val="24"/>
                      <w:highlight w:val="none"/>
                      <w:lang w:val="en-US" w:eastAsia="zh-CN"/>
                    </w:rPr>
                    <w:t>7.5</w:t>
                  </w:r>
                </w:p>
              </w:tc>
            </w:tr>
            <w:tr w14:paraId="3CB2AFE1">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372" w:hRule="atLeast"/>
                <w:jc w:val="center"/>
              </w:trPr>
              <w:tc>
                <w:tcPr>
                  <w:tcW w:w="2038" w:type="pct"/>
                  <w:gridSpan w:val="2"/>
                  <w:noWrap w:val="0"/>
                  <w:vAlign w:val="center"/>
                </w:tcPr>
                <w:p w14:paraId="2905D381">
                  <w:pPr>
                    <w:adjustRightInd w:val="0"/>
                    <w:snapToGrid w:val="0"/>
                    <w:jc w:val="center"/>
                    <w:rPr>
                      <w:rFonts w:hint="eastAsia" w:eastAsia="宋体"/>
                      <w:bCs/>
                      <w:color w:val="auto"/>
                      <w:sz w:val="24"/>
                      <w:highlight w:val="none"/>
                      <w:lang w:val="en-US" w:eastAsia="zh-CN"/>
                    </w:rPr>
                  </w:pPr>
                  <w:r>
                    <w:rPr>
                      <w:rFonts w:hint="eastAsia"/>
                      <w:bCs/>
                      <w:color w:val="auto"/>
                      <w:sz w:val="24"/>
                      <w:highlight w:val="none"/>
                      <w:lang w:val="en-US" w:eastAsia="zh-CN"/>
                    </w:rPr>
                    <w:t>合计</w:t>
                  </w:r>
                </w:p>
              </w:tc>
              <w:tc>
                <w:tcPr>
                  <w:tcW w:w="740" w:type="pct"/>
                  <w:noWrap w:val="0"/>
                  <w:vAlign w:val="center"/>
                </w:tcPr>
                <w:p w14:paraId="58144878">
                  <w:pPr>
                    <w:adjustRightInd w:val="0"/>
                    <w:snapToGrid w:val="0"/>
                    <w:jc w:val="center"/>
                    <w:rPr>
                      <w:rFonts w:hint="default"/>
                      <w:bCs/>
                      <w:color w:val="auto"/>
                      <w:sz w:val="24"/>
                      <w:highlight w:val="none"/>
                      <w:lang w:val="en-US" w:eastAsia="zh-CN"/>
                    </w:rPr>
                  </w:pPr>
                  <w:r>
                    <w:rPr>
                      <w:rFonts w:hint="eastAsia"/>
                      <w:bCs/>
                      <w:color w:val="auto"/>
                      <w:sz w:val="24"/>
                      <w:highlight w:val="none"/>
                      <w:lang w:val="en-US" w:eastAsia="zh-CN"/>
                    </w:rPr>
                    <w:t>1149.6</w:t>
                  </w:r>
                  <w:r>
                    <w:rPr>
                      <w:rFonts w:hint="default" w:ascii="Times New Roman" w:hAnsi="Times New Roman" w:eastAsia="宋体" w:cs="Times New Roman"/>
                      <w:kern w:val="0"/>
                      <w:sz w:val="24"/>
                      <w:highlight w:val="none"/>
                    </w:rPr>
                    <w:t>m</w:t>
                  </w:r>
                  <w:r>
                    <w:rPr>
                      <w:rFonts w:hint="default" w:ascii="Times New Roman" w:hAnsi="Times New Roman" w:eastAsia="宋体" w:cs="Times New Roman"/>
                      <w:kern w:val="0"/>
                      <w:sz w:val="24"/>
                      <w:highlight w:val="none"/>
                      <w:vertAlign w:val="superscript"/>
                    </w:rPr>
                    <w:t>3</w:t>
                  </w:r>
                  <w:r>
                    <w:rPr>
                      <w:rFonts w:hint="default" w:ascii="Times New Roman" w:hAnsi="Times New Roman" w:eastAsia="宋体" w:cs="Times New Roman"/>
                      <w:kern w:val="0"/>
                      <w:sz w:val="24"/>
                      <w:highlight w:val="none"/>
                    </w:rPr>
                    <w:t>/d</w:t>
                  </w:r>
                </w:p>
              </w:tc>
              <w:tc>
                <w:tcPr>
                  <w:tcW w:w="740" w:type="pct"/>
                  <w:noWrap w:val="0"/>
                  <w:vAlign w:val="center"/>
                </w:tcPr>
                <w:p w14:paraId="4831C8AF">
                  <w:pPr>
                    <w:adjustRightInd w:val="0"/>
                    <w:snapToGrid w:val="0"/>
                    <w:jc w:val="center"/>
                    <w:rPr>
                      <w:rFonts w:hint="default"/>
                      <w:bCs/>
                      <w:color w:val="auto"/>
                      <w:sz w:val="24"/>
                      <w:highlight w:val="none"/>
                      <w:lang w:val="en-US" w:eastAsia="zh-CN"/>
                    </w:rPr>
                  </w:pPr>
                  <w:r>
                    <w:rPr>
                      <w:rFonts w:hint="eastAsia"/>
                      <w:bCs/>
                      <w:color w:val="auto"/>
                      <w:sz w:val="24"/>
                      <w:highlight w:val="none"/>
                      <w:lang w:val="en-US" w:eastAsia="zh-CN"/>
                    </w:rPr>
                    <w:t>2095.2</w:t>
                  </w:r>
                  <w:r>
                    <w:rPr>
                      <w:rFonts w:hint="default" w:ascii="Times New Roman" w:hAnsi="Times New Roman" w:eastAsia="宋体" w:cs="Times New Roman"/>
                      <w:kern w:val="0"/>
                      <w:sz w:val="24"/>
                      <w:highlight w:val="none"/>
                    </w:rPr>
                    <w:t>m</w:t>
                  </w:r>
                  <w:r>
                    <w:rPr>
                      <w:rFonts w:hint="default" w:ascii="Times New Roman" w:hAnsi="Times New Roman" w:eastAsia="宋体" w:cs="Times New Roman"/>
                      <w:kern w:val="0"/>
                      <w:sz w:val="24"/>
                      <w:highlight w:val="none"/>
                      <w:vertAlign w:val="superscript"/>
                    </w:rPr>
                    <w:t>3</w:t>
                  </w:r>
                  <w:r>
                    <w:rPr>
                      <w:rFonts w:hint="default" w:ascii="Times New Roman" w:hAnsi="Times New Roman" w:eastAsia="宋体" w:cs="Times New Roman"/>
                      <w:kern w:val="0"/>
                      <w:sz w:val="24"/>
                      <w:highlight w:val="none"/>
                    </w:rPr>
                    <w:t>/d</w:t>
                  </w:r>
                </w:p>
              </w:tc>
              <w:tc>
                <w:tcPr>
                  <w:tcW w:w="740" w:type="pct"/>
                  <w:noWrap w:val="0"/>
                  <w:vAlign w:val="center"/>
                </w:tcPr>
                <w:p w14:paraId="79314C89">
                  <w:pPr>
                    <w:adjustRightInd w:val="0"/>
                    <w:snapToGrid w:val="0"/>
                    <w:jc w:val="center"/>
                    <w:rPr>
                      <w:rFonts w:hint="default" w:cs="Times New Roman"/>
                      <w:bCs/>
                      <w:color w:val="auto"/>
                      <w:kern w:val="2"/>
                      <w:sz w:val="24"/>
                      <w:szCs w:val="24"/>
                      <w:highlight w:val="none"/>
                      <w:lang w:val="en-US" w:eastAsia="zh-CN" w:bidi="ar-SA"/>
                    </w:rPr>
                  </w:pPr>
                  <w:r>
                    <w:rPr>
                      <w:rFonts w:hint="eastAsia" w:cs="Times New Roman"/>
                      <w:bCs/>
                      <w:color w:val="auto"/>
                      <w:kern w:val="2"/>
                      <w:sz w:val="24"/>
                      <w:szCs w:val="24"/>
                      <w:highlight w:val="none"/>
                      <w:lang w:val="en-US" w:eastAsia="zh-CN" w:bidi="ar-SA"/>
                    </w:rPr>
                    <w:t>146.4</w:t>
                  </w:r>
                  <w:r>
                    <w:rPr>
                      <w:rFonts w:hint="default" w:ascii="Times New Roman" w:hAnsi="Times New Roman" w:eastAsia="宋体" w:cs="Times New Roman"/>
                      <w:kern w:val="0"/>
                      <w:sz w:val="24"/>
                      <w:highlight w:val="none"/>
                    </w:rPr>
                    <w:t>m</w:t>
                  </w:r>
                  <w:r>
                    <w:rPr>
                      <w:rFonts w:hint="default" w:ascii="Times New Roman" w:hAnsi="Times New Roman" w:eastAsia="宋体" w:cs="Times New Roman"/>
                      <w:kern w:val="0"/>
                      <w:sz w:val="24"/>
                      <w:highlight w:val="none"/>
                      <w:vertAlign w:val="superscript"/>
                    </w:rPr>
                    <w:t>3</w:t>
                  </w:r>
                  <w:r>
                    <w:rPr>
                      <w:rFonts w:hint="default" w:ascii="Times New Roman" w:hAnsi="Times New Roman" w:eastAsia="宋体" w:cs="Times New Roman"/>
                      <w:kern w:val="0"/>
                      <w:sz w:val="24"/>
                      <w:highlight w:val="none"/>
                    </w:rPr>
                    <w:t>/d</w:t>
                  </w:r>
                </w:p>
              </w:tc>
              <w:tc>
                <w:tcPr>
                  <w:tcW w:w="741" w:type="pct"/>
                  <w:noWrap w:val="0"/>
                  <w:vAlign w:val="center"/>
                </w:tcPr>
                <w:p w14:paraId="1E90ED01">
                  <w:pPr>
                    <w:adjustRightInd w:val="0"/>
                    <w:snapToGrid w:val="0"/>
                    <w:jc w:val="center"/>
                    <w:rPr>
                      <w:rFonts w:hint="default"/>
                      <w:bCs/>
                      <w:color w:val="auto"/>
                      <w:sz w:val="24"/>
                      <w:highlight w:val="none"/>
                      <w:lang w:val="en-US" w:eastAsia="zh-CN"/>
                    </w:rPr>
                  </w:pPr>
                  <w:r>
                    <w:rPr>
                      <w:rFonts w:hint="eastAsia"/>
                      <w:bCs/>
                      <w:color w:val="auto"/>
                      <w:sz w:val="24"/>
                      <w:highlight w:val="none"/>
                      <w:lang w:val="en-US" w:eastAsia="zh-CN"/>
                    </w:rPr>
                    <w:t>180.0</w:t>
                  </w:r>
                  <w:r>
                    <w:rPr>
                      <w:rFonts w:hint="default" w:ascii="Times New Roman" w:hAnsi="Times New Roman" w:eastAsia="宋体" w:cs="Times New Roman"/>
                      <w:kern w:val="0"/>
                      <w:sz w:val="24"/>
                      <w:highlight w:val="none"/>
                    </w:rPr>
                    <w:t>m</w:t>
                  </w:r>
                  <w:r>
                    <w:rPr>
                      <w:rFonts w:hint="default" w:ascii="Times New Roman" w:hAnsi="Times New Roman" w:eastAsia="宋体" w:cs="Times New Roman"/>
                      <w:kern w:val="0"/>
                      <w:sz w:val="24"/>
                      <w:highlight w:val="none"/>
                      <w:vertAlign w:val="superscript"/>
                    </w:rPr>
                    <w:t>3</w:t>
                  </w:r>
                  <w:r>
                    <w:rPr>
                      <w:rFonts w:hint="default" w:ascii="Times New Roman" w:hAnsi="Times New Roman" w:eastAsia="宋体" w:cs="Times New Roman"/>
                      <w:kern w:val="0"/>
                      <w:sz w:val="24"/>
                      <w:highlight w:val="none"/>
                    </w:rPr>
                    <w:t>/d</w:t>
                  </w:r>
                </w:p>
              </w:tc>
            </w:tr>
          </w:tbl>
          <w:p w14:paraId="2BEBB747">
            <w:pPr>
              <w:autoSpaceDE w:val="0"/>
              <w:autoSpaceDN w:val="0"/>
              <w:adjustRightInd w:val="0"/>
              <w:snapToGrid w:val="0"/>
              <w:spacing w:line="360" w:lineRule="auto"/>
              <w:ind w:firstLine="480" w:firstLineChars="200"/>
              <w:jc w:val="left"/>
              <w:rPr>
                <w:rFonts w:hint="eastAsia" w:ascii="Times New Roman" w:hAnsi="Times New Roman" w:eastAsia="宋体" w:cs="Times New Roman"/>
                <w:kern w:val="0"/>
                <w:sz w:val="24"/>
                <w:highlight w:val="none"/>
                <w:lang w:val="en-US" w:eastAsia="zh-CN"/>
              </w:rPr>
            </w:pPr>
            <w:r>
              <w:rPr>
                <w:rFonts w:hint="eastAsia"/>
                <w:color w:val="auto"/>
                <w:kern w:val="0"/>
                <w:sz w:val="24"/>
                <w:highlight w:val="none"/>
              </w:rPr>
              <w:t>本项目</w:t>
            </w:r>
            <w:r>
              <w:rPr>
                <w:rFonts w:hint="eastAsia"/>
                <w:color w:val="auto"/>
                <w:kern w:val="0"/>
                <w:sz w:val="24"/>
                <w:highlight w:val="none"/>
                <w:lang w:val="en-US" w:eastAsia="zh-CN"/>
              </w:rPr>
              <w:t>最大排水量为7.5</w:t>
            </w:r>
            <w:r>
              <w:rPr>
                <w:rFonts w:hint="default" w:ascii="Times New Roman" w:hAnsi="Times New Roman" w:eastAsia="宋体" w:cs="Times New Roman"/>
                <w:kern w:val="0"/>
                <w:sz w:val="24"/>
                <w:highlight w:val="none"/>
              </w:rPr>
              <w:t>m</w:t>
            </w:r>
            <w:r>
              <w:rPr>
                <w:rFonts w:hint="default" w:ascii="Times New Roman" w:hAnsi="Times New Roman" w:eastAsia="宋体" w:cs="Times New Roman"/>
                <w:kern w:val="0"/>
                <w:sz w:val="24"/>
                <w:highlight w:val="none"/>
                <w:vertAlign w:val="superscript"/>
              </w:rPr>
              <w:t>3</w:t>
            </w:r>
            <w:r>
              <w:rPr>
                <w:rFonts w:hint="default" w:ascii="Times New Roman" w:hAnsi="Times New Roman" w:eastAsia="宋体" w:cs="Times New Roman"/>
                <w:kern w:val="0"/>
                <w:sz w:val="24"/>
                <w:highlight w:val="none"/>
              </w:rPr>
              <w:t>/</w:t>
            </w:r>
            <w:r>
              <w:rPr>
                <w:rFonts w:hint="eastAsia" w:ascii="Times New Roman" w:hAnsi="Times New Roman" w:eastAsia="宋体" w:cs="Times New Roman"/>
                <w:kern w:val="0"/>
                <w:sz w:val="24"/>
                <w:highlight w:val="none"/>
                <w:lang w:val="en-US" w:eastAsia="zh-CN"/>
              </w:rPr>
              <w:t>h，配备有</w:t>
            </w:r>
            <w:r>
              <w:rPr>
                <w:bCs/>
                <w:color w:val="auto"/>
                <w:sz w:val="24"/>
                <w:highlight w:val="none"/>
              </w:rPr>
              <w:t>2</w:t>
            </w:r>
            <w:r>
              <w:rPr>
                <w:rFonts w:hint="eastAsia"/>
                <w:bCs/>
                <w:color w:val="auto"/>
                <w:sz w:val="24"/>
                <w:highlight w:val="none"/>
              </w:rPr>
              <w:t>×</w:t>
            </w:r>
            <w:r>
              <w:rPr>
                <w:rFonts w:hint="eastAsia"/>
                <w:bCs/>
                <w:color w:val="auto"/>
                <w:sz w:val="24"/>
                <w:highlight w:val="none"/>
                <w:lang w:val="en-US" w:eastAsia="zh-CN"/>
              </w:rPr>
              <w:t>5</w:t>
            </w:r>
            <w:r>
              <w:rPr>
                <w:bCs/>
                <w:color w:val="auto"/>
                <w:sz w:val="24"/>
                <w:highlight w:val="none"/>
              </w:rPr>
              <w:t>t/h</w:t>
            </w:r>
            <w:r>
              <w:rPr>
                <w:rFonts w:hint="eastAsia"/>
                <w:bCs/>
                <w:color w:val="auto"/>
                <w:sz w:val="24"/>
                <w:highlight w:val="none"/>
              </w:rPr>
              <w:t>化水系统，</w:t>
            </w:r>
            <w:r>
              <w:rPr>
                <w:rFonts w:hint="eastAsia" w:ascii="Times New Roman" w:hAnsi="Times New Roman" w:eastAsia="宋体" w:cs="Times New Roman"/>
                <w:kern w:val="0"/>
                <w:sz w:val="24"/>
                <w:highlight w:val="none"/>
                <w:lang w:val="en-US" w:eastAsia="zh-CN"/>
              </w:rPr>
              <w:t>可满足本项目水处理需求。</w:t>
            </w:r>
          </w:p>
          <w:p w14:paraId="671DF8CA">
            <w:pPr>
              <w:autoSpaceDE w:val="0"/>
              <w:autoSpaceDN w:val="0"/>
              <w:adjustRightInd w:val="0"/>
              <w:snapToGrid w:val="0"/>
              <w:spacing w:line="360" w:lineRule="auto"/>
              <w:ind w:firstLine="480" w:firstLineChars="200"/>
              <w:jc w:val="left"/>
              <w:rPr>
                <w:rFonts w:hint="default" w:ascii="Times New Roman" w:hAnsi="Times New Roman" w:eastAsia="宋体" w:cs="Times New Roman"/>
                <w:kern w:val="0"/>
                <w:sz w:val="24"/>
                <w:highlight w:val="none"/>
                <w:lang w:val="en-US" w:eastAsia="zh-CN"/>
              </w:rPr>
            </w:pPr>
            <w:r>
              <w:rPr>
                <w:rFonts w:hint="eastAsia" w:ascii="Times New Roman" w:hAnsi="Times New Roman" w:eastAsia="宋体" w:cs="Times New Roman"/>
                <w:kern w:val="0"/>
                <w:sz w:val="24"/>
                <w:highlight w:val="none"/>
                <w:lang w:val="en-US" w:eastAsia="zh-CN"/>
              </w:rPr>
              <w:t>（3）水冷符合性</w:t>
            </w:r>
          </w:p>
          <w:p w14:paraId="52594B8B">
            <w:pPr>
              <w:autoSpaceDE w:val="0"/>
              <w:autoSpaceDN w:val="0"/>
              <w:adjustRightInd w:val="0"/>
              <w:snapToGrid w:val="0"/>
              <w:spacing w:line="360" w:lineRule="auto"/>
              <w:ind w:firstLine="480" w:firstLineChars="200"/>
              <w:jc w:val="left"/>
              <w:rPr>
                <w:rFonts w:hint="eastAsia" w:ascii="Times New Roman" w:hAnsi="Times New Roman" w:eastAsia="宋体" w:cs="Times New Roman"/>
                <w:kern w:val="0"/>
                <w:sz w:val="24"/>
                <w:highlight w:val="none"/>
                <w:lang w:val="en-US" w:eastAsia="zh-CN"/>
              </w:rPr>
            </w:pPr>
            <w:r>
              <w:rPr>
                <w:rFonts w:hint="eastAsia" w:ascii="Times New Roman" w:hAnsi="Times New Roman" w:eastAsia="宋体" w:cs="Times New Roman"/>
                <w:kern w:val="0"/>
                <w:sz w:val="24"/>
                <w:highlight w:val="none"/>
                <w:lang w:val="en-US" w:eastAsia="zh-CN"/>
              </w:rPr>
              <w:t>山西省水利厅关于印发《山西省高耗水行业生产工艺和产品目录(试行)》的通知（晋水节水〔2024〕63号）中提到：汽轮发电机组；燃气轮发电机组-不使用国家明令淘汰的用水设备和器具；鼓励使用空气冷却机组和循环冷却机组。本项目采用循环冷却机组，符合文件要求。</w:t>
            </w:r>
          </w:p>
          <w:p w14:paraId="4982EF12">
            <w:pPr>
              <w:autoSpaceDE w:val="0"/>
              <w:autoSpaceDN w:val="0"/>
              <w:adjustRightInd w:val="0"/>
              <w:snapToGrid w:val="0"/>
              <w:spacing w:line="360" w:lineRule="auto"/>
              <w:ind w:firstLine="480" w:firstLineChars="200"/>
              <w:jc w:val="left"/>
              <w:rPr>
                <w:rFonts w:hint="eastAsia" w:ascii="Times New Roman" w:hAnsi="Times New Roman" w:eastAsia="宋体" w:cs="Times New Roman"/>
                <w:kern w:val="0"/>
                <w:sz w:val="24"/>
                <w:highlight w:val="none"/>
                <w:lang w:val="en-US" w:eastAsia="zh-CN"/>
              </w:rPr>
            </w:pPr>
            <w:r>
              <w:rPr>
                <w:rFonts w:hint="eastAsia" w:ascii="Times New Roman" w:hAnsi="Times New Roman" w:eastAsia="宋体" w:cs="Times New Roman"/>
                <w:kern w:val="0"/>
                <w:sz w:val="24"/>
                <w:highlight w:val="none"/>
                <w:lang w:val="en-US" w:eastAsia="zh-CN"/>
              </w:rPr>
              <w:t>《山西省节约用水条例》（2025年修订）要求“工业间接冷却水应当循环利用或者回收利用，不得直接排放”。本项目采用闭路循环冷却系统，符合文件要求。</w:t>
            </w:r>
          </w:p>
          <w:p w14:paraId="2C1CB5AA">
            <w:pPr>
              <w:autoSpaceDE w:val="0"/>
              <w:autoSpaceDN w:val="0"/>
              <w:adjustRightInd w:val="0"/>
              <w:snapToGrid w:val="0"/>
              <w:spacing w:line="360" w:lineRule="auto"/>
              <w:ind w:firstLine="480" w:firstLineChars="200"/>
              <w:jc w:val="left"/>
              <w:rPr>
                <w:rFonts w:hint="eastAsia" w:ascii="Times New Roman" w:hAnsi="Times New Roman" w:eastAsia="宋体" w:cs="Times New Roman"/>
                <w:kern w:val="0"/>
                <w:sz w:val="24"/>
                <w:highlight w:val="none"/>
                <w:lang w:val="en-US" w:eastAsia="zh-CN"/>
              </w:rPr>
            </w:pPr>
            <w:r>
              <w:rPr>
                <w:rFonts w:hint="eastAsia" w:ascii="Times New Roman" w:hAnsi="Times New Roman" w:eastAsia="宋体" w:cs="Times New Roman"/>
                <w:kern w:val="0"/>
                <w:sz w:val="24"/>
                <w:highlight w:val="none"/>
                <w:lang w:val="en-US" w:eastAsia="zh-CN"/>
              </w:rPr>
              <w:t>同时本项目采用壶关第一污水处理厂的中水，作为再生水，以中水代替新鲜水，提高了水资源的利用率，符合节水的原则。</w:t>
            </w:r>
          </w:p>
          <w:p w14:paraId="0A409097">
            <w:pPr>
              <w:pStyle w:val="2"/>
              <w:rPr>
                <w:rFonts w:hint="default"/>
                <w:lang w:val="en-US" w:eastAsia="zh-CN"/>
              </w:rPr>
            </w:pPr>
          </w:p>
          <w:p w14:paraId="0E01AEA0">
            <w:pPr>
              <w:autoSpaceDE w:val="0"/>
              <w:autoSpaceDN w:val="0"/>
              <w:adjustRightInd w:val="0"/>
              <w:snapToGrid w:val="0"/>
              <w:spacing w:line="240" w:lineRule="auto"/>
              <w:ind w:firstLine="0" w:firstLineChars="0"/>
              <w:jc w:val="left"/>
              <w:rPr>
                <w:rFonts w:hint="default" w:ascii="Times New Roman" w:hAnsi="Times New Roman" w:eastAsia="宋体" w:cs="Times New Roman"/>
                <w:kern w:val="0"/>
                <w:sz w:val="24"/>
                <w:highlight w:val="none"/>
                <w:lang w:val="en-US" w:eastAsia="zh-CN"/>
              </w:rPr>
            </w:pPr>
            <w:r>
              <w:rPr>
                <w:rFonts w:hint="default" w:ascii="Times New Roman" w:hAnsi="Times New Roman" w:eastAsia="宋体" w:cs="Times New Roman"/>
                <w:kern w:val="0"/>
                <w:sz w:val="24"/>
                <w:highlight w:val="none"/>
                <w:lang w:val="en-US" w:eastAsia="zh-CN"/>
              </w:rPr>
              <w:drawing>
                <wp:inline distT="0" distB="0" distL="114300" distR="114300">
                  <wp:extent cx="5529580" cy="3140710"/>
                  <wp:effectExtent l="0" t="0" r="0" b="0"/>
                  <wp:docPr id="85" name="ECB019B1-382A-4266-B25C-5B523AA43C14-1" descr="C:/Users/Administrator/AppData/Local/Temp/wps.OaDdQU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ECB019B1-382A-4266-B25C-5B523AA43C14-1" descr="C:/Users/Administrator/AppData/Local/Temp/wps.OaDdQUwps"/>
                          <pic:cNvPicPr>
                            <a:picLocks noChangeAspect="1"/>
                          </pic:cNvPicPr>
                        </pic:nvPicPr>
                        <pic:blipFill>
                          <a:blip r:embed="rId9"/>
                          <a:stretch>
                            <a:fillRect/>
                          </a:stretch>
                        </pic:blipFill>
                        <pic:spPr>
                          <a:xfrm>
                            <a:off x="0" y="0"/>
                            <a:ext cx="5529580" cy="3140710"/>
                          </a:xfrm>
                          <a:prstGeom prst="rect">
                            <a:avLst/>
                          </a:prstGeom>
                        </pic:spPr>
                      </pic:pic>
                    </a:graphicData>
                  </a:graphic>
                </wp:inline>
              </w:drawing>
            </w:r>
          </w:p>
          <w:p w14:paraId="50F7B68C">
            <w:pPr>
              <w:autoSpaceDE w:val="0"/>
              <w:autoSpaceDN w:val="0"/>
              <w:adjustRightInd w:val="0"/>
              <w:snapToGrid w:val="0"/>
              <w:spacing w:line="240" w:lineRule="auto"/>
              <w:ind w:firstLine="0" w:firstLineChars="0"/>
              <w:jc w:val="center"/>
              <w:rPr>
                <w:rFonts w:hint="eastAsia" w:eastAsia="宋体"/>
                <w:color w:val="auto"/>
                <w:kern w:val="0"/>
                <w:sz w:val="24"/>
                <w:lang w:val="en-US" w:eastAsia="zh-CN"/>
              </w:rPr>
            </w:pPr>
            <w:r>
              <w:rPr>
                <w:rFonts w:hint="eastAsia"/>
                <w:color w:val="auto"/>
                <w:kern w:val="0"/>
                <w:sz w:val="24"/>
                <w:lang w:val="en-US" w:eastAsia="zh-CN"/>
              </w:rPr>
              <w:t>图2-1项目水平衡图，</w:t>
            </w:r>
            <w:r>
              <w:rPr>
                <w:rFonts w:hint="default" w:ascii="Times New Roman" w:hAnsi="Times New Roman" w:eastAsia="宋体" w:cs="Times New Roman"/>
                <w:kern w:val="0"/>
                <w:sz w:val="24"/>
                <w:highlight w:val="none"/>
              </w:rPr>
              <w:t>m</w:t>
            </w:r>
            <w:r>
              <w:rPr>
                <w:rFonts w:hint="default" w:ascii="Times New Roman" w:hAnsi="Times New Roman" w:eastAsia="宋体" w:cs="Times New Roman"/>
                <w:kern w:val="0"/>
                <w:sz w:val="24"/>
                <w:highlight w:val="none"/>
                <w:vertAlign w:val="superscript"/>
              </w:rPr>
              <w:t>3</w:t>
            </w:r>
            <w:r>
              <w:rPr>
                <w:rFonts w:hint="default" w:ascii="Times New Roman" w:hAnsi="Times New Roman" w:eastAsia="宋体" w:cs="Times New Roman"/>
                <w:kern w:val="0"/>
                <w:sz w:val="24"/>
                <w:highlight w:val="none"/>
              </w:rPr>
              <w:t>/</w:t>
            </w:r>
            <w:r>
              <w:rPr>
                <w:rFonts w:hint="eastAsia" w:ascii="Times New Roman" w:hAnsi="Times New Roman" w:eastAsia="宋体" w:cs="Times New Roman"/>
                <w:kern w:val="0"/>
                <w:sz w:val="24"/>
                <w:highlight w:val="none"/>
                <w:lang w:val="en-US" w:eastAsia="zh-CN"/>
              </w:rPr>
              <w:t>h</w:t>
            </w:r>
          </w:p>
          <w:p w14:paraId="5FE9AAAF">
            <w:pPr>
              <w:pStyle w:val="9"/>
              <w:ind w:firstLine="0"/>
              <w:jc w:val="center"/>
              <w:rPr>
                <w:rFonts w:hint="eastAsia" w:eastAsia="宋体"/>
                <w:color w:val="auto"/>
                <w:lang w:eastAsia="zh-CN"/>
              </w:rPr>
            </w:pPr>
          </w:p>
          <w:p w14:paraId="77920D20">
            <w:pPr>
              <w:autoSpaceDE w:val="0"/>
              <w:autoSpaceDN w:val="0"/>
              <w:adjustRightInd w:val="0"/>
              <w:snapToGrid w:val="0"/>
              <w:spacing w:line="240" w:lineRule="auto"/>
              <w:ind w:firstLine="0" w:firstLineChars="0"/>
              <w:jc w:val="left"/>
              <w:rPr>
                <w:rFonts w:hint="eastAsia"/>
                <w:color w:val="auto"/>
                <w:kern w:val="0"/>
                <w:sz w:val="24"/>
                <w:lang w:val="en-US" w:eastAsia="zh-CN"/>
              </w:rPr>
            </w:pPr>
            <w:r>
              <w:rPr>
                <w:rFonts w:hint="eastAsia" w:eastAsia="宋体"/>
                <w:color w:val="auto"/>
                <w:kern w:val="0"/>
                <w:sz w:val="24"/>
                <w:lang w:val="en-US" w:eastAsia="zh-CN"/>
              </w:rPr>
              <w:drawing>
                <wp:inline distT="0" distB="0" distL="114300" distR="114300">
                  <wp:extent cx="5299075" cy="3683000"/>
                  <wp:effectExtent l="0" t="0" r="0" b="0"/>
                  <wp:docPr id="123" name="ECB019B1-382A-4266-B25C-5B523AA43C14-2" descr="C:/Users/Administrator/AppData/Local/Temp/wps.Opvfwg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ECB019B1-382A-4266-B25C-5B523AA43C14-2" descr="C:/Users/Administrator/AppData/Local/Temp/wps.Opvfwgwps"/>
                          <pic:cNvPicPr>
                            <a:picLocks noChangeAspect="1"/>
                          </pic:cNvPicPr>
                        </pic:nvPicPr>
                        <pic:blipFill>
                          <a:blip r:embed="rId10"/>
                          <a:stretch>
                            <a:fillRect/>
                          </a:stretch>
                        </pic:blipFill>
                        <pic:spPr>
                          <a:xfrm>
                            <a:off x="0" y="0"/>
                            <a:ext cx="5299075" cy="3683000"/>
                          </a:xfrm>
                          <a:prstGeom prst="rect">
                            <a:avLst/>
                          </a:prstGeom>
                        </pic:spPr>
                      </pic:pic>
                    </a:graphicData>
                  </a:graphic>
                </wp:inline>
              </w:drawing>
            </w:r>
          </w:p>
          <w:p w14:paraId="209F8B1C">
            <w:pPr>
              <w:autoSpaceDE w:val="0"/>
              <w:autoSpaceDN w:val="0"/>
              <w:adjustRightInd w:val="0"/>
              <w:snapToGrid w:val="0"/>
              <w:spacing w:line="240" w:lineRule="auto"/>
              <w:ind w:firstLine="0" w:firstLineChars="0"/>
              <w:jc w:val="center"/>
              <w:rPr>
                <w:rFonts w:hint="default"/>
                <w:color w:val="auto"/>
                <w:kern w:val="0"/>
                <w:sz w:val="24"/>
                <w:lang w:val="en-US" w:eastAsia="zh-CN"/>
              </w:rPr>
            </w:pPr>
            <w:r>
              <w:rPr>
                <w:rFonts w:hint="eastAsia"/>
                <w:color w:val="auto"/>
                <w:kern w:val="0"/>
                <w:sz w:val="24"/>
                <w:lang w:val="en-US" w:eastAsia="zh-CN"/>
              </w:rPr>
              <w:t>图2-2全厂水平衡图，</w:t>
            </w:r>
            <w:r>
              <w:rPr>
                <w:rFonts w:hint="default" w:ascii="Times New Roman" w:hAnsi="Times New Roman" w:eastAsia="宋体" w:cs="Times New Roman"/>
                <w:kern w:val="0"/>
                <w:sz w:val="24"/>
                <w:highlight w:val="none"/>
              </w:rPr>
              <w:t>m</w:t>
            </w:r>
            <w:r>
              <w:rPr>
                <w:rFonts w:hint="default" w:ascii="Times New Roman" w:hAnsi="Times New Roman" w:eastAsia="宋体" w:cs="Times New Roman"/>
                <w:kern w:val="0"/>
                <w:sz w:val="24"/>
                <w:highlight w:val="none"/>
                <w:vertAlign w:val="superscript"/>
              </w:rPr>
              <w:t>3</w:t>
            </w:r>
            <w:r>
              <w:rPr>
                <w:rFonts w:hint="default" w:ascii="Times New Roman" w:hAnsi="Times New Roman" w:eastAsia="宋体" w:cs="Times New Roman"/>
                <w:kern w:val="0"/>
                <w:sz w:val="24"/>
                <w:highlight w:val="none"/>
              </w:rPr>
              <w:t>/d</w:t>
            </w:r>
          </w:p>
          <w:p w14:paraId="62167A32">
            <w:pPr>
              <w:autoSpaceDE w:val="0"/>
              <w:autoSpaceDN w:val="0"/>
              <w:adjustRightInd w:val="0"/>
              <w:snapToGrid w:val="0"/>
              <w:spacing w:line="360" w:lineRule="auto"/>
              <w:ind w:firstLine="480" w:firstLineChars="200"/>
              <w:jc w:val="left"/>
              <w:rPr>
                <w:rFonts w:hint="eastAsia" w:ascii="Times New Roman" w:hAnsi="Times New Roman" w:eastAsia="宋体" w:cs="Times New Roman"/>
                <w:color w:val="auto"/>
                <w:kern w:val="0"/>
                <w:sz w:val="24"/>
                <w:lang w:val="en-US" w:eastAsia="zh-CN"/>
              </w:rPr>
            </w:pPr>
            <w:r>
              <w:rPr>
                <w:rFonts w:hint="eastAsia" w:ascii="Times New Roman" w:hAnsi="Times New Roman" w:eastAsia="宋体" w:cs="Times New Roman"/>
                <w:color w:val="auto"/>
                <w:kern w:val="0"/>
                <w:sz w:val="24"/>
                <w:lang w:val="en-US" w:eastAsia="zh-CN"/>
              </w:rPr>
              <w:t>8、依托可行性分析</w:t>
            </w:r>
          </w:p>
          <w:p w14:paraId="34887547">
            <w:pPr>
              <w:autoSpaceDE w:val="0"/>
              <w:autoSpaceDN w:val="0"/>
              <w:adjustRightInd w:val="0"/>
              <w:snapToGrid w:val="0"/>
              <w:spacing w:line="360" w:lineRule="auto"/>
              <w:ind w:firstLine="480" w:firstLineChars="200"/>
              <w:jc w:val="both"/>
              <w:rPr>
                <w:color w:val="auto"/>
                <w:sz w:val="24"/>
                <w:szCs w:val="24"/>
                <w:highlight w:val="none"/>
              </w:rPr>
            </w:pPr>
            <w:r>
              <w:rPr>
                <w:color w:val="auto"/>
                <w:kern w:val="0"/>
                <w:sz w:val="24"/>
              </w:rPr>
              <w:t>本项目产生的</w:t>
            </w:r>
            <w:r>
              <w:rPr>
                <w:rFonts w:hint="eastAsia"/>
                <w:color w:val="auto"/>
                <w:kern w:val="0"/>
                <w:sz w:val="24"/>
                <w:lang w:val="en-US" w:eastAsia="zh-CN"/>
              </w:rPr>
              <w:t>少量</w:t>
            </w:r>
            <w:r>
              <w:rPr>
                <w:color w:val="auto"/>
                <w:kern w:val="0"/>
                <w:sz w:val="24"/>
              </w:rPr>
              <w:t>废矿物油依托公司现有危废暂存库贮存</w:t>
            </w:r>
            <w:r>
              <w:rPr>
                <w:rFonts w:hint="eastAsia"/>
                <w:color w:val="auto"/>
                <w:kern w:val="0"/>
                <w:sz w:val="24"/>
                <w:szCs w:val="24"/>
                <w:lang w:eastAsia="zh-CN"/>
              </w:rPr>
              <w:t>，</w:t>
            </w:r>
            <w:r>
              <w:rPr>
                <w:rFonts w:hint="eastAsia"/>
                <w:color w:val="auto"/>
                <w:kern w:val="0"/>
                <w:sz w:val="24"/>
                <w:szCs w:val="24"/>
                <w:lang w:val="en-US" w:eastAsia="zh-CN"/>
              </w:rPr>
              <w:t>厂区内共有4</w:t>
            </w:r>
            <w:r>
              <w:rPr>
                <w:rFonts w:hint="eastAsia"/>
                <w:color w:val="auto"/>
                <w:sz w:val="24"/>
                <w:szCs w:val="24"/>
                <w:lang w:val="en-US" w:eastAsia="zh-CN"/>
              </w:rPr>
              <w:t>间总计60</w:t>
            </w:r>
            <w:r>
              <w:rPr>
                <w:color w:val="auto"/>
                <w:sz w:val="24"/>
                <w:szCs w:val="24"/>
              </w:rPr>
              <w:t>m</w:t>
            </w:r>
            <w:r>
              <w:rPr>
                <w:color w:val="auto"/>
                <w:sz w:val="24"/>
                <w:szCs w:val="24"/>
                <w:vertAlign w:val="superscript"/>
              </w:rPr>
              <w:t>2</w:t>
            </w:r>
            <w:r>
              <w:rPr>
                <w:color w:val="auto"/>
                <w:sz w:val="24"/>
                <w:szCs w:val="24"/>
              </w:rPr>
              <w:t>全封闭危险废物暂存库</w:t>
            </w:r>
            <w:r>
              <w:rPr>
                <w:rFonts w:hint="eastAsia"/>
                <w:color w:val="auto"/>
                <w:sz w:val="24"/>
                <w:szCs w:val="24"/>
                <w:lang w:eastAsia="zh-CN"/>
              </w:rPr>
              <w:t>，</w:t>
            </w:r>
            <w:r>
              <w:rPr>
                <w:rFonts w:hint="eastAsia"/>
                <w:color w:val="auto"/>
                <w:sz w:val="24"/>
                <w:szCs w:val="24"/>
                <w:lang w:val="en-US" w:eastAsia="zh-CN"/>
              </w:rPr>
              <w:t>其中两间共32.5</w:t>
            </w:r>
            <w:r>
              <w:rPr>
                <w:color w:val="auto"/>
                <w:sz w:val="24"/>
                <w:szCs w:val="24"/>
              </w:rPr>
              <w:t>m</w:t>
            </w:r>
            <w:r>
              <w:rPr>
                <w:color w:val="auto"/>
                <w:sz w:val="24"/>
                <w:szCs w:val="24"/>
                <w:vertAlign w:val="superscript"/>
              </w:rPr>
              <w:t>2</w:t>
            </w:r>
            <w:r>
              <w:rPr>
                <w:color w:val="auto"/>
                <w:sz w:val="24"/>
                <w:szCs w:val="24"/>
              </w:rPr>
              <w:t>全封闭危险废物暂存库</w:t>
            </w:r>
            <w:r>
              <w:rPr>
                <w:rFonts w:hint="eastAsia"/>
                <w:color w:val="auto"/>
                <w:sz w:val="24"/>
                <w:szCs w:val="24"/>
                <w:lang w:val="en-US" w:eastAsia="zh-CN"/>
              </w:rPr>
              <w:t>闲置，本项目直接依托现有闲置的两间共32.5</w:t>
            </w:r>
            <w:r>
              <w:rPr>
                <w:color w:val="auto"/>
                <w:sz w:val="24"/>
                <w:szCs w:val="24"/>
              </w:rPr>
              <w:t>m</w:t>
            </w:r>
            <w:r>
              <w:rPr>
                <w:color w:val="auto"/>
                <w:sz w:val="24"/>
                <w:szCs w:val="24"/>
                <w:vertAlign w:val="superscript"/>
              </w:rPr>
              <w:t>2</w:t>
            </w:r>
            <w:r>
              <w:rPr>
                <w:color w:val="auto"/>
                <w:sz w:val="24"/>
                <w:szCs w:val="24"/>
              </w:rPr>
              <w:t>全封闭危险废物，</w:t>
            </w:r>
            <w:r>
              <w:rPr>
                <w:rFonts w:hint="eastAsia"/>
                <w:color w:val="auto"/>
                <w:sz w:val="24"/>
                <w:szCs w:val="24"/>
                <w:lang w:val="en-US" w:eastAsia="zh-CN"/>
              </w:rPr>
              <w:t>危废库</w:t>
            </w:r>
            <w:r>
              <w:rPr>
                <w:color w:val="auto"/>
                <w:sz w:val="24"/>
                <w:szCs w:val="24"/>
              </w:rPr>
              <w:t>地面和收集池采用水泥基础防渗+2.5mm环氧树脂，设置围堰、导流槽、收集池</w:t>
            </w:r>
            <w:r>
              <w:rPr>
                <w:rFonts w:hint="eastAsia"/>
                <w:color w:val="auto"/>
                <w:sz w:val="24"/>
                <w:szCs w:val="24"/>
                <w:lang w:eastAsia="zh-CN"/>
              </w:rPr>
              <w:t>，</w:t>
            </w:r>
            <w:r>
              <w:rPr>
                <w:color w:val="auto"/>
                <w:sz w:val="24"/>
                <w:szCs w:val="24"/>
              </w:rPr>
              <w:t>外部悬挂标识标牌。项目产生的危废在危废暂存库贮存，纳入公司危废管理系统统</w:t>
            </w:r>
            <w:r>
              <w:rPr>
                <w:color w:val="auto"/>
                <w:sz w:val="24"/>
                <w:szCs w:val="24"/>
                <w:highlight w:val="none"/>
              </w:rPr>
              <w:t>一管理处置</w:t>
            </w:r>
            <w:r>
              <w:rPr>
                <w:rFonts w:hint="eastAsia"/>
                <w:color w:val="auto"/>
                <w:sz w:val="24"/>
                <w:szCs w:val="24"/>
                <w:highlight w:val="none"/>
                <w:lang w:val="en-US" w:eastAsia="zh-CN"/>
              </w:rPr>
              <w:t>，依托可行</w:t>
            </w:r>
            <w:r>
              <w:rPr>
                <w:color w:val="auto"/>
                <w:sz w:val="24"/>
                <w:szCs w:val="24"/>
                <w:highlight w:val="none"/>
              </w:rPr>
              <w:t>。</w:t>
            </w:r>
          </w:p>
          <w:p w14:paraId="44978967">
            <w:pPr>
              <w:autoSpaceDE w:val="0"/>
              <w:autoSpaceDN w:val="0"/>
              <w:adjustRightInd w:val="0"/>
              <w:snapToGrid w:val="0"/>
              <w:spacing w:line="360" w:lineRule="auto"/>
              <w:ind w:firstLine="480" w:firstLineChars="200"/>
              <w:jc w:val="both"/>
              <w:rPr>
                <w:rFonts w:hint="eastAsia"/>
                <w:color w:val="auto"/>
                <w:sz w:val="24"/>
                <w:szCs w:val="24"/>
                <w:highlight w:val="none"/>
                <w:lang w:val="en-US" w:eastAsia="zh-CN"/>
              </w:rPr>
            </w:pPr>
            <w:r>
              <w:rPr>
                <w:rFonts w:hint="eastAsia"/>
                <w:color w:val="auto"/>
                <w:sz w:val="24"/>
                <w:szCs w:val="24"/>
                <w:highlight w:val="none"/>
                <w:lang w:val="en-US" w:eastAsia="zh-CN"/>
              </w:rPr>
              <w:t>补救措施：若有突发情况，可能导致现有危废库容不足以满足本项目新增危废的暂存需求，环评要求将危废转运频次从目前的每年2～3次提高至每年4～6次，确保危废暂存间实时贮存量始终低于3吨。</w:t>
            </w:r>
          </w:p>
          <w:p w14:paraId="007D18E8">
            <w:pPr>
              <w:autoSpaceDE w:val="0"/>
              <w:autoSpaceDN w:val="0"/>
              <w:adjustRightInd w:val="0"/>
              <w:snapToGrid w:val="0"/>
              <w:spacing w:line="360" w:lineRule="auto"/>
              <w:ind w:firstLine="480" w:firstLineChars="200"/>
              <w:jc w:val="left"/>
              <w:rPr>
                <w:rFonts w:hint="eastAsia" w:ascii="Times New Roman" w:hAnsi="Times New Roman" w:eastAsia="宋体" w:cs="Times New Roman"/>
                <w:kern w:val="0"/>
                <w:sz w:val="24"/>
                <w:highlight w:val="none"/>
                <w:lang w:val="en-US" w:eastAsia="zh-CN"/>
              </w:rPr>
            </w:pPr>
            <w:r>
              <w:rPr>
                <w:rFonts w:hint="eastAsia" w:ascii="Times New Roman" w:hAnsi="Times New Roman" w:eastAsia="宋体" w:cs="Times New Roman"/>
                <w:kern w:val="0"/>
                <w:sz w:val="24"/>
                <w:highlight w:val="none"/>
                <w:lang w:val="en-US" w:eastAsia="zh-CN"/>
              </w:rPr>
              <w:t>壶关县第一</w:t>
            </w:r>
            <w:r>
              <w:rPr>
                <w:rFonts w:hint="eastAsia" w:cs="Times New Roman"/>
                <w:kern w:val="0"/>
                <w:sz w:val="24"/>
                <w:highlight w:val="none"/>
                <w:lang w:val="en-US" w:eastAsia="zh-CN"/>
              </w:rPr>
              <w:t>污水处理厂</w:t>
            </w:r>
            <w:r>
              <w:rPr>
                <w:rFonts w:hint="eastAsia" w:ascii="Times New Roman" w:hAnsi="Times New Roman" w:eastAsia="宋体" w:cs="Times New Roman"/>
                <w:kern w:val="0"/>
                <w:sz w:val="24"/>
                <w:highlight w:val="none"/>
                <w:lang w:val="en-US" w:eastAsia="zh-CN"/>
              </w:rPr>
              <w:t>可提供中水10800</w:t>
            </w:r>
            <w:r>
              <w:rPr>
                <w:rFonts w:hint="default" w:ascii="Times New Roman" w:hAnsi="Times New Roman" w:eastAsia="宋体" w:cs="Times New Roman"/>
                <w:kern w:val="0"/>
                <w:sz w:val="24"/>
                <w:highlight w:val="none"/>
              </w:rPr>
              <w:t>m</w:t>
            </w:r>
            <w:r>
              <w:rPr>
                <w:rFonts w:hint="default" w:ascii="Times New Roman" w:hAnsi="Times New Roman" w:eastAsia="宋体" w:cs="Times New Roman"/>
                <w:kern w:val="0"/>
                <w:sz w:val="24"/>
                <w:highlight w:val="none"/>
                <w:vertAlign w:val="superscript"/>
              </w:rPr>
              <w:t>3</w:t>
            </w:r>
            <w:r>
              <w:rPr>
                <w:rFonts w:hint="default" w:ascii="Times New Roman" w:hAnsi="Times New Roman" w:eastAsia="宋体" w:cs="Times New Roman"/>
                <w:kern w:val="0"/>
                <w:sz w:val="24"/>
                <w:highlight w:val="none"/>
              </w:rPr>
              <w:t>/d</w:t>
            </w:r>
            <w:r>
              <w:rPr>
                <w:rFonts w:hint="eastAsia" w:ascii="Times New Roman" w:hAnsi="Times New Roman" w:eastAsia="宋体" w:cs="Times New Roman"/>
                <w:kern w:val="0"/>
                <w:sz w:val="24"/>
                <w:highlight w:val="none"/>
                <w:lang w:eastAsia="zh-CN"/>
              </w:rPr>
              <w:t>，</w:t>
            </w:r>
            <w:r>
              <w:rPr>
                <w:rFonts w:hint="eastAsia" w:ascii="Times New Roman" w:hAnsi="Times New Roman" w:eastAsia="宋体" w:cs="Times New Roman"/>
                <w:kern w:val="0"/>
                <w:sz w:val="24"/>
                <w:highlight w:val="none"/>
                <w:lang w:val="en-US" w:eastAsia="zh-CN"/>
              </w:rPr>
              <w:t>进入厂区中水回用站，全厂消耗水量为3115</w:t>
            </w:r>
            <w:r>
              <w:rPr>
                <w:rFonts w:hint="default" w:ascii="Times New Roman" w:hAnsi="Times New Roman" w:eastAsia="宋体" w:cs="Times New Roman"/>
                <w:kern w:val="0"/>
                <w:sz w:val="24"/>
                <w:highlight w:val="none"/>
              </w:rPr>
              <w:t>m</w:t>
            </w:r>
            <w:r>
              <w:rPr>
                <w:rFonts w:hint="default" w:ascii="Times New Roman" w:hAnsi="Times New Roman" w:eastAsia="宋体" w:cs="Times New Roman"/>
                <w:kern w:val="0"/>
                <w:sz w:val="24"/>
                <w:highlight w:val="none"/>
                <w:vertAlign w:val="superscript"/>
              </w:rPr>
              <w:t>3</w:t>
            </w:r>
            <w:r>
              <w:rPr>
                <w:rFonts w:hint="default" w:ascii="Times New Roman" w:hAnsi="Times New Roman" w:eastAsia="宋体" w:cs="Times New Roman"/>
                <w:kern w:val="0"/>
                <w:sz w:val="24"/>
                <w:highlight w:val="none"/>
              </w:rPr>
              <w:t>/d</w:t>
            </w:r>
            <w:r>
              <w:rPr>
                <w:rFonts w:hint="eastAsia" w:ascii="Times New Roman" w:hAnsi="Times New Roman" w:eastAsia="宋体" w:cs="Times New Roman"/>
                <w:kern w:val="0"/>
                <w:sz w:val="24"/>
                <w:highlight w:val="none"/>
                <w:lang w:eastAsia="zh-CN"/>
              </w:rPr>
              <w:t>，</w:t>
            </w:r>
            <w:r>
              <w:rPr>
                <w:rFonts w:hint="eastAsia" w:ascii="Times New Roman" w:hAnsi="Times New Roman" w:eastAsia="宋体" w:cs="Times New Roman"/>
                <w:kern w:val="0"/>
                <w:sz w:val="24"/>
                <w:highlight w:val="none"/>
                <w:lang w:val="en-US" w:eastAsia="zh-CN"/>
              </w:rPr>
              <w:t>本项目需要</w:t>
            </w:r>
            <w:r>
              <w:rPr>
                <w:rFonts w:hint="eastAsia" w:cs="Times New Roman"/>
                <w:kern w:val="0"/>
                <w:sz w:val="24"/>
                <w:highlight w:val="none"/>
                <w:lang w:val="en-US" w:eastAsia="zh-CN"/>
              </w:rPr>
              <w:t>1077.6</w:t>
            </w:r>
            <w:r>
              <w:rPr>
                <w:rFonts w:hint="eastAsia" w:ascii="Times New Roman" w:hAnsi="Times New Roman" w:eastAsia="宋体" w:cs="Times New Roman"/>
                <w:kern w:val="0"/>
                <w:sz w:val="24"/>
                <w:highlight w:val="none"/>
                <w:lang w:val="en-US" w:eastAsia="zh-CN"/>
              </w:rPr>
              <w:t>m</w:t>
            </w:r>
            <w:r>
              <w:rPr>
                <w:rFonts w:hint="eastAsia" w:ascii="Times New Roman" w:hAnsi="Times New Roman" w:eastAsia="宋体" w:cs="Times New Roman"/>
                <w:kern w:val="0"/>
                <w:sz w:val="24"/>
                <w:highlight w:val="none"/>
                <w:vertAlign w:val="superscript"/>
                <w:lang w:val="en-US" w:eastAsia="zh-CN"/>
              </w:rPr>
              <w:t>3</w:t>
            </w:r>
            <w:r>
              <w:rPr>
                <w:rFonts w:hint="eastAsia" w:ascii="Times New Roman" w:hAnsi="Times New Roman" w:eastAsia="宋体" w:cs="Times New Roman"/>
                <w:kern w:val="0"/>
                <w:sz w:val="24"/>
                <w:highlight w:val="none"/>
                <w:lang w:val="en-US" w:eastAsia="zh-CN"/>
              </w:rPr>
              <w:t>/d（采暖期）/</w:t>
            </w:r>
            <w:r>
              <w:rPr>
                <w:rFonts w:hint="eastAsia" w:cs="Times New Roman"/>
                <w:kern w:val="0"/>
                <w:sz w:val="24"/>
                <w:highlight w:val="none"/>
                <w:lang w:val="en-US" w:eastAsia="zh-CN"/>
              </w:rPr>
              <w:t>2023.2</w:t>
            </w:r>
            <w:r>
              <w:rPr>
                <w:rFonts w:hint="eastAsia" w:ascii="Times New Roman" w:hAnsi="Times New Roman" w:eastAsia="宋体" w:cs="Times New Roman"/>
                <w:kern w:val="0"/>
                <w:sz w:val="24"/>
                <w:highlight w:val="none"/>
                <w:lang w:val="en-US" w:eastAsia="zh-CN"/>
              </w:rPr>
              <w:t>m</w:t>
            </w:r>
            <w:r>
              <w:rPr>
                <w:rFonts w:hint="eastAsia" w:ascii="Times New Roman" w:hAnsi="Times New Roman" w:eastAsia="宋体" w:cs="Times New Roman"/>
                <w:kern w:val="0"/>
                <w:sz w:val="24"/>
                <w:highlight w:val="none"/>
                <w:vertAlign w:val="superscript"/>
                <w:lang w:val="en-US" w:eastAsia="zh-CN"/>
              </w:rPr>
              <w:t>3</w:t>
            </w:r>
            <w:r>
              <w:rPr>
                <w:rFonts w:hint="eastAsia" w:ascii="Times New Roman" w:hAnsi="Times New Roman" w:eastAsia="宋体" w:cs="Times New Roman"/>
                <w:kern w:val="0"/>
                <w:sz w:val="24"/>
                <w:highlight w:val="none"/>
                <w:lang w:val="en-US" w:eastAsia="zh-CN"/>
              </w:rPr>
              <w:t>/d水量（非采暖期）。可满足本项目中水需求。</w:t>
            </w:r>
          </w:p>
          <w:p w14:paraId="015378A3">
            <w:pPr>
              <w:pStyle w:val="9"/>
              <w:rPr>
                <w:rFonts w:hint="default"/>
                <w:color w:val="auto"/>
                <w:sz w:val="24"/>
                <w:szCs w:val="24"/>
                <w:lang w:val="en-US" w:eastAsia="zh-CN"/>
              </w:rPr>
            </w:pPr>
          </w:p>
        </w:tc>
      </w:tr>
      <w:tr w14:paraId="20ECBA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3" w:type="dxa"/>
            <w:noWrap w:val="0"/>
            <w:vAlign w:val="center"/>
          </w:tcPr>
          <w:p w14:paraId="724F4FD0">
            <w:pPr>
              <w:pStyle w:val="22"/>
              <w:adjustRightInd w:val="0"/>
              <w:snapToGrid w:val="0"/>
              <w:spacing w:before="0" w:beforeAutospacing="0" w:after="0" w:afterAutospacing="0"/>
              <w:jc w:val="center"/>
              <w:rPr>
                <w:rFonts w:ascii="Times New Roman" w:hAnsi="Times New Roman"/>
                <w:color w:val="auto"/>
                <w:szCs w:val="24"/>
              </w:rPr>
            </w:pPr>
            <w:r>
              <w:rPr>
                <w:rFonts w:ascii="Times New Roman" w:hAnsi="Times New Roman"/>
                <w:color w:val="auto"/>
                <w:szCs w:val="24"/>
              </w:rPr>
              <w:t>工艺流程和产排污环节</w:t>
            </w:r>
          </w:p>
        </w:tc>
        <w:tc>
          <w:tcPr>
            <w:tcW w:w="8337" w:type="dxa"/>
            <w:noWrap w:val="0"/>
            <w:vAlign w:val="top"/>
          </w:tcPr>
          <w:p w14:paraId="27332F40">
            <w:pPr>
              <w:spacing w:line="240" w:lineRule="auto"/>
              <w:ind w:firstLine="0" w:firstLineChars="0"/>
              <w:outlineLvl w:val="2"/>
              <w:rPr>
                <w:color w:val="auto"/>
              </w:rPr>
            </w:pPr>
            <w:bookmarkStart w:id="6" w:name="_Toc17322"/>
            <w:r>
              <w:drawing>
                <wp:inline distT="0" distB="0" distL="114300" distR="114300">
                  <wp:extent cx="5374005" cy="4321810"/>
                  <wp:effectExtent l="0" t="0" r="17145" b="2540"/>
                  <wp:docPr id="66"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76"/>
                          <pic:cNvPicPr>
                            <a:picLocks noChangeAspect="1"/>
                          </pic:cNvPicPr>
                        </pic:nvPicPr>
                        <pic:blipFill>
                          <a:blip r:embed="rId11"/>
                          <a:stretch>
                            <a:fillRect/>
                          </a:stretch>
                        </pic:blipFill>
                        <pic:spPr>
                          <a:xfrm>
                            <a:off x="0" y="0"/>
                            <a:ext cx="5374005" cy="4321810"/>
                          </a:xfrm>
                          <a:prstGeom prst="rect">
                            <a:avLst/>
                          </a:prstGeom>
                          <a:noFill/>
                          <a:ln>
                            <a:noFill/>
                          </a:ln>
                        </pic:spPr>
                      </pic:pic>
                    </a:graphicData>
                  </a:graphic>
                </wp:inline>
              </w:drawing>
            </w:r>
          </w:p>
          <w:p w14:paraId="0AF664D5">
            <w:pPr>
              <w:spacing w:line="360" w:lineRule="auto"/>
              <w:ind w:firstLine="420" w:firstLineChars="200"/>
              <w:jc w:val="center"/>
              <w:outlineLvl w:val="2"/>
              <w:rPr>
                <w:color w:val="auto"/>
              </w:rPr>
            </w:pPr>
            <w:r>
              <w:rPr>
                <w:rFonts w:hint="eastAsia"/>
                <w:color w:val="auto"/>
              </w:rPr>
              <w:t>图2-2</w:t>
            </w:r>
            <w:r>
              <w:rPr>
                <w:rFonts w:hint="eastAsia"/>
                <w:color w:val="auto"/>
                <w:lang w:eastAsia="zh-CN"/>
              </w:rPr>
              <w:t xml:space="preserve"> </w:t>
            </w:r>
            <w:r>
              <w:rPr>
                <w:rFonts w:hint="eastAsia"/>
                <w:color w:val="auto"/>
              </w:rPr>
              <w:t>工艺流程及产排污环节图</w:t>
            </w:r>
          </w:p>
          <w:p w14:paraId="72DBB63E">
            <w:pPr>
              <w:spacing w:line="360" w:lineRule="auto"/>
              <w:ind w:firstLine="480" w:firstLineChars="200"/>
              <w:outlineLvl w:val="2"/>
              <w:rPr>
                <w:color w:val="auto"/>
                <w:kern w:val="44"/>
                <w:sz w:val="24"/>
              </w:rPr>
            </w:pPr>
            <w:r>
              <w:rPr>
                <w:rFonts w:hint="eastAsia"/>
                <w:color w:val="auto"/>
                <w:kern w:val="44"/>
                <w:sz w:val="24"/>
              </w:rPr>
              <w:t>一、</w:t>
            </w:r>
            <w:r>
              <w:rPr>
                <w:color w:val="auto"/>
                <w:kern w:val="44"/>
                <w:sz w:val="24"/>
              </w:rPr>
              <w:t>工艺流程简述</w:t>
            </w:r>
          </w:p>
          <w:p w14:paraId="6D862633">
            <w:pPr>
              <w:spacing w:line="360" w:lineRule="auto"/>
              <w:ind w:firstLine="480" w:firstLineChars="200"/>
              <w:rPr>
                <w:color w:val="auto"/>
                <w:sz w:val="24"/>
              </w:rPr>
            </w:pPr>
            <w:r>
              <w:rPr>
                <w:color w:val="auto"/>
                <w:sz w:val="24"/>
              </w:rPr>
              <w:t>燃气电站是煤气、热、电的转化工程。它完成煤气的化学能→热能→机械能→电能的生产过程。经过净化后的高炉煤气经管道进入锅炉房，由煤气燃烧器送入锅炉内进行燃烧，加热锅炉内水，使其变成高温、超高压蒸汽，送往汽轮机内膨胀做功，汽轮机产生机械能带动发电机高速运转产生电能。</w:t>
            </w:r>
          </w:p>
          <w:p w14:paraId="02305AB1">
            <w:pPr>
              <w:spacing w:line="360" w:lineRule="auto"/>
              <w:ind w:firstLine="480" w:firstLineChars="200"/>
              <w:rPr>
                <w:color w:val="auto"/>
                <w:kern w:val="44"/>
                <w:sz w:val="24"/>
              </w:rPr>
            </w:pPr>
            <w:r>
              <w:rPr>
                <w:rFonts w:hint="eastAsia"/>
                <w:color w:val="auto"/>
                <w:kern w:val="44"/>
                <w:sz w:val="24"/>
              </w:rPr>
              <w:t>二、</w:t>
            </w:r>
            <w:r>
              <w:rPr>
                <w:color w:val="auto"/>
                <w:kern w:val="44"/>
                <w:sz w:val="24"/>
              </w:rPr>
              <w:t>生产工艺流程</w:t>
            </w:r>
            <w:bookmarkEnd w:id="6"/>
          </w:p>
          <w:p w14:paraId="54D43E8B">
            <w:pPr>
              <w:spacing w:line="360" w:lineRule="auto"/>
              <w:ind w:firstLine="480" w:firstLineChars="200"/>
              <w:rPr>
                <w:color w:val="auto"/>
                <w:sz w:val="24"/>
              </w:rPr>
            </w:pPr>
            <w:r>
              <w:rPr>
                <w:color w:val="auto"/>
                <w:sz w:val="24"/>
              </w:rPr>
              <w:t>工艺流程分为：煤气输送系统、燃烧系统、热力系统、电气系统、化学水处理系统、冷却系统6部分。</w:t>
            </w:r>
          </w:p>
          <w:p w14:paraId="1D5ECEE5">
            <w:pPr>
              <w:spacing w:line="360" w:lineRule="auto"/>
              <w:ind w:firstLine="480" w:firstLineChars="200"/>
              <w:rPr>
                <w:color w:val="auto"/>
                <w:sz w:val="24"/>
              </w:rPr>
            </w:pPr>
            <w:r>
              <w:rPr>
                <w:color w:val="auto"/>
                <w:sz w:val="24"/>
              </w:rPr>
              <w:t>①煤气输送系统</w:t>
            </w:r>
          </w:p>
          <w:p w14:paraId="6500C972">
            <w:pPr>
              <w:spacing w:line="360" w:lineRule="auto"/>
              <w:ind w:firstLine="480" w:firstLineChars="200"/>
              <w:rPr>
                <w:color w:val="auto"/>
                <w:sz w:val="24"/>
              </w:rPr>
            </w:pPr>
            <w:r>
              <w:rPr>
                <w:color w:val="auto"/>
                <w:sz w:val="24"/>
              </w:rPr>
              <w:t>利用</w:t>
            </w:r>
            <w:r>
              <w:rPr>
                <w:rFonts w:hint="eastAsia"/>
                <w:color w:val="auto"/>
                <w:sz w:val="24"/>
                <w:lang w:eastAsia="zh-CN"/>
              </w:rPr>
              <w:t>金烨钢铁</w:t>
            </w:r>
            <w:r>
              <w:rPr>
                <w:color w:val="auto"/>
                <w:sz w:val="24"/>
              </w:rPr>
              <w:t>集团有限公司厂区内现有煤气输送管线，将</w:t>
            </w:r>
            <w:r>
              <w:rPr>
                <w:rFonts w:hint="eastAsia"/>
                <w:color w:val="auto"/>
                <w:sz w:val="24"/>
                <w:lang w:val="en-US" w:eastAsia="zh-CN"/>
              </w:rPr>
              <w:t>金烨</w:t>
            </w:r>
            <w:r>
              <w:rPr>
                <w:color w:val="auto"/>
                <w:sz w:val="24"/>
              </w:rPr>
              <w:t>钢</w:t>
            </w:r>
            <w:r>
              <w:rPr>
                <w:rFonts w:hint="eastAsia"/>
                <w:color w:val="auto"/>
                <w:sz w:val="24"/>
                <w:lang w:val="en-US" w:eastAsia="zh-CN"/>
              </w:rPr>
              <w:t>铁</w:t>
            </w:r>
            <w:r>
              <w:rPr>
                <w:color w:val="auto"/>
                <w:sz w:val="24"/>
              </w:rPr>
              <w:t>厂副产的高炉煤气</w:t>
            </w:r>
            <w:r>
              <w:rPr>
                <w:rFonts w:hint="eastAsia"/>
                <w:color w:val="auto"/>
                <w:sz w:val="24"/>
                <w:lang w:eastAsia="zh-CN"/>
              </w:rPr>
              <w:t>输送</w:t>
            </w:r>
            <w:r>
              <w:rPr>
                <w:color w:val="auto"/>
                <w:sz w:val="24"/>
              </w:rPr>
              <w:t>至厂区锅炉区域，高炉煤气经煤气加热器加热后由管道输送至</w:t>
            </w:r>
            <w:r>
              <w:rPr>
                <w:rFonts w:hint="eastAsia"/>
                <w:color w:val="auto"/>
                <w:sz w:val="24"/>
                <w:lang w:eastAsia="zh-CN"/>
              </w:rPr>
              <w:t>60t/h</w:t>
            </w:r>
            <w:r>
              <w:rPr>
                <w:color w:val="auto"/>
                <w:sz w:val="24"/>
              </w:rPr>
              <w:t>锅炉燃烧器入口。</w:t>
            </w:r>
          </w:p>
          <w:p w14:paraId="75AF5145">
            <w:pPr>
              <w:spacing w:line="360" w:lineRule="auto"/>
              <w:ind w:firstLine="480" w:firstLineChars="200"/>
              <w:rPr>
                <w:color w:val="auto"/>
                <w:sz w:val="24"/>
              </w:rPr>
            </w:pPr>
            <w:r>
              <w:rPr>
                <w:color w:val="auto"/>
                <w:sz w:val="24"/>
              </w:rPr>
              <w:t>②燃烧系统</w:t>
            </w:r>
          </w:p>
          <w:p w14:paraId="5776E5A2">
            <w:pPr>
              <w:spacing w:line="360" w:lineRule="auto"/>
              <w:ind w:firstLine="480" w:firstLineChars="200"/>
              <w:rPr>
                <w:color w:val="auto"/>
                <w:sz w:val="24"/>
                <w:highlight w:val="none"/>
              </w:rPr>
            </w:pPr>
            <w:r>
              <w:rPr>
                <w:color w:val="auto"/>
                <w:sz w:val="24"/>
              </w:rPr>
              <w:t>采用1台</w:t>
            </w:r>
            <w:r>
              <w:rPr>
                <w:rFonts w:hint="eastAsia"/>
                <w:color w:val="auto"/>
                <w:sz w:val="24"/>
                <w:lang w:eastAsia="zh-CN"/>
              </w:rPr>
              <w:t>60t/h</w:t>
            </w:r>
            <w:r>
              <w:rPr>
                <w:color w:val="auto"/>
                <w:sz w:val="24"/>
              </w:rPr>
              <w:t>高温高压燃</w:t>
            </w:r>
            <w:r>
              <w:rPr>
                <w:color w:val="auto"/>
                <w:sz w:val="24"/>
                <w:highlight w:val="none"/>
              </w:rPr>
              <w:t>气锅炉，锅炉主要燃料为高炉煤气。燃烧发电用高炉煤气接至锅炉，经过支管接入锅炉燃烧器。</w:t>
            </w:r>
          </w:p>
          <w:p w14:paraId="601D8D93">
            <w:pPr>
              <w:spacing w:line="360" w:lineRule="auto"/>
              <w:ind w:firstLine="422" w:firstLineChars="200"/>
              <w:jc w:val="center"/>
              <w:rPr>
                <w:b/>
                <w:bCs/>
                <w:color w:val="auto"/>
                <w:sz w:val="21"/>
                <w:szCs w:val="21"/>
                <w:highlight w:val="none"/>
              </w:rPr>
            </w:pPr>
            <w:r>
              <w:rPr>
                <w:b/>
                <w:bCs/>
                <w:color w:val="auto"/>
                <w:sz w:val="21"/>
                <w:szCs w:val="21"/>
                <w:highlight w:val="none"/>
              </w:rPr>
              <w:t>表2</w:t>
            </w:r>
            <w:r>
              <w:rPr>
                <w:rFonts w:hint="eastAsia"/>
                <w:b/>
                <w:bCs/>
                <w:color w:val="auto"/>
                <w:sz w:val="21"/>
                <w:szCs w:val="21"/>
                <w:highlight w:val="none"/>
                <w:lang w:val="en-US" w:eastAsia="zh-CN"/>
              </w:rPr>
              <w:t>-7</w:t>
            </w:r>
            <w:r>
              <w:rPr>
                <w:b/>
                <w:bCs/>
                <w:color w:val="auto"/>
                <w:sz w:val="21"/>
                <w:szCs w:val="21"/>
                <w:highlight w:val="none"/>
              </w:rPr>
              <w:t>锅炉参数一览表</w:t>
            </w:r>
          </w:p>
          <w:tbl>
            <w:tblPr>
              <w:tblStyle w:val="54"/>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3660"/>
              <w:gridCol w:w="4729"/>
            </w:tblGrid>
            <w:tr w14:paraId="6E38CD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2181" w:type="pct"/>
                  <w:tcBorders>
                    <w:top w:val="single" w:color="000000" w:sz="6" w:space="0"/>
                    <w:left w:val="single" w:color="000000" w:sz="6" w:space="0"/>
                  </w:tcBorders>
                  <w:noWrap w:val="0"/>
                  <w:vAlign w:val="center"/>
                </w:tcPr>
                <w:p w14:paraId="47938E33">
                  <w:pPr>
                    <w:jc w:val="center"/>
                    <w:rPr>
                      <w:b/>
                      <w:bCs/>
                      <w:color w:val="auto"/>
                      <w:sz w:val="21"/>
                      <w:szCs w:val="21"/>
                      <w:highlight w:val="none"/>
                    </w:rPr>
                  </w:pPr>
                  <w:r>
                    <w:rPr>
                      <w:b/>
                      <w:bCs/>
                      <w:color w:val="auto"/>
                      <w:sz w:val="21"/>
                      <w:szCs w:val="21"/>
                      <w:highlight w:val="none"/>
                    </w:rPr>
                    <w:t>项目</w:t>
                  </w:r>
                </w:p>
              </w:tc>
              <w:tc>
                <w:tcPr>
                  <w:tcW w:w="2818" w:type="pct"/>
                  <w:tcBorders>
                    <w:top w:val="single" w:color="000000" w:sz="6" w:space="0"/>
                    <w:right w:val="single" w:color="000000" w:sz="6" w:space="0"/>
                  </w:tcBorders>
                  <w:noWrap w:val="0"/>
                  <w:vAlign w:val="center"/>
                </w:tcPr>
                <w:p w14:paraId="7047BEB7">
                  <w:pPr>
                    <w:jc w:val="center"/>
                    <w:rPr>
                      <w:b/>
                      <w:bCs/>
                      <w:color w:val="auto"/>
                      <w:sz w:val="21"/>
                      <w:szCs w:val="21"/>
                      <w:highlight w:val="none"/>
                    </w:rPr>
                  </w:pPr>
                  <w:r>
                    <w:rPr>
                      <w:b/>
                      <w:bCs/>
                      <w:color w:val="auto"/>
                      <w:sz w:val="21"/>
                      <w:szCs w:val="21"/>
                      <w:highlight w:val="none"/>
                    </w:rPr>
                    <w:t>参数</w:t>
                  </w:r>
                </w:p>
              </w:tc>
            </w:tr>
            <w:tr w14:paraId="328C87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2181" w:type="pct"/>
                  <w:tcBorders>
                    <w:top w:val="single" w:color="000000" w:sz="6" w:space="0"/>
                    <w:left w:val="single" w:color="000000" w:sz="6" w:space="0"/>
                  </w:tcBorders>
                  <w:noWrap w:val="0"/>
                  <w:vAlign w:val="center"/>
                </w:tcPr>
                <w:p w14:paraId="27CEE71E">
                  <w:pPr>
                    <w:jc w:val="center"/>
                    <w:rPr>
                      <w:color w:val="auto"/>
                      <w:sz w:val="21"/>
                      <w:szCs w:val="21"/>
                      <w:highlight w:val="none"/>
                    </w:rPr>
                  </w:pPr>
                  <w:r>
                    <w:rPr>
                      <w:color w:val="auto"/>
                      <w:sz w:val="21"/>
                      <w:szCs w:val="21"/>
                      <w:highlight w:val="none"/>
                    </w:rPr>
                    <w:t>型号</w:t>
                  </w:r>
                </w:p>
              </w:tc>
              <w:tc>
                <w:tcPr>
                  <w:tcW w:w="2818" w:type="pct"/>
                  <w:tcBorders>
                    <w:top w:val="single" w:color="000000" w:sz="6" w:space="0"/>
                    <w:right w:val="single" w:color="000000" w:sz="6" w:space="0"/>
                  </w:tcBorders>
                  <w:noWrap w:val="0"/>
                  <w:vAlign w:val="center"/>
                </w:tcPr>
                <w:p w14:paraId="5E6443BB">
                  <w:pPr>
                    <w:jc w:val="center"/>
                    <w:rPr>
                      <w:color w:val="auto"/>
                      <w:sz w:val="21"/>
                      <w:szCs w:val="21"/>
                      <w:highlight w:val="none"/>
                    </w:rPr>
                  </w:pPr>
                  <w:r>
                    <w:rPr>
                      <w:rFonts w:hint="eastAsia"/>
                      <w:color w:val="auto"/>
                      <w:sz w:val="21"/>
                      <w:szCs w:val="21"/>
                      <w:highlight w:val="none"/>
                    </w:rPr>
                    <w:t xml:space="preserve"> JG-60-9.8-Q</w:t>
                  </w:r>
                </w:p>
              </w:tc>
            </w:tr>
            <w:tr w14:paraId="4A7AB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2181" w:type="pct"/>
                  <w:tcBorders>
                    <w:top w:val="single" w:color="000000" w:sz="6" w:space="0"/>
                    <w:left w:val="single" w:color="000000" w:sz="6" w:space="0"/>
                  </w:tcBorders>
                  <w:noWrap w:val="0"/>
                  <w:vAlign w:val="center"/>
                </w:tcPr>
                <w:p w14:paraId="320E8AAF">
                  <w:pPr>
                    <w:jc w:val="center"/>
                    <w:rPr>
                      <w:color w:val="auto"/>
                      <w:sz w:val="21"/>
                      <w:szCs w:val="21"/>
                      <w:highlight w:val="none"/>
                    </w:rPr>
                  </w:pPr>
                  <w:r>
                    <w:rPr>
                      <w:color w:val="auto"/>
                      <w:sz w:val="21"/>
                      <w:szCs w:val="21"/>
                      <w:highlight w:val="none"/>
                    </w:rPr>
                    <w:t>类型</w:t>
                  </w:r>
                </w:p>
              </w:tc>
              <w:tc>
                <w:tcPr>
                  <w:tcW w:w="2818" w:type="pct"/>
                  <w:tcBorders>
                    <w:top w:val="single" w:color="000000" w:sz="6" w:space="0"/>
                    <w:right w:val="single" w:color="000000" w:sz="6" w:space="0"/>
                  </w:tcBorders>
                  <w:noWrap w:val="0"/>
                  <w:vAlign w:val="center"/>
                </w:tcPr>
                <w:p w14:paraId="741A353E">
                  <w:pPr>
                    <w:jc w:val="center"/>
                    <w:rPr>
                      <w:color w:val="auto"/>
                      <w:sz w:val="21"/>
                      <w:szCs w:val="21"/>
                      <w:highlight w:val="none"/>
                    </w:rPr>
                  </w:pPr>
                  <w:r>
                    <w:rPr>
                      <w:rFonts w:hint="eastAsia"/>
                      <w:color w:val="auto"/>
                      <w:sz w:val="21"/>
                      <w:szCs w:val="21"/>
                      <w:highlight w:val="none"/>
                    </w:rPr>
                    <w:t>高温高压高炉煤气锅炉</w:t>
                  </w:r>
                </w:p>
              </w:tc>
            </w:tr>
            <w:tr w14:paraId="33D79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2181" w:type="pct"/>
                  <w:tcBorders>
                    <w:top w:val="single" w:color="000000" w:sz="6" w:space="0"/>
                    <w:left w:val="single" w:color="000000" w:sz="6" w:space="0"/>
                  </w:tcBorders>
                  <w:noWrap w:val="0"/>
                  <w:vAlign w:val="center"/>
                </w:tcPr>
                <w:p w14:paraId="7D31CCB6">
                  <w:pPr>
                    <w:jc w:val="center"/>
                    <w:rPr>
                      <w:color w:val="auto"/>
                      <w:sz w:val="21"/>
                      <w:szCs w:val="21"/>
                      <w:highlight w:val="none"/>
                    </w:rPr>
                  </w:pPr>
                  <w:r>
                    <w:rPr>
                      <w:color w:val="auto"/>
                      <w:sz w:val="21"/>
                      <w:szCs w:val="21"/>
                      <w:highlight w:val="none"/>
                    </w:rPr>
                    <w:t>燃料种类</w:t>
                  </w:r>
                </w:p>
              </w:tc>
              <w:tc>
                <w:tcPr>
                  <w:tcW w:w="2818" w:type="pct"/>
                  <w:tcBorders>
                    <w:top w:val="single" w:color="000000" w:sz="6" w:space="0"/>
                    <w:right w:val="single" w:color="000000" w:sz="6" w:space="0"/>
                  </w:tcBorders>
                  <w:noWrap w:val="0"/>
                  <w:vAlign w:val="center"/>
                </w:tcPr>
                <w:p w14:paraId="5489A1DE">
                  <w:pPr>
                    <w:jc w:val="center"/>
                    <w:rPr>
                      <w:color w:val="auto"/>
                      <w:sz w:val="21"/>
                      <w:szCs w:val="21"/>
                      <w:highlight w:val="none"/>
                    </w:rPr>
                  </w:pPr>
                  <w:r>
                    <w:rPr>
                      <w:color w:val="auto"/>
                      <w:sz w:val="21"/>
                      <w:szCs w:val="21"/>
                      <w:highlight w:val="none"/>
                    </w:rPr>
                    <w:t>高炉煤气</w:t>
                  </w:r>
                </w:p>
              </w:tc>
            </w:tr>
            <w:tr w14:paraId="7159B4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2181" w:type="pct"/>
                  <w:tcBorders>
                    <w:left w:val="single" w:color="000000" w:sz="6" w:space="0"/>
                  </w:tcBorders>
                  <w:noWrap w:val="0"/>
                  <w:vAlign w:val="center"/>
                </w:tcPr>
                <w:p w14:paraId="5D51CB42">
                  <w:pPr>
                    <w:jc w:val="center"/>
                    <w:rPr>
                      <w:color w:val="auto"/>
                      <w:sz w:val="21"/>
                      <w:szCs w:val="21"/>
                      <w:highlight w:val="none"/>
                    </w:rPr>
                  </w:pPr>
                  <w:r>
                    <w:rPr>
                      <w:color w:val="auto"/>
                      <w:sz w:val="21"/>
                      <w:szCs w:val="21"/>
                      <w:highlight w:val="none"/>
                    </w:rPr>
                    <w:t>额定蒸发量</w:t>
                  </w:r>
                </w:p>
              </w:tc>
              <w:tc>
                <w:tcPr>
                  <w:tcW w:w="2818" w:type="pct"/>
                  <w:tcBorders>
                    <w:right w:val="single" w:color="000000" w:sz="6" w:space="0"/>
                  </w:tcBorders>
                  <w:noWrap w:val="0"/>
                  <w:vAlign w:val="center"/>
                </w:tcPr>
                <w:p w14:paraId="0E11D6FE">
                  <w:pPr>
                    <w:jc w:val="center"/>
                    <w:rPr>
                      <w:rFonts w:hint="eastAsia" w:eastAsia="宋体"/>
                      <w:color w:val="auto"/>
                      <w:sz w:val="21"/>
                      <w:szCs w:val="21"/>
                      <w:highlight w:val="none"/>
                      <w:lang w:eastAsia="zh-CN"/>
                    </w:rPr>
                  </w:pPr>
                  <w:r>
                    <w:rPr>
                      <w:rFonts w:hint="eastAsia"/>
                      <w:color w:val="auto"/>
                      <w:sz w:val="21"/>
                      <w:szCs w:val="21"/>
                      <w:highlight w:val="none"/>
                      <w:lang w:eastAsia="zh-CN"/>
                    </w:rPr>
                    <w:t>60t/h</w:t>
                  </w:r>
                </w:p>
              </w:tc>
            </w:tr>
            <w:tr w14:paraId="72E943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2181" w:type="pct"/>
                  <w:tcBorders>
                    <w:left w:val="single" w:color="000000" w:sz="6" w:space="0"/>
                  </w:tcBorders>
                  <w:noWrap w:val="0"/>
                  <w:vAlign w:val="center"/>
                </w:tcPr>
                <w:p w14:paraId="7A35A9DF">
                  <w:pPr>
                    <w:jc w:val="center"/>
                    <w:rPr>
                      <w:color w:val="auto"/>
                      <w:sz w:val="21"/>
                      <w:szCs w:val="21"/>
                      <w:highlight w:val="none"/>
                    </w:rPr>
                  </w:pPr>
                  <w:r>
                    <w:rPr>
                      <w:color w:val="auto"/>
                      <w:sz w:val="21"/>
                      <w:szCs w:val="21"/>
                      <w:highlight w:val="none"/>
                    </w:rPr>
                    <w:t>蒸汽额定压力</w:t>
                  </w:r>
                </w:p>
              </w:tc>
              <w:tc>
                <w:tcPr>
                  <w:tcW w:w="2818" w:type="pct"/>
                  <w:tcBorders>
                    <w:right w:val="single" w:color="000000" w:sz="6" w:space="0"/>
                  </w:tcBorders>
                  <w:noWrap w:val="0"/>
                  <w:vAlign w:val="center"/>
                </w:tcPr>
                <w:p w14:paraId="294C0A56">
                  <w:pPr>
                    <w:jc w:val="center"/>
                    <w:rPr>
                      <w:color w:val="auto"/>
                      <w:sz w:val="21"/>
                      <w:szCs w:val="21"/>
                      <w:highlight w:val="none"/>
                    </w:rPr>
                  </w:pPr>
                  <w:r>
                    <w:rPr>
                      <w:color w:val="auto"/>
                      <w:sz w:val="21"/>
                      <w:szCs w:val="21"/>
                      <w:highlight w:val="none"/>
                    </w:rPr>
                    <w:t xml:space="preserve"> </w:t>
                  </w:r>
                  <w:r>
                    <w:rPr>
                      <w:rFonts w:hint="eastAsia"/>
                      <w:color w:val="auto"/>
                      <w:sz w:val="21"/>
                      <w:szCs w:val="21"/>
                      <w:highlight w:val="none"/>
                    </w:rPr>
                    <w:t>9.8</w:t>
                  </w:r>
                  <w:r>
                    <w:rPr>
                      <w:color w:val="auto"/>
                      <w:sz w:val="21"/>
                      <w:szCs w:val="21"/>
                      <w:highlight w:val="none"/>
                    </w:rPr>
                    <w:t>MPa</w:t>
                  </w:r>
                </w:p>
              </w:tc>
            </w:tr>
            <w:tr w14:paraId="4BE2B6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2181" w:type="pct"/>
                  <w:tcBorders>
                    <w:left w:val="single" w:color="000000" w:sz="6" w:space="0"/>
                  </w:tcBorders>
                  <w:noWrap w:val="0"/>
                  <w:vAlign w:val="center"/>
                </w:tcPr>
                <w:p w14:paraId="240A5B74">
                  <w:pPr>
                    <w:jc w:val="center"/>
                    <w:rPr>
                      <w:color w:val="auto"/>
                      <w:sz w:val="21"/>
                      <w:szCs w:val="21"/>
                      <w:highlight w:val="none"/>
                    </w:rPr>
                  </w:pPr>
                  <w:r>
                    <w:rPr>
                      <w:color w:val="auto"/>
                      <w:sz w:val="21"/>
                      <w:szCs w:val="21"/>
                      <w:highlight w:val="none"/>
                    </w:rPr>
                    <w:t>蒸汽额定温度</w:t>
                  </w:r>
                </w:p>
              </w:tc>
              <w:tc>
                <w:tcPr>
                  <w:tcW w:w="2818" w:type="pct"/>
                  <w:tcBorders>
                    <w:right w:val="single" w:color="000000" w:sz="6" w:space="0"/>
                  </w:tcBorders>
                  <w:noWrap w:val="0"/>
                  <w:vAlign w:val="center"/>
                </w:tcPr>
                <w:p w14:paraId="16A0AEA0">
                  <w:pPr>
                    <w:jc w:val="center"/>
                    <w:rPr>
                      <w:color w:val="auto"/>
                      <w:sz w:val="21"/>
                      <w:szCs w:val="21"/>
                      <w:highlight w:val="none"/>
                    </w:rPr>
                  </w:pPr>
                  <w:r>
                    <w:rPr>
                      <w:color w:val="auto"/>
                      <w:sz w:val="21"/>
                      <w:szCs w:val="21"/>
                      <w:highlight w:val="none"/>
                    </w:rPr>
                    <w:t>540℃</w:t>
                  </w:r>
                </w:p>
              </w:tc>
            </w:tr>
            <w:tr w14:paraId="7265A7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2181" w:type="pct"/>
                  <w:tcBorders>
                    <w:left w:val="single" w:color="000000" w:sz="6" w:space="0"/>
                  </w:tcBorders>
                  <w:noWrap w:val="0"/>
                  <w:vAlign w:val="center"/>
                </w:tcPr>
                <w:p w14:paraId="6F343EDD">
                  <w:pPr>
                    <w:jc w:val="center"/>
                    <w:rPr>
                      <w:color w:val="auto"/>
                      <w:sz w:val="21"/>
                      <w:szCs w:val="21"/>
                      <w:highlight w:val="none"/>
                    </w:rPr>
                  </w:pPr>
                  <w:r>
                    <w:rPr>
                      <w:color w:val="auto"/>
                      <w:sz w:val="21"/>
                      <w:szCs w:val="21"/>
                      <w:highlight w:val="none"/>
                    </w:rPr>
                    <w:t>给水温度</w:t>
                  </w:r>
                </w:p>
              </w:tc>
              <w:tc>
                <w:tcPr>
                  <w:tcW w:w="2818" w:type="pct"/>
                  <w:tcBorders>
                    <w:right w:val="single" w:color="000000" w:sz="6" w:space="0"/>
                  </w:tcBorders>
                  <w:noWrap w:val="0"/>
                  <w:vAlign w:val="center"/>
                </w:tcPr>
                <w:p w14:paraId="299150CA">
                  <w:pPr>
                    <w:jc w:val="center"/>
                    <w:rPr>
                      <w:color w:val="auto"/>
                      <w:sz w:val="21"/>
                      <w:szCs w:val="21"/>
                      <w:highlight w:val="none"/>
                    </w:rPr>
                  </w:pPr>
                  <w:r>
                    <w:rPr>
                      <w:rFonts w:hint="eastAsia"/>
                      <w:color w:val="auto"/>
                      <w:sz w:val="21"/>
                      <w:szCs w:val="21"/>
                      <w:highlight w:val="none"/>
                    </w:rPr>
                    <w:t xml:space="preserve"> 215℃</w:t>
                  </w:r>
                </w:p>
              </w:tc>
            </w:tr>
            <w:tr w14:paraId="635288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2181" w:type="pct"/>
                  <w:tcBorders>
                    <w:left w:val="single" w:color="000000" w:sz="6" w:space="0"/>
                  </w:tcBorders>
                  <w:noWrap w:val="0"/>
                  <w:vAlign w:val="center"/>
                </w:tcPr>
                <w:p w14:paraId="59D1C594">
                  <w:pPr>
                    <w:jc w:val="center"/>
                    <w:rPr>
                      <w:color w:val="auto"/>
                      <w:sz w:val="21"/>
                      <w:szCs w:val="21"/>
                      <w:highlight w:val="none"/>
                    </w:rPr>
                  </w:pPr>
                  <w:r>
                    <w:rPr>
                      <w:color w:val="auto"/>
                      <w:sz w:val="21"/>
                      <w:szCs w:val="21"/>
                      <w:highlight w:val="none"/>
                    </w:rPr>
                    <w:t>排烟温度</w:t>
                  </w:r>
                </w:p>
              </w:tc>
              <w:tc>
                <w:tcPr>
                  <w:tcW w:w="2818" w:type="pct"/>
                  <w:tcBorders>
                    <w:right w:val="single" w:color="000000" w:sz="6" w:space="0"/>
                  </w:tcBorders>
                  <w:noWrap w:val="0"/>
                  <w:vAlign w:val="center"/>
                </w:tcPr>
                <w:p w14:paraId="063F786B">
                  <w:pPr>
                    <w:jc w:val="center"/>
                    <w:rPr>
                      <w:color w:val="auto"/>
                      <w:sz w:val="21"/>
                      <w:szCs w:val="21"/>
                      <w:highlight w:val="none"/>
                    </w:rPr>
                  </w:pPr>
                  <w:r>
                    <w:rPr>
                      <w:color w:val="auto"/>
                      <w:sz w:val="21"/>
                      <w:szCs w:val="21"/>
                      <w:highlight w:val="none"/>
                    </w:rPr>
                    <w:t>140℃</w:t>
                  </w:r>
                </w:p>
              </w:tc>
            </w:tr>
            <w:tr w14:paraId="6C6EB2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2181" w:type="pct"/>
                  <w:tcBorders>
                    <w:left w:val="single" w:color="000000" w:sz="6" w:space="0"/>
                  </w:tcBorders>
                  <w:noWrap w:val="0"/>
                  <w:vAlign w:val="center"/>
                </w:tcPr>
                <w:p w14:paraId="067123EC">
                  <w:pPr>
                    <w:jc w:val="center"/>
                    <w:rPr>
                      <w:rFonts w:ascii="Times New Roman" w:hAnsi="Times New Roman" w:eastAsia="宋体" w:cs="Times New Roman"/>
                      <w:color w:val="auto"/>
                      <w:kern w:val="2"/>
                      <w:sz w:val="21"/>
                      <w:szCs w:val="21"/>
                      <w:highlight w:val="none"/>
                      <w:lang w:val="en-US" w:eastAsia="zh-CN" w:bidi="ar-SA"/>
                    </w:rPr>
                  </w:pPr>
                  <w:r>
                    <w:rPr>
                      <w:color w:val="auto"/>
                      <w:sz w:val="21"/>
                      <w:szCs w:val="21"/>
                      <w:highlight w:val="none"/>
                    </w:rPr>
                    <w:t>锅炉效率</w:t>
                  </w:r>
                </w:p>
              </w:tc>
              <w:tc>
                <w:tcPr>
                  <w:tcW w:w="2818" w:type="pct"/>
                  <w:tcBorders>
                    <w:right w:val="single" w:color="000000" w:sz="6" w:space="0"/>
                  </w:tcBorders>
                  <w:noWrap w:val="0"/>
                  <w:vAlign w:val="center"/>
                </w:tcPr>
                <w:p w14:paraId="37A7BCA2">
                  <w:pPr>
                    <w:jc w:val="center"/>
                    <w:rPr>
                      <w:rFonts w:ascii="Times New Roman" w:hAnsi="Times New Roman" w:eastAsia="宋体" w:cs="Times New Roman"/>
                      <w:color w:val="auto"/>
                      <w:kern w:val="2"/>
                      <w:sz w:val="21"/>
                      <w:szCs w:val="21"/>
                      <w:highlight w:val="none"/>
                      <w:lang w:val="en-US" w:eastAsia="zh-CN" w:bidi="ar-SA"/>
                    </w:rPr>
                  </w:pPr>
                  <w:r>
                    <w:rPr>
                      <w:color w:val="auto"/>
                      <w:sz w:val="21"/>
                      <w:szCs w:val="21"/>
                      <w:highlight w:val="none"/>
                    </w:rPr>
                    <w:t>89</w:t>
                  </w:r>
                  <w:r>
                    <w:rPr>
                      <w:rFonts w:hint="eastAsia"/>
                      <w:color w:val="auto"/>
                      <w:sz w:val="21"/>
                      <w:szCs w:val="21"/>
                      <w:highlight w:val="none"/>
                      <w:lang w:val="en-US" w:eastAsia="zh-CN"/>
                    </w:rPr>
                    <w:t>.2</w:t>
                  </w:r>
                  <w:r>
                    <w:rPr>
                      <w:color w:val="auto"/>
                      <w:sz w:val="21"/>
                      <w:szCs w:val="21"/>
                      <w:highlight w:val="none"/>
                    </w:rPr>
                    <w:t>%</w:t>
                  </w:r>
                </w:p>
              </w:tc>
            </w:tr>
            <w:tr w14:paraId="4E54AB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2181" w:type="pct"/>
                  <w:tcBorders>
                    <w:left w:val="single" w:color="000000" w:sz="6" w:space="0"/>
                  </w:tcBorders>
                  <w:noWrap w:val="0"/>
                  <w:vAlign w:val="center"/>
                </w:tcPr>
                <w:p w14:paraId="06E90706">
                  <w:pPr>
                    <w:jc w:val="center"/>
                    <w:rPr>
                      <w:color w:val="auto"/>
                      <w:sz w:val="21"/>
                      <w:szCs w:val="21"/>
                      <w:highlight w:val="none"/>
                    </w:rPr>
                  </w:pPr>
                  <w:r>
                    <w:rPr>
                      <w:rFonts w:hint="eastAsia"/>
                      <w:color w:val="auto"/>
                      <w:sz w:val="21"/>
                      <w:szCs w:val="21"/>
                      <w:highlight w:val="none"/>
                    </w:rPr>
                    <w:t>燃烧方式</w:t>
                  </w:r>
                </w:p>
              </w:tc>
              <w:tc>
                <w:tcPr>
                  <w:tcW w:w="2818" w:type="pct"/>
                  <w:tcBorders>
                    <w:right w:val="single" w:color="000000" w:sz="6" w:space="0"/>
                  </w:tcBorders>
                  <w:noWrap w:val="0"/>
                  <w:vAlign w:val="center"/>
                </w:tcPr>
                <w:p w14:paraId="24210CD3">
                  <w:pPr>
                    <w:jc w:val="center"/>
                    <w:rPr>
                      <w:color w:val="auto"/>
                      <w:sz w:val="21"/>
                      <w:szCs w:val="21"/>
                      <w:highlight w:val="none"/>
                    </w:rPr>
                  </w:pPr>
                  <w:r>
                    <w:rPr>
                      <w:rFonts w:hint="eastAsia"/>
                      <w:color w:val="auto"/>
                      <w:sz w:val="21"/>
                      <w:szCs w:val="21"/>
                      <w:highlight w:val="none"/>
                    </w:rPr>
                    <w:t>室燃</w:t>
                  </w:r>
                </w:p>
              </w:tc>
            </w:tr>
            <w:tr w14:paraId="158B6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2181" w:type="pct"/>
                  <w:tcBorders>
                    <w:left w:val="single" w:color="000000" w:sz="6" w:space="0"/>
                    <w:bottom w:val="single" w:color="000000" w:sz="6" w:space="0"/>
                  </w:tcBorders>
                  <w:noWrap w:val="0"/>
                  <w:vAlign w:val="center"/>
                </w:tcPr>
                <w:p w14:paraId="43E28260">
                  <w:pPr>
                    <w:jc w:val="center"/>
                    <w:rPr>
                      <w:color w:val="auto"/>
                      <w:sz w:val="21"/>
                      <w:szCs w:val="21"/>
                      <w:highlight w:val="none"/>
                    </w:rPr>
                  </w:pPr>
                  <w:r>
                    <w:rPr>
                      <w:rFonts w:hint="eastAsia"/>
                      <w:color w:val="auto"/>
                      <w:sz w:val="21"/>
                      <w:szCs w:val="21"/>
                      <w:highlight w:val="none"/>
                    </w:rPr>
                    <w:t>布置方式</w:t>
                  </w:r>
                </w:p>
              </w:tc>
              <w:tc>
                <w:tcPr>
                  <w:tcW w:w="2818" w:type="pct"/>
                  <w:tcBorders>
                    <w:bottom w:val="single" w:color="000000" w:sz="6" w:space="0"/>
                    <w:right w:val="single" w:color="000000" w:sz="6" w:space="0"/>
                  </w:tcBorders>
                  <w:noWrap w:val="0"/>
                  <w:vAlign w:val="center"/>
                </w:tcPr>
                <w:p w14:paraId="66F5C58E">
                  <w:pPr>
                    <w:jc w:val="center"/>
                    <w:rPr>
                      <w:color w:val="auto"/>
                      <w:sz w:val="21"/>
                      <w:szCs w:val="21"/>
                      <w:highlight w:val="none"/>
                    </w:rPr>
                  </w:pPr>
                  <w:r>
                    <w:rPr>
                      <w:rFonts w:hint="eastAsia"/>
                      <w:color w:val="auto"/>
                      <w:sz w:val="21"/>
                      <w:szCs w:val="21"/>
                      <w:highlight w:val="none"/>
                    </w:rPr>
                    <w:t>露天布置带防雨棚</w:t>
                  </w:r>
                </w:p>
              </w:tc>
            </w:tr>
          </w:tbl>
          <w:p w14:paraId="3C9358BC">
            <w:pPr>
              <w:pStyle w:val="9"/>
              <w:spacing w:line="360" w:lineRule="auto"/>
              <w:rPr>
                <w:rFonts w:ascii="Times New Roman" w:hAnsi="Times New Roman" w:eastAsia="宋体" w:cs="Times New Roman"/>
                <w:color w:val="auto"/>
                <w:kern w:val="2"/>
                <w:sz w:val="24"/>
                <w:szCs w:val="24"/>
                <w:highlight w:val="none"/>
                <w:lang w:val="en-US" w:eastAsia="zh-CN" w:bidi="ar-SA"/>
              </w:rPr>
            </w:pPr>
            <w:r>
              <w:rPr>
                <w:color w:val="auto"/>
                <w:sz w:val="24"/>
                <w:szCs w:val="24"/>
                <w:highlight w:val="none"/>
              </w:rPr>
              <w:t>其中</w:t>
            </w:r>
            <w:r>
              <w:rPr>
                <w:rFonts w:ascii="Times New Roman" w:hAnsi="Times New Roman" w:eastAsia="宋体" w:cs="Times New Roman"/>
                <w:color w:val="auto"/>
                <w:kern w:val="2"/>
                <w:sz w:val="24"/>
                <w:szCs w:val="24"/>
                <w:highlight w:val="none"/>
                <w:lang w:val="en-US" w:eastAsia="zh-CN" w:bidi="ar-SA"/>
              </w:rPr>
              <w:t>：烟囱高度为</w:t>
            </w:r>
            <w:r>
              <w:rPr>
                <w:rFonts w:hint="eastAsia" w:ascii="Times New Roman" w:hAnsi="Times New Roman" w:eastAsia="宋体" w:cs="Times New Roman"/>
                <w:color w:val="auto"/>
                <w:kern w:val="2"/>
                <w:sz w:val="24"/>
                <w:szCs w:val="24"/>
                <w:highlight w:val="none"/>
                <w:lang w:val="en-US" w:eastAsia="zh-CN" w:bidi="ar-SA"/>
              </w:rPr>
              <w:t>50m</w:t>
            </w:r>
            <w:r>
              <w:rPr>
                <w:rFonts w:ascii="Times New Roman" w:hAnsi="Times New Roman" w:eastAsia="宋体" w:cs="Times New Roman"/>
                <w:color w:val="auto"/>
                <w:kern w:val="2"/>
                <w:sz w:val="24"/>
                <w:szCs w:val="24"/>
                <w:highlight w:val="none"/>
                <w:lang w:val="en-US" w:eastAsia="zh-CN" w:bidi="ar-SA"/>
              </w:rPr>
              <w:t>，出口内径为</w:t>
            </w:r>
            <w:r>
              <w:rPr>
                <w:rFonts w:hint="eastAsia" w:ascii="Times New Roman" w:hAnsi="Times New Roman" w:eastAsia="宋体" w:cs="Times New Roman"/>
                <w:color w:val="auto"/>
                <w:kern w:val="2"/>
                <w:sz w:val="24"/>
                <w:szCs w:val="24"/>
                <w:highlight w:val="none"/>
                <w:lang w:val="en-US" w:eastAsia="zh-CN" w:bidi="ar-SA"/>
              </w:rPr>
              <w:t>2m</w:t>
            </w:r>
            <w:r>
              <w:rPr>
                <w:rFonts w:ascii="Times New Roman" w:hAnsi="Times New Roman" w:eastAsia="宋体" w:cs="Times New Roman"/>
                <w:color w:val="auto"/>
                <w:kern w:val="2"/>
                <w:sz w:val="24"/>
                <w:szCs w:val="24"/>
                <w:highlight w:val="none"/>
                <w:lang w:val="en-US" w:eastAsia="zh-CN" w:bidi="ar-SA"/>
              </w:rPr>
              <w:t>。</w:t>
            </w:r>
          </w:p>
          <w:p w14:paraId="737B15AD">
            <w:pPr>
              <w:spacing w:line="360" w:lineRule="auto"/>
              <w:ind w:firstLine="480" w:firstLineChars="200"/>
              <w:rPr>
                <w:rFonts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2"/>
                <w:sz w:val="24"/>
                <w:szCs w:val="24"/>
                <w:highlight w:val="none"/>
                <w:lang w:val="en-US" w:eastAsia="zh-CN" w:bidi="ar-SA"/>
              </w:rPr>
              <w:t>③热力系统</w:t>
            </w:r>
          </w:p>
          <w:p w14:paraId="027BF153">
            <w:pPr>
              <w:spacing w:line="360" w:lineRule="auto"/>
              <w:ind w:firstLine="480" w:firstLineChars="200"/>
              <w:rPr>
                <w:color w:val="auto"/>
                <w:sz w:val="24"/>
                <w:highlight w:val="none"/>
              </w:rPr>
            </w:pPr>
            <w:r>
              <w:rPr>
                <w:color w:val="auto"/>
                <w:sz w:val="24"/>
                <w:highlight w:val="none"/>
              </w:rPr>
              <w:t>建设一台</w:t>
            </w:r>
            <w:r>
              <w:rPr>
                <w:rFonts w:hint="eastAsia"/>
                <w:color w:val="auto"/>
                <w:sz w:val="24"/>
                <w:highlight w:val="none"/>
                <w:lang w:val="en-US" w:eastAsia="zh-CN"/>
              </w:rPr>
              <w:t>15</w:t>
            </w:r>
            <w:r>
              <w:rPr>
                <w:color w:val="auto"/>
                <w:sz w:val="24"/>
                <w:highlight w:val="none"/>
              </w:rPr>
              <w:t>MW</w:t>
            </w:r>
            <w:r>
              <w:rPr>
                <w:rFonts w:hint="eastAsia"/>
                <w:color w:val="auto"/>
                <w:sz w:val="24"/>
                <w:highlight w:val="none"/>
              </w:rPr>
              <w:t>高温高压凝汽式汽轮机</w:t>
            </w:r>
            <w:r>
              <w:rPr>
                <w:color w:val="auto"/>
                <w:sz w:val="24"/>
                <w:highlight w:val="none"/>
              </w:rPr>
              <w:t>。</w:t>
            </w:r>
          </w:p>
          <w:p w14:paraId="6B1D279B">
            <w:pPr>
              <w:spacing w:line="360" w:lineRule="auto"/>
              <w:ind w:firstLine="422" w:firstLineChars="200"/>
              <w:jc w:val="center"/>
              <w:rPr>
                <w:b/>
                <w:bCs/>
                <w:color w:val="auto"/>
                <w:sz w:val="21"/>
                <w:szCs w:val="21"/>
                <w:highlight w:val="none"/>
              </w:rPr>
            </w:pPr>
            <w:r>
              <w:rPr>
                <w:b/>
                <w:bCs/>
                <w:color w:val="auto"/>
                <w:sz w:val="21"/>
                <w:szCs w:val="21"/>
                <w:highlight w:val="none"/>
              </w:rPr>
              <w:t>表</w:t>
            </w:r>
            <w:r>
              <w:rPr>
                <w:rFonts w:hint="eastAsia"/>
                <w:b/>
                <w:bCs/>
                <w:color w:val="auto"/>
                <w:sz w:val="21"/>
                <w:szCs w:val="21"/>
                <w:highlight w:val="none"/>
                <w:lang w:val="en-US" w:eastAsia="zh-CN"/>
              </w:rPr>
              <w:t>2-8</w:t>
            </w:r>
            <w:r>
              <w:rPr>
                <w:b/>
                <w:bCs/>
                <w:color w:val="auto"/>
                <w:sz w:val="21"/>
                <w:szCs w:val="21"/>
                <w:highlight w:val="none"/>
              </w:rPr>
              <w:t>汽轮机参数一览表</w:t>
            </w:r>
          </w:p>
          <w:tbl>
            <w:tblPr>
              <w:tblStyle w:val="54"/>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992"/>
              <w:gridCol w:w="5397"/>
            </w:tblGrid>
            <w:tr w14:paraId="4F9D8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783" w:type="pct"/>
                  <w:tcBorders>
                    <w:top w:val="single" w:color="000000" w:sz="6" w:space="0"/>
                    <w:left w:val="single" w:color="000000" w:sz="6" w:space="0"/>
                  </w:tcBorders>
                  <w:noWrap w:val="0"/>
                  <w:vAlign w:val="top"/>
                </w:tcPr>
                <w:p w14:paraId="30C07499">
                  <w:pPr>
                    <w:pStyle w:val="53"/>
                    <w:jc w:val="center"/>
                    <w:rPr>
                      <w:rFonts w:ascii="Times New Roman" w:hAnsi="Times New Roman" w:cs="Times New Roman"/>
                      <w:b/>
                      <w:bCs/>
                      <w:color w:val="auto"/>
                      <w:spacing w:val="-4"/>
                      <w:sz w:val="21"/>
                      <w:szCs w:val="21"/>
                      <w:highlight w:val="none"/>
                      <w:lang w:eastAsia="zh-CN"/>
                    </w:rPr>
                  </w:pPr>
                  <w:r>
                    <w:rPr>
                      <w:rFonts w:ascii="Times New Roman" w:hAnsi="Times New Roman" w:cs="Times New Roman"/>
                      <w:b/>
                      <w:bCs/>
                      <w:color w:val="auto"/>
                      <w:spacing w:val="-4"/>
                      <w:sz w:val="21"/>
                      <w:szCs w:val="21"/>
                      <w:highlight w:val="none"/>
                      <w:lang w:eastAsia="zh-CN"/>
                    </w:rPr>
                    <w:t>项目</w:t>
                  </w:r>
                </w:p>
              </w:tc>
              <w:tc>
                <w:tcPr>
                  <w:tcW w:w="3216" w:type="pct"/>
                  <w:tcBorders>
                    <w:top w:val="single" w:color="000000" w:sz="6" w:space="0"/>
                    <w:right w:val="single" w:color="000000" w:sz="6" w:space="0"/>
                  </w:tcBorders>
                  <w:noWrap w:val="0"/>
                  <w:vAlign w:val="top"/>
                </w:tcPr>
                <w:p w14:paraId="01882728">
                  <w:pPr>
                    <w:pStyle w:val="53"/>
                    <w:jc w:val="center"/>
                    <w:rPr>
                      <w:rFonts w:ascii="Times New Roman" w:hAnsi="Times New Roman" w:cs="Times New Roman"/>
                      <w:b/>
                      <w:bCs/>
                      <w:color w:val="auto"/>
                      <w:sz w:val="21"/>
                      <w:szCs w:val="21"/>
                      <w:highlight w:val="none"/>
                      <w:lang w:eastAsia="zh-CN"/>
                    </w:rPr>
                  </w:pPr>
                  <w:r>
                    <w:rPr>
                      <w:rFonts w:ascii="Times New Roman" w:hAnsi="Times New Roman" w:cs="Times New Roman"/>
                      <w:b/>
                      <w:bCs/>
                      <w:color w:val="auto"/>
                      <w:sz w:val="21"/>
                      <w:szCs w:val="21"/>
                      <w:highlight w:val="none"/>
                      <w:lang w:eastAsia="zh-CN"/>
                    </w:rPr>
                    <w:t>参数</w:t>
                  </w:r>
                </w:p>
              </w:tc>
            </w:tr>
            <w:tr w14:paraId="66784C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783" w:type="pct"/>
                  <w:tcBorders>
                    <w:top w:val="single" w:color="000000" w:sz="6" w:space="0"/>
                    <w:left w:val="single" w:color="000000" w:sz="6" w:space="0"/>
                  </w:tcBorders>
                  <w:noWrap w:val="0"/>
                  <w:vAlign w:val="top"/>
                </w:tcPr>
                <w:p w14:paraId="261BA8D1">
                  <w:pPr>
                    <w:pStyle w:val="53"/>
                    <w:jc w:val="center"/>
                    <w:rPr>
                      <w:rFonts w:ascii="Times New Roman" w:hAnsi="Times New Roman" w:cs="Times New Roman"/>
                      <w:color w:val="auto"/>
                      <w:sz w:val="21"/>
                      <w:szCs w:val="21"/>
                      <w:highlight w:val="none"/>
                    </w:rPr>
                  </w:pPr>
                  <w:r>
                    <w:rPr>
                      <w:rFonts w:ascii="Times New Roman" w:hAnsi="Times New Roman" w:cs="Times New Roman"/>
                      <w:color w:val="auto"/>
                      <w:spacing w:val="-4"/>
                      <w:sz w:val="21"/>
                      <w:szCs w:val="21"/>
                      <w:highlight w:val="none"/>
                    </w:rPr>
                    <w:t>型号</w:t>
                  </w:r>
                </w:p>
              </w:tc>
              <w:tc>
                <w:tcPr>
                  <w:tcW w:w="3216" w:type="pct"/>
                  <w:tcBorders>
                    <w:top w:val="single" w:color="000000" w:sz="6" w:space="0"/>
                    <w:right w:val="single" w:color="000000" w:sz="6" w:space="0"/>
                  </w:tcBorders>
                  <w:noWrap w:val="0"/>
                  <w:vAlign w:val="top"/>
                </w:tcPr>
                <w:p w14:paraId="7E6C7094">
                  <w:pPr>
                    <w:pStyle w:val="53"/>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N</w:t>
                  </w:r>
                  <w:r>
                    <w:rPr>
                      <w:rFonts w:hint="eastAsia" w:ascii="Times New Roman" w:hAnsi="Times New Roman" w:cs="Times New Roman"/>
                      <w:color w:val="auto"/>
                      <w:sz w:val="21"/>
                      <w:szCs w:val="21"/>
                      <w:highlight w:val="none"/>
                    </w:rPr>
                    <w:t>15</w:t>
                  </w:r>
                  <w:r>
                    <w:rPr>
                      <w:rFonts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rPr>
                    <w:t>8.83</w:t>
                  </w:r>
                  <w:r>
                    <w:rPr>
                      <w:rFonts w:ascii="Times New Roman" w:hAnsi="Times New Roman" w:cs="Times New Roman"/>
                      <w:color w:val="auto"/>
                      <w:sz w:val="21"/>
                      <w:szCs w:val="21"/>
                      <w:highlight w:val="none"/>
                    </w:rPr>
                    <w:t>/53</w:t>
                  </w:r>
                  <w:r>
                    <w:rPr>
                      <w:rFonts w:hint="eastAsia" w:ascii="Times New Roman" w:hAnsi="Times New Roman" w:cs="Times New Roman"/>
                      <w:color w:val="auto"/>
                      <w:sz w:val="21"/>
                      <w:szCs w:val="21"/>
                      <w:highlight w:val="none"/>
                    </w:rPr>
                    <w:t>5</w:t>
                  </w:r>
                </w:p>
              </w:tc>
            </w:tr>
            <w:tr w14:paraId="1F88F5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783" w:type="pct"/>
                  <w:tcBorders>
                    <w:left w:val="single" w:color="000000" w:sz="6" w:space="0"/>
                  </w:tcBorders>
                  <w:noWrap w:val="0"/>
                  <w:vAlign w:val="top"/>
                </w:tcPr>
                <w:p w14:paraId="3C97D7C5">
                  <w:pPr>
                    <w:pStyle w:val="53"/>
                    <w:jc w:val="center"/>
                    <w:rPr>
                      <w:rFonts w:ascii="Times New Roman" w:hAnsi="Times New Roman" w:cs="Times New Roman"/>
                      <w:color w:val="auto"/>
                      <w:sz w:val="21"/>
                      <w:szCs w:val="21"/>
                      <w:highlight w:val="none"/>
                      <w:lang w:eastAsia="zh-CN"/>
                    </w:rPr>
                  </w:pPr>
                  <w:r>
                    <w:rPr>
                      <w:rFonts w:ascii="Times New Roman" w:hAnsi="Times New Roman" w:cs="Times New Roman"/>
                      <w:color w:val="auto"/>
                      <w:spacing w:val="-2"/>
                      <w:sz w:val="21"/>
                      <w:szCs w:val="21"/>
                      <w:highlight w:val="none"/>
                      <w:lang w:eastAsia="zh-CN"/>
                    </w:rPr>
                    <w:t>额定功率</w:t>
                  </w:r>
                </w:p>
              </w:tc>
              <w:tc>
                <w:tcPr>
                  <w:tcW w:w="3216" w:type="pct"/>
                  <w:tcBorders>
                    <w:right w:val="single" w:color="000000" w:sz="6" w:space="0"/>
                  </w:tcBorders>
                  <w:noWrap w:val="0"/>
                  <w:vAlign w:val="top"/>
                </w:tcPr>
                <w:p w14:paraId="1DA58B72">
                  <w:pPr>
                    <w:pStyle w:val="53"/>
                    <w:jc w:val="center"/>
                    <w:rPr>
                      <w:rFonts w:ascii="Times New Roman" w:hAnsi="Times New Roman" w:cs="Times New Roman"/>
                      <w:color w:val="auto"/>
                      <w:sz w:val="21"/>
                      <w:szCs w:val="21"/>
                      <w:highlight w:val="none"/>
                      <w:lang w:eastAsia="zh-CN"/>
                    </w:rPr>
                  </w:pPr>
                  <w:r>
                    <w:rPr>
                      <w:rFonts w:hint="eastAsia" w:ascii="Times New Roman" w:hAnsi="Times New Roman" w:cs="Times New Roman"/>
                      <w:color w:val="auto"/>
                      <w:spacing w:val="-1"/>
                      <w:sz w:val="21"/>
                      <w:szCs w:val="21"/>
                      <w:highlight w:val="none"/>
                      <w:lang w:val="en-US" w:eastAsia="zh-CN"/>
                    </w:rPr>
                    <w:t>1</w:t>
                  </w:r>
                  <w:r>
                    <w:rPr>
                      <w:rFonts w:ascii="Times New Roman" w:hAnsi="Times New Roman" w:cs="Times New Roman"/>
                      <w:color w:val="auto"/>
                      <w:spacing w:val="-1"/>
                      <w:sz w:val="21"/>
                      <w:szCs w:val="21"/>
                      <w:highlight w:val="none"/>
                      <w:lang w:eastAsia="zh-CN"/>
                    </w:rPr>
                    <w:t>5MW</w:t>
                  </w:r>
                </w:p>
              </w:tc>
            </w:tr>
            <w:tr w14:paraId="7853E6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783" w:type="pct"/>
                  <w:tcBorders>
                    <w:left w:val="single" w:color="000000" w:sz="6" w:space="0"/>
                  </w:tcBorders>
                  <w:noWrap w:val="0"/>
                  <w:vAlign w:val="top"/>
                </w:tcPr>
                <w:p w14:paraId="7642907C">
                  <w:pPr>
                    <w:pStyle w:val="53"/>
                    <w:jc w:val="center"/>
                    <w:rPr>
                      <w:rFonts w:hint="default" w:ascii="Times New Roman" w:hAnsi="Times New Roman" w:cs="Times New Roman"/>
                      <w:color w:val="auto"/>
                      <w:spacing w:val="-2"/>
                      <w:sz w:val="21"/>
                      <w:szCs w:val="21"/>
                      <w:highlight w:val="none"/>
                      <w:lang w:val="en-US" w:eastAsia="zh-CN"/>
                    </w:rPr>
                  </w:pPr>
                  <w:r>
                    <w:rPr>
                      <w:rFonts w:hint="eastAsia" w:ascii="Times New Roman" w:hAnsi="Times New Roman" w:cs="Times New Roman"/>
                      <w:color w:val="auto"/>
                      <w:spacing w:val="-2"/>
                      <w:sz w:val="21"/>
                      <w:szCs w:val="21"/>
                      <w:highlight w:val="none"/>
                      <w:lang w:val="en-US" w:eastAsia="zh-CN"/>
                    </w:rPr>
                    <w:t>额定进气压力</w:t>
                  </w:r>
                </w:p>
              </w:tc>
              <w:tc>
                <w:tcPr>
                  <w:tcW w:w="3216" w:type="pct"/>
                  <w:tcBorders>
                    <w:right w:val="single" w:color="000000" w:sz="6" w:space="0"/>
                  </w:tcBorders>
                  <w:noWrap w:val="0"/>
                  <w:vAlign w:val="top"/>
                </w:tcPr>
                <w:p w14:paraId="5C2D9F40">
                  <w:pPr>
                    <w:pStyle w:val="53"/>
                    <w:jc w:val="center"/>
                    <w:rPr>
                      <w:rFonts w:ascii="Times New Roman" w:hAnsi="Times New Roman" w:cs="Times New Roman"/>
                      <w:color w:val="auto"/>
                      <w:spacing w:val="-1"/>
                      <w:sz w:val="21"/>
                      <w:szCs w:val="21"/>
                      <w:highlight w:val="none"/>
                      <w:lang w:eastAsia="zh-CN"/>
                    </w:rPr>
                  </w:pPr>
                  <w:r>
                    <w:rPr>
                      <w:rFonts w:ascii="Times New Roman" w:hAnsi="Times New Roman" w:cs="Times New Roman"/>
                      <w:color w:val="auto"/>
                      <w:spacing w:val="-1"/>
                      <w:sz w:val="21"/>
                      <w:szCs w:val="21"/>
                      <w:highlight w:val="none"/>
                      <w:lang w:eastAsia="zh-CN"/>
                    </w:rPr>
                    <w:t xml:space="preserve"> </w:t>
                  </w:r>
                  <w:r>
                    <w:rPr>
                      <w:rFonts w:hint="eastAsia" w:ascii="Times New Roman" w:hAnsi="Times New Roman" w:cs="Times New Roman"/>
                      <w:color w:val="auto"/>
                      <w:spacing w:val="-1"/>
                      <w:sz w:val="21"/>
                      <w:szCs w:val="21"/>
                      <w:highlight w:val="none"/>
                      <w:lang w:eastAsia="zh-CN"/>
                    </w:rPr>
                    <w:t>8.83</w:t>
                  </w:r>
                  <w:r>
                    <w:rPr>
                      <w:rFonts w:ascii="Times New Roman" w:hAnsi="Times New Roman" w:cs="Times New Roman"/>
                      <w:color w:val="auto"/>
                      <w:spacing w:val="-1"/>
                      <w:sz w:val="21"/>
                      <w:szCs w:val="21"/>
                      <w:highlight w:val="none"/>
                      <w:lang w:eastAsia="zh-CN"/>
                    </w:rPr>
                    <w:t>MPa</w:t>
                  </w:r>
                </w:p>
              </w:tc>
            </w:tr>
            <w:tr w14:paraId="63B4EC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783" w:type="pct"/>
                  <w:tcBorders>
                    <w:left w:val="single" w:color="000000" w:sz="6" w:space="0"/>
                  </w:tcBorders>
                  <w:noWrap w:val="0"/>
                  <w:vAlign w:val="top"/>
                </w:tcPr>
                <w:p w14:paraId="7D1B5EC8">
                  <w:pPr>
                    <w:pStyle w:val="53"/>
                    <w:jc w:val="center"/>
                    <w:rPr>
                      <w:rFonts w:ascii="Times New Roman" w:hAnsi="Times New Roman" w:cs="Times New Roman"/>
                      <w:color w:val="auto"/>
                      <w:spacing w:val="-2"/>
                      <w:sz w:val="21"/>
                      <w:szCs w:val="21"/>
                      <w:highlight w:val="none"/>
                      <w:lang w:eastAsia="zh-CN"/>
                    </w:rPr>
                  </w:pPr>
                  <w:r>
                    <w:rPr>
                      <w:rFonts w:ascii="Times New Roman" w:hAnsi="Times New Roman" w:cs="Times New Roman"/>
                      <w:color w:val="auto"/>
                      <w:spacing w:val="-2"/>
                      <w:sz w:val="21"/>
                      <w:szCs w:val="21"/>
                      <w:highlight w:val="none"/>
                      <w:lang w:eastAsia="zh-CN"/>
                    </w:rPr>
                    <w:t>额定进汽温度</w:t>
                  </w:r>
                </w:p>
              </w:tc>
              <w:tc>
                <w:tcPr>
                  <w:tcW w:w="3216" w:type="pct"/>
                  <w:tcBorders>
                    <w:right w:val="single" w:color="000000" w:sz="6" w:space="0"/>
                  </w:tcBorders>
                  <w:noWrap w:val="0"/>
                  <w:vAlign w:val="top"/>
                </w:tcPr>
                <w:p w14:paraId="26A4112C">
                  <w:pPr>
                    <w:pStyle w:val="53"/>
                    <w:jc w:val="center"/>
                    <w:rPr>
                      <w:rFonts w:ascii="Times New Roman" w:hAnsi="Times New Roman" w:cs="Times New Roman"/>
                      <w:color w:val="auto"/>
                      <w:spacing w:val="-1"/>
                      <w:sz w:val="21"/>
                      <w:szCs w:val="21"/>
                      <w:highlight w:val="none"/>
                      <w:lang w:eastAsia="zh-CN"/>
                    </w:rPr>
                  </w:pPr>
                  <w:r>
                    <w:rPr>
                      <w:rFonts w:ascii="Times New Roman" w:hAnsi="Times New Roman" w:cs="Times New Roman"/>
                      <w:color w:val="auto"/>
                      <w:spacing w:val="-1"/>
                      <w:sz w:val="21"/>
                      <w:szCs w:val="21"/>
                      <w:highlight w:val="none"/>
                      <w:lang w:eastAsia="zh-CN"/>
                    </w:rPr>
                    <w:t>53</w:t>
                  </w:r>
                  <w:r>
                    <w:rPr>
                      <w:rFonts w:hint="eastAsia" w:ascii="Times New Roman" w:hAnsi="Times New Roman" w:cs="Times New Roman"/>
                      <w:color w:val="auto"/>
                      <w:spacing w:val="-1"/>
                      <w:sz w:val="21"/>
                      <w:szCs w:val="21"/>
                      <w:highlight w:val="none"/>
                      <w:lang w:eastAsia="zh-CN"/>
                    </w:rPr>
                    <w:t>5℃</w:t>
                  </w:r>
                </w:p>
              </w:tc>
            </w:tr>
            <w:tr w14:paraId="0EBBCB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783" w:type="pct"/>
                  <w:tcBorders>
                    <w:left w:val="single" w:color="000000" w:sz="6" w:space="0"/>
                  </w:tcBorders>
                  <w:noWrap w:val="0"/>
                  <w:vAlign w:val="top"/>
                </w:tcPr>
                <w:p w14:paraId="0573D7F1">
                  <w:pPr>
                    <w:pStyle w:val="53"/>
                    <w:jc w:val="center"/>
                    <w:rPr>
                      <w:rFonts w:ascii="Times New Roman" w:hAnsi="Times New Roman" w:cs="Times New Roman"/>
                      <w:color w:val="auto"/>
                      <w:spacing w:val="-2"/>
                      <w:sz w:val="21"/>
                      <w:szCs w:val="21"/>
                      <w:highlight w:val="none"/>
                      <w:lang w:eastAsia="zh-CN"/>
                    </w:rPr>
                  </w:pPr>
                  <w:r>
                    <w:rPr>
                      <w:rFonts w:ascii="Times New Roman" w:hAnsi="Times New Roman" w:cs="Times New Roman"/>
                      <w:color w:val="auto"/>
                      <w:spacing w:val="-1"/>
                      <w:sz w:val="21"/>
                      <w:szCs w:val="21"/>
                      <w:highlight w:val="none"/>
                      <w:lang w:eastAsia="zh-CN"/>
                    </w:rPr>
                    <w:t>排气压力</w:t>
                  </w:r>
                </w:p>
              </w:tc>
              <w:tc>
                <w:tcPr>
                  <w:tcW w:w="3216" w:type="pct"/>
                  <w:tcBorders>
                    <w:right w:val="single" w:color="000000" w:sz="6" w:space="0"/>
                  </w:tcBorders>
                  <w:noWrap w:val="0"/>
                  <w:vAlign w:val="top"/>
                </w:tcPr>
                <w:p w14:paraId="65E03E6F">
                  <w:pPr>
                    <w:pStyle w:val="53"/>
                    <w:jc w:val="center"/>
                    <w:rPr>
                      <w:rFonts w:ascii="Times New Roman" w:hAnsi="Times New Roman" w:cs="Times New Roman"/>
                      <w:color w:val="auto"/>
                      <w:spacing w:val="-1"/>
                      <w:sz w:val="21"/>
                      <w:szCs w:val="21"/>
                      <w:highlight w:val="none"/>
                      <w:lang w:eastAsia="zh-CN"/>
                    </w:rPr>
                  </w:pPr>
                  <w:r>
                    <w:rPr>
                      <w:rFonts w:ascii="Times New Roman" w:hAnsi="Times New Roman" w:cs="Times New Roman"/>
                      <w:color w:val="auto"/>
                      <w:spacing w:val="-1"/>
                      <w:sz w:val="21"/>
                      <w:szCs w:val="21"/>
                      <w:highlight w:val="none"/>
                      <w:lang w:eastAsia="zh-CN"/>
                    </w:rPr>
                    <w:t>6</w:t>
                  </w:r>
                  <w:r>
                    <w:rPr>
                      <w:rFonts w:hint="eastAsia" w:ascii="Times New Roman" w:hAnsi="Times New Roman" w:cs="Times New Roman"/>
                      <w:color w:val="auto"/>
                      <w:spacing w:val="-1"/>
                      <w:sz w:val="21"/>
                      <w:szCs w:val="21"/>
                      <w:highlight w:val="none"/>
                      <w:lang w:eastAsia="zh-CN"/>
                    </w:rPr>
                    <w:t>.8kPa</w:t>
                  </w:r>
                </w:p>
              </w:tc>
            </w:tr>
            <w:tr w14:paraId="1A45AF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783" w:type="pct"/>
                  <w:tcBorders>
                    <w:left w:val="single" w:color="000000" w:sz="6" w:space="0"/>
                  </w:tcBorders>
                  <w:noWrap w:val="0"/>
                  <w:vAlign w:val="top"/>
                </w:tcPr>
                <w:p w14:paraId="1D5413DB">
                  <w:pPr>
                    <w:pStyle w:val="53"/>
                    <w:jc w:val="center"/>
                    <w:rPr>
                      <w:rFonts w:ascii="Times New Roman" w:hAnsi="Times New Roman" w:cs="Times New Roman"/>
                      <w:color w:val="auto"/>
                      <w:spacing w:val="-2"/>
                      <w:sz w:val="21"/>
                      <w:szCs w:val="21"/>
                      <w:highlight w:val="none"/>
                      <w:lang w:eastAsia="zh-CN"/>
                    </w:rPr>
                  </w:pPr>
                  <w:r>
                    <w:rPr>
                      <w:rFonts w:ascii="Times New Roman" w:hAnsi="Times New Roman" w:cs="Times New Roman"/>
                      <w:color w:val="auto"/>
                      <w:spacing w:val="-2"/>
                      <w:sz w:val="21"/>
                      <w:szCs w:val="21"/>
                      <w:highlight w:val="none"/>
                      <w:lang w:eastAsia="zh-CN"/>
                    </w:rPr>
                    <w:t>额定转速</w:t>
                  </w:r>
                </w:p>
              </w:tc>
              <w:tc>
                <w:tcPr>
                  <w:tcW w:w="3216" w:type="pct"/>
                  <w:tcBorders>
                    <w:right w:val="single" w:color="000000" w:sz="6" w:space="0"/>
                  </w:tcBorders>
                  <w:noWrap w:val="0"/>
                  <w:vAlign w:val="top"/>
                </w:tcPr>
                <w:p w14:paraId="2BC75CC3">
                  <w:pPr>
                    <w:pStyle w:val="53"/>
                    <w:jc w:val="center"/>
                    <w:rPr>
                      <w:rFonts w:ascii="Times New Roman" w:hAnsi="Times New Roman" w:cs="Times New Roman"/>
                      <w:color w:val="auto"/>
                      <w:spacing w:val="-1"/>
                      <w:sz w:val="21"/>
                      <w:szCs w:val="21"/>
                      <w:highlight w:val="none"/>
                      <w:lang w:eastAsia="zh-CN"/>
                    </w:rPr>
                  </w:pPr>
                  <w:r>
                    <w:rPr>
                      <w:rFonts w:hint="eastAsia" w:ascii="Times New Roman" w:hAnsi="Times New Roman" w:cs="Times New Roman"/>
                      <w:color w:val="auto"/>
                      <w:spacing w:val="-1"/>
                      <w:sz w:val="21"/>
                      <w:szCs w:val="21"/>
                      <w:highlight w:val="none"/>
                      <w:lang w:eastAsia="zh-CN"/>
                    </w:rPr>
                    <w:t>6700r/min</w:t>
                  </w:r>
                </w:p>
              </w:tc>
            </w:tr>
          </w:tbl>
          <w:p w14:paraId="58188FE7">
            <w:pPr>
              <w:spacing w:line="360" w:lineRule="auto"/>
              <w:ind w:firstLine="480" w:firstLineChars="200"/>
              <w:rPr>
                <w:rFonts w:hint="eastAsia" w:eastAsia="宋体"/>
                <w:color w:val="auto"/>
                <w:sz w:val="24"/>
                <w:highlight w:val="none"/>
                <w:lang w:eastAsia="zh-CN"/>
              </w:rPr>
            </w:pPr>
            <w:r>
              <w:rPr>
                <w:color w:val="auto"/>
                <w:sz w:val="24"/>
                <w:highlight w:val="none"/>
              </w:rPr>
              <w:t>配备有给水系统、抽气系统、凝结水系统、放气系统等</w:t>
            </w:r>
            <w:r>
              <w:rPr>
                <w:rFonts w:hint="eastAsia"/>
                <w:color w:val="auto"/>
                <w:sz w:val="24"/>
                <w:highlight w:val="none"/>
                <w:lang w:eastAsia="zh-CN"/>
              </w:rPr>
              <w:t>，配置隔音罩壳。</w:t>
            </w:r>
          </w:p>
          <w:p w14:paraId="37510634">
            <w:pPr>
              <w:spacing w:line="360" w:lineRule="auto"/>
              <w:ind w:firstLine="480" w:firstLineChars="200"/>
              <w:rPr>
                <w:color w:val="auto"/>
                <w:sz w:val="24"/>
                <w:highlight w:val="none"/>
              </w:rPr>
            </w:pPr>
            <w:r>
              <w:rPr>
                <w:color w:val="auto"/>
                <w:sz w:val="24"/>
                <w:highlight w:val="none"/>
              </w:rPr>
              <w:t>④电气系统</w:t>
            </w:r>
          </w:p>
          <w:p w14:paraId="13022C93">
            <w:pPr>
              <w:spacing w:line="360" w:lineRule="auto"/>
              <w:ind w:firstLine="480" w:firstLineChars="200"/>
              <w:rPr>
                <w:rFonts w:hint="eastAsia" w:eastAsia="宋体"/>
                <w:color w:val="auto"/>
                <w:sz w:val="24"/>
                <w:highlight w:val="none"/>
                <w:lang w:eastAsia="zh-CN"/>
              </w:rPr>
            </w:pPr>
            <w:r>
              <w:rPr>
                <w:color w:val="auto"/>
                <w:sz w:val="24"/>
                <w:highlight w:val="none"/>
              </w:rPr>
              <w:t>本项目发电机组容量为</w:t>
            </w:r>
            <w:r>
              <w:rPr>
                <w:rFonts w:hint="eastAsia"/>
                <w:color w:val="auto"/>
                <w:sz w:val="24"/>
                <w:highlight w:val="none"/>
                <w:lang w:val="en-US" w:eastAsia="zh-CN"/>
              </w:rPr>
              <w:t>18</w:t>
            </w:r>
            <w:r>
              <w:rPr>
                <w:color w:val="auto"/>
                <w:sz w:val="24"/>
                <w:highlight w:val="none"/>
              </w:rPr>
              <w:t>MW</w:t>
            </w:r>
            <w:r>
              <w:rPr>
                <w:rFonts w:hint="eastAsia"/>
                <w:color w:val="auto"/>
                <w:sz w:val="24"/>
                <w:highlight w:val="none"/>
                <w:lang w:eastAsia="zh-CN"/>
              </w:rPr>
              <w:t>。</w:t>
            </w:r>
          </w:p>
          <w:p w14:paraId="117D031F">
            <w:pPr>
              <w:spacing w:line="360" w:lineRule="auto"/>
              <w:ind w:firstLine="422" w:firstLineChars="200"/>
              <w:jc w:val="center"/>
              <w:rPr>
                <w:b/>
                <w:bCs/>
                <w:color w:val="auto"/>
                <w:sz w:val="21"/>
                <w:szCs w:val="21"/>
                <w:highlight w:val="none"/>
              </w:rPr>
            </w:pPr>
            <w:r>
              <w:rPr>
                <w:b/>
                <w:bCs/>
                <w:color w:val="auto"/>
                <w:sz w:val="21"/>
                <w:szCs w:val="21"/>
                <w:highlight w:val="none"/>
              </w:rPr>
              <w:t>表</w:t>
            </w:r>
            <w:r>
              <w:rPr>
                <w:rFonts w:hint="eastAsia"/>
                <w:b/>
                <w:bCs/>
                <w:color w:val="auto"/>
                <w:sz w:val="21"/>
                <w:szCs w:val="21"/>
                <w:highlight w:val="none"/>
                <w:lang w:val="en-US" w:eastAsia="zh-CN"/>
              </w:rPr>
              <w:t>2-9</w:t>
            </w:r>
            <w:r>
              <w:rPr>
                <w:b/>
                <w:bCs/>
                <w:color w:val="auto"/>
                <w:sz w:val="21"/>
                <w:szCs w:val="21"/>
                <w:highlight w:val="none"/>
              </w:rPr>
              <w:t>发电机参数一览表</w:t>
            </w:r>
          </w:p>
          <w:tbl>
            <w:tblPr>
              <w:tblStyle w:val="54"/>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549"/>
              <w:gridCol w:w="5840"/>
            </w:tblGrid>
            <w:tr w14:paraId="31D1D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519" w:type="pct"/>
                  <w:tcBorders>
                    <w:top w:val="single" w:color="000000" w:sz="6" w:space="0"/>
                  </w:tcBorders>
                  <w:noWrap w:val="0"/>
                  <w:vAlign w:val="top"/>
                </w:tcPr>
                <w:p w14:paraId="26C08159">
                  <w:pPr>
                    <w:jc w:val="center"/>
                    <w:rPr>
                      <w:b/>
                      <w:bCs/>
                      <w:color w:val="auto"/>
                      <w:sz w:val="21"/>
                      <w:szCs w:val="21"/>
                    </w:rPr>
                  </w:pPr>
                  <w:r>
                    <w:rPr>
                      <w:b/>
                      <w:bCs/>
                      <w:color w:val="auto"/>
                      <w:sz w:val="21"/>
                      <w:szCs w:val="21"/>
                    </w:rPr>
                    <w:t>项目</w:t>
                  </w:r>
                </w:p>
              </w:tc>
              <w:tc>
                <w:tcPr>
                  <w:tcW w:w="3480" w:type="pct"/>
                  <w:tcBorders>
                    <w:top w:val="single" w:color="000000" w:sz="6" w:space="0"/>
                    <w:right w:val="single" w:color="000000" w:sz="6" w:space="0"/>
                  </w:tcBorders>
                  <w:noWrap w:val="0"/>
                  <w:vAlign w:val="top"/>
                </w:tcPr>
                <w:p w14:paraId="3B1A6F80">
                  <w:pPr>
                    <w:jc w:val="center"/>
                    <w:rPr>
                      <w:b/>
                      <w:bCs/>
                      <w:color w:val="auto"/>
                      <w:sz w:val="21"/>
                      <w:szCs w:val="21"/>
                    </w:rPr>
                  </w:pPr>
                  <w:r>
                    <w:rPr>
                      <w:b/>
                      <w:bCs/>
                      <w:color w:val="auto"/>
                      <w:sz w:val="21"/>
                      <w:szCs w:val="21"/>
                    </w:rPr>
                    <w:t>参数</w:t>
                  </w:r>
                </w:p>
              </w:tc>
            </w:tr>
            <w:tr w14:paraId="11DEEA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519" w:type="pct"/>
                  <w:tcBorders>
                    <w:top w:val="single" w:color="000000" w:sz="6" w:space="0"/>
                  </w:tcBorders>
                  <w:noWrap w:val="0"/>
                  <w:vAlign w:val="top"/>
                </w:tcPr>
                <w:p w14:paraId="38F81527">
                  <w:pPr>
                    <w:jc w:val="center"/>
                    <w:rPr>
                      <w:color w:val="auto"/>
                      <w:sz w:val="21"/>
                      <w:szCs w:val="21"/>
                    </w:rPr>
                  </w:pPr>
                  <w:r>
                    <w:rPr>
                      <w:color w:val="auto"/>
                      <w:sz w:val="21"/>
                      <w:szCs w:val="21"/>
                    </w:rPr>
                    <w:t>型号</w:t>
                  </w:r>
                </w:p>
              </w:tc>
              <w:tc>
                <w:tcPr>
                  <w:tcW w:w="3480" w:type="pct"/>
                  <w:tcBorders>
                    <w:top w:val="single" w:color="000000" w:sz="6" w:space="0"/>
                    <w:right w:val="single" w:color="000000" w:sz="6" w:space="0"/>
                  </w:tcBorders>
                  <w:noWrap w:val="0"/>
                  <w:vAlign w:val="top"/>
                </w:tcPr>
                <w:p w14:paraId="407780E4">
                  <w:pPr>
                    <w:jc w:val="center"/>
                    <w:rPr>
                      <w:color w:val="auto"/>
                      <w:sz w:val="21"/>
                      <w:szCs w:val="21"/>
                    </w:rPr>
                  </w:pPr>
                  <w:r>
                    <w:rPr>
                      <w:color w:val="auto"/>
                      <w:sz w:val="21"/>
                      <w:szCs w:val="21"/>
                    </w:rPr>
                    <w:t>QF</w:t>
                  </w:r>
                  <w:r>
                    <w:rPr>
                      <w:rFonts w:hint="eastAsia"/>
                      <w:color w:val="auto"/>
                      <w:sz w:val="21"/>
                      <w:szCs w:val="21"/>
                    </w:rPr>
                    <w:t>18</w:t>
                  </w:r>
                  <w:r>
                    <w:rPr>
                      <w:color w:val="auto"/>
                      <w:sz w:val="21"/>
                      <w:szCs w:val="21"/>
                    </w:rPr>
                    <w:t>-2-10.5</w:t>
                  </w:r>
                </w:p>
              </w:tc>
            </w:tr>
            <w:tr w14:paraId="1CBAA4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519" w:type="pct"/>
                  <w:noWrap w:val="0"/>
                  <w:vAlign w:val="top"/>
                </w:tcPr>
                <w:p w14:paraId="09440B60">
                  <w:pPr>
                    <w:jc w:val="center"/>
                    <w:rPr>
                      <w:color w:val="auto"/>
                      <w:sz w:val="21"/>
                      <w:szCs w:val="21"/>
                    </w:rPr>
                  </w:pPr>
                  <w:r>
                    <w:rPr>
                      <w:color w:val="auto"/>
                      <w:sz w:val="21"/>
                      <w:szCs w:val="21"/>
                    </w:rPr>
                    <w:t>额定功率</w:t>
                  </w:r>
                </w:p>
              </w:tc>
              <w:tc>
                <w:tcPr>
                  <w:tcW w:w="3480" w:type="pct"/>
                  <w:tcBorders>
                    <w:right w:val="single" w:color="000000" w:sz="6" w:space="0"/>
                  </w:tcBorders>
                  <w:noWrap w:val="0"/>
                  <w:vAlign w:val="top"/>
                </w:tcPr>
                <w:p w14:paraId="61FB20D9">
                  <w:pPr>
                    <w:jc w:val="center"/>
                    <w:rPr>
                      <w:color w:val="auto"/>
                      <w:sz w:val="21"/>
                      <w:szCs w:val="21"/>
                    </w:rPr>
                  </w:pPr>
                  <w:r>
                    <w:rPr>
                      <w:color w:val="auto"/>
                      <w:sz w:val="21"/>
                      <w:szCs w:val="21"/>
                    </w:rPr>
                    <w:t xml:space="preserve"> </w:t>
                  </w:r>
                  <w:r>
                    <w:rPr>
                      <w:rFonts w:hint="eastAsia"/>
                      <w:color w:val="auto"/>
                      <w:sz w:val="21"/>
                      <w:szCs w:val="21"/>
                    </w:rPr>
                    <w:t>18</w:t>
                  </w:r>
                  <w:r>
                    <w:rPr>
                      <w:color w:val="auto"/>
                      <w:sz w:val="21"/>
                      <w:szCs w:val="21"/>
                    </w:rPr>
                    <w:t>MW</w:t>
                  </w:r>
                </w:p>
              </w:tc>
            </w:tr>
            <w:tr w14:paraId="6A566C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519" w:type="pct"/>
                  <w:noWrap w:val="0"/>
                  <w:vAlign w:val="top"/>
                </w:tcPr>
                <w:p w14:paraId="4D61995F">
                  <w:pPr>
                    <w:jc w:val="center"/>
                    <w:rPr>
                      <w:color w:val="auto"/>
                      <w:sz w:val="21"/>
                      <w:szCs w:val="21"/>
                    </w:rPr>
                  </w:pPr>
                  <w:r>
                    <w:rPr>
                      <w:color w:val="auto"/>
                      <w:sz w:val="21"/>
                      <w:szCs w:val="21"/>
                    </w:rPr>
                    <w:t>额定电压</w:t>
                  </w:r>
                </w:p>
              </w:tc>
              <w:tc>
                <w:tcPr>
                  <w:tcW w:w="3480" w:type="pct"/>
                  <w:tcBorders>
                    <w:right w:val="single" w:color="000000" w:sz="6" w:space="0"/>
                  </w:tcBorders>
                  <w:noWrap w:val="0"/>
                  <w:vAlign w:val="top"/>
                </w:tcPr>
                <w:p w14:paraId="1C79CCD4">
                  <w:pPr>
                    <w:jc w:val="center"/>
                    <w:rPr>
                      <w:color w:val="auto"/>
                      <w:sz w:val="21"/>
                      <w:szCs w:val="21"/>
                    </w:rPr>
                  </w:pPr>
                  <w:r>
                    <w:rPr>
                      <w:color w:val="auto"/>
                      <w:sz w:val="21"/>
                      <w:szCs w:val="21"/>
                    </w:rPr>
                    <w:t>10.</w:t>
                  </w:r>
                  <w:r>
                    <w:rPr>
                      <w:rFonts w:hint="eastAsia"/>
                      <w:color w:val="auto"/>
                      <w:sz w:val="21"/>
                      <w:szCs w:val="21"/>
                      <w:lang w:eastAsia="zh-CN"/>
                    </w:rPr>
                    <w:t>5kV</w:t>
                  </w:r>
                </w:p>
              </w:tc>
            </w:tr>
            <w:tr w14:paraId="608ED0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519" w:type="pct"/>
                  <w:noWrap w:val="0"/>
                  <w:vAlign w:val="top"/>
                </w:tcPr>
                <w:p w14:paraId="0C358984">
                  <w:pPr>
                    <w:jc w:val="center"/>
                    <w:rPr>
                      <w:color w:val="auto"/>
                      <w:sz w:val="21"/>
                      <w:szCs w:val="21"/>
                    </w:rPr>
                  </w:pPr>
                  <w:r>
                    <w:rPr>
                      <w:color w:val="auto"/>
                      <w:sz w:val="21"/>
                      <w:szCs w:val="21"/>
                    </w:rPr>
                    <w:t>额定频率</w:t>
                  </w:r>
                </w:p>
              </w:tc>
              <w:tc>
                <w:tcPr>
                  <w:tcW w:w="3480" w:type="pct"/>
                  <w:tcBorders>
                    <w:right w:val="single" w:color="000000" w:sz="6" w:space="0"/>
                  </w:tcBorders>
                  <w:noWrap w:val="0"/>
                  <w:vAlign w:val="top"/>
                </w:tcPr>
                <w:p w14:paraId="31A88C56">
                  <w:pPr>
                    <w:jc w:val="center"/>
                    <w:rPr>
                      <w:color w:val="auto"/>
                      <w:sz w:val="21"/>
                      <w:szCs w:val="21"/>
                    </w:rPr>
                  </w:pPr>
                  <w:r>
                    <w:rPr>
                      <w:color w:val="auto"/>
                      <w:sz w:val="21"/>
                      <w:szCs w:val="21"/>
                    </w:rPr>
                    <w:t>50Hz</w:t>
                  </w:r>
                </w:p>
              </w:tc>
            </w:tr>
            <w:tr w14:paraId="1A8CB9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519" w:type="pct"/>
                  <w:noWrap w:val="0"/>
                  <w:vAlign w:val="top"/>
                </w:tcPr>
                <w:p w14:paraId="5527DC46">
                  <w:pPr>
                    <w:jc w:val="center"/>
                    <w:rPr>
                      <w:color w:val="auto"/>
                      <w:sz w:val="21"/>
                      <w:szCs w:val="21"/>
                    </w:rPr>
                  </w:pPr>
                  <w:r>
                    <w:rPr>
                      <w:color w:val="auto"/>
                      <w:sz w:val="21"/>
                      <w:szCs w:val="21"/>
                    </w:rPr>
                    <w:t>额定功率因素</w:t>
                  </w:r>
                </w:p>
              </w:tc>
              <w:tc>
                <w:tcPr>
                  <w:tcW w:w="3480" w:type="pct"/>
                  <w:tcBorders>
                    <w:right w:val="single" w:color="000000" w:sz="6" w:space="0"/>
                  </w:tcBorders>
                  <w:noWrap w:val="0"/>
                  <w:vAlign w:val="top"/>
                </w:tcPr>
                <w:p w14:paraId="1CF138E8">
                  <w:pPr>
                    <w:jc w:val="center"/>
                    <w:rPr>
                      <w:rFonts w:hint="eastAsia" w:eastAsia="宋体"/>
                      <w:color w:val="auto"/>
                      <w:sz w:val="21"/>
                      <w:szCs w:val="21"/>
                      <w:lang w:val="en-US" w:eastAsia="zh-CN"/>
                    </w:rPr>
                  </w:pPr>
                  <w:r>
                    <w:rPr>
                      <w:color w:val="auto"/>
                      <w:sz w:val="21"/>
                      <w:szCs w:val="21"/>
                    </w:rPr>
                    <w:t>0.8</w:t>
                  </w:r>
                  <w:r>
                    <w:rPr>
                      <w:rFonts w:hint="eastAsia"/>
                      <w:color w:val="auto"/>
                      <w:sz w:val="21"/>
                      <w:szCs w:val="21"/>
                      <w:lang w:val="en-US" w:eastAsia="zh-CN"/>
                    </w:rPr>
                    <w:t>0</w:t>
                  </w:r>
                </w:p>
              </w:tc>
            </w:tr>
            <w:tr w14:paraId="5C8E06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519" w:type="pct"/>
                  <w:noWrap w:val="0"/>
                  <w:vAlign w:val="top"/>
                </w:tcPr>
                <w:p w14:paraId="07CA6AE9">
                  <w:pPr>
                    <w:jc w:val="center"/>
                    <w:rPr>
                      <w:color w:val="auto"/>
                      <w:sz w:val="21"/>
                      <w:szCs w:val="21"/>
                    </w:rPr>
                  </w:pPr>
                  <w:r>
                    <w:rPr>
                      <w:color w:val="auto"/>
                      <w:sz w:val="21"/>
                      <w:szCs w:val="21"/>
                    </w:rPr>
                    <w:t>额定转速</w:t>
                  </w:r>
                </w:p>
              </w:tc>
              <w:tc>
                <w:tcPr>
                  <w:tcW w:w="3480" w:type="pct"/>
                  <w:tcBorders>
                    <w:right w:val="single" w:color="000000" w:sz="6" w:space="0"/>
                  </w:tcBorders>
                  <w:noWrap w:val="0"/>
                  <w:vAlign w:val="top"/>
                </w:tcPr>
                <w:p w14:paraId="0D9BDA0F">
                  <w:pPr>
                    <w:jc w:val="center"/>
                    <w:rPr>
                      <w:color w:val="auto"/>
                      <w:sz w:val="21"/>
                      <w:szCs w:val="21"/>
                    </w:rPr>
                  </w:pPr>
                  <w:r>
                    <w:rPr>
                      <w:color w:val="auto"/>
                      <w:sz w:val="21"/>
                      <w:szCs w:val="21"/>
                    </w:rPr>
                    <w:t>3000r/min</w:t>
                  </w:r>
                </w:p>
              </w:tc>
            </w:tr>
            <w:tr w14:paraId="4A2731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519" w:type="pct"/>
                  <w:noWrap w:val="0"/>
                  <w:vAlign w:val="top"/>
                </w:tcPr>
                <w:p w14:paraId="45E88EEC">
                  <w:pPr>
                    <w:jc w:val="center"/>
                    <w:rPr>
                      <w:color w:val="auto"/>
                      <w:sz w:val="21"/>
                      <w:szCs w:val="21"/>
                    </w:rPr>
                  </w:pPr>
                  <w:r>
                    <w:rPr>
                      <w:color w:val="auto"/>
                      <w:sz w:val="21"/>
                      <w:szCs w:val="21"/>
                    </w:rPr>
                    <w:t>冷却方式</w:t>
                  </w:r>
                </w:p>
              </w:tc>
              <w:tc>
                <w:tcPr>
                  <w:tcW w:w="3480" w:type="pct"/>
                  <w:tcBorders>
                    <w:right w:val="single" w:color="000000" w:sz="6" w:space="0"/>
                  </w:tcBorders>
                  <w:noWrap w:val="0"/>
                  <w:vAlign w:val="top"/>
                </w:tcPr>
                <w:p w14:paraId="7A5CF2D6">
                  <w:pPr>
                    <w:jc w:val="center"/>
                    <w:rPr>
                      <w:rFonts w:hint="default" w:eastAsia="宋体"/>
                      <w:color w:val="auto"/>
                      <w:sz w:val="21"/>
                      <w:szCs w:val="21"/>
                      <w:lang w:val="en-US" w:eastAsia="zh-CN"/>
                    </w:rPr>
                  </w:pPr>
                  <w:r>
                    <w:rPr>
                      <w:color w:val="auto"/>
                      <w:sz w:val="21"/>
                      <w:szCs w:val="21"/>
                    </w:rPr>
                    <w:t>空冷</w:t>
                  </w:r>
                  <w:r>
                    <w:rPr>
                      <w:rFonts w:hint="eastAsia"/>
                      <w:color w:val="auto"/>
                      <w:sz w:val="21"/>
                      <w:szCs w:val="21"/>
                      <w:lang w:eastAsia="zh-CN"/>
                    </w:rPr>
                    <w:t>（</w:t>
                  </w:r>
                  <w:r>
                    <w:rPr>
                      <w:rFonts w:hint="eastAsia"/>
                      <w:color w:val="auto"/>
                      <w:sz w:val="21"/>
                      <w:szCs w:val="21"/>
                      <w:lang w:val="en-US" w:eastAsia="zh-CN"/>
                    </w:rPr>
                    <w:t>下水冷）</w:t>
                  </w:r>
                </w:p>
              </w:tc>
            </w:tr>
          </w:tbl>
          <w:p w14:paraId="72151D4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eastAsia="宋体"/>
                <w:color w:val="auto"/>
                <w:sz w:val="24"/>
                <w:lang w:eastAsia="zh-CN"/>
              </w:rPr>
            </w:pPr>
            <w:r>
              <w:rPr>
                <w:rFonts w:hint="eastAsia"/>
                <w:color w:val="auto"/>
                <w:sz w:val="24"/>
              </w:rPr>
              <w:t>配置隔音罩壳</w:t>
            </w:r>
            <w:r>
              <w:rPr>
                <w:rFonts w:hint="eastAsia"/>
                <w:color w:val="auto"/>
                <w:sz w:val="24"/>
                <w:lang w:eastAsia="zh-CN"/>
              </w:rPr>
              <w:t>。</w:t>
            </w:r>
          </w:p>
          <w:p w14:paraId="40776B4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color w:val="auto"/>
                <w:sz w:val="24"/>
              </w:rPr>
            </w:pPr>
            <w:r>
              <w:rPr>
                <w:color w:val="auto"/>
                <w:sz w:val="24"/>
              </w:rPr>
              <w:t>⑤化学水处理系统</w:t>
            </w:r>
          </w:p>
          <w:p w14:paraId="4BA6DA2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color w:val="auto"/>
                <w:sz w:val="24"/>
              </w:rPr>
            </w:pPr>
            <w:r>
              <w:rPr>
                <w:color w:val="auto"/>
                <w:sz w:val="24"/>
              </w:rPr>
              <w:t>（1）水处理系统工艺</w:t>
            </w:r>
          </w:p>
          <w:p w14:paraId="52701D9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color w:val="auto"/>
                <w:sz w:val="24"/>
              </w:rPr>
            </w:pPr>
            <w:r>
              <w:rPr>
                <w:color w:val="auto"/>
                <w:sz w:val="24"/>
              </w:rPr>
              <w:t>建设化水车间1座，选用</w:t>
            </w:r>
            <w:r>
              <w:rPr>
                <w:rFonts w:hint="eastAsia"/>
                <w:color w:val="auto"/>
                <w:sz w:val="24"/>
                <w:lang w:eastAsia="zh-CN"/>
              </w:rPr>
              <w:t>“</w:t>
            </w:r>
            <w:r>
              <w:rPr>
                <w:rFonts w:hint="eastAsia"/>
                <w:color w:val="auto"/>
                <w:sz w:val="24"/>
              </w:rPr>
              <w:t>多介质过滤器+</w:t>
            </w:r>
            <w:r>
              <w:rPr>
                <w:rFonts w:hint="eastAsia"/>
                <w:color w:val="auto"/>
                <w:sz w:val="24"/>
                <w:lang w:eastAsia="zh-CN"/>
              </w:rPr>
              <w:t>活性炭</w:t>
            </w:r>
            <w:r>
              <w:rPr>
                <w:rFonts w:hint="eastAsia"/>
                <w:color w:val="auto"/>
                <w:sz w:val="24"/>
              </w:rPr>
              <w:t>过滤器+二级反渗透+EDI</w:t>
            </w:r>
            <w:r>
              <w:rPr>
                <w:rFonts w:hint="eastAsia"/>
                <w:color w:val="auto"/>
                <w:sz w:val="24"/>
                <w:lang w:eastAsia="zh-CN"/>
              </w:rPr>
              <w:t>”</w:t>
            </w:r>
            <w:r>
              <w:rPr>
                <w:rFonts w:hint="eastAsia"/>
                <w:color w:val="auto"/>
                <w:sz w:val="24"/>
                <w:lang w:val="en-US" w:eastAsia="zh-CN"/>
              </w:rPr>
              <w:t>工艺</w:t>
            </w:r>
            <w:r>
              <w:rPr>
                <w:color w:val="auto"/>
                <w:sz w:val="24"/>
              </w:rPr>
              <w:t>，处理能力为2×</w:t>
            </w:r>
            <w:r>
              <w:rPr>
                <w:rFonts w:hint="eastAsia"/>
                <w:color w:val="auto"/>
                <w:sz w:val="24"/>
                <w:lang w:val="en-US" w:eastAsia="zh-CN"/>
              </w:rPr>
              <w:t>5</w:t>
            </w:r>
            <w:r>
              <w:rPr>
                <w:color w:val="auto"/>
                <w:sz w:val="24"/>
              </w:rPr>
              <w:t>t/h，以满足本项目高峰期用水需求。</w:t>
            </w:r>
          </w:p>
          <w:p w14:paraId="7B53463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sz w:val="24"/>
              </w:rPr>
            </w:pPr>
            <w:r>
              <w:rPr>
                <w:color w:val="auto"/>
                <w:sz w:val="24"/>
              </w:rPr>
              <w:t>⑥冷却系统</w:t>
            </w:r>
          </w:p>
          <w:p w14:paraId="203C9C7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sz w:val="24"/>
              </w:rPr>
            </w:pPr>
            <w:r>
              <w:rPr>
                <w:rFonts w:hint="eastAsia"/>
                <w:color w:val="auto"/>
                <w:sz w:val="24"/>
              </w:rPr>
              <w:t>本项目汽轮机凝汽方式采用</w:t>
            </w:r>
            <w:r>
              <w:rPr>
                <w:rFonts w:hint="eastAsia"/>
                <w:color w:val="auto"/>
                <w:sz w:val="24"/>
                <w:lang w:eastAsia="zh-CN"/>
              </w:rPr>
              <w:t>循环</w:t>
            </w:r>
            <w:r>
              <w:rPr>
                <w:rFonts w:hint="eastAsia"/>
                <w:color w:val="auto"/>
                <w:sz w:val="24"/>
              </w:rPr>
              <w:t>水冷却。汽轮机的排汽通过大直径的管道进入布置于主厂房前的</w:t>
            </w:r>
            <w:r>
              <w:rPr>
                <w:rFonts w:hint="eastAsia"/>
                <w:color w:val="auto"/>
                <w:sz w:val="24"/>
                <w:lang w:eastAsia="zh-CN"/>
              </w:rPr>
              <w:t>水冷</w:t>
            </w:r>
            <w:r>
              <w:rPr>
                <w:rFonts w:hint="eastAsia"/>
                <w:color w:val="auto"/>
                <w:sz w:val="24"/>
              </w:rPr>
              <w:t>凝汽器，采用</w:t>
            </w:r>
            <w:r>
              <w:rPr>
                <w:rFonts w:hint="eastAsia"/>
                <w:color w:val="auto"/>
                <w:sz w:val="24"/>
                <w:lang w:eastAsia="zh-CN"/>
              </w:rPr>
              <w:t>水泵</w:t>
            </w:r>
            <w:r>
              <w:rPr>
                <w:rFonts w:hint="eastAsia"/>
                <w:color w:val="auto"/>
                <w:sz w:val="24"/>
              </w:rPr>
              <w:t>使</w:t>
            </w:r>
            <w:r>
              <w:rPr>
                <w:rFonts w:hint="eastAsia"/>
                <w:color w:val="auto"/>
                <w:sz w:val="24"/>
                <w:lang w:eastAsia="zh-CN"/>
              </w:rPr>
              <w:t>冷水</w:t>
            </w:r>
            <w:r>
              <w:rPr>
                <w:rFonts w:hint="eastAsia"/>
                <w:color w:val="auto"/>
                <w:sz w:val="24"/>
              </w:rPr>
              <w:t>流过</w:t>
            </w:r>
            <w:r>
              <w:rPr>
                <w:rFonts w:hint="eastAsia"/>
                <w:color w:val="auto"/>
                <w:sz w:val="24"/>
                <w:lang w:eastAsia="zh-CN"/>
              </w:rPr>
              <w:t>水冷</w:t>
            </w:r>
            <w:r>
              <w:rPr>
                <w:rFonts w:hint="eastAsia"/>
                <w:color w:val="auto"/>
                <w:sz w:val="24"/>
              </w:rPr>
              <w:t>凝汽器，以此使蒸汽得到冷凝，冷凝水经过处理后送回到锅炉给水系统</w:t>
            </w:r>
            <w:r>
              <w:rPr>
                <w:color w:val="auto"/>
                <w:sz w:val="24"/>
              </w:rPr>
              <w:t>。</w:t>
            </w:r>
          </w:p>
          <w:p w14:paraId="0190F39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sz w:val="24"/>
              </w:rPr>
            </w:pPr>
            <w:r>
              <w:rPr>
                <w:rFonts w:hint="eastAsia"/>
                <w:color w:val="auto"/>
                <w:sz w:val="24"/>
              </w:rPr>
              <w:t>本期全厂循环水冷却水量约3800t/h，循环冷却水的工业水补水量：夏天最热时候补水量72t/h，冬天33t/h。</w:t>
            </w:r>
          </w:p>
          <w:p w14:paraId="02422B8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sz w:val="24"/>
              </w:rPr>
            </w:pPr>
            <w:r>
              <w:rPr>
                <w:rFonts w:hint="eastAsia"/>
                <w:color w:val="auto"/>
                <w:sz w:val="24"/>
              </w:rPr>
              <w:t>循环冷却水系统设</w:t>
            </w:r>
            <w:r>
              <w:rPr>
                <w:rFonts w:hint="eastAsia"/>
                <w:color w:val="auto"/>
                <w:sz w:val="24"/>
                <w:lang w:val="en-US" w:eastAsia="zh-CN"/>
              </w:rPr>
              <w:t>2</w:t>
            </w:r>
            <w:r>
              <w:rPr>
                <w:rFonts w:hint="eastAsia"/>
                <w:color w:val="auto"/>
                <w:sz w:val="24"/>
              </w:rPr>
              <w:t xml:space="preserve">座 </w:t>
            </w:r>
            <w:r>
              <w:rPr>
                <w:rFonts w:hint="eastAsia"/>
                <w:color w:val="auto"/>
                <w:sz w:val="24"/>
                <w:lang w:val="en-US" w:eastAsia="zh-CN"/>
              </w:rPr>
              <w:t>20</w:t>
            </w:r>
            <w:r>
              <w:rPr>
                <w:rFonts w:hint="eastAsia"/>
                <w:color w:val="auto"/>
                <w:sz w:val="24"/>
              </w:rPr>
              <w:t>00m</w:t>
            </w:r>
            <w:r>
              <w:rPr>
                <w:rFonts w:hint="eastAsia"/>
                <w:color w:val="auto"/>
                <w:sz w:val="24"/>
                <w:vertAlign w:val="superscript"/>
              </w:rPr>
              <w:t>3</w:t>
            </w:r>
            <w:r>
              <w:rPr>
                <w:rFonts w:hint="eastAsia"/>
                <w:color w:val="auto"/>
                <w:sz w:val="24"/>
              </w:rPr>
              <w:t>/h 的玻璃钢冷却塔，选择 3 台循环水泵，二用一备，扬程初步选定为2</w:t>
            </w:r>
            <w:r>
              <w:rPr>
                <w:rFonts w:hint="eastAsia"/>
                <w:color w:val="auto"/>
                <w:sz w:val="24"/>
                <w:lang w:val="en-US" w:eastAsia="zh-CN"/>
              </w:rPr>
              <w:t>3</w:t>
            </w:r>
            <w:r>
              <w:rPr>
                <w:rFonts w:hint="eastAsia"/>
                <w:color w:val="auto"/>
                <w:sz w:val="24"/>
              </w:rPr>
              <w:t>m。</w:t>
            </w:r>
          </w:p>
          <w:p w14:paraId="23E4235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eastAsia="宋体"/>
                <w:color w:val="auto"/>
                <w:sz w:val="24"/>
                <w:lang w:eastAsia="zh-CN"/>
              </w:rPr>
            </w:pPr>
            <w:r>
              <w:rPr>
                <w:rFonts w:hint="eastAsia"/>
                <w:color w:val="auto"/>
                <w:sz w:val="24"/>
              </w:rPr>
              <w:t>循环水泵参数：流量</w:t>
            </w:r>
            <w:r>
              <w:rPr>
                <w:rFonts w:hint="eastAsia"/>
                <w:color w:val="auto"/>
                <w:sz w:val="24"/>
                <w:lang w:val="en-US" w:eastAsia="zh-CN"/>
              </w:rPr>
              <w:t>200</w:t>
            </w:r>
            <w:r>
              <w:rPr>
                <w:rFonts w:hint="eastAsia"/>
                <w:color w:val="auto"/>
                <w:sz w:val="24"/>
              </w:rPr>
              <w:t>t/h</w:t>
            </w:r>
            <w:r>
              <w:rPr>
                <w:rFonts w:hint="eastAsia"/>
                <w:color w:val="auto"/>
                <w:sz w:val="24"/>
                <w:lang w:eastAsia="zh-CN"/>
              </w:rPr>
              <w:t>。</w:t>
            </w:r>
          </w:p>
          <w:p w14:paraId="0657B27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sz w:val="24"/>
              </w:rPr>
            </w:pPr>
            <w:r>
              <w:rPr>
                <w:color w:val="auto"/>
                <w:sz w:val="24"/>
              </w:rPr>
              <w:t>（2）辅机冷却系统</w:t>
            </w:r>
          </w:p>
          <w:p w14:paraId="23BFB83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sz w:val="24"/>
              </w:rPr>
            </w:pPr>
            <w:r>
              <w:rPr>
                <w:color w:val="auto"/>
                <w:sz w:val="24"/>
              </w:rPr>
              <w:t>燃气电站辅机循环冷却系统是指冷却设在主厂房内的冷油器、发电机空冷器及轴承冷却，本工程辅机冷却水采用玻璃钢冷却塔循环冷却水系统。</w:t>
            </w:r>
          </w:p>
          <w:p w14:paraId="6C87690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sz w:val="24"/>
              </w:rPr>
            </w:pPr>
            <w:r>
              <w:rPr>
                <w:rFonts w:hint="eastAsia"/>
                <w:color w:val="auto"/>
                <w:sz w:val="24"/>
              </w:rPr>
              <w:t>三、</w:t>
            </w:r>
            <w:r>
              <w:rPr>
                <w:color w:val="auto"/>
                <w:sz w:val="24"/>
              </w:rPr>
              <w:t>运营期产排污环节</w:t>
            </w:r>
          </w:p>
          <w:p w14:paraId="5966773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sz w:val="24"/>
              </w:rPr>
            </w:pPr>
            <w:r>
              <w:rPr>
                <w:color w:val="auto"/>
                <w:sz w:val="24"/>
              </w:rPr>
              <w:t>（1）废气：本工程对大气环境的污染主要是燃气锅炉排放的烟气，主要污染物为烟尘、SO</w:t>
            </w:r>
            <w:r>
              <w:rPr>
                <w:color w:val="auto"/>
                <w:sz w:val="24"/>
                <w:vertAlign w:val="subscript"/>
              </w:rPr>
              <w:t>2</w:t>
            </w:r>
            <w:r>
              <w:rPr>
                <w:color w:val="auto"/>
                <w:sz w:val="24"/>
              </w:rPr>
              <w:t>、NO</w:t>
            </w:r>
            <w:r>
              <w:rPr>
                <w:color w:val="auto"/>
                <w:sz w:val="24"/>
                <w:vertAlign w:val="subscript"/>
              </w:rPr>
              <w:t>X</w:t>
            </w:r>
            <w:r>
              <w:rPr>
                <w:color w:val="auto"/>
                <w:sz w:val="24"/>
              </w:rPr>
              <w:t>。</w:t>
            </w:r>
          </w:p>
          <w:p w14:paraId="6709D3C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sz w:val="24"/>
                <w:highlight w:val="none"/>
              </w:rPr>
            </w:pPr>
            <w:r>
              <w:rPr>
                <w:color w:val="auto"/>
                <w:sz w:val="24"/>
                <w:highlight w:val="none"/>
              </w:rPr>
              <w:t>（2）废水：职工产生的生活污水以及锅炉排污水、化学水车间排水、循环冷却排污水。</w:t>
            </w:r>
          </w:p>
          <w:p w14:paraId="51D1E5A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sz w:val="24"/>
                <w:highlight w:val="none"/>
              </w:rPr>
            </w:pPr>
            <w:r>
              <w:rPr>
                <w:color w:val="auto"/>
                <w:sz w:val="24"/>
                <w:highlight w:val="none"/>
              </w:rPr>
              <w:t>（3）生活垃圾：职工产生的生活垃圾</w:t>
            </w:r>
            <w:r>
              <w:rPr>
                <w:rFonts w:hint="eastAsia"/>
                <w:color w:val="auto"/>
                <w:sz w:val="24"/>
                <w:highlight w:val="none"/>
                <w:lang w:eastAsia="zh-CN"/>
              </w:rPr>
              <w:t>，</w:t>
            </w:r>
            <w:r>
              <w:rPr>
                <w:rFonts w:hint="eastAsia"/>
                <w:color w:val="auto"/>
                <w:sz w:val="24"/>
                <w:highlight w:val="none"/>
                <w:lang w:val="en-US" w:eastAsia="zh-CN"/>
              </w:rPr>
              <w:t>布袋除尘的除尘灰</w:t>
            </w:r>
            <w:r>
              <w:rPr>
                <w:rFonts w:hint="eastAsia"/>
                <w:color w:val="auto"/>
                <w:sz w:val="24"/>
                <w:highlight w:val="none"/>
              </w:rPr>
              <w:t>，检修产生的废机油、废油桶。</w:t>
            </w:r>
          </w:p>
          <w:p w14:paraId="747DED2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sz w:val="24"/>
                <w:szCs w:val="24"/>
              </w:rPr>
            </w:pPr>
            <w:r>
              <w:rPr>
                <w:color w:val="auto"/>
                <w:sz w:val="24"/>
                <w:highlight w:val="none"/>
                <w:shd w:val="clear"/>
              </w:rPr>
              <w:t>（4）噪声：本工程主要噪声来源为燃气锅炉、汽轮机、发电机、空冷风机、冷却塔、水泵等大型机械设备运转时产生的噪声。</w:t>
            </w:r>
          </w:p>
        </w:tc>
      </w:tr>
      <w:tr w14:paraId="1BA061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3" w:type="dxa"/>
            <w:noWrap w:val="0"/>
            <w:vAlign w:val="center"/>
          </w:tcPr>
          <w:p w14:paraId="24A9668C">
            <w:pPr>
              <w:pStyle w:val="22"/>
              <w:adjustRightInd w:val="0"/>
              <w:snapToGrid w:val="0"/>
              <w:spacing w:before="0" w:beforeAutospacing="0" w:after="0" w:afterAutospacing="0"/>
              <w:jc w:val="center"/>
              <w:rPr>
                <w:rFonts w:ascii="Times New Roman" w:hAnsi="Times New Roman"/>
                <w:color w:val="auto"/>
                <w:szCs w:val="24"/>
              </w:rPr>
            </w:pPr>
            <w:r>
              <w:rPr>
                <w:rFonts w:ascii="Times New Roman" w:hAnsi="Times New Roman"/>
                <w:bCs/>
                <w:color w:val="auto"/>
                <w:kern w:val="2"/>
                <w:szCs w:val="24"/>
              </w:rPr>
              <w:t>与项目有关的原有环境污染问题</w:t>
            </w:r>
          </w:p>
        </w:tc>
        <w:tc>
          <w:tcPr>
            <w:tcW w:w="8337" w:type="dxa"/>
            <w:noWrap w:val="0"/>
            <w:vAlign w:val="center"/>
          </w:tcPr>
          <w:p w14:paraId="1E80C80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金烨钢铁厂厂区内建设有一台265m</w:t>
            </w:r>
            <w:r>
              <w:rPr>
                <w:rFonts w:hint="eastAsia" w:ascii="Times New Roman" w:hAnsi="Times New Roman" w:eastAsia="宋体" w:cs="Times New Roman"/>
                <w:color w:val="auto"/>
                <w:sz w:val="24"/>
                <w:highlight w:val="none"/>
                <w:vertAlign w:val="superscript"/>
                <w:lang w:val="en-US" w:eastAsia="zh-CN"/>
              </w:rPr>
              <w:t>2</w:t>
            </w:r>
            <w:r>
              <w:rPr>
                <w:rFonts w:hint="eastAsia" w:ascii="Times New Roman" w:hAnsi="Times New Roman" w:eastAsia="宋体" w:cs="Times New Roman"/>
                <w:color w:val="auto"/>
                <w:sz w:val="24"/>
                <w:highlight w:val="none"/>
                <w:lang w:val="en-US" w:eastAsia="zh-CN"/>
              </w:rPr>
              <w:t>烧结机、1座450m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高炉、1座405m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高炉、1座60t转炉、2条高速线材生产线，配备2台6000kW煤气发电机组，具备年产110万吨铁、95万吨钢、150万吨普碳线材的生产能力。</w:t>
            </w:r>
          </w:p>
          <w:p w14:paraId="2EE37FA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其中</w:t>
            </w:r>
            <w:r>
              <w:rPr>
                <w:rFonts w:hint="eastAsia" w:cs="Times New Roman"/>
                <w:color w:val="auto"/>
                <w:sz w:val="24"/>
                <w:highlight w:val="none"/>
                <w:lang w:val="en-US" w:eastAsia="zh-CN"/>
              </w:rPr>
              <w:t>环保手续</w:t>
            </w:r>
            <w:r>
              <w:rPr>
                <w:rFonts w:hint="eastAsia" w:ascii="Times New Roman" w:hAnsi="Times New Roman" w:eastAsia="宋体" w:cs="Times New Roman"/>
                <w:color w:val="auto"/>
                <w:sz w:val="24"/>
                <w:highlight w:val="none"/>
                <w:lang w:val="en-US" w:eastAsia="zh-CN"/>
              </w:rPr>
              <w:t>情况见下表。</w:t>
            </w:r>
          </w:p>
          <w:p w14:paraId="7D910E92">
            <w:pPr>
              <w:spacing w:line="240" w:lineRule="auto"/>
              <w:ind w:firstLine="422" w:firstLineChars="200"/>
              <w:jc w:val="center"/>
              <w:rPr>
                <w:b/>
                <w:bCs/>
                <w:color w:val="auto"/>
                <w:sz w:val="21"/>
                <w:szCs w:val="21"/>
                <w:highlight w:val="none"/>
              </w:rPr>
            </w:pPr>
            <w:r>
              <w:rPr>
                <w:b/>
                <w:bCs/>
                <w:color w:val="auto"/>
                <w:sz w:val="21"/>
                <w:szCs w:val="21"/>
                <w:highlight w:val="none"/>
              </w:rPr>
              <w:t>表</w:t>
            </w:r>
            <w:r>
              <w:rPr>
                <w:rFonts w:hint="eastAsia"/>
                <w:b/>
                <w:bCs/>
                <w:color w:val="auto"/>
                <w:sz w:val="21"/>
                <w:szCs w:val="21"/>
                <w:highlight w:val="none"/>
                <w:lang w:val="en-US" w:eastAsia="zh-CN"/>
              </w:rPr>
              <w:t>2-10厂区现有环保手续</w:t>
            </w:r>
            <w:r>
              <w:rPr>
                <w:b/>
                <w:bCs/>
                <w:color w:val="auto"/>
                <w:sz w:val="21"/>
                <w:szCs w:val="21"/>
                <w:highlight w:val="none"/>
              </w:rPr>
              <w:t>一览表</w:t>
            </w:r>
          </w:p>
          <w:tbl>
            <w:tblPr>
              <w:tblStyle w:val="54"/>
              <w:tblW w:w="811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17"/>
              <w:gridCol w:w="768"/>
              <w:gridCol w:w="736"/>
              <w:gridCol w:w="870"/>
              <w:gridCol w:w="856"/>
              <w:gridCol w:w="961"/>
              <w:gridCol w:w="2622"/>
              <w:gridCol w:w="856"/>
              <w:gridCol w:w="228"/>
            </w:tblGrid>
            <w:tr w14:paraId="4CA2DB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34" w:type="pct"/>
                  <w:tcBorders>
                    <w:top w:val="single" w:color="000000" w:sz="6" w:space="0"/>
                  </w:tcBorders>
                  <w:noWrap w:val="0"/>
                  <w:vAlign w:val="center"/>
                </w:tcPr>
                <w:p w14:paraId="4CFCC60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eastAsia="宋体"/>
                      <w:b/>
                      <w:bCs/>
                      <w:color w:val="auto"/>
                      <w:sz w:val="21"/>
                      <w:szCs w:val="21"/>
                      <w:highlight w:val="none"/>
                      <w:lang w:val="en-US" w:eastAsia="zh-CN"/>
                    </w:rPr>
                  </w:pPr>
                  <w:r>
                    <w:rPr>
                      <w:rFonts w:hint="eastAsia"/>
                      <w:b/>
                      <w:bCs/>
                      <w:color w:val="auto"/>
                      <w:sz w:val="21"/>
                      <w:szCs w:val="21"/>
                      <w:highlight w:val="none"/>
                      <w:lang w:val="en-US" w:eastAsia="zh-CN"/>
                    </w:rPr>
                    <w:t>序号</w:t>
                  </w:r>
                </w:p>
              </w:tc>
              <w:tc>
                <w:tcPr>
                  <w:tcW w:w="565" w:type="pct"/>
                  <w:tcBorders>
                    <w:top w:val="single" w:color="000000" w:sz="6" w:space="0"/>
                    <w:right w:val="single" w:color="000000" w:sz="6" w:space="0"/>
                  </w:tcBorders>
                  <w:noWrap w:val="0"/>
                  <w:vAlign w:val="center"/>
                </w:tcPr>
                <w:p w14:paraId="5F7249B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eastAsia="宋体"/>
                      <w:b/>
                      <w:bCs/>
                      <w:color w:val="auto"/>
                      <w:sz w:val="21"/>
                      <w:szCs w:val="21"/>
                      <w:highlight w:val="none"/>
                      <w:lang w:val="en-US" w:eastAsia="zh-CN"/>
                    </w:rPr>
                  </w:pPr>
                  <w:r>
                    <w:rPr>
                      <w:rFonts w:hint="eastAsia"/>
                      <w:b/>
                      <w:bCs/>
                      <w:color w:val="auto"/>
                      <w:sz w:val="21"/>
                      <w:szCs w:val="21"/>
                      <w:highlight w:val="none"/>
                      <w:lang w:val="en-US" w:eastAsia="zh-CN"/>
                    </w:rPr>
                    <w:t>项目名称</w:t>
                  </w:r>
                </w:p>
              </w:tc>
              <w:tc>
                <w:tcPr>
                  <w:tcW w:w="535" w:type="pct"/>
                  <w:tcBorders>
                    <w:top w:val="single" w:color="000000" w:sz="6" w:space="0"/>
                    <w:right w:val="single" w:color="000000" w:sz="6" w:space="0"/>
                  </w:tcBorders>
                  <w:noWrap w:val="0"/>
                  <w:vAlign w:val="center"/>
                </w:tcPr>
                <w:p w14:paraId="204AEBB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eastAsia="宋体"/>
                      <w:b/>
                      <w:bCs/>
                      <w:color w:val="auto"/>
                      <w:sz w:val="21"/>
                      <w:szCs w:val="21"/>
                      <w:highlight w:val="none"/>
                      <w:lang w:val="en-US" w:eastAsia="zh-CN"/>
                    </w:rPr>
                  </w:pPr>
                  <w:r>
                    <w:rPr>
                      <w:rFonts w:hint="eastAsia"/>
                      <w:b/>
                      <w:bCs/>
                      <w:color w:val="auto"/>
                      <w:sz w:val="21"/>
                      <w:szCs w:val="21"/>
                      <w:highlight w:val="none"/>
                      <w:lang w:val="en-US" w:eastAsia="zh-CN"/>
                    </w:rPr>
                    <w:t>主体设施名称</w:t>
                  </w:r>
                </w:p>
              </w:tc>
              <w:tc>
                <w:tcPr>
                  <w:tcW w:w="749" w:type="pct"/>
                  <w:tcBorders>
                    <w:top w:val="single" w:color="000000" w:sz="6" w:space="0"/>
                    <w:right w:val="single" w:color="000000" w:sz="6" w:space="0"/>
                  </w:tcBorders>
                  <w:noWrap w:val="0"/>
                  <w:vAlign w:val="center"/>
                </w:tcPr>
                <w:p w14:paraId="00091F3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eastAsia="宋体"/>
                      <w:b/>
                      <w:bCs/>
                      <w:color w:val="auto"/>
                      <w:sz w:val="21"/>
                      <w:szCs w:val="21"/>
                      <w:highlight w:val="none"/>
                      <w:lang w:val="en-US" w:eastAsia="zh-CN"/>
                    </w:rPr>
                  </w:pPr>
                  <w:r>
                    <w:rPr>
                      <w:rFonts w:hint="eastAsia"/>
                      <w:b/>
                      <w:bCs/>
                      <w:color w:val="auto"/>
                      <w:sz w:val="21"/>
                      <w:szCs w:val="21"/>
                      <w:highlight w:val="none"/>
                      <w:lang w:val="en-US" w:eastAsia="zh-CN"/>
                    </w:rPr>
                    <w:t>审批单位</w:t>
                  </w:r>
                </w:p>
              </w:tc>
              <w:tc>
                <w:tcPr>
                  <w:tcW w:w="619" w:type="pct"/>
                  <w:tcBorders>
                    <w:top w:val="single" w:color="000000" w:sz="6" w:space="0"/>
                    <w:right w:val="single" w:color="000000" w:sz="6" w:space="0"/>
                  </w:tcBorders>
                  <w:noWrap w:val="0"/>
                  <w:vAlign w:val="center"/>
                </w:tcPr>
                <w:p w14:paraId="301BBB7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eastAsia="宋体"/>
                      <w:b/>
                      <w:bCs/>
                      <w:color w:val="auto"/>
                      <w:sz w:val="21"/>
                      <w:szCs w:val="21"/>
                      <w:highlight w:val="none"/>
                      <w:lang w:val="en-US" w:eastAsia="zh-CN"/>
                    </w:rPr>
                  </w:pPr>
                  <w:r>
                    <w:rPr>
                      <w:rFonts w:hint="eastAsia"/>
                      <w:b/>
                      <w:bCs/>
                      <w:color w:val="auto"/>
                      <w:sz w:val="21"/>
                      <w:szCs w:val="21"/>
                      <w:highlight w:val="none"/>
                      <w:lang w:val="en-US" w:eastAsia="zh-CN"/>
                    </w:rPr>
                    <w:t>批准文号</w:t>
                  </w:r>
                </w:p>
              </w:tc>
              <w:tc>
                <w:tcPr>
                  <w:tcW w:w="661" w:type="pct"/>
                  <w:tcBorders>
                    <w:top w:val="single" w:color="000000" w:sz="6" w:space="0"/>
                    <w:right w:val="single" w:color="000000" w:sz="6" w:space="0"/>
                  </w:tcBorders>
                  <w:noWrap w:val="0"/>
                  <w:vAlign w:val="center"/>
                </w:tcPr>
                <w:p w14:paraId="628DCA4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eastAsia="宋体"/>
                      <w:b/>
                      <w:bCs/>
                      <w:color w:val="auto"/>
                      <w:sz w:val="21"/>
                      <w:szCs w:val="21"/>
                      <w:highlight w:val="none"/>
                      <w:lang w:val="en-US" w:eastAsia="zh-CN"/>
                    </w:rPr>
                  </w:pPr>
                  <w:r>
                    <w:rPr>
                      <w:rFonts w:hint="eastAsia"/>
                      <w:b/>
                      <w:bCs/>
                      <w:color w:val="auto"/>
                      <w:sz w:val="21"/>
                      <w:szCs w:val="21"/>
                      <w:highlight w:val="none"/>
                      <w:lang w:val="en-US" w:eastAsia="zh-CN"/>
                    </w:rPr>
                    <w:t>批准日期</w:t>
                  </w:r>
                </w:p>
              </w:tc>
              <w:tc>
                <w:tcPr>
                  <w:tcW w:w="1264" w:type="pct"/>
                  <w:tcBorders>
                    <w:top w:val="single" w:color="000000" w:sz="6" w:space="0"/>
                    <w:right w:val="single" w:color="000000" w:sz="6" w:space="0"/>
                  </w:tcBorders>
                  <w:noWrap w:val="0"/>
                  <w:vAlign w:val="center"/>
                </w:tcPr>
                <w:p w14:paraId="05D4084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b/>
                      <w:bCs/>
                      <w:color w:val="auto"/>
                      <w:sz w:val="21"/>
                      <w:szCs w:val="21"/>
                      <w:highlight w:val="none"/>
                      <w:lang w:val="en-US" w:eastAsia="zh-CN"/>
                    </w:rPr>
                  </w:pPr>
                  <w:r>
                    <w:rPr>
                      <w:rFonts w:hint="eastAsia"/>
                      <w:b/>
                      <w:bCs/>
                      <w:color w:val="auto"/>
                      <w:sz w:val="21"/>
                      <w:szCs w:val="21"/>
                      <w:highlight w:val="none"/>
                      <w:lang w:val="en-US" w:eastAsia="zh-CN"/>
                    </w:rPr>
                    <w:t>排污许可证</w:t>
                  </w:r>
                </w:p>
              </w:tc>
              <w:tc>
                <w:tcPr>
                  <w:tcW w:w="313" w:type="pct"/>
                  <w:tcBorders>
                    <w:top w:val="single" w:color="000000" w:sz="6" w:space="0"/>
                    <w:right w:val="single" w:color="000000" w:sz="6" w:space="0"/>
                  </w:tcBorders>
                  <w:noWrap w:val="0"/>
                  <w:vAlign w:val="center"/>
                </w:tcPr>
                <w:p w14:paraId="6BE5907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eastAsia="宋体"/>
                      <w:b/>
                      <w:bCs/>
                      <w:color w:val="auto"/>
                      <w:sz w:val="21"/>
                      <w:szCs w:val="21"/>
                      <w:highlight w:val="none"/>
                      <w:lang w:val="en-US" w:eastAsia="zh-CN"/>
                    </w:rPr>
                  </w:pPr>
                  <w:r>
                    <w:rPr>
                      <w:rFonts w:hint="eastAsia"/>
                      <w:b/>
                      <w:bCs/>
                      <w:color w:val="auto"/>
                      <w:sz w:val="21"/>
                      <w:szCs w:val="21"/>
                      <w:highlight w:val="none"/>
                      <w:lang w:val="en-US" w:eastAsia="zh-CN"/>
                    </w:rPr>
                    <w:t>验收日期</w:t>
                  </w:r>
                </w:p>
              </w:tc>
              <w:tc>
                <w:tcPr>
                  <w:tcW w:w="156" w:type="pct"/>
                  <w:tcBorders>
                    <w:top w:val="single" w:color="000000" w:sz="6" w:space="0"/>
                    <w:right w:val="single" w:color="000000" w:sz="6" w:space="0"/>
                  </w:tcBorders>
                  <w:noWrap w:val="0"/>
                  <w:vAlign w:val="center"/>
                </w:tcPr>
                <w:p w14:paraId="5B5BD56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eastAsia="宋体"/>
                      <w:b/>
                      <w:bCs/>
                      <w:color w:val="auto"/>
                      <w:sz w:val="21"/>
                      <w:szCs w:val="21"/>
                      <w:highlight w:val="none"/>
                      <w:lang w:val="en-US" w:eastAsia="zh-CN"/>
                    </w:rPr>
                  </w:pPr>
                  <w:r>
                    <w:rPr>
                      <w:rFonts w:hint="eastAsia"/>
                      <w:b/>
                      <w:bCs/>
                      <w:color w:val="auto"/>
                      <w:sz w:val="21"/>
                      <w:szCs w:val="21"/>
                      <w:highlight w:val="none"/>
                      <w:lang w:val="en-US" w:eastAsia="zh-CN"/>
                    </w:rPr>
                    <w:t>备注</w:t>
                  </w:r>
                </w:p>
              </w:tc>
            </w:tr>
            <w:tr w14:paraId="2766AE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34" w:type="pct"/>
                  <w:tcBorders>
                    <w:top w:val="single" w:color="000000" w:sz="6" w:space="0"/>
                  </w:tcBorders>
                  <w:noWrap w:val="0"/>
                  <w:vAlign w:val="center"/>
                </w:tcPr>
                <w:p w14:paraId="1AD1AB9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1</w:t>
                  </w:r>
                </w:p>
              </w:tc>
              <w:tc>
                <w:tcPr>
                  <w:tcW w:w="565" w:type="pct"/>
                  <w:tcBorders>
                    <w:top w:val="single" w:color="000000" w:sz="6" w:space="0"/>
                    <w:right w:val="single" w:color="000000" w:sz="6" w:space="0"/>
                  </w:tcBorders>
                  <w:noWrap w:val="0"/>
                  <w:vAlign w:val="center"/>
                </w:tcPr>
                <w:p w14:paraId="39C935F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2</w:t>
                  </w:r>
                  <w:r>
                    <w:rPr>
                      <w:rFonts w:hint="default"/>
                      <w:color w:val="auto"/>
                      <w:sz w:val="21"/>
                      <w:szCs w:val="21"/>
                      <w:highlight w:val="none"/>
                    </w:rPr>
                    <w:t>65m</w:t>
                  </w:r>
                  <w:r>
                    <w:rPr>
                      <w:rFonts w:hint="default"/>
                      <w:color w:val="auto"/>
                      <w:sz w:val="21"/>
                      <w:szCs w:val="21"/>
                      <w:highlight w:val="none"/>
                      <w:vertAlign w:val="superscript"/>
                    </w:rPr>
                    <w:t>2</w:t>
                  </w:r>
                  <w:r>
                    <w:rPr>
                      <w:color w:val="auto"/>
                      <w:sz w:val="21"/>
                      <w:szCs w:val="21"/>
                      <w:highlight w:val="none"/>
                    </w:rPr>
                    <w:t>烧</w:t>
                  </w:r>
                  <w:r>
                    <w:rPr>
                      <w:rFonts w:hint="default"/>
                      <w:color w:val="auto"/>
                      <w:sz w:val="21"/>
                      <w:szCs w:val="21"/>
                      <w:highlight w:val="none"/>
                    </w:rPr>
                    <w:t>结机生产线技术改造项目</w:t>
                  </w:r>
                </w:p>
              </w:tc>
              <w:tc>
                <w:tcPr>
                  <w:tcW w:w="535" w:type="pct"/>
                  <w:tcBorders>
                    <w:top w:val="single" w:color="000000" w:sz="6" w:space="0"/>
                    <w:right w:val="single" w:color="000000" w:sz="6" w:space="0"/>
                  </w:tcBorders>
                  <w:noWrap w:val="0"/>
                  <w:vAlign w:val="center"/>
                </w:tcPr>
                <w:p w14:paraId="692671D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烧结机</w:t>
                  </w:r>
                </w:p>
              </w:tc>
              <w:tc>
                <w:tcPr>
                  <w:tcW w:w="749" w:type="pct"/>
                  <w:tcBorders>
                    <w:top w:val="single" w:color="000000" w:sz="6" w:space="0"/>
                    <w:right w:val="single" w:color="000000" w:sz="6" w:space="0"/>
                  </w:tcBorders>
                  <w:noWrap w:val="0"/>
                  <w:vAlign w:val="center"/>
                </w:tcPr>
                <w:p w14:paraId="19C2B55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rFonts w:ascii="monospace" w:hAnsi="monospace" w:eastAsia="monospace" w:cs="monospace"/>
                      <w:i w:val="0"/>
                      <w:iCs w:val="0"/>
                      <w:caps w:val="0"/>
                      <w:spacing w:val="0"/>
                      <w:sz w:val="22"/>
                      <w:szCs w:val="22"/>
                      <w:highlight w:val="none"/>
                      <w:shd w:val="clear" w:fill="FFFFFF"/>
                    </w:rPr>
                    <w:t>山</w:t>
                  </w:r>
                  <w:r>
                    <w:rPr>
                      <w:rFonts w:hint="default" w:ascii="monospace" w:hAnsi="monospace" w:eastAsia="monospace" w:cs="monospace"/>
                      <w:i w:val="0"/>
                      <w:iCs w:val="0"/>
                      <w:caps w:val="0"/>
                      <w:spacing w:val="0"/>
                      <w:sz w:val="22"/>
                      <w:szCs w:val="22"/>
                      <w:highlight w:val="none"/>
                      <w:shd w:val="clear" w:fill="FFFFFF"/>
                    </w:rPr>
                    <w:t>西省生态环境厅</w:t>
                  </w:r>
                </w:p>
              </w:tc>
              <w:tc>
                <w:tcPr>
                  <w:tcW w:w="619" w:type="pct"/>
                  <w:tcBorders>
                    <w:top w:val="single" w:color="000000" w:sz="6" w:space="0"/>
                    <w:right w:val="single" w:color="000000" w:sz="6" w:space="0"/>
                  </w:tcBorders>
                  <w:noWrap w:val="0"/>
                  <w:vAlign w:val="center"/>
                </w:tcPr>
                <w:p w14:paraId="6C86CA3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晋</w:t>
                  </w:r>
                  <w:r>
                    <w:rPr>
                      <w:rFonts w:hint="default"/>
                      <w:color w:val="auto"/>
                      <w:sz w:val="21"/>
                      <w:szCs w:val="21"/>
                      <w:highlight w:val="none"/>
                    </w:rPr>
                    <w:t>环函</w:t>
                  </w:r>
                  <w:r>
                    <w:rPr>
                      <w:rFonts w:hint="eastAsia"/>
                      <w:color w:val="auto"/>
                      <w:sz w:val="21"/>
                      <w:szCs w:val="21"/>
                      <w:highlight w:val="none"/>
                      <w:lang w:eastAsia="zh-CN"/>
                    </w:rPr>
                    <w:t>〔2020〕296号</w:t>
                  </w:r>
                </w:p>
              </w:tc>
              <w:tc>
                <w:tcPr>
                  <w:tcW w:w="661" w:type="pct"/>
                  <w:tcBorders>
                    <w:top w:val="single" w:color="000000" w:sz="6" w:space="0"/>
                    <w:right w:val="single" w:color="000000" w:sz="6" w:space="0"/>
                  </w:tcBorders>
                  <w:noWrap w:val="0"/>
                  <w:vAlign w:val="center"/>
                </w:tcPr>
                <w:p w14:paraId="241ADC7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2</w:t>
                  </w:r>
                  <w:r>
                    <w:rPr>
                      <w:rFonts w:hint="default"/>
                      <w:color w:val="auto"/>
                      <w:sz w:val="21"/>
                      <w:szCs w:val="21"/>
                      <w:highlight w:val="none"/>
                    </w:rPr>
                    <w:t>020.7.28</w:t>
                  </w:r>
                </w:p>
              </w:tc>
              <w:tc>
                <w:tcPr>
                  <w:tcW w:w="1264" w:type="pct"/>
                  <w:tcBorders>
                    <w:top w:val="single" w:color="000000" w:sz="6" w:space="0"/>
                    <w:right w:val="single" w:color="000000" w:sz="6" w:space="0"/>
                  </w:tcBorders>
                  <w:noWrap w:val="0"/>
                  <w:vAlign w:val="center"/>
                </w:tcPr>
                <w:p w14:paraId="5C91F9F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rFonts w:hint="default"/>
                      <w:color w:val="auto"/>
                      <w:sz w:val="21"/>
                      <w:szCs w:val="21"/>
                      <w:highlight w:val="none"/>
                    </w:rPr>
                    <w:t>911404277701221435001P</w:t>
                  </w:r>
                  <w:r>
                    <w:rPr>
                      <w:rFonts w:hint="eastAsia"/>
                      <w:color w:val="auto"/>
                      <w:sz w:val="21"/>
                      <w:szCs w:val="21"/>
                      <w:highlight w:val="none"/>
                      <w:lang w:eastAsia="zh-CN"/>
                    </w:rPr>
                    <w:t>，</w:t>
                  </w:r>
                  <w:r>
                    <w:rPr>
                      <w:rFonts w:hint="eastAsia"/>
                      <w:color w:val="auto"/>
                      <w:sz w:val="21"/>
                      <w:szCs w:val="21"/>
                      <w:highlight w:val="none"/>
                      <w:lang w:val="en-US" w:eastAsia="zh-CN"/>
                    </w:rPr>
                    <w:t>有效期：</w:t>
                  </w:r>
                  <w:r>
                    <w:rPr>
                      <w:rFonts w:hint="eastAsia"/>
                      <w:color w:val="auto"/>
                      <w:sz w:val="21"/>
                      <w:szCs w:val="21"/>
                      <w:highlight w:val="none"/>
                      <w:lang w:eastAsia="zh-CN"/>
                    </w:rPr>
                    <w:t>2025-05-13至2030-05-12</w:t>
                  </w:r>
                  <w:r>
                    <w:rPr>
                      <w:color w:val="auto"/>
                      <w:sz w:val="21"/>
                      <w:szCs w:val="21"/>
                      <w:highlight w:val="none"/>
                    </w:rPr>
                    <w:fldChar w:fldCharType="begin"/>
                  </w:r>
                  <w:r>
                    <w:rPr>
                      <w:color w:val="auto"/>
                      <w:sz w:val="21"/>
                      <w:szCs w:val="21"/>
                      <w:highlight w:val="none"/>
                    </w:rPr>
                    <w:instrText xml:space="preserve"> HYPERLINK "https://jysteelgroup.com/uploads/file/20230801/1690878046595280.doc" \t "https://chat.deepseek.com/a/chat/s/_blank" </w:instrText>
                  </w:r>
                  <w:r>
                    <w:rPr>
                      <w:color w:val="auto"/>
                      <w:sz w:val="21"/>
                      <w:szCs w:val="21"/>
                      <w:highlight w:val="none"/>
                    </w:rPr>
                    <w:fldChar w:fldCharType="separate"/>
                  </w:r>
                  <w:r>
                    <w:rPr>
                      <w:rFonts w:hint="default"/>
                      <w:color w:val="auto"/>
                      <w:sz w:val="21"/>
                      <w:szCs w:val="21"/>
                      <w:highlight w:val="none"/>
                    </w:rPr>
                    <w:fldChar w:fldCharType="end"/>
                  </w:r>
                </w:p>
              </w:tc>
              <w:tc>
                <w:tcPr>
                  <w:tcW w:w="313" w:type="pct"/>
                  <w:tcBorders>
                    <w:top w:val="single" w:color="000000" w:sz="6" w:space="0"/>
                    <w:right w:val="single" w:color="000000" w:sz="6" w:space="0"/>
                  </w:tcBorders>
                  <w:noWrap w:val="0"/>
                  <w:vAlign w:val="center"/>
                </w:tcPr>
                <w:p w14:paraId="3898A2B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2020.12.3</w:t>
                  </w:r>
                </w:p>
              </w:tc>
              <w:tc>
                <w:tcPr>
                  <w:tcW w:w="156" w:type="pct"/>
                  <w:tcBorders>
                    <w:top w:val="single" w:color="000000" w:sz="6" w:space="0"/>
                    <w:right w:val="single" w:color="000000" w:sz="6" w:space="0"/>
                  </w:tcBorders>
                  <w:noWrap w:val="0"/>
                  <w:vAlign w:val="center"/>
                </w:tcPr>
                <w:p w14:paraId="1B812B3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p>
              </w:tc>
            </w:tr>
            <w:tr w14:paraId="51B0B5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34" w:type="pct"/>
                  <w:noWrap w:val="0"/>
                  <w:vAlign w:val="center"/>
                </w:tcPr>
                <w:p w14:paraId="7892CC9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2</w:t>
                  </w:r>
                </w:p>
              </w:tc>
              <w:tc>
                <w:tcPr>
                  <w:tcW w:w="565" w:type="pct"/>
                  <w:tcBorders>
                    <w:right w:val="single" w:color="000000" w:sz="6" w:space="0"/>
                  </w:tcBorders>
                  <w:noWrap w:val="0"/>
                  <w:vAlign w:val="center"/>
                </w:tcPr>
                <w:p w14:paraId="29BC2F7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1</w:t>
                  </w:r>
                  <w:r>
                    <w:rPr>
                      <w:rFonts w:hint="default"/>
                      <w:color w:val="auto"/>
                      <w:sz w:val="21"/>
                      <w:szCs w:val="21"/>
                      <w:highlight w:val="none"/>
                    </w:rPr>
                    <w:t>*450m</w:t>
                  </w:r>
                  <w:r>
                    <w:rPr>
                      <w:rFonts w:hint="default"/>
                      <w:color w:val="auto"/>
                      <w:sz w:val="21"/>
                      <w:szCs w:val="21"/>
                      <w:highlight w:val="none"/>
                      <w:vertAlign w:val="superscript"/>
                    </w:rPr>
                    <w:t>3</w:t>
                  </w:r>
                  <w:r>
                    <w:rPr>
                      <w:color w:val="auto"/>
                      <w:sz w:val="21"/>
                      <w:szCs w:val="21"/>
                      <w:highlight w:val="none"/>
                    </w:rPr>
                    <w:t>高</w:t>
                  </w:r>
                  <w:r>
                    <w:rPr>
                      <w:rFonts w:hint="default"/>
                      <w:color w:val="auto"/>
                      <w:sz w:val="21"/>
                      <w:szCs w:val="21"/>
                      <w:highlight w:val="none"/>
                    </w:rPr>
                    <w:t>炉和1*60T转炉工程环保工程</w:t>
                  </w:r>
                </w:p>
              </w:tc>
              <w:tc>
                <w:tcPr>
                  <w:tcW w:w="535" w:type="pct"/>
                  <w:tcBorders>
                    <w:right w:val="single" w:color="000000" w:sz="6" w:space="0"/>
                  </w:tcBorders>
                  <w:noWrap w:val="0"/>
                  <w:vAlign w:val="center"/>
                </w:tcPr>
                <w:p w14:paraId="0651858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color w:val="auto"/>
                      <w:sz w:val="21"/>
                      <w:szCs w:val="21"/>
                      <w:highlight w:val="none"/>
                      <w:lang w:val="en-US"/>
                    </w:rPr>
                  </w:pPr>
                  <w:r>
                    <w:rPr>
                      <w:rFonts w:hint="eastAsia" w:ascii="Times New Roman" w:hAnsi="Times New Roman" w:eastAsia="宋体" w:cs="Times New Roman"/>
                      <w:color w:val="auto"/>
                      <w:sz w:val="24"/>
                      <w:highlight w:val="none"/>
                      <w:lang w:val="en-US" w:eastAsia="zh-CN"/>
                    </w:rPr>
                    <w:t>450m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高炉（2#高炉）、60t转炉</w:t>
                  </w:r>
                </w:p>
              </w:tc>
              <w:tc>
                <w:tcPr>
                  <w:tcW w:w="749" w:type="pct"/>
                  <w:tcBorders>
                    <w:right w:val="single" w:color="000000" w:sz="6" w:space="0"/>
                  </w:tcBorders>
                  <w:noWrap w:val="0"/>
                  <w:vAlign w:val="center"/>
                </w:tcPr>
                <w:p w14:paraId="6B2494E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rFonts w:hint="eastAsia" w:ascii="monospace" w:hAnsi="monospace" w:cs="monospace"/>
                      <w:i w:val="0"/>
                      <w:iCs w:val="0"/>
                      <w:caps w:val="0"/>
                      <w:spacing w:val="0"/>
                      <w:sz w:val="22"/>
                      <w:szCs w:val="22"/>
                      <w:highlight w:val="none"/>
                      <w:shd w:val="clear" w:fill="FFFFFF"/>
                      <w:lang w:val="en-US" w:eastAsia="zh-CN"/>
                    </w:rPr>
                    <w:t>原</w:t>
                  </w:r>
                  <w:r>
                    <w:rPr>
                      <w:rFonts w:ascii="monospace" w:hAnsi="monospace" w:eastAsia="monospace" w:cs="monospace"/>
                      <w:i w:val="0"/>
                      <w:iCs w:val="0"/>
                      <w:caps w:val="0"/>
                      <w:spacing w:val="0"/>
                      <w:sz w:val="22"/>
                      <w:szCs w:val="22"/>
                      <w:highlight w:val="none"/>
                      <w:shd w:val="clear" w:fill="FFFFFF"/>
                    </w:rPr>
                    <w:t>长</w:t>
                  </w:r>
                  <w:r>
                    <w:rPr>
                      <w:rFonts w:hint="default" w:ascii="monospace" w:hAnsi="monospace" w:eastAsia="monospace" w:cs="monospace"/>
                      <w:i w:val="0"/>
                      <w:iCs w:val="0"/>
                      <w:caps w:val="0"/>
                      <w:spacing w:val="0"/>
                      <w:sz w:val="22"/>
                      <w:szCs w:val="22"/>
                      <w:highlight w:val="none"/>
                      <w:shd w:val="clear" w:fill="FFFFFF"/>
                    </w:rPr>
                    <w:t>治市环境保护局</w:t>
                  </w:r>
                </w:p>
              </w:tc>
              <w:tc>
                <w:tcPr>
                  <w:tcW w:w="619" w:type="pct"/>
                  <w:tcBorders>
                    <w:right w:val="single" w:color="000000" w:sz="6" w:space="0"/>
                  </w:tcBorders>
                  <w:noWrap w:val="0"/>
                  <w:vAlign w:val="center"/>
                </w:tcPr>
                <w:p w14:paraId="1E36246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长</w:t>
                  </w:r>
                  <w:r>
                    <w:rPr>
                      <w:rFonts w:hint="default"/>
                      <w:color w:val="auto"/>
                      <w:sz w:val="21"/>
                      <w:szCs w:val="21"/>
                      <w:highlight w:val="none"/>
                    </w:rPr>
                    <w:t>环函</w:t>
                  </w:r>
                  <w:r>
                    <w:rPr>
                      <w:rFonts w:hint="eastAsia"/>
                      <w:color w:val="auto"/>
                      <w:sz w:val="21"/>
                      <w:szCs w:val="21"/>
                      <w:highlight w:val="none"/>
                      <w:lang w:eastAsia="zh-CN"/>
                    </w:rPr>
                    <w:t>〔2017〕189号</w:t>
                  </w:r>
                </w:p>
              </w:tc>
              <w:tc>
                <w:tcPr>
                  <w:tcW w:w="661" w:type="pct"/>
                  <w:tcBorders>
                    <w:right w:val="single" w:color="000000" w:sz="6" w:space="0"/>
                  </w:tcBorders>
                  <w:noWrap w:val="0"/>
                  <w:vAlign w:val="center"/>
                </w:tcPr>
                <w:p w14:paraId="4C42DF3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2</w:t>
                  </w:r>
                  <w:r>
                    <w:rPr>
                      <w:rFonts w:hint="default"/>
                      <w:color w:val="auto"/>
                      <w:sz w:val="21"/>
                      <w:szCs w:val="21"/>
                      <w:highlight w:val="none"/>
                    </w:rPr>
                    <w:t>017.10.26</w:t>
                  </w:r>
                </w:p>
              </w:tc>
              <w:tc>
                <w:tcPr>
                  <w:tcW w:w="1264" w:type="pct"/>
                  <w:tcBorders>
                    <w:right w:val="single" w:color="000000" w:sz="6" w:space="0"/>
                  </w:tcBorders>
                  <w:noWrap w:val="0"/>
                  <w:vAlign w:val="center"/>
                </w:tcPr>
                <w:p w14:paraId="42BEED8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高炉）</w:t>
                  </w:r>
                  <w:r>
                    <w:rPr>
                      <w:color w:val="auto"/>
                      <w:sz w:val="21"/>
                      <w:szCs w:val="21"/>
                      <w:highlight w:val="none"/>
                    </w:rPr>
                    <w:t>911404277701221435001P</w:t>
                  </w:r>
                  <w:r>
                    <w:rPr>
                      <w:rFonts w:hint="eastAsia"/>
                      <w:color w:val="auto"/>
                      <w:sz w:val="21"/>
                      <w:szCs w:val="21"/>
                      <w:highlight w:val="none"/>
                      <w:lang w:eastAsia="zh-CN"/>
                    </w:rPr>
                    <w:t>；</w:t>
                  </w:r>
                  <w:r>
                    <w:rPr>
                      <w:rFonts w:hint="eastAsia"/>
                      <w:color w:val="auto"/>
                      <w:sz w:val="21"/>
                      <w:szCs w:val="21"/>
                      <w:highlight w:val="none"/>
                      <w:lang w:val="en-US" w:eastAsia="zh-CN"/>
                    </w:rPr>
                    <w:t>有效期：</w:t>
                  </w:r>
                  <w:r>
                    <w:rPr>
                      <w:rFonts w:hint="eastAsia"/>
                      <w:color w:val="auto"/>
                      <w:sz w:val="21"/>
                      <w:szCs w:val="21"/>
                      <w:highlight w:val="none"/>
                      <w:lang w:eastAsia="zh-CN"/>
                    </w:rPr>
                    <w:t>2025-05-13至2030-05-12</w:t>
                  </w:r>
                </w:p>
                <w:p w14:paraId="69022ED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color w:val="auto"/>
                      <w:sz w:val="21"/>
                      <w:szCs w:val="21"/>
                      <w:highlight w:val="none"/>
                      <w:lang w:val="en-US" w:eastAsia="zh-CN"/>
                    </w:rPr>
                  </w:pPr>
                  <w:r>
                    <w:rPr>
                      <w:rFonts w:hint="eastAsia"/>
                      <w:color w:val="auto"/>
                      <w:sz w:val="21"/>
                      <w:szCs w:val="21"/>
                      <w:highlight w:val="none"/>
                      <w:lang w:eastAsia="zh-CN"/>
                    </w:rPr>
                    <w:t>（</w:t>
                  </w:r>
                  <w:r>
                    <w:rPr>
                      <w:rFonts w:hint="eastAsia"/>
                      <w:color w:val="auto"/>
                      <w:sz w:val="21"/>
                      <w:szCs w:val="21"/>
                      <w:highlight w:val="none"/>
                      <w:lang w:val="en-US" w:eastAsia="zh-CN"/>
                    </w:rPr>
                    <w:t>转炉）</w:t>
                  </w:r>
                </w:p>
                <w:p w14:paraId="5BFA067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olor w:val="auto"/>
                      <w:sz w:val="21"/>
                      <w:szCs w:val="21"/>
                      <w:highlight w:val="none"/>
                      <w:lang w:eastAsia="zh-CN"/>
                    </w:rPr>
                  </w:pPr>
                  <w:r>
                    <w:rPr>
                      <w:color w:val="auto"/>
                      <w:sz w:val="21"/>
                      <w:szCs w:val="21"/>
                      <w:highlight w:val="none"/>
                    </w:rPr>
                    <w:t>91140427759814245D001P</w:t>
                  </w:r>
                  <w:r>
                    <w:rPr>
                      <w:rFonts w:hint="eastAsia"/>
                      <w:color w:val="auto"/>
                      <w:sz w:val="21"/>
                      <w:szCs w:val="21"/>
                      <w:highlight w:val="none"/>
                      <w:lang w:val="en-US" w:eastAsia="zh-CN"/>
                    </w:rPr>
                    <w:t>有效期2024-12-02至2029-12-01</w:t>
                  </w:r>
                </w:p>
              </w:tc>
              <w:tc>
                <w:tcPr>
                  <w:tcW w:w="313" w:type="pct"/>
                  <w:tcBorders>
                    <w:right w:val="single" w:color="000000" w:sz="6" w:space="0"/>
                  </w:tcBorders>
                  <w:noWrap w:val="0"/>
                  <w:vAlign w:val="center"/>
                </w:tcPr>
                <w:p w14:paraId="5118F27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156" w:type="pct"/>
                  <w:tcBorders>
                    <w:right w:val="single" w:color="000000" w:sz="6" w:space="0"/>
                  </w:tcBorders>
                  <w:noWrap w:val="0"/>
                  <w:vAlign w:val="center"/>
                </w:tcPr>
                <w:p w14:paraId="1E35086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现状环评</w:t>
                  </w:r>
                </w:p>
              </w:tc>
            </w:tr>
            <w:tr w14:paraId="773839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34" w:type="pct"/>
                  <w:noWrap w:val="0"/>
                  <w:vAlign w:val="center"/>
                </w:tcPr>
                <w:p w14:paraId="1BA5441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3</w:t>
                  </w:r>
                </w:p>
              </w:tc>
              <w:tc>
                <w:tcPr>
                  <w:tcW w:w="565" w:type="pct"/>
                  <w:tcBorders>
                    <w:right w:val="single" w:color="000000" w:sz="6" w:space="0"/>
                  </w:tcBorders>
                  <w:noWrap w:val="0"/>
                  <w:vAlign w:val="center"/>
                </w:tcPr>
                <w:p w14:paraId="7914EAA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1号</w:t>
                  </w:r>
                  <w:r>
                    <w:rPr>
                      <w:rFonts w:hint="default"/>
                      <w:color w:val="auto"/>
                      <w:sz w:val="21"/>
                      <w:szCs w:val="21"/>
                      <w:highlight w:val="none"/>
                    </w:rPr>
                    <w:t>高炉工程项目</w:t>
                  </w:r>
                </w:p>
              </w:tc>
              <w:tc>
                <w:tcPr>
                  <w:tcW w:w="535" w:type="pct"/>
                  <w:tcBorders>
                    <w:right w:val="single" w:color="000000" w:sz="6" w:space="0"/>
                  </w:tcBorders>
                  <w:noWrap w:val="0"/>
                  <w:vAlign w:val="center"/>
                </w:tcPr>
                <w:p w14:paraId="75E9F28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color w:val="auto"/>
                      <w:sz w:val="21"/>
                      <w:szCs w:val="21"/>
                      <w:highlight w:val="none"/>
                      <w:lang w:val="en-US"/>
                    </w:rPr>
                  </w:pPr>
                  <w:r>
                    <w:rPr>
                      <w:rFonts w:hint="eastAsia" w:ascii="Times New Roman" w:hAnsi="Times New Roman" w:eastAsia="宋体" w:cs="Times New Roman"/>
                      <w:color w:val="auto"/>
                      <w:sz w:val="24"/>
                      <w:highlight w:val="none"/>
                      <w:lang w:val="en-US" w:eastAsia="zh-CN"/>
                    </w:rPr>
                    <w:t>405m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高炉（1#高炉）</w:t>
                  </w:r>
                </w:p>
              </w:tc>
              <w:tc>
                <w:tcPr>
                  <w:tcW w:w="749" w:type="pct"/>
                  <w:tcBorders>
                    <w:right w:val="single" w:color="000000" w:sz="6" w:space="0"/>
                  </w:tcBorders>
                  <w:noWrap w:val="0"/>
                  <w:vAlign w:val="center"/>
                </w:tcPr>
                <w:p w14:paraId="27F32A5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rFonts w:hint="eastAsia" w:ascii="monospace" w:hAnsi="monospace" w:cs="monospace"/>
                      <w:i w:val="0"/>
                      <w:iCs w:val="0"/>
                      <w:caps w:val="0"/>
                      <w:spacing w:val="0"/>
                      <w:sz w:val="22"/>
                      <w:szCs w:val="22"/>
                      <w:highlight w:val="none"/>
                      <w:shd w:val="clear" w:fill="FFFFFF"/>
                      <w:lang w:val="en-US" w:eastAsia="zh-CN"/>
                    </w:rPr>
                    <w:t>原</w:t>
                  </w:r>
                  <w:r>
                    <w:rPr>
                      <w:rFonts w:ascii="monospace" w:hAnsi="monospace" w:eastAsia="monospace" w:cs="monospace"/>
                      <w:i w:val="0"/>
                      <w:iCs w:val="0"/>
                      <w:caps w:val="0"/>
                      <w:spacing w:val="0"/>
                      <w:sz w:val="22"/>
                      <w:szCs w:val="22"/>
                      <w:highlight w:val="none"/>
                      <w:shd w:val="clear" w:fill="FFFFFF"/>
                    </w:rPr>
                    <w:t>长</w:t>
                  </w:r>
                  <w:r>
                    <w:rPr>
                      <w:rFonts w:hint="default" w:ascii="monospace" w:hAnsi="monospace" w:eastAsia="monospace" w:cs="monospace"/>
                      <w:i w:val="0"/>
                      <w:iCs w:val="0"/>
                      <w:caps w:val="0"/>
                      <w:spacing w:val="0"/>
                      <w:sz w:val="22"/>
                      <w:szCs w:val="22"/>
                      <w:highlight w:val="none"/>
                      <w:shd w:val="clear" w:fill="FFFFFF"/>
                    </w:rPr>
                    <w:t>治市环境保护局</w:t>
                  </w:r>
                </w:p>
              </w:tc>
              <w:tc>
                <w:tcPr>
                  <w:tcW w:w="619" w:type="pct"/>
                  <w:tcBorders>
                    <w:right w:val="single" w:color="000000" w:sz="6" w:space="0"/>
                  </w:tcBorders>
                  <w:noWrap w:val="0"/>
                  <w:vAlign w:val="center"/>
                </w:tcPr>
                <w:p w14:paraId="673985E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长</w:t>
                  </w:r>
                  <w:r>
                    <w:rPr>
                      <w:rFonts w:hint="default"/>
                      <w:color w:val="auto"/>
                      <w:sz w:val="21"/>
                      <w:szCs w:val="21"/>
                      <w:highlight w:val="none"/>
                    </w:rPr>
                    <w:t>环函</w:t>
                  </w:r>
                  <w:r>
                    <w:rPr>
                      <w:rFonts w:hint="eastAsia"/>
                      <w:color w:val="auto"/>
                      <w:sz w:val="21"/>
                      <w:szCs w:val="21"/>
                      <w:highlight w:val="none"/>
                      <w:lang w:eastAsia="zh-CN"/>
                    </w:rPr>
                    <w:t>〔2018〕172号</w:t>
                  </w:r>
                </w:p>
              </w:tc>
              <w:tc>
                <w:tcPr>
                  <w:tcW w:w="661" w:type="pct"/>
                  <w:tcBorders>
                    <w:right w:val="single" w:color="000000" w:sz="6" w:space="0"/>
                  </w:tcBorders>
                  <w:noWrap w:val="0"/>
                  <w:vAlign w:val="center"/>
                </w:tcPr>
                <w:p w14:paraId="51B9A3D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2</w:t>
                  </w:r>
                  <w:r>
                    <w:rPr>
                      <w:rFonts w:hint="default"/>
                      <w:color w:val="auto"/>
                      <w:sz w:val="21"/>
                      <w:szCs w:val="21"/>
                      <w:highlight w:val="none"/>
                    </w:rPr>
                    <w:t>01</w:t>
                  </w:r>
                  <w:r>
                    <w:rPr>
                      <w:rFonts w:hint="eastAsia"/>
                      <w:color w:val="auto"/>
                      <w:sz w:val="21"/>
                      <w:szCs w:val="21"/>
                      <w:highlight w:val="none"/>
                      <w:lang w:val="en-US" w:eastAsia="zh-CN"/>
                    </w:rPr>
                    <w:t>8.12.29</w:t>
                  </w:r>
                </w:p>
              </w:tc>
              <w:tc>
                <w:tcPr>
                  <w:tcW w:w="1264" w:type="pct"/>
                  <w:tcBorders>
                    <w:right w:val="single" w:color="000000" w:sz="6" w:space="0"/>
                  </w:tcBorders>
                  <w:noWrap w:val="0"/>
                  <w:vAlign w:val="center"/>
                </w:tcPr>
                <w:p w14:paraId="3E0686B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eastAsia="宋体"/>
                      <w:color w:val="auto"/>
                      <w:sz w:val="21"/>
                      <w:szCs w:val="21"/>
                      <w:highlight w:val="none"/>
                      <w:lang w:eastAsia="zh-CN"/>
                    </w:rPr>
                  </w:pPr>
                  <w:r>
                    <w:rPr>
                      <w:color w:val="auto"/>
                      <w:sz w:val="21"/>
                      <w:szCs w:val="21"/>
                      <w:highlight w:val="none"/>
                    </w:rPr>
                    <w:t>911404277701221435001P</w:t>
                  </w:r>
                  <w:r>
                    <w:rPr>
                      <w:rFonts w:hint="eastAsia"/>
                      <w:color w:val="auto"/>
                      <w:sz w:val="21"/>
                      <w:szCs w:val="21"/>
                      <w:highlight w:val="none"/>
                      <w:lang w:eastAsia="zh-CN"/>
                    </w:rPr>
                    <w:t>，</w:t>
                  </w:r>
                  <w:r>
                    <w:rPr>
                      <w:rFonts w:hint="eastAsia"/>
                      <w:color w:val="auto"/>
                      <w:sz w:val="21"/>
                      <w:szCs w:val="21"/>
                      <w:highlight w:val="none"/>
                      <w:lang w:val="en-US" w:eastAsia="zh-CN"/>
                    </w:rPr>
                    <w:t>有效期：</w:t>
                  </w:r>
                  <w:r>
                    <w:rPr>
                      <w:rFonts w:hint="eastAsia"/>
                      <w:color w:val="auto"/>
                      <w:sz w:val="21"/>
                      <w:szCs w:val="21"/>
                      <w:highlight w:val="none"/>
                      <w:lang w:eastAsia="zh-CN"/>
                    </w:rPr>
                    <w:t>2025-05-13至2030-05-12</w:t>
                  </w:r>
                </w:p>
              </w:tc>
              <w:tc>
                <w:tcPr>
                  <w:tcW w:w="313" w:type="pct"/>
                  <w:tcBorders>
                    <w:right w:val="single" w:color="000000" w:sz="6" w:space="0"/>
                  </w:tcBorders>
                  <w:noWrap w:val="0"/>
                  <w:vAlign w:val="center"/>
                </w:tcPr>
                <w:p w14:paraId="7C26899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156" w:type="pct"/>
                  <w:tcBorders>
                    <w:right w:val="single" w:color="000000" w:sz="6" w:space="0"/>
                  </w:tcBorders>
                  <w:noWrap w:val="0"/>
                  <w:vAlign w:val="center"/>
                </w:tcPr>
                <w:p w14:paraId="3F4E2BA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rFonts w:hint="eastAsia"/>
                      <w:color w:val="auto"/>
                      <w:sz w:val="21"/>
                      <w:szCs w:val="21"/>
                      <w:highlight w:val="none"/>
                      <w:lang w:val="en-US" w:eastAsia="zh-CN"/>
                    </w:rPr>
                    <w:t>现状环评</w:t>
                  </w:r>
                </w:p>
              </w:tc>
            </w:tr>
            <w:tr w14:paraId="105FE9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34" w:type="pct"/>
                  <w:noWrap w:val="0"/>
                  <w:vAlign w:val="center"/>
                </w:tcPr>
                <w:p w14:paraId="60338B5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4</w:t>
                  </w:r>
                </w:p>
              </w:tc>
              <w:tc>
                <w:tcPr>
                  <w:tcW w:w="565" w:type="pct"/>
                  <w:tcBorders>
                    <w:right w:val="single" w:color="000000" w:sz="6" w:space="0"/>
                  </w:tcBorders>
                  <w:noWrap w:val="0"/>
                  <w:vAlign w:val="center"/>
                </w:tcPr>
                <w:p w14:paraId="4FBC20E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rFonts w:ascii="monospace" w:hAnsi="monospace" w:eastAsia="monospace" w:cs="monospace"/>
                      <w:i w:val="0"/>
                      <w:iCs w:val="0"/>
                      <w:caps w:val="0"/>
                      <w:spacing w:val="0"/>
                      <w:sz w:val="22"/>
                      <w:szCs w:val="22"/>
                      <w:highlight w:val="none"/>
                      <w:shd w:val="clear" w:fill="FFFFFF"/>
                    </w:rPr>
                    <w:t>轧</w:t>
                  </w:r>
                  <w:r>
                    <w:rPr>
                      <w:rFonts w:hint="default" w:ascii="monospace" w:hAnsi="monospace" w:eastAsia="monospace" w:cs="monospace"/>
                      <w:i w:val="0"/>
                      <w:iCs w:val="0"/>
                      <w:caps w:val="0"/>
                      <w:spacing w:val="0"/>
                      <w:sz w:val="22"/>
                      <w:szCs w:val="22"/>
                      <w:highlight w:val="none"/>
                      <w:shd w:val="clear" w:fill="FFFFFF"/>
                    </w:rPr>
                    <w:t>材生产线技术改造项目工程</w:t>
                  </w:r>
                </w:p>
              </w:tc>
              <w:tc>
                <w:tcPr>
                  <w:tcW w:w="535" w:type="pct"/>
                  <w:tcBorders>
                    <w:right w:val="single" w:color="000000" w:sz="6" w:space="0"/>
                  </w:tcBorders>
                  <w:noWrap w:val="0"/>
                  <w:vAlign w:val="center"/>
                </w:tcPr>
                <w:p w14:paraId="5790096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轧材生产线</w:t>
                  </w:r>
                </w:p>
              </w:tc>
              <w:tc>
                <w:tcPr>
                  <w:tcW w:w="749" w:type="pct"/>
                  <w:tcBorders>
                    <w:right w:val="single" w:color="000000" w:sz="6" w:space="0"/>
                  </w:tcBorders>
                  <w:noWrap w:val="0"/>
                  <w:vAlign w:val="center"/>
                </w:tcPr>
                <w:p w14:paraId="78E7453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rFonts w:hint="eastAsia" w:ascii="monospace" w:hAnsi="monospace" w:cs="monospace"/>
                      <w:i w:val="0"/>
                      <w:iCs w:val="0"/>
                      <w:caps w:val="0"/>
                      <w:spacing w:val="0"/>
                      <w:sz w:val="22"/>
                      <w:szCs w:val="22"/>
                      <w:highlight w:val="none"/>
                      <w:shd w:val="clear" w:fill="FFFFFF"/>
                      <w:lang w:val="en-US" w:eastAsia="zh-CN"/>
                    </w:rPr>
                    <w:t>原</w:t>
                  </w:r>
                  <w:r>
                    <w:rPr>
                      <w:rFonts w:ascii="monospace" w:hAnsi="monospace" w:eastAsia="monospace" w:cs="monospace"/>
                      <w:i w:val="0"/>
                      <w:iCs w:val="0"/>
                      <w:caps w:val="0"/>
                      <w:spacing w:val="0"/>
                      <w:sz w:val="22"/>
                      <w:szCs w:val="22"/>
                      <w:highlight w:val="none"/>
                      <w:shd w:val="clear" w:fill="FFFFFF"/>
                    </w:rPr>
                    <w:t>山</w:t>
                  </w:r>
                  <w:r>
                    <w:rPr>
                      <w:rFonts w:hint="default" w:ascii="monospace" w:hAnsi="monospace" w:eastAsia="monospace" w:cs="monospace"/>
                      <w:i w:val="0"/>
                      <w:iCs w:val="0"/>
                      <w:caps w:val="0"/>
                      <w:spacing w:val="0"/>
                      <w:sz w:val="22"/>
                      <w:szCs w:val="22"/>
                      <w:highlight w:val="none"/>
                      <w:shd w:val="clear" w:fill="FFFFFF"/>
                    </w:rPr>
                    <w:t>西省环境保护厅</w:t>
                  </w:r>
                </w:p>
              </w:tc>
              <w:tc>
                <w:tcPr>
                  <w:tcW w:w="619" w:type="pct"/>
                  <w:tcBorders>
                    <w:right w:val="single" w:color="000000" w:sz="6" w:space="0"/>
                  </w:tcBorders>
                  <w:noWrap w:val="0"/>
                  <w:vAlign w:val="center"/>
                </w:tcPr>
                <w:p w14:paraId="19ADA47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晋</w:t>
                  </w:r>
                  <w:r>
                    <w:rPr>
                      <w:rFonts w:hint="default"/>
                      <w:color w:val="auto"/>
                      <w:sz w:val="21"/>
                      <w:szCs w:val="21"/>
                      <w:highlight w:val="none"/>
                    </w:rPr>
                    <w:t>环函</w:t>
                  </w:r>
                  <w:r>
                    <w:rPr>
                      <w:rFonts w:hint="eastAsia"/>
                      <w:color w:val="auto"/>
                      <w:sz w:val="21"/>
                      <w:szCs w:val="21"/>
                      <w:highlight w:val="none"/>
                      <w:lang w:eastAsia="zh-CN"/>
                    </w:rPr>
                    <w:t>〔2009〕430号</w:t>
                  </w:r>
                </w:p>
              </w:tc>
              <w:tc>
                <w:tcPr>
                  <w:tcW w:w="661" w:type="pct"/>
                  <w:tcBorders>
                    <w:right w:val="single" w:color="000000" w:sz="6" w:space="0"/>
                  </w:tcBorders>
                  <w:noWrap w:val="0"/>
                  <w:vAlign w:val="center"/>
                </w:tcPr>
                <w:p w14:paraId="0044D69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2</w:t>
                  </w:r>
                  <w:r>
                    <w:rPr>
                      <w:rFonts w:hint="default"/>
                      <w:color w:val="auto"/>
                      <w:sz w:val="21"/>
                      <w:szCs w:val="21"/>
                      <w:highlight w:val="none"/>
                    </w:rPr>
                    <w:t>009.9.27</w:t>
                  </w:r>
                </w:p>
              </w:tc>
              <w:tc>
                <w:tcPr>
                  <w:tcW w:w="1264" w:type="pct"/>
                  <w:tcBorders>
                    <w:right w:val="single" w:color="000000" w:sz="6" w:space="0"/>
                  </w:tcBorders>
                  <w:noWrap w:val="0"/>
                  <w:vAlign w:val="center"/>
                </w:tcPr>
                <w:p w14:paraId="5705068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olor w:val="auto"/>
                      <w:sz w:val="21"/>
                      <w:szCs w:val="21"/>
                      <w:highlight w:val="none"/>
                      <w:lang w:eastAsia="zh-CN"/>
                    </w:rPr>
                  </w:pPr>
                  <w:r>
                    <w:rPr>
                      <w:color w:val="auto"/>
                      <w:sz w:val="21"/>
                      <w:szCs w:val="21"/>
                      <w:highlight w:val="none"/>
                    </w:rPr>
                    <w:t>91140427788537769M001P</w:t>
                  </w:r>
                  <w:r>
                    <w:rPr>
                      <w:rFonts w:hint="eastAsia"/>
                      <w:color w:val="auto"/>
                      <w:sz w:val="21"/>
                      <w:szCs w:val="21"/>
                      <w:highlight w:val="none"/>
                      <w:lang w:eastAsia="zh-CN"/>
                    </w:rPr>
                    <w:t>，</w:t>
                  </w:r>
                  <w:r>
                    <w:rPr>
                      <w:rFonts w:hint="eastAsia"/>
                      <w:color w:val="auto"/>
                      <w:sz w:val="21"/>
                      <w:szCs w:val="21"/>
                      <w:highlight w:val="none"/>
                      <w:lang w:val="en-US" w:eastAsia="zh-CN"/>
                    </w:rPr>
                    <w:t>有效期：</w:t>
                  </w:r>
                  <w:r>
                    <w:rPr>
                      <w:rFonts w:hint="eastAsia"/>
                      <w:color w:val="auto"/>
                      <w:sz w:val="21"/>
                      <w:szCs w:val="21"/>
                      <w:highlight w:val="none"/>
                      <w:lang w:eastAsia="zh-CN"/>
                    </w:rPr>
                    <w:t>2024-12-04至2029-12-03</w:t>
                  </w:r>
                </w:p>
              </w:tc>
              <w:tc>
                <w:tcPr>
                  <w:tcW w:w="313" w:type="pct"/>
                  <w:tcBorders>
                    <w:right w:val="single" w:color="000000" w:sz="6" w:space="0"/>
                  </w:tcBorders>
                  <w:noWrap w:val="0"/>
                  <w:vAlign w:val="center"/>
                </w:tcPr>
                <w:p w14:paraId="677B24C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2014.11.5</w:t>
                  </w:r>
                </w:p>
              </w:tc>
              <w:tc>
                <w:tcPr>
                  <w:tcW w:w="156" w:type="pct"/>
                  <w:tcBorders>
                    <w:right w:val="single" w:color="000000" w:sz="6" w:space="0"/>
                  </w:tcBorders>
                  <w:noWrap w:val="0"/>
                  <w:vAlign w:val="center"/>
                </w:tcPr>
                <w:p w14:paraId="6A4FA15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p>
              </w:tc>
            </w:tr>
            <w:tr w14:paraId="76C2F8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34" w:type="pct"/>
                  <w:noWrap w:val="0"/>
                  <w:vAlign w:val="center"/>
                </w:tcPr>
                <w:p w14:paraId="630C430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5</w:t>
                  </w:r>
                </w:p>
              </w:tc>
              <w:tc>
                <w:tcPr>
                  <w:tcW w:w="565" w:type="pct"/>
                  <w:tcBorders>
                    <w:right w:val="single" w:color="000000" w:sz="6" w:space="0"/>
                  </w:tcBorders>
                  <w:noWrap w:val="0"/>
                  <w:vAlign w:val="center"/>
                </w:tcPr>
                <w:p w14:paraId="0E7207F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年产18万吨高活性溶剂项目</w:t>
                  </w:r>
                </w:p>
              </w:tc>
              <w:tc>
                <w:tcPr>
                  <w:tcW w:w="535" w:type="pct"/>
                  <w:tcBorders>
                    <w:right w:val="single" w:color="000000" w:sz="6" w:space="0"/>
                  </w:tcBorders>
                  <w:noWrap w:val="0"/>
                  <w:vAlign w:val="center"/>
                </w:tcPr>
                <w:p w14:paraId="0849B19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石灰窑</w:t>
                  </w:r>
                </w:p>
              </w:tc>
              <w:tc>
                <w:tcPr>
                  <w:tcW w:w="749" w:type="pct"/>
                  <w:tcBorders>
                    <w:right w:val="single" w:color="000000" w:sz="6" w:space="0"/>
                  </w:tcBorders>
                  <w:noWrap w:val="0"/>
                  <w:vAlign w:val="center"/>
                </w:tcPr>
                <w:p w14:paraId="22D8DB9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eastAsia="宋体"/>
                      <w:color w:val="auto"/>
                      <w:sz w:val="21"/>
                      <w:szCs w:val="21"/>
                      <w:highlight w:val="none"/>
                      <w:lang w:val="en-US" w:eastAsia="zh-CN"/>
                    </w:rPr>
                  </w:pPr>
                  <w:r>
                    <w:rPr>
                      <w:rFonts w:ascii="monospace" w:hAnsi="monospace" w:eastAsia="monospace" w:cs="monospace"/>
                      <w:i w:val="0"/>
                      <w:iCs w:val="0"/>
                      <w:caps w:val="0"/>
                      <w:spacing w:val="0"/>
                      <w:sz w:val="22"/>
                      <w:szCs w:val="22"/>
                      <w:highlight w:val="none"/>
                      <w:shd w:val="clear" w:fill="FFFFFF"/>
                    </w:rPr>
                    <w:t>长</w:t>
                  </w:r>
                  <w:r>
                    <w:rPr>
                      <w:rFonts w:hint="default" w:ascii="monospace" w:hAnsi="monospace" w:eastAsia="monospace" w:cs="monospace"/>
                      <w:i w:val="0"/>
                      <w:iCs w:val="0"/>
                      <w:caps w:val="0"/>
                      <w:spacing w:val="0"/>
                      <w:sz w:val="22"/>
                      <w:szCs w:val="22"/>
                      <w:highlight w:val="none"/>
                      <w:shd w:val="clear" w:fill="FFFFFF"/>
                    </w:rPr>
                    <w:t>治市生态环境局壶关分局</w:t>
                  </w:r>
                </w:p>
              </w:tc>
              <w:tc>
                <w:tcPr>
                  <w:tcW w:w="619" w:type="pct"/>
                  <w:tcBorders>
                    <w:right w:val="single" w:color="000000" w:sz="6" w:space="0"/>
                  </w:tcBorders>
                  <w:noWrap w:val="0"/>
                  <w:vAlign w:val="center"/>
                </w:tcPr>
                <w:p w14:paraId="0FD536D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壶</w:t>
                  </w:r>
                  <w:r>
                    <w:rPr>
                      <w:rFonts w:hint="default"/>
                      <w:color w:val="auto"/>
                      <w:sz w:val="21"/>
                      <w:szCs w:val="21"/>
                      <w:highlight w:val="none"/>
                    </w:rPr>
                    <w:t>环审</w:t>
                  </w:r>
                  <w:r>
                    <w:rPr>
                      <w:rFonts w:hint="eastAsia"/>
                      <w:color w:val="auto"/>
                      <w:sz w:val="21"/>
                      <w:szCs w:val="21"/>
                      <w:highlight w:val="none"/>
                      <w:lang w:eastAsia="zh-CN"/>
                    </w:rPr>
                    <w:t>〔2021〕7号</w:t>
                  </w:r>
                </w:p>
              </w:tc>
              <w:tc>
                <w:tcPr>
                  <w:tcW w:w="661" w:type="pct"/>
                  <w:tcBorders>
                    <w:right w:val="single" w:color="000000" w:sz="6" w:space="0"/>
                  </w:tcBorders>
                  <w:noWrap w:val="0"/>
                  <w:vAlign w:val="center"/>
                </w:tcPr>
                <w:p w14:paraId="18D9206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晋</w:t>
                  </w:r>
                  <w:r>
                    <w:rPr>
                      <w:rFonts w:hint="default"/>
                      <w:color w:val="auto"/>
                      <w:sz w:val="21"/>
                      <w:szCs w:val="21"/>
                      <w:highlight w:val="none"/>
                    </w:rPr>
                    <w:t>环函</w:t>
                  </w:r>
                  <w:r>
                    <w:rPr>
                      <w:rFonts w:hint="eastAsia"/>
                      <w:color w:val="auto"/>
                      <w:sz w:val="21"/>
                      <w:szCs w:val="21"/>
                      <w:highlight w:val="none"/>
                      <w:lang w:eastAsia="zh-CN"/>
                    </w:rPr>
                    <w:t>〔2009〕430号</w:t>
                  </w:r>
                </w:p>
              </w:tc>
              <w:tc>
                <w:tcPr>
                  <w:tcW w:w="1264" w:type="pct"/>
                  <w:tcBorders>
                    <w:right w:val="single" w:color="000000" w:sz="6" w:space="0"/>
                  </w:tcBorders>
                  <w:noWrap w:val="0"/>
                  <w:vAlign w:val="center"/>
                </w:tcPr>
                <w:p w14:paraId="688F6D2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eastAsia="宋体"/>
                      <w:color w:val="auto"/>
                      <w:sz w:val="21"/>
                      <w:szCs w:val="21"/>
                      <w:highlight w:val="none"/>
                      <w:lang w:val="en-US" w:eastAsia="zh-CN"/>
                    </w:rPr>
                  </w:pPr>
                  <w:r>
                    <w:rPr>
                      <w:color w:val="auto"/>
                      <w:sz w:val="21"/>
                      <w:szCs w:val="21"/>
                      <w:highlight w:val="none"/>
                    </w:rPr>
                    <w:t>91140427759814245D001P</w:t>
                  </w:r>
                  <w:r>
                    <w:rPr>
                      <w:rFonts w:hint="eastAsia"/>
                      <w:color w:val="auto"/>
                      <w:sz w:val="21"/>
                      <w:szCs w:val="21"/>
                      <w:highlight w:val="none"/>
                      <w:lang w:eastAsia="zh-CN"/>
                    </w:rPr>
                    <w:t>，</w:t>
                  </w:r>
                  <w:r>
                    <w:rPr>
                      <w:rFonts w:hint="eastAsia"/>
                      <w:color w:val="auto"/>
                      <w:sz w:val="21"/>
                      <w:szCs w:val="21"/>
                      <w:highlight w:val="none"/>
                      <w:lang w:val="en-US" w:eastAsia="zh-CN"/>
                    </w:rPr>
                    <w:t>有效期2024-12-02至2029-12-01</w:t>
                  </w:r>
                </w:p>
              </w:tc>
              <w:tc>
                <w:tcPr>
                  <w:tcW w:w="313" w:type="pct"/>
                  <w:tcBorders>
                    <w:right w:val="single" w:color="000000" w:sz="6" w:space="0"/>
                  </w:tcBorders>
                  <w:noWrap w:val="0"/>
                  <w:vAlign w:val="center"/>
                </w:tcPr>
                <w:p w14:paraId="209455A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2023.9</w:t>
                  </w:r>
                </w:p>
              </w:tc>
              <w:tc>
                <w:tcPr>
                  <w:tcW w:w="156" w:type="pct"/>
                  <w:tcBorders>
                    <w:right w:val="single" w:color="000000" w:sz="6" w:space="0"/>
                  </w:tcBorders>
                  <w:noWrap w:val="0"/>
                  <w:vAlign w:val="center"/>
                </w:tcPr>
                <w:p w14:paraId="41A0AC0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p>
              </w:tc>
            </w:tr>
          </w:tbl>
          <w:p w14:paraId="72E288F1">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w:t>
            </w:r>
            <w:r>
              <w:rPr>
                <w:rFonts w:hint="eastAsia" w:cs="Times New Roman"/>
                <w:color w:val="auto"/>
                <w:sz w:val="24"/>
                <w:highlight w:val="none"/>
                <w:lang w:val="en-US" w:eastAsia="zh-CN"/>
              </w:rPr>
              <w:t>依托</w:t>
            </w:r>
            <w:r>
              <w:rPr>
                <w:rFonts w:hint="eastAsia" w:ascii="Times New Roman" w:hAnsi="Times New Roman" w:eastAsia="宋体" w:cs="Times New Roman"/>
                <w:color w:val="auto"/>
                <w:sz w:val="24"/>
                <w:highlight w:val="none"/>
                <w:lang w:val="en-US" w:eastAsia="zh-CN"/>
              </w:rPr>
              <w:t>钢铁厂内1#、2#高炉产生的高炉煤气，</w:t>
            </w:r>
            <w:r>
              <w:rPr>
                <w:rFonts w:hint="eastAsia" w:cs="Times New Roman"/>
                <w:color w:val="auto"/>
                <w:sz w:val="24"/>
                <w:highlight w:val="none"/>
                <w:lang w:val="en-US" w:eastAsia="zh-CN"/>
              </w:rPr>
              <w:t>依据</w:t>
            </w:r>
            <w:r>
              <w:rPr>
                <w:rFonts w:hint="eastAsia" w:ascii="Times New Roman" w:hAnsi="Times New Roman" w:eastAsia="宋体" w:cs="Times New Roman"/>
                <w:color w:val="auto"/>
                <w:sz w:val="24"/>
                <w:highlight w:val="none"/>
                <w:lang w:val="en-US" w:eastAsia="zh-CN"/>
              </w:rPr>
              <w:t>金烨钢铁集团有限公司在线数据。其中排放口有1号高炉热风炉废气排放口、1号高炉矿槽废气排放口、1号高炉出铁场废气排放口、2号高炉热风炉废气排放口、2号高炉矿槽废气排放口、2号高炉出铁场废气排放口。监测数据见下表。</w:t>
            </w:r>
          </w:p>
          <w:p w14:paraId="0642A070">
            <w:pPr>
              <w:spacing w:line="360" w:lineRule="auto"/>
              <w:ind w:firstLine="422" w:firstLineChars="200"/>
              <w:jc w:val="center"/>
              <w:rPr>
                <w:b/>
                <w:bCs/>
                <w:color w:val="auto"/>
                <w:sz w:val="21"/>
                <w:szCs w:val="21"/>
                <w:highlight w:val="none"/>
              </w:rPr>
            </w:pPr>
            <w:r>
              <w:rPr>
                <w:b/>
                <w:bCs/>
                <w:color w:val="auto"/>
                <w:sz w:val="21"/>
                <w:szCs w:val="21"/>
                <w:highlight w:val="none"/>
              </w:rPr>
              <w:t>表</w:t>
            </w:r>
            <w:r>
              <w:rPr>
                <w:rFonts w:hint="eastAsia"/>
                <w:b/>
                <w:bCs/>
                <w:color w:val="auto"/>
                <w:sz w:val="21"/>
                <w:szCs w:val="21"/>
                <w:highlight w:val="none"/>
                <w:lang w:val="en-US" w:eastAsia="zh-CN"/>
              </w:rPr>
              <w:t>2-11 在线监测数据</w:t>
            </w:r>
            <w:r>
              <w:rPr>
                <w:b/>
                <w:bCs/>
                <w:color w:val="auto"/>
                <w:sz w:val="21"/>
                <w:szCs w:val="21"/>
                <w:highlight w:val="none"/>
              </w:rPr>
              <w:t>一览表</w:t>
            </w:r>
          </w:p>
          <w:tbl>
            <w:tblPr>
              <w:tblStyle w:val="54"/>
              <w:tblW w:w="811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56"/>
              <w:gridCol w:w="1726"/>
              <w:gridCol w:w="2090"/>
              <w:gridCol w:w="997"/>
              <w:gridCol w:w="1323"/>
              <w:gridCol w:w="1324"/>
            </w:tblGrid>
            <w:tr w14:paraId="16804A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404" w:type="pct"/>
                  <w:vMerge w:val="restart"/>
                  <w:tcBorders>
                    <w:top w:val="single" w:color="000000" w:sz="6" w:space="0"/>
                  </w:tcBorders>
                  <w:noWrap w:val="0"/>
                  <w:vAlign w:val="center"/>
                </w:tcPr>
                <w:p w14:paraId="56505FCD">
                  <w:pPr>
                    <w:jc w:val="center"/>
                    <w:rPr>
                      <w:rFonts w:hint="eastAsia" w:eastAsia="宋体"/>
                      <w:b/>
                      <w:bCs/>
                      <w:color w:val="auto"/>
                      <w:sz w:val="21"/>
                      <w:szCs w:val="21"/>
                      <w:highlight w:val="none"/>
                      <w:lang w:val="en-US" w:eastAsia="zh-CN"/>
                    </w:rPr>
                  </w:pPr>
                  <w:r>
                    <w:rPr>
                      <w:rFonts w:hint="eastAsia"/>
                      <w:b/>
                      <w:bCs/>
                      <w:color w:val="auto"/>
                      <w:sz w:val="21"/>
                      <w:szCs w:val="21"/>
                      <w:highlight w:val="none"/>
                      <w:lang w:val="en-US" w:eastAsia="zh-CN"/>
                    </w:rPr>
                    <w:t>序号</w:t>
                  </w:r>
                </w:p>
              </w:tc>
              <w:tc>
                <w:tcPr>
                  <w:tcW w:w="2350" w:type="pct"/>
                  <w:gridSpan w:val="2"/>
                  <w:vMerge w:val="restart"/>
                  <w:tcBorders>
                    <w:top w:val="single" w:color="000000" w:sz="6" w:space="0"/>
                    <w:right w:val="single" w:color="000000" w:sz="6" w:space="0"/>
                  </w:tcBorders>
                  <w:noWrap w:val="0"/>
                  <w:vAlign w:val="center"/>
                </w:tcPr>
                <w:p w14:paraId="698D224B">
                  <w:pPr>
                    <w:jc w:val="center"/>
                    <w:rPr>
                      <w:rFonts w:hint="default" w:eastAsia="宋体"/>
                      <w:b/>
                      <w:bCs/>
                      <w:color w:val="auto"/>
                      <w:sz w:val="21"/>
                      <w:szCs w:val="21"/>
                      <w:highlight w:val="none"/>
                      <w:lang w:val="en-US" w:eastAsia="zh-CN"/>
                    </w:rPr>
                  </w:pPr>
                  <w:r>
                    <w:rPr>
                      <w:rFonts w:hint="eastAsia"/>
                      <w:b/>
                      <w:bCs/>
                      <w:color w:val="auto"/>
                      <w:sz w:val="21"/>
                      <w:szCs w:val="21"/>
                      <w:highlight w:val="none"/>
                      <w:lang w:val="en-US" w:eastAsia="zh-CN"/>
                    </w:rPr>
                    <w:t>排放口名称</w:t>
                  </w:r>
                </w:p>
              </w:tc>
              <w:tc>
                <w:tcPr>
                  <w:tcW w:w="614" w:type="pct"/>
                  <w:tcBorders>
                    <w:top w:val="single" w:color="000000" w:sz="6" w:space="0"/>
                    <w:right w:val="single" w:color="000000" w:sz="6" w:space="0"/>
                  </w:tcBorders>
                  <w:noWrap w:val="0"/>
                  <w:vAlign w:val="center"/>
                </w:tcPr>
                <w:p w14:paraId="698635A3">
                  <w:pPr>
                    <w:jc w:val="center"/>
                    <w:rPr>
                      <w:rFonts w:hint="default" w:eastAsia="宋体"/>
                      <w:b/>
                      <w:bCs/>
                      <w:color w:val="auto"/>
                      <w:sz w:val="21"/>
                      <w:szCs w:val="21"/>
                      <w:highlight w:val="none"/>
                      <w:lang w:val="en-US" w:eastAsia="zh-CN"/>
                    </w:rPr>
                  </w:pPr>
                  <w:r>
                    <w:rPr>
                      <w:rFonts w:hint="eastAsia" w:eastAsia="宋体"/>
                      <w:b/>
                      <w:bCs/>
                      <w:color w:val="auto"/>
                      <w:sz w:val="21"/>
                      <w:szCs w:val="21"/>
                      <w:highlight w:val="none"/>
                      <w:lang w:val="en-US" w:eastAsia="zh-CN"/>
                    </w:rPr>
                    <w:t>颗粒物</w:t>
                  </w:r>
                </w:p>
              </w:tc>
              <w:tc>
                <w:tcPr>
                  <w:tcW w:w="815" w:type="pct"/>
                  <w:tcBorders>
                    <w:top w:val="single" w:color="000000" w:sz="6" w:space="0"/>
                    <w:right w:val="single" w:color="000000" w:sz="6" w:space="0"/>
                  </w:tcBorders>
                  <w:noWrap w:val="0"/>
                  <w:vAlign w:val="center"/>
                </w:tcPr>
                <w:p w14:paraId="4BDEA972">
                  <w:pPr>
                    <w:jc w:val="center"/>
                    <w:rPr>
                      <w:rFonts w:hint="default" w:eastAsia="宋体"/>
                      <w:b/>
                      <w:bCs/>
                      <w:color w:val="auto"/>
                      <w:sz w:val="21"/>
                      <w:szCs w:val="21"/>
                      <w:highlight w:val="none"/>
                      <w:lang w:val="en-US" w:eastAsia="zh-CN"/>
                    </w:rPr>
                  </w:pPr>
                  <w:r>
                    <w:rPr>
                      <w:rFonts w:hint="eastAsia" w:eastAsia="宋体"/>
                      <w:b/>
                      <w:bCs/>
                      <w:color w:val="auto"/>
                      <w:sz w:val="21"/>
                      <w:szCs w:val="21"/>
                      <w:highlight w:val="none"/>
                      <w:lang w:val="en-US" w:eastAsia="zh-CN"/>
                    </w:rPr>
                    <w:t>二氧化硫</w:t>
                  </w:r>
                </w:p>
              </w:tc>
              <w:tc>
                <w:tcPr>
                  <w:tcW w:w="815" w:type="pct"/>
                  <w:tcBorders>
                    <w:top w:val="single" w:color="000000" w:sz="6" w:space="0"/>
                    <w:right w:val="single" w:color="000000" w:sz="6" w:space="0"/>
                  </w:tcBorders>
                  <w:noWrap w:val="0"/>
                  <w:vAlign w:val="center"/>
                </w:tcPr>
                <w:p w14:paraId="15C6C2A3">
                  <w:pPr>
                    <w:jc w:val="center"/>
                    <w:rPr>
                      <w:rFonts w:hint="default" w:eastAsia="宋体"/>
                      <w:b/>
                      <w:bCs/>
                      <w:color w:val="auto"/>
                      <w:sz w:val="21"/>
                      <w:szCs w:val="21"/>
                      <w:highlight w:val="none"/>
                      <w:lang w:val="en-US" w:eastAsia="zh-CN"/>
                    </w:rPr>
                  </w:pPr>
                  <w:r>
                    <w:rPr>
                      <w:rFonts w:hint="eastAsia" w:eastAsia="宋体"/>
                      <w:b/>
                      <w:bCs/>
                      <w:color w:val="auto"/>
                      <w:sz w:val="21"/>
                      <w:szCs w:val="21"/>
                      <w:highlight w:val="none"/>
                      <w:lang w:val="en-US" w:eastAsia="zh-CN"/>
                    </w:rPr>
                    <w:t>氮氧化物</w:t>
                  </w:r>
                </w:p>
              </w:tc>
            </w:tr>
            <w:tr w14:paraId="3F3F91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404" w:type="pct"/>
                  <w:vMerge w:val="continue"/>
                  <w:noWrap w:val="0"/>
                  <w:vAlign w:val="center"/>
                </w:tcPr>
                <w:p w14:paraId="3A395F87">
                  <w:pPr>
                    <w:jc w:val="center"/>
                    <w:rPr>
                      <w:rFonts w:hint="eastAsia"/>
                      <w:b/>
                      <w:bCs/>
                      <w:color w:val="auto"/>
                      <w:sz w:val="21"/>
                      <w:szCs w:val="21"/>
                      <w:highlight w:val="none"/>
                      <w:lang w:val="en-US" w:eastAsia="zh-CN"/>
                    </w:rPr>
                  </w:pPr>
                </w:p>
              </w:tc>
              <w:tc>
                <w:tcPr>
                  <w:tcW w:w="2350" w:type="pct"/>
                  <w:gridSpan w:val="2"/>
                  <w:vMerge w:val="continue"/>
                  <w:tcBorders>
                    <w:right w:val="single" w:color="000000" w:sz="6" w:space="0"/>
                  </w:tcBorders>
                  <w:noWrap w:val="0"/>
                  <w:vAlign w:val="center"/>
                </w:tcPr>
                <w:p w14:paraId="329ABB32">
                  <w:pPr>
                    <w:jc w:val="center"/>
                    <w:rPr>
                      <w:rFonts w:hint="eastAsia"/>
                      <w:b/>
                      <w:bCs/>
                      <w:color w:val="auto"/>
                      <w:sz w:val="21"/>
                      <w:szCs w:val="21"/>
                      <w:highlight w:val="none"/>
                      <w:lang w:val="en-US" w:eastAsia="zh-CN"/>
                    </w:rPr>
                  </w:pPr>
                </w:p>
              </w:tc>
              <w:tc>
                <w:tcPr>
                  <w:tcW w:w="614" w:type="pct"/>
                  <w:tcBorders>
                    <w:top w:val="single" w:color="000000" w:sz="6" w:space="0"/>
                    <w:right w:val="single" w:color="000000" w:sz="6" w:space="0"/>
                  </w:tcBorders>
                  <w:noWrap w:val="0"/>
                  <w:vAlign w:val="center"/>
                </w:tcPr>
                <w:p w14:paraId="37D24C41">
                  <w:pPr>
                    <w:jc w:val="center"/>
                    <w:rPr>
                      <w:rFonts w:hint="default" w:eastAsia="宋体"/>
                      <w:b/>
                      <w:bCs/>
                      <w:color w:val="auto"/>
                      <w:sz w:val="21"/>
                      <w:szCs w:val="21"/>
                      <w:highlight w:val="none"/>
                      <w:lang w:val="en-US" w:eastAsia="zh-CN"/>
                    </w:rPr>
                  </w:pPr>
                  <w:r>
                    <w:rPr>
                      <w:rFonts w:hint="eastAsia" w:eastAsia="宋体"/>
                      <w:b/>
                      <w:bCs/>
                      <w:color w:val="auto"/>
                      <w:sz w:val="21"/>
                      <w:szCs w:val="21"/>
                      <w:highlight w:val="none"/>
                      <w:lang w:val="en-US" w:eastAsia="zh-CN"/>
                    </w:rPr>
                    <w:t>标准10mg/m</w:t>
                  </w:r>
                  <w:r>
                    <w:rPr>
                      <w:rFonts w:hint="eastAsia" w:eastAsia="宋体"/>
                      <w:b/>
                      <w:bCs/>
                      <w:color w:val="auto"/>
                      <w:sz w:val="21"/>
                      <w:szCs w:val="21"/>
                      <w:highlight w:val="none"/>
                      <w:vertAlign w:val="superscript"/>
                      <w:lang w:val="en-US" w:eastAsia="zh-CN"/>
                    </w:rPr>
                    <w:t>3</w:t>
                  </w:r>
                </w:p>
              </w:tc>
              <w:tc>
                <w:tcPr>
                  <w:tcW w:w="815" w:type="pct"/>
                  <w:tcBorders>
                    <w:top w:val="single" w:color="000000" w:sz="6" w:space="0"/>
                    <w:right w:val="single" w:color="000000" w:sz="6" w:space="0"/>
                  </w:tcBorders>
                  <w:noWrap w:val="0"/>
                  <w:vAlign w:val="center"/>
                </w:tcPr>
                <w:p w14:paraId="14D03418">
                  <w:pPr>
                    <w:jc w:val="center"/>
                    <w:rPr>
                      <w:rFonts w:hint="eastAsia" w:eastAsia="宋体"/>
                      <w:b/>
                      <w:bCs/>
                      <w:color w:val="auto"/>
                      <w:sz w:val="21"/>
                      <w:szCs w:val="21"/>
                      <w:highlight w:val="none"/>
                      <w:lang w:val="en-US" w:eastAsia="zh-CN"/>
                    </w:rPr>
                  </w:pPr>
                  <w:r>
                    <w:rPr>
                      <w:rFonts w:hint="eastAsia" w:eastAsia="宋体"/>
                      <w:b/>
                      <w:bCs/>
                      <w:color w:val="auto"/>
                      <w:sz w:val="21"/>
                      <w:szCs w:val="21"/>
                      <w:highlight w:val="none"/>
                      <w:lang w:val="en-US" w:eastAsia="zh-CN"/>
                    </w:rPr>
                    <w:t>标准50mg/m</w:t>
                  </w:r>
                  <w:r>
                    <w:rPr>
                      <w:rFonts w:hint="eastAsia" w:eastAsia="宋体"/>
                      <w:b/>
                      <w:bCs/>
                      <w:color w:val="auto"/>
                      <w:sz w:val="21"/>
                      <w:szCs w:val="21"/>
                      <w:highlight w:val="none"/>
                      <w:vertAlign w:val="superscript"/>
                      <w:lang w:val="en-US" w:eastAsia="zh-CN"/>
                    </w:rPr>
                    <w:t>3</w:t>
                  </w:r>
                </w:p>
              </w:tc>
              <w:tc>
                <w:tcPr>
                  <w:tcW w:w="815" w:type="pct"/>
                  <w:tcBorders>
                    <w:top w:val="single" w:color="000000" w:sz="6" w:space="0"/>
                    <w:right w:val="single" w:color="000000" w:sz="6" w:space="0"/>
                  </w:tcBorders>
                  <w:noWrap w:val="0"/>
                  <w:vAlign w:val="center"/>
                </w:tcPr>
                <w:p w14:paraId="4594DF46">
                  <w:pPr>
                    <w:jc w:val="center"/>
                    <w:rPr>
                      <w:rFonts w:hint="eastAsia" w:eastAsia="宋体"/>
                      <w:b/>
                      <w:bCs/>
                      <w:color w:val="auto"/>
                      <w:sz w:val="21"/>
                      <w:szCs w:val="21"/>
                      <w:highlight w:val="none"/>
                      <w:lang w:val="en-US" w:eastAsia="zh-CN"/>
                    </w:rPr>
                  </w:pPr>
                  <w:r>
                    <w:rPr>
                      <w:rFonts w:hint="eastAsia" w:eastAsia="宋体"/>
                      <w:b/>
                      <w:bCs/>
                      <w:color w:val="auto"/>
                      <w:sz w:val="21"/>
                      <w:szCs w:val="21"/>
                      <w:highlight w:val="none"/>
                      <w:lang w:val="en-US" w:eastAsia="zh-CN"/>
                    </w:rPr>
                    <w:t>标准200mg/m</w:t>
                  </w:r>
                  <w:r>
                    <w:rPr>
                      <w:rFonts w:hint="eastAsia" w:eastAsia="宋体"/>
                      <w:b/>
                      <w:bCs/>
                      <w:color w:val="auto"/>
                      <w:sz w:val="21"/>
                      <w:szCs w:val="21"/>
                      <w:highlight w:val="none"/>
                      <w:vertAlign w:val="superscript"/>
                      <w:lang w:val="en-US" w:eastAsia="zh-CN"/>
                    </w:rPr>
                    <w:t>3</w:t>
                  </w:r>
                </w:p>
              </w:tc>
            </w:tr>
            <w:tr w14:paraId="4EDF8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404" w:type="pct"/>
                  <w:vMerge w:val="restart"/>
                  <w:tcBorders>
                    <w:top w:val="single" w:color="000000" w:sz="6" w:space="0"/>
                  </w:tcBorders>
                  <w:noWrap w:val="0"/>
                  <w:vAlign w:val="center"/>
                </w:tcPr>
                <w:p w14:paraId="472F5328">
                  <w:pPr>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1</w:t>
                  </w:r>
                </w:p>
              </w:tc>
              <w:tc>
                <w:tcPr>
                  <w:tcW w:w="1063" w:type="pct"/>
                  <w:vMerge w:val="restart"/>
                  <w:tcBorders>
                    <w:top w:val="single" w:color="000000" w:sz="6" w:space="0"/>
                    <w:right w:val="single" w:color="000000" w:sz="6" w:space="0"/>
                  </w:tcBorders>
                  <w:noWrap w:val="0"/>
                  <w:vAlign w:val="center"/>
                </w:tcPr>
                <w:p w14:paraId="7919CE70">
                  <w:pPr>
                    <w:jc w:val="center"/>
                    <w:rPr>
                      <w:color w:val="auto"/>
                      <w:sz w:val="21"/>
                      <w:szCs w:val="21"/>
                      <w:highlight w:val="none"/>
                    </w:rPr>
                  </w:pPr>
                  <w:r>
                    <w:rPr>
                      <w:rFonts w:hint="eastAsia"/>
                      <w:color w:val="auto"/>
                      <w:sz w:val="21"/>
                      <w:szCs w:val="21"/>
                      <w:highlight w:val="none"/>
                      <w:lang w:val="en-US" w:eastAsia="zh-CN"/>
                    </w:rPr>
                    <w:t>1号高炉热风炉废气排放口</w:t>
                  </w:r>
                </w:p>
              </w:tc>
              <w:tc>
                <w:tcPr>
                  <w:tcW w:w="1286" w:type="pct"/>
                  <w:tcBorders>
                    <w:top w:val="single" w:color="000000" w:sz="6" w:space="0"/>
                    <w:right w:val="single" w:color="000000" w:sz="6" w:space="0"/>
                  </w:tcBorders>
                  <w:noWrap w:val="0"/>
                  <w:vAlign w:val="center"/>
                </w:tcPr>
                <w:p w14:paraId="125B526D">
                  <w:pPr>
                    <w:jc w:val="center"/>
                    <w:rPr>
                      <w:rFonts w:hint="default"/>
                      <w:color w:val="auto"/>
                      <w:sz w:val="21"/>
                      <w:szCs w:val="21"/>
                      <w:highlight w:val="none"/>
                      <w:lang w:val="en-US" w:eastAsia="zh-CN"/>
                    </w:rPr>
                  </w:pPr>
                  <w:r>
                    <w:rPr>
                      <w:rFonts w:hint="eastAsia"/>
                      <w:color w:val="auto"/>
                      <w:sz w:val="21"/>
                      <w:szCs w:val="21"/>
                      <w:highlight w:val="none"/>
                      <w:lang w:val="en-US" w:eastAsia="zh-CN"/>
                    </w:rPr>
                    <w:t>均值</w:t>
                  </w:r>
                </w:p>
              </w:tc>
              <w:tc>
                <w:tcPr>
                  <w:tcW w:w="614" w:type="pct"/>
                  <w:tcBorders>
                    <w:top w:val="single" w:color="000000" w:sz="6" w:space="0"/>
                    <w:right w:val="single" w:color="000000" w:sz="6" w:space="0"/>
                  </w:tcBorders>
                  <w:shd w:val="clear" w:color="auto" w:fill="auto"/>
                  <w:noWrap w:val="0"/>
                  <w:vAlign w:val="bottom"/>
                </w:tcPr>
                <w:p w14:paraId="0B60E476">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3.6845</w:t>
                  </w:r>
                </w:p>
              </w:tc>
              <w:tc>
                <w:tcPr>
                  <w:tcW w:w="815" w:type="pct"/>
                  <w:tcBorders>
                    <w:top w:val="single" w:color="000000" w:sz="6" w:space="0"/>
                    <w:right w:val="single" w:color="000000" w:sz="6" w:space="0"/>
                  </w:tcBorders>
                  <w:shd w:val="clear" w:color="auto" w:fill="auto"/>
                  <w:noWrap w:val="0"/>
                  <w:vAlign w:val="bottom"/>
                </w:tcPr>
                <w:p w14:paraId="0D735CBB">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7.606</w:t>
                  </w:r>
                </w:p>
              </w:tc>
              <w:tc>
                <w:tcPr>
                  <w:tcW w:w="815" w:type="pct"/>
                  <w:tcBorders>
                    <w:top w:val="single" w:color="000000" w:sz="6" w:space="0"/>
                    <w:right w:val="single" w:color="000000" w:sz="6" w:space="0"/>
                  </w:tcBorders>
                  <w:shd w:val="clear" w:color="auto" w:fill="auto"/>
                  <w:noWrap w:val="0"/>
                  <w:vAlign w:val="bottom"/>
                </w:tcPr>
                <w:p w14:paraId="48E944CF">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6.182</w:t>
                  </w:r>
                </w:p>
              </w:tc>
            </w:tr>
            <w:tr w14:paraId="0231D6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404" w:type="pct"/>
                  <w:vMerge w:val="continue"/>
                  <w:noWrap w:val="0"/>
                  <w:vAlign w:val="center"/>
                </w:tcPr>
                <w:p w14:paraId="619583AC">
                  <w:pPr>
                    <w:jc w:val="center"/>
                    <w:rPr>
                      <w:rFonts w:hint="eastAsia"/>
                      <w:color w:val="auto"/>
                      <w:sz w:val="21"/>
                      <w:szCs w:val="21"/>
                      <w:highlight w:val="none"/>
                      <w:lang w:val="en-US" w:eastAsia="zh-CN"/>
                    </w:rPr>
                  </w:pPr>
                </w:p>
              </w:tc>
              <w:tc>
                <w:tcPr>
                  <w:tcW w:w="1063" w:type="pct"/>
                  <w:vMerge w:val="continue"/>
                  <w:tcBorders>
                    <w:right w:val="single" w:color="000000" w:sz="6" w:space="0"/>
                  </w:tcBorders>
                  <w:noWrap w:val="0"/>
                  <w:vAlign w:val="center"/>
                </w:tcPr>
                <w:p w14:paraId="0051F845">
                  <w:pPr>
                    <w:jc w:val="center"/>
                    <w:rPr>
                      <w:rFonts w:hint="eastAsia"/>
                      <w:color w:val="auto"/>
                      <w:sz w:val="21"/>
                      <w:szCs w:val="21"/>
                      <w:highlight w:val="none"/>
                      <w:lang w:val="en-US" w:eastAsia="zh-CN"/>
                    </w:rPr>
                  </w:pPr>
                </w:p>
              </w:tc>
              <w:tc>
                <w:tcPr>
                  <w:tcW w:w="1286" w:type="pct"/>
                  <w:tcBorders>
                    <w:top w:val="single" w:color="000000" w:sz="6" w:space="0"/>
                    <w:right w:val="single" w:color="000000" w:sz="6" w:space="0"/>
                  </w:tcBorders>
                  <w:noWrap w:val="0"/>
                  <w:vAlign w:val="center"/>
                </w:tcPr>
                <w:p w14:paraId="7D977028">
                  <w:pPr>
                    <w:jc w:val="center"/>
                    <w:rPr>
                      <w:rFonts w:hint="default"/>
                      <w:color w:val="auto"/>
                      <w:sz w:val="21"/>
                      <w:szCs w:val="21"/>
                      <w:highlight w:val="none"/>
                      <w:lang w:val="en-US" w:eastAsia="zh-CN"/>
                    </w:rPr>
                  </w:pPr>
                  <w:r>
                    <w:rPr>
                      <w:rFonts w:hint="eastAsia"/>
                      <w:color w:val="auto"/>
                      <w:sz w:val="21"/>
                      <w:szCs w:val="21"/>
                      <w:highlight w:val="none"/>
                      <w:lang w:val="en-US" w:eastAsia="zh-CN"/>
                    </w:rPr>
                    <w:t>最大值</w:t>
                  </w:r>
                </w:p>
              </w:tc>
              <w:tc>
                <w:tcPr>
                  <w:tcW w:w="614" w:type="pct"/>
                  <w:tcBorders>
                    <w:top w:val="single" w:color="000000" w:sz="6" w:space="0"/>
                    <w:right w:val="single" w:color="000000" w:sz="6" w:space="0"/>
                  </w:tcBorders>
                  <w:shd w:val="clear" w:color="auto" w:fill="auto"/>
                  <w:noWrap w:val="0"/>
                  <w:vAlign w:val="bottom"/>
                </w:tcPr>
                <w:p w14:paraId="36DE5003">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4.155</w:t>
                  </w:r>
                </w:p>
              </w:tc>
              <w:tc>
                <w:tcPr>
                  <w:tcW w:w="815" w:type="pct"/>
                  <w:tcBorders>
                    <w:top w:val="single" w:color="000000" w:sz="6" w:space="0"/>
                    <w:right w:val="single" w:color="000000" w:sz="6" w:space="0"/>
                  </w:tcBorders>
                  <w:shd w:val="clear" w:color="auto" w:fill="auto"/>
                  <w:noWrap w:val="0"/>
                  <w:vAlign w:val="bottom"/>
                </w:tcPr>
                <w:p w14:paraId="28559FE7">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8.471</w:t>
                  </w:r>
                </w:p>
              </w:tc>
              <w:tc>
                <w:tcPr>
                  <w:tcW w:w="815" w:type="pct"/>
                  <w:tcBorders>
                    <w:top w:val="single" w:color="000000" w:sz="6" w:space="0"/>
                    <w:right w:val="single" w:color="000000" w:sz="6" w:space="0"/>
                  </w:tcBorders>
                  <w:shd w:val="clear" w:color="auto" w:fill="auto"/>
                  <w:noWrap w:val="0"/>
                  <w:vAlign w:val="bottom"/>
                </w:tcPr>
                <w:p w14:paraId="19310FC2">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8.353</w:t>
                  </w:r>
                </w:p>
              </w:tc>
            </w:tr>
            <w:tr w14:paraId="2FB68D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404" w:type="pct"/>
                  <w:vMerge w:val="restart"/>
                  <w:noWrap w:val="0"/>
                  <w:vAlign w:val="center"/>
                </w:tcPr>
                <w:p w14:paraId="4FA2F1B6">
                  <w:pPr>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2</w:t>
                  </w:r>
                </w:p>
              </w:tc>
              <w:tc>
                <w:tcPr>
                  <w:tcW w:w="1063" w:type="pct"/>
                  <w:vMerge w:val="restart"/>
                  <w:tcBorders>
                    <w:right w:val="single" w:color="000000" w:sz="6" w:space="0"/>
                  </w:tcBorders>
                  <w:noWrap w:val="0"/>
                  <w:vAlign w:val="center"/>
                </w:tcPr>
                <w:p w14:paraId="17F2932E">
                  <w:pPr>
                    <w:jc w:val="center"/>
                    <w:rPr>
                      <w:color w:val="auto"/>
                      <w:sz w:val="21"/>
                      <w:szCs w:val="21"/>
                      <w:highlight w:val="none"/>
                    </w:rPr>
                  </w:pPr>
                  <w:r>
                    <w:rPr>
                      <w:rFonts w:hint="eastAsia"/>
                      <w:color w:val="auto"/>
                      <w:sz w:val="21"/>
                      <w:szCs w:val="21"/>
                      <w:highlight w:val="none"/>
                      <w:lang w:val="en-US" w:eastAsia="zh-CN"/>
                    </w:rPr>
                    <w:t>1号高炉矿槽废气排放口</w:t>
                  </w:r>
                </w:p>
              </w:tc>
              <w:tc>
                <w:tcPr>
                  <w:tcW w:w="1286" w:type="pct"/>
                  <w:tcBorders>
                    <w:right w:val="single" w:color="000000" w:sz="6" w:space="0"/>
                  </w:tcBorders>
                  <w:shd w:val="clear" w:color="auto" w:fill="auto"/>
                  <w:noWrap w:val="0"/>
                  <w:vAlign w:val="center"/>
                </w:tcPr>
                <w:p w14:paraId="16A2D2BA">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均值</w:t>
                  </w:r>
                </w:p>
              </w:tc>
              <w:tc>
                <w:tcPr>
                  <w:tcW w:w="614" w:type="pct"/>
                  <w:tcBorders>
                    <w:right w:val="single" w:color="000000" w:sz="6" w:space="0"/>
                  </w:tcBorders>
                  <w:noWrap w:val="0"/>
                  <w:vAlign w:val="center"/>
                </w:tcPr>
                <w:p w14:paraId="4FC7EFFF">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1.1655</w:t>
                  </w:r>
                </w:p>
              </w:tc>
              <w:tc>
                <w:tcPr>
                  <w:tcW w:w="815" w:type="pct"/>
                  <w:tcBorders>
                    <w:right w:val="single" w:color="000000" w:sz="6" w:space="0"/>
                  </w:tcBorders>
                  <w:noWrap w:val="0"/>
                  <w:vAlign w:val="center"/>
                </w:tcPr>
                <w:p w14:paraId="66EDF3B9">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815" w:type="pct"/>
                  <w:tcBorders>
                    <w:right w:val="single" w:color="000000" w:sz="6" w:space="0"/>
                  </w:tcBorders>
                  <w:noWrap w:val="0"/>
                  <w:vAlign w:val="center"/>
                </w:tcPr>
                <w:p w14:paraId="16B07A96">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317765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404" w:type="pct"/>
                  <w:vMerge w:val="continue"/>
                  <w:noWrap w:val="0"/>
                  <w:vAlign w:val="center"/>
                </w:tcPr>
                <w:p w14:paraId="57388701">
                  <w:pPr>
                    <w:jc w:val="center"/>
                    <w:rPr>
                      <w:rFonts w:hint="eastAsia"/>
                      <w:color w:val="auto"/>
                      <w:sz w:val="21"/>
                      <w:szCs w:val="21"/>
                      <w:highlight w:val="none"/>
                      <w:lang w:val="en-US" w:eastAsia="zh-CN"/>
                    </w:rPr>
                  </w:pPr>
                </w:p>
              </w:tc>
              <w:tc>
                <w:tcPr>
                  <w:tcW w:w="1063" w:type="pct"/>
                  <w:vMerge w:val="continue"/>
                  <w:tcBorders>
                    <w:right w:val="single" w:color="000000" w:sz="6" w:space="0"/>
                  </w:tcBorders>
                  <w:noWrap w:val="0"/>
                  <w:vAlign w:val="center"/>
                </w:tcPr>
                <w:p w14:paraId="2E052027">
                  <w:pPr>
                    <w:jc w:val="center"/>
                    <w:rPr>
                      <w:rFonts w:hint="eastAsia"/>
                      <w:color w:val="auto"/>
                      <w:sz w:val="21"/>
                      <w:szCs w:val="21"/>
                      <w:highlight w:val="none"/>
                      <w:lang w:val="en-US" w:eastAsia="zh-CN"/>
                    </w:rPr>
                  </w:pPr>
                </w:p>
              </w:tc>
              <w:tc>
                <w:tcPr>
                  <w:tcW w:w="1286" w:type="pct"/>
                  <w:tcBorders>
                    <w:right w:val="single" w:color="000000" w:sz="6" w:space="0"/>
                  </w:tcBorders>
                  <w:shd w:val="clear" w:color="auto" w:fill="auto"/>
                  <w:noWrap w:val="0"/>
                  <w:vAlign w:val="center"/>
                </w:tcPr>
                <w:p w14:paraId="66BA8046">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最大值</w:t>
                  </w:r>
                </w:p>
              </w:tc>
              <w:tc>
                <w:tcPr>
                  <w:tcW w:w="614" w:type="pct"/>
                  <w:tcBorders>
                    <w:right w:val="single" w:color="000000" w:sz="6" w:space="0"/>
                  </w:tcBorders>
                  <w:noWrap w:val="0"/>
                  <w:vAlign w:val="center"/>
                </w:tcPr>
                <w:p w14:paraId="1499A5D0">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1.206</w:t>
                  </w:r>
                </w:p>
              </w:tc>
              <w:tc>
                <w:tcPr>
                  <w:tcW w:w="815" w:type="pct"/>
                  <w:tcBorders>
                    <w:right w:val="single" w:color="000000" w:sz="6" w:space="0"/>
                  </w:tcBorders>
                  <w:shd w:val="clear" w:color="auto" w:fill="auto"/>
                  <w:noWrap w:val="0"/>
                  <w:vAlign w:val="center"/>
                </w:tcPr>
                <w:p w14:paraId="1002C9D5">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815" w:type="pct"/>
                  <w:tcBorders>
                    <w:right w:val="single" w:color="000000" w:sz="6" w:space="0"/>
                  </w:tcBorders>
                  <w:shd w:val="clear" w:color="auto" w:fill="auto"/>
                  <w:noWrap w:val="0"/>
                  <w:vAlign w:val="center"/>
                </w:tcPr>
                <w:p w14:paraId="382ECB98">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r>
            <w:tr w14:paraId="55134B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404" w:type="pct"/>
                  <w:vMerge w:val="restart"/>
                  <w:noWrap w:val="0"/>
                  <w:vAlign w:val="center"/>
                </w:tcPr>
                <w:p w14:paraId="7FFF3A19">
                  <w:pPr>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3</w:t>
                  </w:r>
                </w:p>
              </w:tc>
              <w:tc>
                <w:tcPr>
                  <w:tcW w:w="1063" w:type="pct"/>
                  <w:vMerge w:val="restart"/>
                  <w:tcBorders>
                    <w:right w:val="single" w:color="000000" w:sz="6" w:space="0"/>
                  </w:tcBorders>
                  <w:noWrap w:val="0"/>
                  <w:vAlign w:val="center"/>
                </w:tcPr>
                <w:p w14:paraId="7CF72D80">
                  <w:pPr>
                    <w:jc w:val="center"/>
                    <w:rPr>
                      <w:color w:val="auto"/>
                      <w:sz w:val="21"/>
                      <w:szCs w:val="21"/>
                      <w:highlight w:val="none"/>
                    </w:rPr>
                  </w:pPr>
                  <w:r>
                    <w:rPr>
                      <w:rFonts w:hint="eastAsia"/>
                      <w:color w:val="auto"/>
                      <w:sz w:val="21"/>
                      <w:szCs w:val="21"/>
                      <w:highlight w:val="none"/>
                      <w:lang w:val="en-US" w:eastAsia="zh-CN"/>
                    </w:rPr>
                    <w:t>1号高炉出铁场废气排放口</w:t>
                  </w:r>
                </w:p>
              </w:tc>
              <w:tc>
                <w:tcPr>
                  <w:tcW w:w="1286" w:type="pct"/>
                  <w:tcBorders>
                    <w:right w:val="single" w:color="000000" w:sz="6" w:space="0"/>
                  </w:tcBorders>
                  <w:noWrap w:val="0"/>
                  <w:vAlign w:val="center"/>
                </w:tcPr>
                <w:p w14:paraId="516323ED">
                  <w:pPr>
                    <w:jc w:val="center"/>
                    <w:rPr>
                      <w:rFonts w:hint="eastAsia"/>
                      <w:color w:val="auto"/>
                      <w:sz w:val="21"/>
                      <w:szCs w:val="21"/>
                      <w:highlight w:val="none"/>
                      <w:lang w:val="en-US" w:eastAsia="zh-CN"/>
                    </w:rPr>
                  </w:pPr>
                  <w:r>
                    <w:rPr>
                      <w:rFonts w:hint="eastAsia"/>
                      <w:color w:val="auto"/>
                      <w:sz w:val="21"/>
                      <w:szCs w:val="21"/>
                      <w:highlight w:val="none"/>
                      <w:lang w:val="en-US" w:eastAsia="zh-CN"/>
                    </w:rPr>
                    <w:t>均值</w:t>
                  </w:r>
                </w:p>
              </w:tc>
              <w:tc>
                <w:tcPr>
                  <w:tcW w:w="614" w:type="pct"/>
                  <w:tcBorders>
                    <w:right w:val="single" w:color="000000" w:sz="6" w:space="0"/>
                  </w:tcBorders>
                  <w:noWrap w:val="0"/>
                  <w:vAlign w:val="center"/>
                </w:tcPr>
                <w:p w14:paraId="57A9B739">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2.563</w:t>
                  </w:r>
                </w:p>
              </w:tc>
              <w:tc>
                <w:tcPr>
                  <w:tcW w:w="815" w:type="pct"/>
                  <w:tcBorders>
                    <w:right w:val="single" w:color="000000" w:sz="6" w:space="0"/>
                  </w:tcBorders>
                  <w:noWrap w:val="0"/>
                  <w:vAlign w:val="center"/>
                </w:tcPr>
                <w:p w14:paraId="09313C78">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815" w:type="pct"/>
                  <w:tcBorders>
                    <w:right w:val="single" w:color="000000" w:sz="6" w:space="0"/>
                  </w:tcBorders>
                  <w:noWrap w:val="0"/>
                  <w:vAlign w:val="center"/>
                </w:tcPr>
                <w:p w14:paraId="6F0473C0">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5F5D2F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404" w:type="pct"/>
                  <w:vMerge w:val="continue"/>
                  <w:noWrap w:val="0"/>
                  <w:vAlign w:val="center"/>
                </w:tcPr>
                <w:p w14:paraId="0EF2A8BB">
                  <w:pPr>
                    <w:jc w:val="center"/>
                    <w:rPr>
                      <w:rFonts w:hint="eastAsia"/>
                      <w:color w:val="auto"/>
                      <w:sz w:val="21"/>
                      <w:szCs w:val="21"/>
                      <w:highlight w:val="none"/>
                      <w:lang w:val="en-US" w:eastAsia="zh-CN"/>
                    </w:rPr>
                  </w:pPr>
                </w:p>
              </w:tc>
              <w:tc>
                <w:tcPr>
                  <w:tcW w:w="1063" w:type="pct"/>
                  <w:vMerge w:val="continue"/>
                  <w:tcBorders>
                    <w:right w:val="single" w:color="000000" w:sz="6" w:space="0"/>
                  </w:tcBorders>
                  <w:noWrap w:val="0"/>
                  <w:vAlign w:val="center"/>
                </w:tcPr>
                <w:p w14:paraId="63A8F404">
                  <w:pPr>
                    <w:jc w:val="center"/>
                    <w:rPr>
                      <w:rFonts w:hint="eastAsia"/>
                      <w:color w:val="auto"/>
                      <w:sz w:val="21"/>
                      <w:szCs w:val="21"/>
                      <w:highlight w:val="none"/>
                      <w:lang w:val="en-US" w:eastAsia="zh-CN"/>
                    </w:rPr>
                  </w:pPr>
                </w:p>
              </w:tc>
              <w:tc>
                <w:tcPr>
                  <w:tcW w:w="1286" w:type="pct"/>
                  <w:tcBorders>
                    <w:right w:val="single" w:color="000000" w:sz="6" w:space="0"/>
                  </w:tcBorders>
                  <w:noWrap w:val="0"/>
                  <w:vAlign w:val="center"/>
                </w:tcPr>
                <w:p w14:paraId="78632B3B">
                  <w:pPr>
                    <w:jc w:val="center"/>
                    <w:rPr>
                      <w:rFonts w:hint="eastAsia"/>
                      <w:color w:val="auto"/>
                      <w:sz w:val="21"/>
                      <w:szCs w:val="21"/>
                      <w:highlight w:val="none"/>
                      <w:lang w:val="en-US" w:eastAsia="zh-CN"/>
                    </w:rPr>
                  </w:pPr>
                  <w:r>
                    <w:rPr>
                      <w:rFonts w:hint="eastAsia"/>
                      <w:color w:val="auto"/>
                      <w:sz w:val="21"/>
                      <w:szCs w:val="21"/>
                      <w:highlight w:val="none"/>
                      <w:lang w:val="en-US" w:eastAsia="zh-CN"/>
                    </w:rPr>
                    <w:t>最大值</w:t>
                  </w:r>
                </w:p>
              </w:tc>
              <w:tc>
                <w:tcPr>
                  <w:tcW w:w="614" w:type="pct"/>
                  <w:tcBorders>
                    <w:right w:val="single" w:color="000000" w:sz="6" w:space="0"/>
                  </w:tcBorders>
                  <w:noWrap w:val="0"/>
                  <w:vAlign w:val="center"/>
                </w:tcPr>
                <w:p w14:paraId="00C6E615">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2.638</w:t>
                  </w:r>
                </w:p>
              </w:tc>
              <w:tc>
                <w:tcPr>
                  <w:tcW w:w="815" w:type="pct"/>
                  <w:tcBorders>
                    <w:right w:val="single" w:color="000000" w:sz="6" w:space="0"/>
                  </w:tcBorders>
                  <w:shd w:val="clear" w:color="auto" w:fill="auto"/>
                  <w:noWrap w:val="0"/>
                  <w:vAlign w:val="center"/>
                </w:tcPr>
                <w:p w14:paraId="790A3384">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815" w:type="pct"/>
                  <w:tcBorders>
                    <w:right w:val="single" w:color="000000" w:sz="6" w:space="0"/>
                  </w:tcBorders>
                  <w:shd w:val="clear" w:color="auto" w:fill="auto"/>
                  <w:noWrap w:val="0"/>
                  <w:vAlign w:val="center"/>
                </w:tcPr>
                <w:p w14:paraId="6DAFFC9A">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r>
            <w:tr w14:paraId="7219BF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404" w:type="pct"/>
                  <w:vMerge w:val="restart"/>
                  <w:noWrap w:val="0"/>
                  <w:vAlign w:val="center"/>
                </w:tcPr>
                <w:p w14:paraId="20BDC86C">
                  <w:pPr>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4</w:t>
                  </w:r>
                </w:p>
              </w:tc>
              <w:tc>
                <w:tcPr>
                  <w:tcW w:w="1063" w:type="pct"/>
                  <w:vMerge w:val="restart"/>
                  <w:tcBorders>
                    <w:right w:val="single" w:color="000000" w:sz="6" w:space="0"/>
                  </w:tcBorders>
                  <w:noWrap w:val="0"/>
                  <w:vAlign w:val="center"/>
                </w:tcPr>
                <w:p w14:paraId="6093F2A5">
                  <w:pPr>
                    <w:jc w:val="center"/>
                    <w:rPr>
                      <w:color w:val="auto"/>
                      <w:sz w:val="21"/>
                      <w:szCs w:val="21"/>
                      <w:highlight w:val="none"/>
                    </w:rPr>
                  </w:pPr>
                  <w:r>
                    <w:rPr>
                      <w:rFonts w:hint="eastAsia"/>
                      <w:color w:val="auto"/>
                      <w:sz w:val="21"/>
                      <w:szCs w:val="21"/>
                      <w:highlight w:val="none"/>
                      <w:lang w:val="en-US" w:eastAsia="zh-CN"/>
                    </w:rPr>
                    <w:t>2号高炉热风炉废气排放口</w:t>
                  </w:r>
                </w:p>
              </w:tc>
              <w:tc>
                <w:tcPr>
                  <w:tcW w:w="1286" w:type="pct"/>
                  <w:tcBorders>
                    <w:right w:val="single" w:color="000000" w:sz="6" w:space="0"/>
                  </w:tcBorders>
                  <w:noWrap w:val="0"/>
                  <w:vAlign w:val="center"/>
                </w:tcPr>
                <w:p w14:paraId="6F0BB8A6">
                  <w:pPr>
                    <w:jc w:val="center"/>
                    <w:rPr>
                      <w:rFonts w:hint="eastAsia"/>
                      <w:color w:val="auto"/>
                      <w:sz w:val="21"/>
                      <w:szCs w:val="21"/>
                      <w:highlight w:val="none"/>
                      <w:lang w:val="en-US" w:eastAsia="zh-CN"/>
                    </w:rPr>
                  </w:pPr>
                  <w:r>
                    <w:rPr>
                      <w:rFonts w:hint="eastAsia"/>
                      <w:color w:val="auto"/>
                      <w:sz w:val="21"/>
                      <w:szCs w:val="21"/>
                      <w:highlight w:val="none"/>
                      <w:lang w:val="en-US" w:eastAsia="zh-CN"/>
                    </w:rPr>
                    <w:t>均值</w:t>
                  </w:r>
                </w:p>
              </w:tc>
              <w:tc>
                <w:tcPr>
                  <w:tcW w:w="614" w:type="pct"/>
                  <w:tcBorders>
                    <w:right w:val="single" w:color="000000" w:sz="6" w:space="0"/>
                  </w:tcBorders>
                  <w:noWrap w:val="0"/>
                  <w:vAlign w:val="center"/>
                </w:tcPr>
                <w:p w14:paraId="6FD1D124">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1.671</w:t>
                  </w:r>
                </w:p>
              </w:tc>
              <w:tc>
                <w:tcPr>
                  <w:tcW w:w="815" w:type="pct"/>
                  <w:tcBorders>
                    <w:right w:val="single" w:color="000000" w:sz="6" w:space="0"/>
                  </w:tcBorders>
                  <w:noWrap w:val="0"/>
                  <w:vAlign w:val="center"/>
                </w:tcPr>
                <w:p w14:paraId="38F4D774">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5.167</w:t>
                  </w:r>
                </w:p>
              </w:tc>
              <w:tc>
                <w:tcPr>
                  <w:tcW w:w="815" w:type="pct"/>
                  <w:tcBorders>
                    <w:right w:val="single" w:color="000000" w:sz="6" w:space="0"/>
                  </w:tcBorders>
                  <w:noWrap w:val="0"/>
                  <w:vAlign w:val="center"/>
                </w:tcPr>
                <w:p w14:paraId="4BE1BF03">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14.925</w:t>
                  </w:r>
                </w:p>
              </w:tc>
            </w:tr>
            <w:tr w14:paraId="3F730C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404" w:type="pct"/>
                  <w:vMerge w:val="continue"/>
                  <w:noWrap w:val="0"/>
                  <w:vAlign w:val="center"/>
                </w:tcPr>
                <w:p w14:paraId="7F1D3488">
                  <w:pPr>
                    <w:jc w:val="center"/>
                    <w:rPr>
                      <w:rFonts w:hint="eastAsia"/>
                      <w:color w:val="auto"/>
                      <w:sz w:val="21"/>
                      <w:szCs w:val="21"/>
                      <w:highlight w:val="none"/>
                      <w:lang w:val="en-US" w:eastAsia="zh-CN"/>
                    </w:rPr>
                  </w:pPr>
                </w:p>
              </w:tc>
              <w:tc>
                <w:tcPr>
                  <w:tcW w:w="1063" w:type="pct"/>
                  <w:vMerge w:val="continue"/>
                  <w:tcBorders>
                    <w:right w:val="single" w:color="000000" w:sz="6" w:space="0"/>
                  </w:tcBorders>
                  <w:noWrap w:val="0"/>
                  <w:vAlign w:val="center"/>
                </w:tcPr>
                <w:p w14:paraId="034991E0">
                  <w:pPr>
                    <w:jc w:val="center"/>
                    <w:rPr>
                      <w:rFonts w:hint="eastAsia"/>
                      <w:color w:val="auto"/>
                      <w:sz w:val="21"/>
                      <w:szCs w:val="21"/>
                      <w:highlight w:val="none"/>
                      <w:lang w:val="en-US" w:eastAsia="zh-CN"/>
                    </w:rPr>
                  </w:pPr>
                </w:p>
              </w:tc>
              <w:tc>
                <w:tcPr>
                  <w:tcW w:w="1286" w:type="pct"/>
                  <w:tcBorders>
                    <w:right w:val="single" w:color="000000" w:sz="6" w:space="0"/>
                  </w:tcBorders>
                  <w:noWrap w:val="0"/>
                  <w:vAlign w:val="center"/>
                </w:tcPr>
                <w:p w14:paraId="6C685C95">
                  <w:pPr>
                    <w:jc w:val="center"/>
                    <w:rPr>
                      <w:rFonts w:hint="eastAsia"/>
                      <w:color w:val="auto"/>
                      <w:sz w:val="21"/>
                      <w:szCs w:val="21"/>
                      <w:highlight w:val="none"/>
                      <w:lang w:val="en-US" w:eastAsia="zh-CN"/>
                    </w:rPr>
                  </w:pPr>
                  <w:r>
                    <w:rPr>
                      <w:rFonts w:hint="eastAsia"/>
                      <w:color w:val="auto"/>
                      <w:sz w:val="21"/>
                      <w:szCs w:val="21"/>
                      <w:highlight w:val="none"/>
                      <w:lang w:val="en-US" w:eastAsia="zh-CN"/>
                    </w:rPr>
                    <w:t>最大值</w:t>
                  </w:r>
                </w:p>
              </w:tc>
              <w:tc>
                <w:tcPr>
                  <w:tcW w:w="614" w:type="pct"/>
                  <w:tcBorders>
                    <w:right w:val="single" w:color="000000" w:sz="6" w:space="0"/>
                  </w:tcBorders>
                  <w:noWrap w:val="0"/>
                  <w:vAlign w:val="center"/>
                </w:tcPr>
                <w:p w14:paraId="019F8C0A">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1.844</w:t>
                  </w:r>
                </w:p>
              </w:tc>
              <w:tc>
                <w:tcPr>
                  <w:tcW w:w="815" w:type="pct"/>
                  <w:tcBorders>
                    <w:right w:val="single" w:color="000000" w:sz="6" w:space="0"/>
                  </w:tcBorders>
                  <w:noWrap w:val="0"/>
                  <w:vAlign w:val="center"/>
                </w:tcPr>
                <w:p w14:paraId="655A5EA0">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6.798</w:t>
                  </w:r>
                </w:p>
              </w:tc>
              <w:tc>
                <w:tcPr>
                  <w:tcW w:w="815" w:type="pct"/>
                  <w:tcBorders>
                    <w:right w:val="single" w:color="000000" w:sz="6" w:space="0"/>
                  </w:tcBorders>
                  <w:noWrap w:val="0"/>
                  <w:vAlign w:val="center"/>
                </w:tcPr>
                <w:p w14:paraId="183E6D49">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19.037</w:t>
                  </w:r>
                </w:p>
              </w:tc>
            </w:tr>
            <w:tr w14:paraId="123EF1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04" w:type="pct"/>
                  <w:vMerge w:val="restart"/>
                  <w:noWrap w:val="0"/>
                  <w:vAlign w:val="center"/>
                </w:tcPr>
                <w:p w14:paraId="684BB133">
                  <w:pPr>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5</w:t>
                  </w:r>
                </w:p>
              </w:tc>
              <w:tc>
                <w:tcPr>
                  <w:tcW w:w="1063" w:type="pct"/>
                  <w:vMerge w:val="restart"/>
                  <w:tcBorders>
                    <w:right w:val="single" w:color="000000" w:sz="6" w:space="0"/>
                  </w:tcBorders>
                  <w:noWrap w:val="0"/>
                  <w:vAlign w:val="center"/>
                </w:tcPr>
                <w:p w14:paraId="47BA74FD">
                  <w:pPr>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2号高炉矿槽废气排放口</w:t>
                  </w:r>
                </w:p>
              </w:tc>
              <w:tc>
                <w:tcPr>
                  <w:tcW w:w="1286" w:type="pct"/>
                  <w:tcBorders>
                    <w:right w:val="single" w:color="000000" w:sz="6" w:space="0"/>
                  </w:tcBorders>
                  <w:noWrap w:val="0"/>
                  <w:vAlign w:val="center"/>
                </w:tcPr>
                <w:p w14:paraId="6B60C094">
                  <w:pPr>
                    <w:jc w:val="center"/>
                    <w:rPr>
                      <w:rFonts w:hint="eastAsia"/>
                      <w:color w:val="auto"/>
                      <w:sz w:val="21"/>
                      <w:szCs w:val="21"/>
                      <w:highlight w:val="none"/>
                      <w:lang w:val="en-US" w:eastAsia="zh-CN"/>
                    </w:rPr>
                  </w:pPr>
                  <w:r>
                    <w:rPr>
                      <w:rFonts w:hint="eastAsia"/>
                      <w:color w:val="auto"/>
                      <w:sz w:val="21"/>
                      <w:szCs w:val="21"/>
                      <w:highlight w:val="none"/>
                      <w:lang w:val="en-US" w:eastAsia="zh-CN"/>
                    </w:rPr>
                    <w:t>均值</w:t>
                  </w:r>
                </w:p>
              </w:tc>
              <w:tc>
                <w:tcPr>
                  <w:tcW w:w="614" w:type="pct"/>
                  <w:tcBorders>
                    <w:right w:val="single" w:color="000000" w:sz="6" w:space="0"/>
                  </w:tcBorders>
                  <w:noWrap w:val="0"/>
                  <w:vAlign w:val="center"/>
                </w:tcPr>
                <w:p w14:paraId="340B457A">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1.741</w:t>
                  </w:r>
                </w:p>
              </w:tc>
              <w:tc>
                <w:tcPr>
                  <w:tcW w:w="815" w:type="pct"/>
                  <w:tcBorders>
                    <w:right w:val="single" w:color="000000" w:sz="6" w:space="0"/>
                  </w:tcBorders>
                  <w:noWrap w:val="0"/>
                  <w:vAlign w:val="center"/>
                </w:tcPr>
                <w:p w14:paraId="756095AD">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815" w:type="pct"/>
                  <w:tcBorders>
                    <w:right w:val="single" w:color="000000" w:sz="6" w:space="0"/>
                  </w:tcBorders>
                  <w:noWrap w:val="0"/>
                  <w:vAlign w:val="center"/>
                </w:tcPr>
                <w:p w14:paraId="196D4BB0">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06531D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404" w:type="pct"/>
                  <w:vMerge w:val="continue"/>
                  <w:noWrap w:val="0"/>
                  <w:vAlign w:val="center"/>
                </w:tcPr>
                <w:p w14:paraId="455694F9">
                  <w:pPr>
                    <w:jc w:val="center"/>
                    <w:rPr>
                      <w:rFonts w:hint="eastAsia"/>
                      <w:color w:val="auto"/>
                      <w:sz w:val="21"/>
                      <w:szCs w:val="21"/>
                      <w:highlight w:val="none"/>
                      <w:lang w:val="en-US" w:eastAsia="zh-CN"/>
                    </w:rPr>
                  </w:pPr>
                </w:p>
              </w:tc>
              <w:tc>
                <w:tcPr>
                  <w:tcW w:w="1063" w:type="pct"/>
                  <w:vMerge w:val="continue"/>
                  <w:tcBorders>
                    <w:right w:val="single" w:color="000000" w:sz="6" w:space="0"/>
                  </w:tcBorders>
                  <w:noWrap w:val="0"/>
                  <w:vAlign w:val="center"/>
                </w:tcPr>
                <w:p w14:paraId="142BAAD0">
                  <w:pPr>
                    <w:jc w:val="center"/>
                    <w:rPr>
                      <w:rFonts w:hint="eastAsia"/>
                      <w:color w:val="auto"/>
                      <w:sz w:val="21"/>
                      <w:szCs w:val="21"/>
                      <w:highlight w:val="none"/>
                      <w:lang w:val="en-US" w:eastAsia="zh-CN"/>
                    </w:rPr>
                  </w:pPr>
                </w:p>
              </w:tc>
              <w:tc>
                <w:tcPr>
                  <w:tcW w:w="1286" w:type="pct"/>
                  <w:tcBorders>
                    <w:right w:val="single" w:color="000000" w:sz="6" w:space="0"/>
                  </w:tcBorders>
                  <w:noWrap w:val="0"/>
                  <w:vAlign w:val="center"/>
                </w:tcPr>
                <w:p w14:paraId="0DC57C4D">
                  <w:pPr>
                    <w:jc w:val="center"/>
                    <w:rPr>
                      <w:rFonts w:hint="eastAsia"/>
                      <w:color w:val="auto"/>
                      <w:sz w:val="21"/>
                      <w:szCs w:val="21"/>
                      <w:highlight w:val="none"/>
                      <w:lang w:val="en-US" w:eastAsia="zh-CN"/>
                    </w:rPr>
                  </w:pPr>
                  <w:r>
                    <w:rPr>
                      <w:rFonts w:hint="eastAsia"/>
                      <w:color w:val="auto"/>
                      <w:sz w:val="21"/>
                      <w:szCs w:val="21"/>
                      <w:highlight w:val="none"/>
                      <w:lang w:val="en-US" w:eastAsia="zh-CN"/>
                    </w:rPr>
                    <w:t>最大值</w:t>
                  </w:r>
                </w:p>
              </w:tc>
              <w:tc>
                <w:tcPr>
                  <w:tcW w:w="614" w:type="pct"/>
                  <w:tcBorders>
                    <w:right w:val="single" w:color="000000" w:sz="6" w:space="0"/>
                  </w:tcBorders>
                  <w:noWrap w:val="0"/>
                  <w:vAlign w:val="center"/>
                </w:tcPr>
                <w:p w14:paraId="70B05D77">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1.788</w:t>
                  </w:r>
                </w:p>
              </w:tc>
              <w:tc>
                <w:tcPr>
                  <w:tcW w:w="815" w:type="pct"/>
                  <w:tcBorders>
                    <w:right w:val="single" w:color="000000" w:sz="6" w:space="0"/>
                  </w:tcBorders>
                  <w:shd w:val="clear" w:color="auto" w:fill="auto"/>
                  <w:noWrap w:val="0"/>
                  <w:vAlign w:val="center"/>
                </w:tcPr>
                <w:p w14:paraId="1A2B814F">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815" w:type="pct"/>
                  <w:tcBorders>
                    <w:right w:val="single" w:color="000000" w:sz="6" w:space="0"/>
                  </w:tcBorders>
                  <w:shd w:val="clear" w:color="auto" w:fill="auto"/>
                  <w:noWrap w:val="0"/>
                  <w:vAlign w:val="center"/>
                </w:tcPr>
                <w:p w14:paraId="186F55BF">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r>
            <w:tr w14:paraId="73CB66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404" w:type="pct"/>
                  <w:vMerge w:val="restart"/>
                  <w:noWrap w:val="0"/>
                  <w:vAlign w:val="center"/>
                </w:tcPr>
                <w:p w14:paraId="0F36B314">
                  <w:pPr>
                    <w:jc w:val="center"/>
                    <w:rPr>
                      <w:rFonts w:hint="default"/>
                      <w:color w:val="auto"/>
                      <w:sz w:val="21"/>
                      <w:szCs w:val="21"/>
                      <w:highlight w:val="none"/>
                      <w:lang w:val="en-US" w:eastAsia="zh-CN"/>
                    </w:rPr>
                  </w:pPr>
                  <w:r>
                    <w:rPr>
                      <w:rFonts w:hint="eastAsia"/>
                      <w:color w:val="auto"/>
                      <w:sz w:val="21"/>
                      <w:szCs w:val="21"/>
                      <w:highlight w:val="none"/>
                      <w:lang w:val="en-US" w:eastAsia="zh-CN"/>
                    </w:rPr>
                    <w:t>6</w:t>
                  </w:r>
                </w:p>
              </w:tc>
              <w:tc>
                <w:tcPr>
                  <w:tcW w:w="1063" w:type="pct"/>
                  <w:vMerge w:val="restart"/>
                  <w:tcBorders>
                    <w:right w:val="single" w:color="000000" w:sz="6" w:space="0"/>
                  </w:tcBorders>
                  <w:noWrap w:val="0"/>
                  <w:vAlign w:val="center"/>
                </w:tcPr>
                <w:p w14:paraId="55C92177">
                  <w:pPr>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2号高炉出铁场废气排放口</w:t>
                  </w:r>
                </w:p>
              </w:tc>
              <w:tc>
                <w:tcPr>
                  <w:tcW w:w="1286" w:type="pct"/>
                  <w:tcBorders>
                    <w:right w:val="single" w:color="000000" w:sz="6" w:space="0"/>
                  </w:tcBorders>
                  <w:noWrap w:val="0"/>
                  <w:vAlign w:val="center"/>
                </w:tcPr>
                <w:p w14:paraId="2C41401E">
                  <w:pPr>
                    <w:jc w:val="center"/>
                    <w:rPr>
                      <w:rFonts w:hint="eastAsia"/>
                      <w:color w:val="auto"/>
                      <w:sz w:val="21"/>
                      <w:szCs w:val="21"/>
                      <w:highlight w:val="none"/>
                      <w:lang w:val="en-US" w:eastAsia="zh-CN"/>
                    </w:rPr>
                  </w:pPr>
                  <w:r>
                    <w:rPr>
                      <w:rFonts w:hint="eastAsia"/>
                      <w:color w:val="auto"/>
                      <w:sz w:val="21"/>
                      <w:szCs w:val="21"/>
                      <w:highlight w:val="none"/>
                      <w:lang w:val="en-US" w:eastAsia="zh-CN"/>
                    </w:rPr>
                    <w:t>均值</w:t>
                  </w:r>
                </w:p>
              </w:tc>
              <w:tc>
                <w:tcPr>
                  <w:tcW w:w="614" w:type="pct"/>
                  <w:tcBorders>
                    <w:right w:val="single" w:color="000000" w:sz="6" w:space="0"/>
                  </w:tcBorders>
                  <w:noWrap w:val="0"/>
                  <w:vAlign w:val="center"/>
                </w:tcPr>
                <w:p w14:paraId="5E0768BB">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1.491</w:t>
                  </w:r>
                </w:p>
              </w:tc>
              <w:tc>
                <w:tcPr>
                  <w:tcW w:w="815" w:type="pct"/>
                  <w:tcBorders>
                    <w:right w:val="single" w:color="000000" w:sz="6" w:space="0"/>
                  </w:tcBorders>
                  <w:noWrap w:val="0"/>
                  <w:vAlign w:val="center"/>
                </w:tcPr>
                <w:p w14:paraId="27D4D59C">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815" w:type="pct"/>
                  <w:tcBorders>
                    <w:right w:val="single" w:color="000000" w:sz="6" w:space="0"/>
                  </w:tcBorders>
                  <w:noWrap w:val="0"/>
                  <w:vAlign w:val="center"/>
                </w:tcPr>
                <w:p w14:paraId="2765F47E">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2B56D0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404" w:type="pct"/>
                  <w:vMerge w:val="continue"/>
                  <w:noWrap w:val="0"/>
                  <w:vAlign w:val="center"/>
                </w:tcPr>
                <w:p w14:paraId="3CAE9C0E">
                  <w:pPr>
                    <w:jc w:val="center"/>
                    <w:rPr>
                      <w:rFonts w:hint="eastAsia"/>
                      <w:color w:val="auto"/>
                      <w:sz w:val="21"/>
                      <w:szCs w:val="21"/>
                      <w:highlight w:val="none"/>
                      <w:lang w:val="en-US" w:eastAsia="zh-CN"/>
                    </w:rPr>
                  </w:pPr>
                </w:p>
              </w:tc>
              <w:tc>
                <w:tcPr>
                  <w:tcW w:w="1063" w:type="pct"/>
                  <w:vMerge w:val="continue"/>
                  <w:tcBorders>
                    <w:right w:val="single" w:color="000000" w:sz="6" w:space="0"/>
                  </w:tcBorders>
                  <w:noWrap w:val="0"/>
                  <w:vAlign w:val="center"/>
                </w:tcPr>
                <w:p w14:paraId="33D120A1">
                  <w:pPr>
                    <w:jc w:val="center"/>
                    <w:rPr>
                      <w:rFonts w:hint="eastAsia"/>
                      <w:color w:val="auto"/>
                      <w:sz w:val="21"/>
                      <w:szCs w:val="21"/>
                      <w:highlight w:val="none"/>
                      <w:lang w:val="en-US" w:eastAsia="zh-CN"/>
                    </w:rPr>
                  </w:pPr>
                </w:p>
              </w:tc>
              <w:tc>
                <w:tcPr>
                  <w:tcW w:w="1286" w:type="pct"/>
                  <w:tcBorders>
                    <w:right w:val="single" w:color="000000" w:sz="6" w:space="0"/>
                  </w:tcBorders>
                  <w:noWrap w:val="0"/>
                  <w:vAlign w:val="center"/>
                </w:tcPr>
                <w:p w14:paraId="00DCAB36">
                  <w:pPr>
                    <w:jc w:val="center"/>
                    <w:rPr>
                      <w:rFonts w:hint="eastAsia"/>
                      <w:color w:val="auto"/>
                      <w:sz w:val="21"/>
                      <w:szCs w:val="21"/>
                      <w:highlight w:val="none"/>
                      <w:lang w:val="en-US" w:eastAsia="zh-CN"/>
                    </w:rPr>
                  </w:pPr>
                  <w:r>
                    <w:rPr>
                      <w:rFonts w:hint="eastAsia"/>
                      <w:color w:val="auto"/>
                      <w:sz w:val="21"/>
                      <w:szCs w:val="21"/>
                      <w:highlight w:val="none"/>
                      <w:lang w:val="en-US" w:eastAsia="zh-CN"/>
                    </w:rPr>
                    <w:t>最大值</w:t>
                  </w:r>
                </w:p>
              </w:tc>
              <w:tc>
                <w:tcPr>
                  <w:tcW w:w="614" w:type="pct"/>
                  <w:tcBorders>
                    <w:right w:val="single" w:color="000000" w:sz="6" w:space="0"/>
                  </w:tcBorders>
                  <w:noWrap w:val="0"/>
                  <w:vAlign w:val="center"/>
                </w:tcPr>
                <w:p w14:paraId="08A42717">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1.51</w:t>
                  </w:r>
                </w:p>
              </w:tc>
              <w:tc>
                <w:tcPr>
                  <w:tcW w:w="815" w:type="pct"/>
                  <w:tcBorders>
                    <w:right w:val="single" w:color="000000" w:sz="6" w:space="0"/>
                  </w:tcBorders>
                  <w:shd w:val="clear" w:color="auto" w:fill="auto"/>
                  <w:noWrap w:val="0"/>
                  <w:vAlign w:val="center"/>
                </w:tcPr>
                <w:p w14:paraId="4FDFAA31">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815" w:type="pct"/>
                  <w:tcBorders>
                    <w:right w:val="single" w:color="000000" w:sz="6" w:space="0"/>
                  </w:tcBorders>
                  <w:shd w:val="clear" w:color="auto" w:fill="auto"/>
                  <w:noWrap w:val="0"/>
                  <w:vAlign w:val="center"/>
                </w:tcPr>
                <w:p w14:paraId="30E6715C">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r>
          </w:tbl>
          <w:p w14:paraId="18485EA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color w:val="auto"/>
                <w:sz w:val="24"/>
                <w:szCs w:val="32"/>
                <w:highlight w:val="none"/>
                <w:lang w:val="en-US" w:eastAsia="zh-CN"/>
              </w:rPr>
            </w:pPr>
            <w:r>
              <w:rPr>
                <w:rFonts w:hint="eastAsia"/>
                <w:color w:val="auto"/>
                <w:sz w:val="24"/>
                <w:szCs w:val="32"/>
                <w:highlight w:val="none"/>
                <w:lang w:val="en-US" w:eastAsia="zh-CN"/>
              </w:rPr>
              <w:t>根据在线监测数据，1#高炉、2#高炉废气均达标排放。</w:t>
            </w:r>
          </w:p>
          <w:p w14:paraId="0A25FD2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eastAsia="宋体" w:cs="Times New Roman"/>
                <w:color w:val="auto"/>
                <w:kern w:val="2"/>
                <w:sz w:val="24"/>
                <w:szCs w:val="32"/>
                <w:highlight w:val="none"/>
                <w:lang w:val="en-US" w:eastAsia="zh-CN" w:bidi="ar-SA"/>
              </w:rPr>
            </w:pPr>
            <w:r>
              <w:rPr>
                <w:rFonts w:hint="eastAsia" w:cs="Times New Roman"/>
                <w:color w:val="auto"/>
                <w:kern w:val="2"/>
                <w:sz w:val="24"/>
                <w:szCs w:val="32"/>
                <w:highlight w:val="none"/>
                <w:lang w:val="en-US" w:eastAsia="zh-CN" w:bidi="ar-SA"/>
              </w:rPr>
              <w:t>金</w:t>
            </w:r>
            <w:r>
              <w:rPr>
                <w:rFonts w:hint="eastAsia" w:ascii="Times New Roman" w:hAnsi="Times New Roman" w:eastAsia="宋体" w:cs="Times New Roman"/>
                <w:color w:val="auto"/>
                <w:kern w:val="2"/>
                <w:sz w:val="24"/>
                <w:szCs w:val="32"/>
                <w:highlight w:val="none"/>
                <w:lang w:val="en-US" w:eastAsia="zh-CN" w:bidi="ar-SA"/>
              </w:rPr>
              <w:t>烨钢铁集团铸造有限公司自行监测（2026.2.28）（金烨钢铁集团铸造有限公司为金烨钢铁集团有限公司全资子公司）及金烨钢铁集团有限公司自行监测（2026.3.5），均检测了无组织废气及噪声。监测数据见下表。</w:t>
            </w:r>
          </w:p>
          <w:p w14:paraId="610B9292">
            <w:pPr>
              <w:spacing w:line="240" w:lineRule="auto"/>
              <w:ind w:firstLine="422" w:firstLineChars="200"/>
              <w:jc w:val="center"/>
              <w:rPr>
                <w:rFonts w:hint="default" w:eastAsia="宋体"/>
                <w:b/>
                <w:bCs/>
                <w:color w:val="auto"/>
                <w:sz w:val="21"/>
                <w:szCs w:val="21"/>
                <w:highlight w:val="none"/>
                <w:lang w:val="en-US" w:eastAsia="zh-CN"/>
              </w:rPr>
            </w:pPr>
            <w:r>
              <w:rPr>
                <w:b/>
                <w:bCs/>
                <w:color w:val="auto"/>
                <w:sz w:val="21"/>
                <w:szCs w:val="21"/>
                <w:highlight w:val="none"/>
              </w:rPr>
              <w:t>表</w:t>
            </w:r>
            <w:r>
              <w:rPr>
                <w:rFonts w:hint="eastAsia"/>
                <w:b/>
                <w:bCs/>
                <w:color w:val="auto"/>
                <w:sz w:val="21"/>
                <w:szCs w:val="21"/>
                <w:highlight w:val="none"/>
                <w:lang w:val="en-US" w:eastAsia="zh-CN"/>
              </w:rPr>
              <w:t>2-12 无组织废气</w:t>
            </w:r>
            <w:r>
              <w:rPr>
                <w:b/>
                <w:bCs/>
                <w:color w:val="auto"/>
                <w:sz w:val="21"/>
                <w:szCs w:val="21"/>
                <w:highlight w:val="none"/>
              </w:rPr>
              <w:t>一览表</w:t>
            </w:r>
            <w:r>
              <w:rPr>
                <w:rFonts w:hint="eastAsia"/>
                <w:b/>
                <w:bCs/>
                <w:color w:val="auto"/>
                <w:sz w:val="21"/>
                <w:szCs w:val="21"/>
                <w:highlight w:val="none"/>
                <w:lang w:val="en-US" w:eastAsia="zh-CN"/>
              </w:rPr>
              <w:t xml:space="preserve"> mg/m</w:t>
            </w:r>
            <w:r>
              <w:rPr>
                <w:rFonts w:hint="eastAsia"/>
                <w:b/>
                <w:bCs/>
                <w:color w:val="auto"/>
                <w:sz w:val="21"/>
                <w:szCs w:val="21"/>
                <w:highlight w:val="none"/>
                <w:vertAlign w:val="superscript"/>
                <w:lang w:val="en-US" w:eastAsia="zh-CN"/>
              </w:rPr>
              <w:t>3</w:t>
            </w:r>
          </w:p>
          <w:tbl>
            <w:tblPr>
              <w:tblStyle w:val="54"/>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40"/>
              <w:gridCol w:w="1281"/>
              <w:gridCol w:w="1289"/>
              <w:gridCol w:w="972"/>
              <w:gridCol w:w="972"/>
              <w:gridCol w:w="972"/>
              <w:gridCol w:w="977"/>
              <w:gridCol w:w="1289"/>
            </w:tblGrid>
            <w:tr w14:paraId="15B7B0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381" w:type="pct"/>
                  <w:vMerge w:val="restart"/>
                  <w:tcBorders>
                    <w:top w:val="single" w:color="000000" w:sz="6" w:space="0"/>
                  </w:tcBorders>
                  <w:noWrap w:val="0"/>
                  <w:vAlign w:val="center"/>
                </w:tcPr>
                <w:p w14:paraId="4D9D5A83">
                  <w:pPr>
                    <w:jc w:val="center"/>
                    <w:rPr>
                      <w:rFonts w:hint="default" w:eastAsia="宋体"/>
                      <w:b/>
                      <w:bCs/>
                      <w:color w:val="auto"/>
                      <w:sz w:val="21"/>
                      <w:szCs w:val="21"/>
                      <w:highlight w:val="none"/>
                      <w:lang w:val="en-US" w:eastAsia="zh-CN"/>
                    </w:rPr>
                  </w:pPr>
                  <w:r>
                    <w:rPr>
                      <w:rFonts w:hint="eastAsia" w:eastAsia="宋体"/>
                      <w:b/>
                      <w:bCs/>
                      <w:color w:val="auto"/>
                      <w:sz w:val="21"/>
                      <w:szCs w:val="21"/>
                      <w:highlight w:val="none"/>
                      <w:lang w:val="en-US" w:eastAsia="zh-CN"/>
                    </w:rPr>
                    <w:t>监测报告</w:t>
                  </w:r>
                </w:p>
              </w:tc>
              <w:tc>
                <w:tcPr>
                  <w:tcW w:w="763" w:type="pct"/>
                  <w:vMerge w:val="restart"/>
                  <w:tcBorders>
                    <w:top w:val="single" w:color="000000" w:sz="6" w:space="0"/>
                    <w:right w:val="single" w:color="000000" w:sz="6" w:space="0"/>
                  </w:tcBorders>
                  <w:noWrap w:val="0"/>
                  <w:vAlign w:val="center"/>
                </w:tcPr>
                <w:p w14:paraId="21FC3995">
                  <w:pPr>
                    <w:jc w:val="center"/>
                    <w:rPr>
                      <w:rFonts w:hint="default" w:eastAsia="宋体"/>
                      <w:b/>
                      <w:bCs/>
                      <w:color w:val="auto"/>
                      <w:sz w:val="21"/>
                      <w:szCs w:val="21"/>
                      <w:highlight w:val="none"/>
                      <w:lang w:val="en-US" w:eastAsia="zh-CN"/>
                    </w:rPr>
                  </w:pPr>
                  <w:r>
                    <w:rPr>
                      <w:rFonts w:hint="eastAsia"/>
                      <w:b/>
                      <w:bCs/>
                      <w:color w:val="auto"/>
                      <w:sz w:val="21"/>
                      <w:szCs w:val="21"/>
                      <w:highlight w:val="none"/>
                      <w:lang w:val="en-US" w:eastAsia="zh-CN"/>
                    </w:rPr>
                    <w:t>监测项目</w:t>
                  </w:r>
                </w:p>
              </w:tc>
              <w:tc>
                <w:tcPr>
                  <w:tcW w:w="768" w:type="pct"/>
                  <w:vMerge w:val="restart"/>
                  <w:tcBorders>
                    <w:top w:val="single" w:color="000000" w:sz="6" w:space="0"/>
                    <w:right w:val="single" w:color="000000" w:sz="6" w:space="0"/>
                  </w:tcBorders>
                  <w:noWrap w:val="0"/>
                  <w:vAlign w:val="center"/>
                </w:tcPr>
                <w:p w14:paraId="421734A0">
                  <w:pPr>
                    <w:jc w:val="center"/>
                    <w:rPr>
                      <w:rFonts w:hint="default"/>
                      <w:b/>
                      <w:bCs/>
                      <w:color w:val="auto"/>
                      <w:sz w:val="21"/>
                      <w:szCs w:val="21"/>
                      <w:highlight w:val="none"/>
                      <w:lang w:val="en-US" w:eastAsia="zh-CN"/>
                    </w:rPr>
                  </w:pPr>
                  <w:r>
                    <w:rPr>
                      <w:rFonts w:hint="eastAsia"/>
                      <w:b/>
                      <w:bCs/>
                      <w:color w:val="auto"/>
                      <w:sz w:val="21"/>
                      <w:szCs w:val="21"/>
                      <w:highlight w:val="none"/>
                      <w:lang w:val="en-US" w:eastAsia="zh-CN"/>
                    </w:rPr>
                    <w:t>监测点位</w:t>
                  </w:r>
                </w:p>
              </w:tc>
              <w:tc>
                <w:tcPr>
                  <w:tcW w:w="2319" w:type="pct"/>
                  <w:gridSpan w:val="4"/>
                  <w:tcBorders>
                    <w:top w:val="single" w:color="000000" w:sz="6" w:space="0"/>
                    <w:right w:val="single" w:color="000000" w:sz="6" w:space="0"/>
                  </w:tcBorders>
                  <w:noWrap w:val="0"/>
                  <w:vAlign w:val="center"/>
                </w:tcPr>
                <w:p w14:paraId="0675478A">
                  <w:pPr>
                    <w:jc w:val="center"/>
                    <w:rPr>
                      <w:rFonts w:hint="default" w:eastAsia="宋体"/>
                      <w:b/>
                      <w:bCs/>
                      <w:color w:val="auto"/>
                      <w:sz w:val="21"/>
                      <w:szCs w:val="21"/>
                      <w:highlight w:val="none"/>
                      <w:lang w:val="en-US" w:eastAsia="zh-CN"/>
                    </w:rPr>
                  </w:pPr>
                  <w:r>
                    <w:rPr>
                      <w:rFonts w:hint="eastAsia" w:eastAsia="宋体"/>
                      <w:b/>
                      <w:bCs/>
                      <w:color w:val="auto"/>
                      <w:sz w:val="21"/>
                      <w:szCs w:val="21"/>
                      <w:highlight w:val="none"/>
                      <w:lang w:val="en-US" w:eastAsia="zh-CN"/>
                    </w:rPr>
                    <w:t>监测结果</w:t>
                  </w:r>
                </w:p>
              </w:tc>
              <w:tc>
                <w:tcPr>
                  <w:tcW w:w="768" w:type="pct"/>
                  <w:vMerge w:val="restart"/>
                  <w:tcBorders>
                    <w:top w:val="single" w:color="000000" w:sz="6" w:space="0"/>
                    <w:right w:val="single" w:color="000000" w:sz="6" w:space="0"/>
                  </w:tcBorders>
                  <w:noWrap w:val="0"/>
                  <w:vAlign w:val="center"/>
                </w:tcPr>
                <w:p w14:paraId="7CECB720">
                  <w:pPr>
                    <w:jc w:val="center"/>
                    <w:rPr>
                      <w:rFonts w:hint="default" w:eastAsia="宋体"/>
                      <w:b/>
                      <w:bCs/>
                      <w:color w:val="auto"/>
                      <w:sz w:val="21"/>
                      <w:szCs w:val="21"/>
                      <w:highlight w:val="none"/>
                      <w:lang w:val="en-US" w:eastAsia="zh-CN"/>
                    </w:rPr>
                  </w:pPr>
                  <w:r>
                    <w:rPr>
                      <w:rFonts w:hint="eastAsia" w:eastAsia="宋体"/>
                      <w:b/>
                      <w:bCs/>
                      <w:color w:val="auto"/>
                      <w:sz w:val="21"/>
                      <w:szCs w:val="21"/>
                      <w:highlight w:val="none"/>
                      <w:lang w:val="en-US" w:eastAsia="zh-CN"/>
                    </w:rPr>
                    <w:t>标准限值</w:t>
                  </w:r>
                </w:p>
              </w:tc>
            </w:tr>
            <w:tr w14:paraId="4DB86E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381" w:type="pct"/>
                  <w:vMerge w:val="continue"/>
                  <w:noWrap w:val="0"/>
                  <w:vAlign w:val="center"/>
                </w:tcPr>
                <w:p w14:paraId="0E12A9AD">
                  <w:pPr>
                    <w:jc w:val="center"/>
                    <w:rPr>
                      <w:rFonts w:hint="eastAsia"/>
                      <w:b/>
                      <w:bCs/>
                      <w:color w:val="auto"/>
                      <w:sz w:val="21"/>
                      <w:szCs w:val="21"/>
                      <w:highlight w:val="none"/>
                      <w:lang w:val="en-US" w:eastAsia="zh-CN"/>
                    </w:rPr>
                  </w:pPr>
                </w:p>
              </w:tc>
              <w:tc>
                <w:tcPr>
                  <w:tcW w:w="763" w:type="pct"/>
                  <w:vMerge w:val="continue"/>
                  <w:tcBorders>
                    <w:right w:val="single" w:color="000000" w:sz="6" w:space="0"/>
                  </w:tcBorders>
                  <w:noWrap w:val="0"/>
                  <w:vAlign w:val="center"/>
                </w:tcPr>
                <w:p w14:paraId="2FD741EA">
                  <w:pPr>
                    <w:jc w:val="center"/>
                    <w:rPr>
                      <w:rFonts w:hint="eastAsia"/>
                      <w:b/>
                      <w:bCs/>
                      <w:color w:val="auto"/>
                      <w:sz w:val="21"/>
                      <w:szCs w:val="21"/>
                      <w:highlight w:val="none"/>
                      <w:lang w:val="en-US" w:eastAsia="zh-CN"/>
                    </w:rPr>
                  </w:pPr>
                </w:p>
              </w:tc>
              <w:tc>
                <w:tcPr>
                  <w:tcW w:w="768" w:type="pct"/>
                  <w:vMerge w:val="continue"/>
                  <w:tcBorders>
                    <w:right w:val="single" w:color="000000" w:sz="6" w:space="0"/>
                  </w:tcBorders>
                  <w:noWrap w:val="0"/>
                  <w:vAlign w:val="center"/>
                </w:tcPr>
                <w:p w14:paraId="574CBCFB">
                  <w:pPr>
                    <w:jc w:val="center"/>
                    <w:rPr>
                      <w:rFonts w:hint="eastAsia"/>
                      <w:b/>
                      <w:bCs/>
                      <w:color w:val="auto"/>
                      <w:sz w:val="21"/>
                      <w:szCs w:val="21"/>
                      <w:highlight w:val="none"/>
                      <w:lang w:val="en-US" w:eastAsia="zh-CN"/>
                    </w:rPr>
                  </w:pPr>
                </w:p>
              </w:tc>
              <w:tc>
                <w:tcPr>
                  <w:tcW w:w="579" w:type="pct"/>
                  <w:tcBorders>
                    <w:top w:val="single" w:color="000000" w:sz="6" w:space="0"/>
                    <w:right w:val="single" w:color="000000" w:sz="6" w:space="0"/>
                  </w:tcBorders>
                  <w:noWrap w:val="0"/>
                  <w:vAlign w:val="center"/>
                </w:tcPr>
                <w:p w14:paraId="52999CA7">
                  <w:pPr>
                    <w:jc w:val="center"/>
                    <w:rPr>
                      <w:rFonts w:hint="default" w:eastAsia="宋体"/>
                      <w:b/>
                      <w:bCs/>
                      <w:color w:val="auto"/>
                      <w:sz w:val="21"/>
                      <w:szCs w:val="21"/>
                      <w:highlight w:val="none"/>
                      <w:lang w:val="en-US" w:eastAsia="zh-CN"/>
                    </w:rPr>
                  </w:pPr>
                  <w:r>
                    <w:rPr>
                      <w:rFonts w:hint="eastAsia" w:eastAsia="宋体"/>
                      <w:b/>
                      <w:bCs/>
                      <w:color w:val="auto"/>
                      <w:sz w:val="21"/>
                      <w:szCs w:val="21"/>
                      <w:highlight w:val="none"/>
                      <w:lang w:val="en-US" w:eastAsia="zh-CN"/>
                    </w:rPr>
                    <w:t>第一次</w:t>
                  </w:r>
                </w:p>
              </w:tc>
              <w:tc>
                <w:tcPr>
                  <w:tcW w:w="579" w:type="pct"/>
                  <w:tcBorders>
                    <w:top w:val="single" w:color="000000" w:sz="6" w:space="0"/>
                    <w:right w:val="single" w:color="000000" w:sz="6" w:space="0"/>
                  </w:tcBorders>
                  <w:noWrap w:val="0"/>
                  <w:vAlign w:val="center"/>
                </w:tcPr>
                <w:p w14:paraId="46E870CE">
                  <w:pPr>
                    <w:jc w:val="center"/>
                    <w:rPr>
                      <w:rFonts w:hint="default" w:eastAsia="宋体"/>
                      <w:b/>
                      <w:bCs/>
                      <w:color w:val="auto"/>
                      <w:sz w:val="21"/>
                      <w:szCs w:val="21"/>
                      <w:highlight w:val="none"/>
                      <w:lang w:val="en-US" w:eastAsia="zh-CN"/>
                    </w:rPr>
                  </w:pPr>
                  <w:r>
                    <w:rPr>
                      <w:rFonts w:hint="eastAsia" w:eastAsia="宋体"/>
                      <w:b/>
                      <w:bCs/>
                      <w:color w:val="auto"/>
                      <w:sz w:val="21"/>
                      <w:szCs w:val="21"/>
                      <w:highlight w:val="none"/>
                      <w:lang w:val="en-US" w:eastAsia="zh-CN"/>
                    </w:rPr>
                    <w:t>第二次</w:t>
                  </w:r>
                </w:p>
              </w:tc>
              <w:tc>
                <w:tcPr>
                  <w:tcW w:w="579" w:type="pct"/>
                  <w:tcBorders>
                    <w:top w:val="single" w:color="000000" w:sz="6" w:space="0"/>
                    <w:right w:val="single" w:color="000000" w:sz="6" w:space="0"/>
                  </w:tcBorders>
                  <w:noWrap w:val="0"/>
                  <w:vAlign w:val="center"/>
                </w:tcPr>
                <w:p w14:paraId="1B298EAC">
                  <w:pPr>
                    <w:jc w:val="center"/>
                    <w:rPr>
                      <w:rFonts w:hint="default" w:eastAsia="宋体"/>
                      <w:b/>
                      <w:bCs/>
                      <w:color w:val="auto"/>
                      <w:sz w:val="21"/>
                      <w:szCs w:val="21"/>
                      <w:highlight w:val="none"/>
                      <w:lang w:val="en-US" w:eastAsia="zh-CN"/>
                    </w:rPr>
                  </w:pPr>
                  <w:r>
                    <w:rPr>
                      <w:rFonts w:hint="eastAsia" w:eastAsia="宋体"/>
                      <w:b/>
                      <w:bCs/>
                      <w:color w:val="auto"/>
                      <w:sz w:val="21"/>
                      <w:szCs w:val="21"/>
                      <w:highlight w:val="none"/>
                      <w:lang w:val="en-US" w:eastAsia="zh-CN"/>
                    </w:rPr>
                    <w:t>第三次</w:t>
                  </w:r>
                </w:p>
              </w:tc>
              <w:tc>
                <w:tcPr>
                  <w:tcW w:w="581" w:type="pct"/>
                  <w:tcBorders>
                    <w:top w:val="single" w:color="000000" w:sz="6" w:space="0"/>
                    <w:right w:val="single" w:color="000000" w:sz="6" w:space="0"/>
                  </w:tcBorders>
                  <w:noWrap w:val="0"/>
                  <w:vAlign w:val="center"/>
                </w:tcPr>
                <w:p w14:paraId="2DE8AD88">
                  <w:pPr>
                    <w:jc w:val="center"/>
                    <w:rPr>
                      <w:rFonts w:hint="default" w:eastAsia="宋体"/>
                      <w:b/>
                      <w:bCs/>
                      <w:color w:val="auto"/>
                      <w:sz w:val="21"/>
                      <w:szCs w:val="21"/>
                      <w:highlight w:val="none"/>
                      <w:lang w:val="en-US" w:eastAsia="zh-CN"/>
                    </w:rPr>
                  </w:pPr>
                  <w:r>
                    <w:rPr>
                      <w:rFonts w:hint="eastAsia" w:eastAsia="宋体"/>
                      <w:b/>
                      <w:bCs/>
                      <w:color w:val="auto"/>
                      <w:sz w:val="21"/>
                      <w:szCs w:val="21"/>
                      <w:highlight w:val="none"/>
                      <w:lang w:val="en-US" w:eastAsia="zh-CN"/>
                    </w:rPr>
                    <w:t>第四次</w:t>
                  </w:r>
                </w:p>
              </w:tc>
              <w:tc>
                <w:tcPr>
                  <w:tcW w:w="768" w:type="pct"/>
                  <w:vMerge w:val="continue"/>
                  <w:tcBorders>
                    <w:right w:val="single" w:color="000000" w:sz="6" w:space="0"/>
                  </w:tcBorders>
                  <w:noWrap w:val="0"/>
                  <w:vAlign w:val="center"/>
                </w:tcPr>
                <w:p w14:paraId="4792F1CF">
                  <w:pPr>
                    <w:jc w:val="center"/>
                    <w:rPr>
                      <w:rFonts w:hint="eastAsia" w:eastAsia="宋体"/>
                      <w:b/>
                      <w:bCs/>
                      <w:color w:val="auto"/>
                      <w:sz w:val="21"/>
                      <w:szCs w:val="21"/>
                      <w:highlight w:val="none"/>
                      <w:lang w:val="en-US" w:eastAsia="zh-CN"/>
                    </w:rPr>
                  </w:pPr>
                </w:p>
              </w:tc>
            </w:tr>
            <w:tr w14:paraId="646759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381" w:type="pct"/>
                  <w:vMerge w:val="restart"/>
                  <w:tcBorders>
                    <w:top w:val="single" w:color="000000" w:sz="6" w:space="0"/>
                  </w:tcBorders>
                  <w:noWrap w:val="0"/>
                  <w:vAlign w:val="center"/>
                </w:tcPr>
                <w:p w14:paraId="4BCF5CFC">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金烨钢铁集团铸造有限公司自行监测</w:t>
                  </w:r>
                </w:p>
              </w:tc>
              <w:tc>
                <w:tcPr>
                  <w:tcW w:w="763" w:type="pct"/>
                  <w:vMerge w:val="restart"/>
                  <w:tcBorders>
                    <w:top w:val="single" w:color="000000" w:sz="6" w:space="0"/>
                    <w:right w:val="single" w:color="000000" w:sz="6" w:space="0"/>
                  </w:tcBorders>
                  <w:noWrap w:val="0"/>
                  <w:vAlign w:val="center"/>
                </w:tcPr>
                <w:p w14:paraId="71C6C0BF">
                  <w:pPr>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颗粒物</w:t>
                  </w:r>
                </w:p>
              </w:tc>
              <w:tc>
                <w:tcPr>
                  <w:tcW w:w="768" w:type="pct"/>
                  <w:tcBorders>
                    <w:top w:val="single" w:color="000000" w:sz="6" w:space="0"/>
                    <w:right w:val="single" w:color="000000" w:sz="6" w:space="0"/>
                  </w:tcBorders>
                  <w:shd w:val="clear" w:color="auto" w:fill="auto"/>
                  <w:noWrap w:val="0"/>
                  <w:vAlign w:val="center"/>
                </w:tcPr>
                <w:p w14:paraId="14F2AD0A">
                  <w:pPr>
                    <w:jc w:val="center"/>
                    <w:rPr>
                      <w:rFonts w:hint="default"/>
                      <w:color w:val="auto"/>
                      <w:sz w:val="21"/>
                      <w:szCs w:val="21"/>
                      <w:highlight w:val="none"/>
                      <w:lang w:val="en-US" w:eastAsia="zh-CN"/>
                    </w:rPr>
                  </w:pPr>
                  <w:r>
                    <w:rPr>
                      <w:rFonts w:hint="eastAsia"/>
                      <w:color w:val="auto"/>
                      <w:sz w:val="21"/>
                      <w:szCs w:val="21"/>
                      <w:highlight w:val="none"/>
                      <w:lang w:val="en-US" w:eastAsia="zh-CN"/>
                    </w:rPr>
                    <w:t>1#参照点</w:t>
                  </w:r>
                </w:p>
              </w:tc>
              <w:tc>
                <w:tcPr>
                  <w:tcW w:w="579" w:type="pct"/>
                  <w:tcBorders>
                    <w:top w:val="single" w:color="000000" w:sz="6" w:space="0"/>
                    <w:right w:val="single" w:color="000000" w:sz="6" w:space="0"/>
                  </w:tcBorders>
                  <w:shd w:val="clear" w:color="auto" w:fill="auto"/>
                  <w:noWrap w:val="0"/>
                  <w:vAlign w:val="center"/>
                </w:tcPr>
                <w:p w14:paraId="30499A65">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0.214</w:t>
                  </w:r>
                </w:p>
              </w:tc>
              <w:tc>
                <w:tcPr>
                  <w:tcW w:w="579" w:type="pct"/>
                  <w:tcBorders>
                    <w:top w:val="single" w:color="000000" w:sz="6" w:space="0"/>
                    <w:right w:val="single" w:color="000000" w:sz="6" w:space="0"/>
                  </w:tcBorders>
                  <w:shd w:val="clear" w:color="auto" w:fill="auto"/>
                  <w:noWrap w:val="0"/>
                  <w:vAlign w:val="center"/>
                </w:tcPr>
                <w:p w14:paraId="3FE98F45">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0.323</w:t>
                  </w:r>
                </w:p>
              </w:tc>
              <w:tc>
                <w:tcPr>
                  <w:tcW w:w="579" w:type="pct"/>
                  <w:tcBorders>
                    <w:top w:val="single" w:color="000000" w:sz="6" w:space="0"/>
                    <w:right w:val="single" w:color="000000" w:sz="6" w:space="0"/>
                  </w:tcBorders>
                  <w:shd w:val="clear" w:color="auto" w:fill="auto"/>
                  <w:noWrap w:val="0"/>
                  <w:vAlign w:val="center"/>
                </w:tcPr>
                <w:p w14:paraId="5B0D24E9">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0.254</w:t>
                  </w:r>
                </w:p>
              </w:tc>
              <w:tc>
                <w:tcPr>
                  <w:tcW w:w="581" w:type="pct"/>
                  <w:tcBorders>
                    <w:top w:val="single" w:color="000000" w:sz="6" w:space="0"/>
                    <w:right w:val="single" w:color="000000" w:sz="6" w:space="0"/>
                  </w:tcBorders>
                  <w:shd w:val="clear" w:color="auto" w:fill="auto"/>
                  <w:noWrap w:val="0"/>
                  <w:vAlign w:val="center"/>
                </w:tcPr>
                <w:p w14:paraId="015343DE">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0.268</w:t>
                  </w:r>
                </w:p>
              </w:tc>
              <w:tc>
                <w:tcPr>
                  <w:tcW w:w="768" w:type="pct"/>
                  <w:vMerge w:val="restart"/>
                  <w:tcBorders>
                    <w:top w:val="single" w:color="000000" w:sz="6" w:space="0"/>
                    <w:right w:val="single" w:color="000000" w:sz="6" w:space="0"/>
                  </w:tcBorders>
                  <w:shd w:val="clear" w:color="auto" w:fill="auto"/>
                  <w:noWrap w:val="0"/>
                  <w:vAlign w:val="center"/>
                </w:tcPr>
                <w:p w14:paraId="6DC30880">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r>
            <w:tr w14:paraId="4160B0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381" w:type="pct"/>
                  <w:vMerge w:val="continue"/>
                  <w:noWrap w:val="0"/>
                  <w:vAlign w:val="center"/>
                </w:tcPr>
                <w:p w14:paraId="6FB84273">
                  <w:pPr>
                    <w:jc w:val="center"/>
                    <w:rPr>
                      <w:rFonts w:hint="eastAsia" w:ascii="Times New Roman" w:hAnsi="Times New Roman" w:eastAsia="宋体" w:cs="Times New Roman"/>
                      <w:color w:val="auto"/>
                      <w:sz w:val="21"/>
                      <w:szCs w:val="21"/>
                      <w:highlight w:val="none"/>
                      <w:lang w:val="en-US" w:eastAsia="zh-CN"/>
                    </w:rPr>
                  </w:pPr>
                </w:p>
              </w:tc>
              <w:tc>
                <w:tcPr>
                  <w:tcW w:w="763" w:type="pct"/>
                  <w:vMerge w:val="continue"/>
                  <w:tcBorders>
                    <w:right w:val="single" w:color="000000" w:sz="6" w:space="0"/>
                  </w:tcBorders>
                  <w:noWrap w:val="0"/>
                  <w:vAlign w:val="center"/>
                </w:tcPr>
                <w:p w14:paraId="528D1B7A">
                  <w:pPr>
                    <w:jc w:val="center"/>
                    <w:rPr>
                      <w:color w:val="auto"/>
                      <w:sz w:val="21"/>
                      <w:szCs w:val="21"/>
                      <w:highlight w:val="none"/>
                    </w:rPr>
                  </w:pPr>
                </w:p>
              </w:tc>
              <w:tc>
                <w:tcPr>
                  <w:tcW w:w="768" w:type="pct"/>
                  <w:tcBorders>
                    <w:right w:val="single" w:color="000000" w:sz="6" w:space="0"/>
                  </w:tcBorders>
                  <w:noWrap w:val="0"/>
                  <w:vAlign w:val="center"/>
                </w:tcPr>
                <w:p w14:paraId="2D57EC52">
                  <w:pPr>
                    <w:jc w:val="center"/>
                    <w:rPr>
                      <w:color w:val="auto"/>
                      <w:sz w:val="21"/>
                      <w:szCs w:val="21"/>
                      <w:highlight w:val="none"/>
                    </w:rPr>
                  </w:pPr>
                  <w:r>
                    <w:rPr>
                      <w:rFonts w:hint="eastAsia"/>
                      <w:color w:val="auto"/>
                      <w:sz w:val="21"/>
                      <w:szCs w:val="21"/>
                      <w:highlight w:val="none"/>
                      <w:lang w:val="en-US" w:eastAsia="zh-CN"/>
                    </w:rPr>
                    <w:t>2#监控点</w:t>
                  </w:r>
                </w:p>
              </w:tc>
              <w:tc>
                <w:tcPr>
                  <w:tcW w:w="579" w:type="pct"/>
                  <w:tcBorders>
                    <w:right w:val="single" w:color="000000" w:sz="6" w:space="0"/>
                  </w:tcBorders>
                  <w:noWrap w:val="0"/>
                  <w:vAlign w:val="center"/>
                </w:tcPr>
                <w:p w14:paraId="6B2C1401">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0.337</w:t>
                  </w:r>
                </w:p>
              </w:tc>
              <w:tc>
                <w:tcPr>
                  <w:tcW w:w="579" w:type="pct"/>
                  <w:tcBorders>
                    <w:right w:val="single" w:color="000000" w:sz="6" w:space="0"/>
                  </w:tcBorders>
                  <w:noWrap w:val="0"/>
                  <w:vAlign w:val="center"/>
                </w:tcPr>
                <w:p w14:paraId="57BA524B">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0.444</w:t>
                  </w:r>
                </w:p>
              </w:tc>
              <w:tc>
                <w:tcPr>
                  <w:tcW w:w="579" w:type="pct"/>
                  <w:tcBorders>
                    <w:right w:val="single" w:color="000000" w:sz="6" w:space="0"/>
                  </w:tcBorders>
                  <w:noWrap w:val="0"/>
                  <w:vAlign w:val="center"/>
                </w:tcPr>
                <w:p w14:paraId="4B3EF928">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0.468</w:t>
                  </w:r>
                </w:p>
              </w:tc>
              <w:tc>
                <w:tcPr>
                  <w:tcW w:w="581" w:type="pct"/>
                  <w:tcBorders>
                    <w:right w:val="single" w:color="000000" w:sz="6" w:space="0"/>
                  </w:tcBorders>
                  <w:noWrap w:val="0"/>
                  <w:vAlign w:val="center"/>
                </w:tcPr>
                <w:p w14:paraId="0CFB1C95">
                  <w:pPr>
                    <w:jc w:val="center"/>
                    <w:rPr>
                      <w:rFonts w:hint="default"/>
                      <w:highlight w:val="none"/>
                      <w:lang w:val="en-US" w:eastAsia="zh-CN"/>
                    </w:rPr>
                  </w:pPr>
                  <w:r>
                    <w:rPr>
                      <w:rFonts w:hint="eastAsia"/>
                      <w:highlight w:val="none"/>
                      <w:lang w:val="en-US" w:eastAsia="zh-CN"/>
                    </w:rPr>
                    <w:t>0.430</w:t>
                  </w:r>
                </w:p>
              </w:tc>
              <w:tc>
                <w:tcPr>
                  <w:tcW w:w="768" w:type="pct"/>
                  <w:vMerge w:val="continue"/>
                  <w:tcBorders>
                    <w:right w:val="single" w:color="000000" w:sz="6" w:space="0"/>
                  </w:tcBorders>
                  <w:noWrap w:val="0"/>
                  <w:vAlign w:val="center"/>
                </w:tcPr>
                <w:p w14:paraId="0B73A5FA">
                  <w:pPr>
                    <w:jc w:val="center"/>
                    <w:rPr>
                      <w:rFonts w:hint="default" w:ascii="Times New Roman" w:hAnsi="Times New Roman" w:eastAsia="宋体" w:cs="Times New Roman"/>
                      <w:color w:val="auto"/>
                      <w:sz w:val="21"/>
                      <w:szCs w:val="21"/>
                      <w:highlight w:val="none"/>
                      <w:lang w:val="en-US" w:eastAsia="zh-CN"/>
                    </w:rPr>
                  </w:pPr>
                </w:p>
              </w:tc>
            </w:tr>
            <w:tr w14:paraId="04CC7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381" w:type="pct"/>
                  <w:vMerge w:val="continue"/>
                  <w:noWrap w:val="0"/>
                  <w:vAlign w:val="center"/>
                </w:tcPr>
                <w:p w14:paraId="5DD0AC32">
                  <w:pPr>
                    <w:jc w:val="center"/>
                    <w:rPr>
                      <w:rFonts w:hint="eastAsia" w:ascii="Times New Roman" w:hAnsi="Times New Roman" w:eastAsia="宋体" w:cs="Times New Roman"/>
                      <w:color w:val="auto"/>
                      <w:sz w:val="21"/>
                      <w:szCs w:val="21"/>
                      <w:highlight w:val="none"/>
                      <w:lang w:val="en-US" w:eastAsia="zh-CN"/>
                    </w:rPr>
                  </w:pPr>
                </w:p>
              </w:tc>
              <w:tc>
                <w:tcPr>
                  <w:tcW w:w="763" w:type="pct"/>
                  <w:vMerge w:val="continue"/>
                  <w:tcBorders>
                    <w:right w:val="single" w:color="000000" w:sz="6" w:space="0"/>
                  </w:tcBorders>
                  <w:noWrap w:val="0"/>
                  <w:vAlign w:val="center"/>
                </w:tcPr>
                <w:p w14:paraId="1B573520">
                  <w:pPr>
                    <w:jc w:val="center"/>
                    <w:rPr>
                      <w:color w:val="auto"/>
                      <w:sz w:val="21"/>
                      <w:szCs w:val="21"/>
                      <w:highlight w:val="none"/>
                    </w:rPr>
                  </w:pPr>
                </w:p>
              </w:tc>
              <w:tc>
                <w:tcPr>
                  <w:tcW w:w="768" w:type="pct"/>
                  <w:tcBorders>
                    <w:right w:val="single" w:color="000000" w:sz="6" w:space="0"/>
                  </w:tcBorders>
                  <w:noWrap w:val="0"/>
                  <w:vAlign w:val="center"/>
                </w:tcPr>
                <w:p w14:paraId="673F4792">
                  <w:pPr>
                    <w:jc w:val="center"/>
                    <w:rPr>
                      <w:color w:val="auto"/>
                      <w:sz w:val="21"/>
                      <w:szCs w:val="21"/>
                      <w:highlight w:val="none"/>
                    </w:rPr>
                  </w:pPr>
                  <w:r>
                    <w:rPr>
                      <w:rFonts w:hint="eastAsia"/>
                      <w:color w:val="auto"/>
                      <w:sz w:val="21"/>
                      <w:szCs w:val="21"/>
                      <w:highlight w:val="none"/>
                      <w:lang w:val="en-US" w:eastAsia="zh-CN"/>
                    </w:rPr>
                    <w:t>3#监控点</w:t>
                  </w:r>
                </w:p>
              </w:tc>
              <w:tc>
                <w:tcPr>
                  <w:tcW w:w="579" w:type="pct"/>
                  <w:tcBorders>
                    <w:right w:val="single" w:color="000000" w:sz="6" w:space="0"/>
                  </w:tcBorders>
                  <w:noWrap w:val="0"/>
                  <w:vAlign w:val="center"/>
                </w:tcPr>
                <w:p w14:paraId="0DB5E195">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0.399</w:t>
                  </w:r>
                </w:p>
              </w:tc>
              <w:tc>
                <w:tcPr>
                  <w:tcW w:w="579" w:type="pct"/>
                  <w:tcBorders>
                    <w:right w:val="single" w:color="000000" w:sz="6" w:space="0"/>
                  </w:tcBorders>
                  <w:noWrap w:val="0"/>
                  <w:vAlign w:val="center"/>
                </w:tcPr>
                <w:p w14:paraId="0AFCF611">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0.507</w:t>
                  </w:r>
                </w:p>
              </w:tc>
              <w:tc>
                <w:tcPr>
                  <w:tcW w:w="579" w:type="pct"/>
                  <w:tcBorders>
                    <w:right w:val="single" w:color="000000" w:sz="6" w:space="0"/>
                  </w:tcBorders>
                  <w:noWrap w:val="0"/>
                  <w:vAlign w:val="center"/>
                </w:tcPr>
                <w:p w14:paraId="4EE50C5C">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0.439</w:t>
                  </w:r>
                </w:p>
              </w:tc>
              <w:tc>
                <w:tcPr>
                  <w:tcW w:w="581" w:type="pct"/>
                  <w:tcBorders>
                    <w:right w:val="single" w:color="000000" w:sz="6" w:space="0"/>
                  </w:tcBorders>
                  <w:noWrap w:val="0"/>
                  <w:vAlign w:val="center"/>
                </w:tcPr>
                <w:p w14:paraId="665E82C8">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0.473</w:t>
                  </w:r>
                </w:p>
              </w:tc>
              <w:tc>
                <w:tcPr>
                  <w:tcW w:w="768" w:type="pct"/>
                  <w:vMerge w:val="continue"/>
                  <w:tcBorders>
                    <w:right w:val="single" w:color="000000" w:sz="6" w:space="0"/>
                  </w:tcBorders>
                  <w:noWrap w:val="0"/>
                  <w:vAlign w:val="center"/>
                </w:tcPr>
                <w:p w14:paraId="1AAE2829">
                  <w:pPr>
                    <w:jc w:val="center"/>
                    <w:rPr>
                      <w:rFonts w:hint="default" w:ascii="Times New Roman" w:hAnsi="Times New Roman" w:eastAsia="宋体" w:cs="Times New Roman"/>
                      <w:color w:val="auto"/>
                      <w:sz w:val="21"/>
                      <w:szCs w:val="21"/>
                      <w:highlight w:val="none"/>
                      <w:lang w:val="en-US" w:eastAsia="zh-CN"/>
                    </w:rPr>
                  </w:pPr>
                </w:p>
              </w:tc>
            </w:tr>
            <w:tr w14:paraId="5275D7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381" w:type="pct"/>
                  <w:vMerge w:val="continue"/>
                  <w:noWrap w:val="0"/>
                  <w:vAlign w:val="center"/>
                </w:tcPr>
                <w:p w14:paraId="6658FFAE">
                  <w:pPr>
                    <w:jc w:val="center"/>
                    <w:rPr>
                      <w:rFonts w:hint="default" w:ascii="Times New Roman" w:hAnsi="Times New Roman" w:eastAsia="宋体" w:cs="Times New Roman"/>
                      <w:color w:val="auto"/>
                      <w:sz w:val="21"/>
                      <w:szCs w:val="21"/>
                      <w:highlight w:val="none"/>
                      <w:lang w:val="en-US" w:eastAsia="zh-CN"/>
                    </w:rPr>
                  </w:pPr>
                </w:p>
              </w:tc>
              <w:tc>
                <w:tcPr>
                  <w:tcW w:w="763" w:type="pct"/>
                  <w:vMerge w:val="continue"/>
                  <w:tcBorders>
                    <w:right w:val="single" w:color="000000" w:sz="6" w:space="0"/>
                  </w:tcBorders>
                  <w:noWrap w:val="0"/>
                  <w:vAlign w:val="center"/>
                </w:tcPr>
                <w:p w14:paraId="02B542F1">
                  <w:pPr>
                    <w:jc w:val="center"/>
                    <w:rPr>
                      <w:rFonts w:hint="eastAsia"/>
                      <w:color w:val="auto"/>
                      <w:sz w:val="21"/>
                      <w:szCs w:val="21"/>
                      <w:highlight w:val="none"/>
                      <w:lang w:val="en-US" w:eastAsia="zh-CN"/>
                    </w:rPr>
                  </w:pPr>
                </w:p>
              </w:tc>
              <w:tc>
                <w:tcPr>
                  <w:tcW w:w="768" w:type="pct"/>
                  <w:tcBorders>
                    <w:right w:val="single" w:color="000000" w:sz="6" w:space="0"/>
                  </w:tcBorders>
                  <w:noWrap w:val="0"/>
                  <w:vAlign w:val="center"/>
                </w:tcPr>
                <w:p w14:paraId="030D521A">
                  <w:pPr>
                    <w:jc w:val="center"/>
                    <w:rPr>
                      <w:rFonts w:hint="eastAsia"/>
                      <w:color w:val="auto"/>
                      <w:sz w:val="21"/>
                      <w:szCs w:val="21"/>
                      <w:highlight w:val="none"/>
                      <w:lang w:val="en-US" w:eastAsia="zh-CN"/>
                    </w:rPr>
                  </w:pPr>
                  <w:r>
                    <w:rPr>
                      <w:rFonts w:hint="eastAsia"/>
                      <w:color w:val="auto"/>
                      <w:sz w:val="21"/>
                      <w:szCs w:val="21"/>
                      <w:highlight w:val="none"/>
                      <w:lang w:val="en-US" w:eastAsia="zh-CN"/>
                    </w:rPr>
                    <w:t>4#监控点</w:t>
                  </w:r>
                </w:p>
              </w:tc>
              <w:tc>
                <w:tcPr>
                  <w:tcW w:w="579" w:type="pct"/>
                  <w:tcBorders>
                    <w:right w:val="single" w:color="000000" w:sz="6" w:space="0"/>
                  </w:tcBorders>
                  <w:noWrap w:val="0"/>
                  <w:vAlign w:val="center"/>
                </w:tcPr>
                <w:p w14:paraId="517F22C4">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0.380</w:t>
                  </w:r>
                </w:p>
              </w:tc>
              <w:tc>
                <w:tcPr>
                  <w:tcW w:w="579" w:type="pct"/>
                  <w:tcBorders>
                    <w:right w:val="single" w:color="000000" w:sz="6" w:space="0"/>
                  </w:tcBorders>
                  <w:noWrap w:val="0"/>
                  <w:vAlign w:val="center"/>
                </w:tcPr>
                <w:p w14:paraId="2D3B3148">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0.461</w:t>
                  </w:r>
                </w:p>
              </w:tc>
              <w:tc>
                <w:tcPr>
                  <w:tcW w:w="579" w:type="pct"/>
                  <w:tcBorders>
                    <w:right w:val="single" w:color="000000" w:sz="6" w:space="0"/>
                  </w:tcBorders>
                  <w:noWrap w:val="0"/>
                  <w:vAlign w:val="center"/>
                </w:tcPr>
                <w:p w14:paraId="3E903FAA">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0.384</w:t>
                  </w:r>
                </w:p>
              </w:tc>
              <w:tc>
                <w:tcPr>
                  <w:tcW w:w="581" w:type="pct"/>
                  <w:tcBorders>
                    <w:right w:val="single" w:color="000000" w:sz="6" w:space="0"/>
                  </w:tcBorders>
                  <w:noWrap w:val="0"/>
                  <w:vAlign w:val="center"/>
                </w:tcPr>
                <w:p w14:paraId="046B51B2">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0.482</w:t>
                  </w:r>
                </w:p>
              </w:tc>
              <w:tc>
                <w:tcPr>
                  <w:tcW w:w="768" w:type="pct"/>
                  <w:vMerge w:val="continue"/>
                  <w:tcBorders>
                    <w:right w:val="single" w:color="000000" w:sz="6" w:space="0"/>
                  </w:tcBorders>
                  <w:noWrap w:val="0"/>
                  <w:vAlign w:val="center"/>
                </w:tcPr>
                <w:p w14:paraId="4394CA5B">
                  <w:pPr>
                    <w:jc w:val="center"/>
                    <w:rPr>
                      <w:rFonts w:hint="eastAsia" w:ascii="Times New Roman" w:hAnsi="Times New Roman" w:eastAsia="宋体" w:cs="Times New Roman"/>
                      <w:color w:val="auto"/>
                      <w:sz w:val="21"/>
                      <w:szCs w:val="21"/>
                      <w:highlight w:val="none"/>
                      <w:lang w:val="en-US" w:eastAsia="zh-CN"/>
                    </w:rPr>
                  </w:pPr>
                </w:p>
              </w:tc>
            </w:tr>
            <w:tr w14:paraId="31C45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381" w:type="pct"/>
                  <w:vMerge w:val="continue"/>
                  <w:noWrap w:val="0"/>
                  <w:vAlign w:val="center"/>
                </w:tcPr>
                <w:p w14:paraId="427C0F2A">
                  <w:pPr>
                    <w:jc w:val="center"/>
                    <w:rPr>
                      <w:rFonts w:hint="default" w:ascii="Times New Roman" w:hAnsi="Times New Roman" w:eastAsia="宋体" w:cs="Times New Roman"/>
                      <w:color w:val="auto"/>
                      <w:sz w:val="21"/>
                      <w:szCs w:val="21"/>
                      <w:highlight w:val="none"/>
                      <w:lang w:val="en-US" w:eastAsia="zh-CN"/>
                    </w:rPr>
                  </w:pPr>
                </w:p>
              </w:tc>
              <w:tc>
                <w:tcPr>
                  <w:tcW w:w="763" w:type="pct"/>
                  <w:vMerge w:val="continue"/>
                  <w:tcBorders>
                    <w:right w:val="single" w:color="000000" w:sz="6" w:space="0"/>
                  </w:tcBorders>
                  <w:noWrap w:val="0"/>
                  <w:vAlign w:val="center"/>
                </w:tcPr>
                <w:p w14:paraId="18F116B8">
                  <w:pPr>
                    <w:jc w:val="center"/>
                    <w:rPr>
                      <w:rFonts w:hint="eastAsia"/>
                      <w:color w:val="auto"/>
                      <w:sz w:val="21"/>
                      <w:szCs w:val="21"/>
                      <w:highlight w:val="none"/>
                      <w:lang w:val="en-US" w:eastAsia="zh-CN"/>
                    </w:rPr>
                  </w:pPr>
                </w:p>
              </w:tc>
              <w:tc>
                <w:tcPr>
                  <w:tcW w:w="768" w:type="pct"/>
                  <w:tcBorders>
                    <w:right w:val="single" w:color="000000" w:sz="6" w:space="0"/>
                  </w:tcBorders>
                  <w:noWrap w:val="0"/>
                  <w:vAlign w:val="center"/>
                </w:tcPr>
                <w:p w14:paraId="0E42B79A">
                  <w:pPr>
                    <w:jc w:val="center"/>
                    <w:rPr>
                      <w:rFonts w:hint="eastAsia"/>
                      <w:color w:val="auto"/>
                      <w:sz w:val="21"/>
                      <w:szCs w:val="21"/>
                      <w:highlight w:val="none"/>
                      <w:lang w:val="en-US" w:eastAsia="zh-CN"/>
                    </w:rPr>
                  </w:pPr>
                  <w:r>
                    <w:rPr>
                      <w:rFonts w:hint="eastAsia"/>
                      <w:color w:val="auto"/>
                      <w:sz w:val="21"/>
                      <w:szCs w:val="21"/>
                      <w:highlight w:val="none"/>
                      <w:lang w:val="en-US" w:eastAsia="zh-CN"/>
                    </w:rPr>
                    <w:t>5#监控点</w:t>
                  </w:r>
                </w:p>
              </w:tc>
              <w:tc>
                <w:tcPr>
                  <w:tcW w:w="579" w:type="pct"/>
                  <w:tcBorders>
                    <w:right w:val="single" w:color="000000" w:sz="6" w:space="0"/>
                  </w:tcBorders>
                  <w:noWrap w:val="0"/>
                  <w:vAlign w:val="center"/>
                </w:tcPr>
                <w:p w14:paraId="7A9733F2">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0.483</w:t>
                  </w:r>
                </w:p>
              </w:tc>
              <w:tc>
                <w:tcPr>
                  <w:tcW w:w="579" w:type="pct"/>
                  <w:tcBorders>
                    <w:right w:val="single" w:color="000000" w:sz="6" w:space="0"/>
                  </w:tcBorders>
                  <w:noWrap w:val="0"/>
                  <w:vAlign w:val="center"/>
                </w:tcPr>
                <w:p w14:paraId="2F0AC356">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0.559</w:t>
                  </w:r>
                </w:p>
              </w:tc>
              <w:tc>
                <w:tcPr>
                  <w:tcW w:w="579" w:type="pct"/>
                  <w:tcBorders>
                    <w:right w:val="single" w:color="000000" w:sz="6" w:space="0"/>
                  </w:tcBorders>
                  <w:noWrap w:val="0"/>
                  <w:vAlign w:val="center"/>
                </w:tcPr>
                <w:p w14:paraId="419BB773">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0.414</w:t>
                  </w:r>
                </w:p>
              </w:tc>
              <w:tc>
                <w:tcPr>
                  <w:tcW w:w="581" w:type="pct"/>
                  <w:tcBorders>
                    <w:right w:val="single" w:color="000000" w:sz="6" w:space="0"/>
                  </w:tcBorders>
                  <w:noWrap w:val="0"/>
                  <w:vAlign w:val="center"/>
                </w:tcPr>
                <w:p w14:paraId="750574D8">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0.416</w:t>
                  </w:r>
                </w:p>
              </w:tc>
              <w:tc>
                <w:tcPr>
                  <w:tcW w:w="768" w:type="pct"/>
                  <w:vMerge w:val="continue"/>
                  <w:tcBorders>
                    <w:right w:val="single" w:color="000000" w:sz="6" w:space="0"/>
                  </w:tcBorders>
                  <w:noWrap w:val="0"/>
                  <w:vAlign w:val="center"/>
                </w:tcPr>
                <w:p w14:paraId="33DEC082">
                  <w:pPr>
                    <w:jc w:val="center"/>
                    <w:rPr>
                      <w:rFonts w:hint="eastAsia" w:ascii="Times New Roman" w:hAnsi="Times New Roman" w:eastAsia="宋体" w:cs="Times New Roman"/>
                      <w:color w:val="auto"/>
                      <w:sz w:val="21"/>
                      <w:szCs w:val="21"/>
                      <w:highlight w:val="none"/>
                      <w:lang w:val="en-US" w:eastAsia="zh-CN"/>
                    </w:rPr>
                  </w:pPr>
                </w:p>
              </w:tc>
            </w:tr>
            <w:tr w14:paraId="361EB3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381" w:type="pct"/>
                  <w:vMerge w:val="continue"/>
                  <w:noWrap w:val="0"/>
                  <w:vAlign w:val="center"/>
                </w:tcPr>
                <w:p w14:paraId="4C336A8F">
                  <w:pPr>
                    <w:jc w:val="center"/>
                    <w:rPr>
                      <w:rFonts w:hint="eastAsia" w:ascii="Times New Roman" w:hAnsi="Times New Roman" w:eastAsia="宋体" w:cs="Times New Roman"/>
                      <w:color w:val="auto"/>
                      <w:sz w:val="21"/>
                      <w:szCs w:val="21"/>
                      <w:highlight w:val="none"/>
                      <w:lang w:val="en-US" w:eastAsia="zh-CN"/>
                    </w:rPr>
                  </w:pPr>
                </w:p>
              </w:tc>
              <w:tc>
                <w:tcPr>
                  <w:tcW w:w="763" w:type="pct"/>
                  <w:vMerge w:val="restart"/>
                  <w:tcBorders>
                    <w:right w:val="single" w:color="000000" w:sz="6" w:space="0"/>
                  </w:tcBorders>
                  <w:noWrap w:val="0"/>
                  <w:vAlign w:val="center"/>
                </w:tcPr>
                <w:p w14:paraId="3D9D8F7B">
                  <w:pPr>
                    <w:jc w:val="center"/>
                    <w:rPr>
                      <w:rFonts w:hint="default"/>
                      <w:color w:val="auto"/>
                      <w:sz w:val="21"/>
                      <w:szCs w:val="21"/>
                      <w:highlight w:val="none"/>
                      <w:lang w:val="en-US" w:eastAsia="zh-CN"/>
                    </w:rPr>
                  </w:pPr>
                  <w:r>
                    <w:rPr>
                      <w:rFonts w:hint="eastAsia"/>
                      <w:color w:val="auto"/>
                      <w:sz w:val="21"/>
                      <w:szCs w:val="21"/>
                      <w:highlight w:val="none"/>
                      <w:lang w:val="en-US" w:eastAsia="zh-CN"/>
                    </w:rPr>
                    <w:t>CO</w:t>
                  </w:r>
                </w:p>
              </w:tc>
              <w:tc>
                <w:tcPr>
                  <w:tcW w:w="768" w:type="pct"/>
                  <w:tcBorders>
                    <w:right w:val="single" w:color="000000" w:sz="6" w:space="0"/>
                  </w:tcBorders>
                  <w:shd w:val="clear" w:color="auto" w:fill="auto"/>
                  <w:noWrap w:val="0"/>
                  <w:vAlign w:val="center"/>
                </w:tcPr>
                <w:p w14:paraId="3D63CA31">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1#参照点</w:t>
                  </w:r>
                </w:p>
              </w:tc>
              <w:tc>
                <w:tcPr>
                  <w:tcW w:w="579" w:type="pct"/>
                  <w:tcBorders>
                    <w:right w:val="single" w:color="000000" w:sz="6" w:space="0"/>
                  </w:tcBorders>
                  <w:noWrap w:val="0"/>
                  <w:vAlign w:val="center"/>
                </w:tcPr>
                <w:p w14:paraId="3ABC533D">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0.3</w:t>
                  </w:r>
                </w:p>
              </w:tc>
              <w:tc>
                <w:tcPr>
                  <w:tcW w:w="579" w:type="pct"/>
                  <w:tcBorders>
                    <w:right w:val="single" w:color="000000" w:sz="6" w:space="0"/>
                  </w:tcBorders>
                  <w:noWrap w:val="0"/>
                  <w:vAlign w:val="center"/>
                </w:tcPr>
                <w:p w14:paraId="4C59D14E">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0.3</w:t>
                  </w:r>
                </w:p>
              </w:tc>
              <w:tc>
                <w:tcPr>
                  <w:tcW w:w="579" w:type="pct"/>
                  <w:tcBorders>
                    <w:right w:val="single" w:color="000000" w:sz="6" w:space="0"/>
                  </w:tcBorders>
                  <w:noWrap w:val="0"/>
                  <w:vAlign w:val="center"/>
                </w:tcPr>
                <w:p w14:paraId="7839EC12">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0.3</w:t>
                  </w:r>
                </w:p>
              </w:tc>
              <w:tc>
                <w:tcPr>
                  <w:tcW w:w="581" w:type="pct"/>
                  <w:tcBorders>
                    <w:right w:val="single" w:color="000000" w:sz="6" w:space="0"/>
                  </w:tcBorders>
                  <w:noWrap w:val="0"/>
                  <w:vAlign w:val="center"/>
                </w:tcPr>
                <w:p w14:paraId="4E3B6DD3">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0.3</w:t>
                  </w:r>
                </w:p>
              </w:tc>
              <w:tc>
                <w:tcPr>
                  <w:tcW w:w="768" w:type="pct"/>
                  <w:vMerge w:val="restart"/>
                  <w:tcBorders>
                    <w:right w:val="single" w:color="000000" w:sz="6" w:space="0"/>
                  </w:tcBorders>
                  <w:noWrap w:val="0"/>
                  <w:vAlign w:val="center"/>
                </w:tcPr>
                <w:p w14:paraId="4F358A74">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r>
            <w:tr w14:paraId="00AB8B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381" w:type="pct"/>
                  <w:vMerge w:val="continue"/>
                  <w:noWrap w:val="0"/>
                  <w:vAlign w:val="center"/>
                </w:tcPr>
                <w:p w14:paraId="402435E2">
                  <w:pPr>
                    <w:jc w:val="center"/>
                    <w:rPr>
                      <w:rFonts w:hint="eastAsia" w:ascii="Times New Roman" w:hAnsi="Times New Roman" w:eastAsia="宋体" w:cs="Times New Roman"/>
                      <w:color w:val="auto"/>
                      <w:sz w:val="21"/>
                      <w:szCs w:val="21"/>
                      <w:highlight w:val="none"/>
                      <w:lang w:val="en-US" w:eastAsia="zh-CN"/>
                    </w:rPr>
                  </w:pPr>
                </w:p>
              </w:tc>
              <w:tc>
                <w:tcPr>
                  <w:tcW w:w="763" w:type="pct"/>
                  <w:vMerge w:val="continue"/>
                  <w:tcBorders>
                    <w:right w:val="single" w:color="000000" w:sz="6" w:space="0"/>
                  </w:tcBorders>
                  <w:noWrap w:val="0"/>
                  <w:vAlign w:val="center"/>
                </w:tcPr>
                <w:p w14:paraId="605BC0FE">
                  <w:pPr>
                    <w:jc w:val="center"/>
                    <w:rPr>
                      <w:rFonts w:hint="eastAsia"/>
                      <w:color w:val="auto"/>
                      <w:sz w:val="21"/>
                      <w:szCs w:val="21"/>
                      <w:highlight w:val="none"/>
                      <w:lang w:val="en-US" w:eastAsia="zh-CN"/>
                    </w:rPr>
                  </w:pPr>
                </w:p>
              </w:tc>
              <w:tc>
                <w:tcPr>
                  <w:tcW w:w="768" w:type="pct"/>
                  <w:tcBorders>
                    <w:right w:val="single" w:color="000000" w:sz="6" w:space="0"/>
                  </w:tcBorders>
                  <w:shd w:val="clear" w:color="auto" w:fill="auto"/>
                  <w:noWrap w:val="0"/>
                  <w:vAlign w:val="center"/>
                </w:tcPr>
                <w:p w14:paraId="5B120059">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2#监控点</w:t>
                  </w:r>
                </w:p>
              </w:tc>
              <w:tc>
                <w:tcPr>
                  <w:tcW w:w="579" w:type="pct"/>
                  <w:tcBorders>
                    <w:right w:val="single" w:color="000000" w:sz="6" w:space="0"/>
                  </w:tcBorders>
                  <w:noWrap w:val="0"/>
                  <w:vAlign w:val="center"/>
                </w:tcPr>
                <w:p w14:paraId="4A498065">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w:t>
                  </w:r>
                </w:p>
              </w:tc>
              <w:tc>
                <w:tcPr>
                  <w:tcW w:w="579" w:type="pct"/>
                  <w:tcBorders>
                    <w:right w:val="single" w:color="000000" w:sz="6" w:space="0"/>
                  </w:tcBorders>
                  <w:noWrap w:val="0"/>
                  <w:vAlign w:val="center"/>
                </w:tcPr>
                <w:p w14:paraId="5C2BD0E4">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w:t>
                  </w:r>
                </w:p>
              </w:tc>
              <w:tc>
                <w:tcPr>
                  <w:tcW w:w="579" w:type="pct"/>
                  <w:tcBorders>
                    <w:right w:val="single" w:color="000000" w:sz="6" w:space="0"/>
                  </w:tcBorders>
                  <w:noWrap w:val="0"/>
                  <w:vAlign w:val="center"/>
                </w:tcPr>
                <w:p w14:paraId="770D7526">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w:t>
                  </w:r>
                </w:p>
              </w:tc>
              <w:tc>
                <w:tcPr>
                  <w:tcW w:w="581" w:type="pct"/>
                  <w:tcBorders>
                    <w:right w:val="single" w:color="000000" w:sz="6" w:space="0"/>
                  </w:tcBorders>
                  <w:noWrap w:val="0"/>
                  <w:vAlign w:val="center"/>
                </w:tcPr>
                <w:p w14:paraId="18EBBC43">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w:t>
                  </w:r>
                </w:p>
              </w:tc>
              <w:tc>
                <w:tcPr>
                  <w:tcW w:w="768" w:type="pct"/>
                  <w:vMerge w:val="continue"/>
                  <w:tcBorders>
                    <w:right w:val="single" w:color="000000" w:sz="6" w:space="0"/>
                  </w:tcBorders>
                  <w:noWrap w:val="0"/>
                  <w:vAlign w:val="center"/>
                </w:tcPr>
                <w:p w14:paraId="72762AF8">
                  <w:pPr>
                    <w:jc w:val="center"/>
                    <w:rPr>
                      <w:rFonts w:hint="eastAsia" w:ascii="Times New Roman" w:hAnsi="Times New Roman" w:eastAsia="宋体" w:cs="Times New Roman"/>
                      <w:color w:val="auto"/>
                      <w:sz w:val="21"/>
                      <w:szCs w:val="21"/>
                      <w:highlight w:val="none"/>
                      <w:lang w:val="en-US" w:eastAsia="zh-CN"/>
                    </w:rPr>
                  </w:pPr>
                </w:p>
              </w:tc>
            </w:tr>
            <w:tr w14:paraId="03496F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381" w:type="pct"/>
                  <w:vMerge w:val="continue"/>
                  <w:noWrap w:val="0"/>
                  <w:vAlign w:val="center"/>
                </w:tcPr>
                <w:p w14:paraId="4C30AAB0">
                  <w:pPr>
                    <w:jc w:val="center"/>
                    <w:rPr>
                      <w:rFonts w:hint="eastAsia" w:ascii="Times New Roman" w:hAnsi="Times New Roman" w:eastAsia="宋体" w:cs="Times New Roman"/>
                      <w:color w:val="auto"/>
                      <w:sz w:val="21"/>
                      <w:szCs w:val="21"/>
                      <w:highlight w:val="none"/>
                      <w:lang w:val="en-US" w:eastAsia="zh-CN"/>
                    </w:rPr>
                  </w:pPr>
                </w:p>
              </w:tc>
              <w:tc>
                <w:tcPr>
                  <w:tcW w:w="763" w:type="pct"/>
                  <w:vMerge w:val="continue"/>
                  <w:tcBorders>
                    <w:right w:val="single" w:color="000000" w:sz="6" w:space="0"/>
                  </w:tcBorders>
                  <w:noWrap w:val="0"/>
                  <w:vAlign w:val="center"/>
                </w:tcPr>
                <w:p w14:paraId="79857BD8">
                  <w:pPr>
                    <w:jc w:val="center"/>
                    <w:rPr>
                      <w:rFonts w:hint="eastAsia"/>
                      <w:color w:val="auto"/>
                      <w:sz w:val="21"/>
                      <w:szCs w:val="21"/>
                      <w:highlight w:val="none"/>
                      <w:lang w:val="en-US" w:eastAsia="zh-CN"/>
                    </w:rPr>
                  </w:pPr>
                </w:p>
              </w:tc>
              <w:tc>
                <w:tcPr>
                  <w:tcW w:w="768" w:type="pct"/>
                  <w:tcBorders>
                    <w:right w:val="single" w:color="000000" w:sz="6" w:space="0"/>
                  </w:tcBorders>
                  <w:shd w:val="clear" w:color="auto" w:fill="auto"/>
                  <w:noWrap w:val="0"/>
                  <w:vAlign w:val="center"/>
                </w:tcPr>
                <w:p w14:paraId="5D3D8EA7">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3#监控点</w:t>
                  </w:r>
                </w:p>
              </w:tc>
              <w:tc>
                <w:tcPr>
                  <w:tcW w:w="579" w:type="pct"/>
                  <w:tcBorders>
                    <w:right w:val="single" w:color="000000" w:sz="6" w:space="0"/>
                  </w:tcBorders>
                  <w:noWrap w:val="0"/>
                  <w:vAlign w:val="center"/>
                </w:tcPr>
                <w:p w14:paraId="59197AFA">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w:t>
                  </w:r>
                </w:p>
              </w:tc>
              <w:tc>
                <w:tcPr>
                  <w:tcW w:w="579" w:type="pct"/>
                  <w:tcBorders>
                    <w:right w:val="single" w:color="000000" w:sz="6" w:space="0"/>
                  </w:tcBorders>
                  <w:noWrap w:val="0"/>
                  <w:vAlign w:val="center"/>
                </w:tcPr>
                <w:p w14:paraId="7E887408">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w:t>
                  </w:r>
                </w:p>
              </w:tc>
              <w:tc>
                <w:tcPr>
                  <w:tcW w:w="579" w:type="pct"/>
                  <w:tcBorders>
                    <w:right w:val="single" w:color="000000" w:sz="6" w:space="0"/>
                  </w:tcBorders>
                  <w:noWrap w:val="0"/>
                  <w:vAlign w:val="center"/>
                </w:tcPr>
                <w:p w14:paraId="40BF6BCE">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w:t>
                  </w:r>
                </w:p>
              </w:tc>
              <w:tc>
                <w:tcPr>
                  <w:tcW w:w="581" w:type="pct"/>
                  <w:tcBorders>
                    <w:right w:val="single" w:color="000000" w:sz="6" w:space="0"/>
                  </w:tcBorders>
                  <w:noWrap w:val="0"/>
                  <w:vAlign w:val="center"/>
                </w:tcPr>
                <w:p w14:paraId="4EA35671">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w:t>
                  </w:r>
                </w:p>
              </w:tc>
              <w:tc>
                <w:tcPr>
                  <w:tcW w:w="768" w:type="pct"/>
                  <w:vMerge w:val="continue"/>
                  <w:tcBorders>
                    <w:right w:val="single" w:color="000000" w:sz="6" w:space="0"/>
                  </w:tcBorders>
                  <w:noWrap w:val="0"/>
                  <w:vAlign w:val="center"/>
                </w:tcPr>
                <w:p w14:paraId="6B4853C4">
                  <w:pPr>
                    <w:jc w:val="center"/>
                    <w:rPr>
                      <w:rFonts w:hint="eastAsia" w:ascii="Times New Roman" w:hAnsi="Times New Roman" w:eastAsia="宋体" w:cs="Times New Roman"/>
                      <w:color w:val="auto"/>
                      <w:sz w:val="21"/>
                      <w:szCs w:val="21"/>
                      <w:highlight w:val="none"/>
                      <w:lang w:val="en-US" w:eastAsia="zh-CN"/>
                    </w:rPr>
                  </w:pPr>
                </w:p>
              </w:tc>
            </w:tr>
            <w:tr w14:paraId="646805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381" w:type="pct"/>
                  <w:vMerge w:val="continue"/>
                  <w:noWrap w:val="0"/>
                  <w:vAlign w:val="center"/>
                </w:tcPr>
                <w:p w14:paraId="2FC21A22">
                  <w:pPr>
                    <w:jc w:val="center"/>
                    <w:rPr>
                      <w:rFonts w:hint="eastAsia" w:ascii="Times New Roman" w:hAnsi="Times New Roman" w:eastAsia="宋体" w:cs="Times New Roman"/>
                      <w:color w:val="auto"/>
                      <w:sz w:val="21"/>
                      <w:szCs w:val="21"/>
                      <w:highlight w:val="none"/>
                      <w:lang w:val="en-US" w:eastAsia="zh-CN"/>
                    </w:rPr>
                  </w:pPr>
                </w:p>
              </w:tc>
              <w:tc>
                <w:tcPr>
                  <w:tcW w:w="763" w:type="pct"/>
                  <w:vMerge w:val="continue"/>
                  <w:tcBorders>
                    <w:right w:val="single" w:color="000000" w:sz="6" w:space="0"/>
                  </w:tcBorders>
                  <w:noWrap w:val="0"/>
                  <w:vAlign w:val="center"/>
                </w:tcPr>
                <w:p w14:paraId="7C0348AD">
                  <w:pPr>
                    <w:jc w:val="center"/>
                    <w:rPr>
                      <w:rFonts w:hint="eastAsia"/>
                      <w:color w:val="auto"/>
                      <w:sz w:val="21"/>
                      <w:szCs w:val="21"/>
                      <w:highlight w:val="none"/>
                      <w:lang w:val="en-US" w:eastAsia="zh-CN"/>
                    </w:rPr>
                  </w:pPr>
                </w:p>
              </w:tc>
              <w:tc>
                <w:tcPr>
                  <w:tcW w:w="768" w:type="pct"/>
                  <w:tcBorders>
                    <w:right w:val="single" w:color="000000" w:sz="6" w:space="0"/>
                  </w:tcBorders>
                  <w:shd w:val="clear" w:color="auto" w:fill="auto"/>
                  <w:noWrap w:val="0"/>
                  <w:vAlign w:val="center"/>
                </w:tcPr>
                <w:p w14:paraId="0152DD84">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4#监控点</w:t>
                  </w:r>
                </w:p>
              </w:tc>
              <w:tc>
                <w:tcPr>
                  <w:tcW w:w="579" w:type="pct"/>
                  <w:tcBorders>
                    <w:right w:val="single" w:color="000000" w:sz="6" w:space="0"/>
                  </w:tcBorders>
                  <w:shd w:val="clear" w:color="auto" w:fill="auto"/>
                  <w:noWrap w:val="0"/>
                  <w:vAlign w:val="center"/>
                </w:tcPr>
                <w:p w14:paraId="59F66AF5">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0.4</w:t>
                  </w:r>
                </w:p>
              </w:tc>
              <w:tc>
                <w:tcPr>
                  <w:tcW w:w="579" w:type="pct"/>
                  <w:tcBorders>
                    <w:right w:val="single" w:color="000000" w:sz="6" w:space="0"/>
                  </w:tcBorders>
                  <w:shd w:val="clear" w:color="auto" w:fill="auto"/>
                  <w:noWrap w:val="0"/>
                  <w:vAlign w:val="center"/>
                </w:tcPr>
                <w:p w14:paraId="5FE92EE2">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0.4</w:t>
                  </w:r>
                </w:p>
              </w:tc>
              <w:tc>
                <w:tcPr>
                  <w:tcW w:w="579" w:type="pct"/>
                  <w:tcBorders>
                    <w:right w:val="single" w:color="000000" w:sz="6" w:space="0"/>
                  </w:tcBorders>
                  <w:shd w:val="clear" w:color="auto" w:fill="auto"/>
                  <w:noWrap w:val="0"/>
                  <w:vAlign w:val="center"/>
                </w:tcPr>
                <w:p w14:paraId="14FD7B0E">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0.4</w:t>
                  </w:r>
                </w:p>
              </w:tc>
              <w:tc>
                <w:tcPr>
                  <w:tcW w:w="581" w:type="pct"/>
                  <w:tcBorders>
                    <w:right w:val="single" w:color="000000" w:sz="6" w:space="0"/>
                  </w:tcBorders>
                  <w:shd w:val="clear" w:color="auto" w:fill="auto"/>
                  <w:noWrap w:val="0"/>
                  <w:vAlign w:val="center"/>
                </w:tcPr>
                <w:p w14:paraId="614C978D">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0.4</w:t>
                  </w:r>
                </w:p>
              </w:tc>
              <w:tc>
                <w:tcPr>
                  <w:tcW w:w="768" w:type="pct"/>
                  <w:vMerge w:val="continue"/>
                  <w:tcBorders>
                    <w:right w:val="single" w:color="000000" w:sz="6" w:space="0"/>
                  </w:tcBorders>
                  <w:noWrap w:val="0"/>
                  <w:vAlign w:val="center"/>
                </w:tcPr>
                <w:p w14:paraId="7D054A5E">
                  <w:pPr>
                    <w:jc w:val="center"/>
                    <w:rPr>
                      <w:rFonts w:hint="eastAsia" w:ascii="Times New Roman" w:hAnsi="Times New Roman" w:eastAsia="宋体" w:cs="Times New Roman"/>
                      <w:color w:val="auto"/>
                      <w:sz w:val="21"/>
                      <w:szCs w:val="21"/>
                      <w:highlight w:val="none"/>
                      <w:lang w:val="en-US" w:eastAsia="zh-CN"/>
                    </w:rPr>
                  </w:pPr>
                </w:p>
              </w:tc>
            </w:tr>
            <w:tr w14:paraId="559C0A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381" w:type="pct"/>
                  <w:vMerge w:val="continue"/>
                  <w:noWrap w:val="0"/>
                  <w:vAlign w:val="center"/>
                </w:tcPr>
                <w:p w14:paraId="38277AAB">
                  <w:pPr>
                    <w:jc w:val="center"/>
                    <w:rPr>
                      <w:rFonts w:hint="eastAsia" w:ascii="Times New Roman" w:hAnsi="Times New Roman" w:eastAsia="宋体" w:cs="Times New Roman"/>
                      <w:color w:val="auto"/>
                      <w:sz w:val="21"/>
                      <w:szCs w:val="21"/>
                      <w:highlight w:val="none"/>
                      <w:lang w:val="en-US" w:eastAsia="zh-CN"/>
                    </w:rPr>
                  </w:pPr>
                </w:p>
              </w:tc>
              <w:tc>
                <w:tcPr>
                  <w:tcW w:w="763" w:type="pct"/>
                  <w:vMerge w:val="continue"/>
                  <w:tcBorders>
                    <w:right w:val="single" w:color="000000" w:sz="6" w:space="0"/>
                  </w:tcBorders>
                  <w:noWrap w:val="0"/>
                  <w:vAlign w:val="center"/>
                </w:tcPr>
                <w:p w14:paraId="4A503D90">
                  <w:pPr>
                    <w:jc w:val="center"/>
                    <w:rPr>
                      <w:rFonts w:hint="eastAsia"/>
                      <w:color w:val="auto"/>
                      <w:sz w:val="21"/>
                      <w:szCs w:val="21"/>
                      <w:highlight w:val="none"/>
                      <w:lang w:val="en-US" w:eastAsia="zh-CN"/>
                    </w:rPr>
                  </w:pPr>
                </w:p>
              </w:tc>
              <w:tc>
                <w:tcPr>
                  <w:tcW w:w="768" w:type="pct"/>
                  <w:tcBorders>
                    <w:right w:val="single" w:color="000000" w:sz="6" w:space="0"/>
                  </w:tcBorders>
                  <w:shd w:val="clear" w:color="auto" w:fill="auto"/>
                  <w:noWrap w:val="0"/>
                  <w:vAlign w:val="center"/>
                </w:tcPr>
                <w:p w14:paraId="1C03621C">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5#监控点</w:t>
                  </w:r>
                </w:p>
              </w:tc>
              <w:tc>
                <w:tcPr>
                  <w:tcW w:w="579" w:type="pct"/>
                  <w:tcBorders>
                    <w:right w:val="single" w:color="000000" w:sz="6" w:space="0"/>
                  </w:tcBorders>
                  <w:noWrap w:val="0"/>
                  <w:vAlign w:val="center"/>
                </w:tcPr>
                <w:p w14:paraId="28DADC74">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w:t>
                  </w:r>
                </w:p>
              </w:tc>
              <w:tc>
                <w:tcPr>
                  <w:tcW w:w="579" w:type="pct"/>
                  <w:tcBorders>
                    <w:right w:val="single" w:color="000000" w:sz="6" w:space="0"/>
                  </w:tcBorders>
                  <w:noWrap w:val="0"/>
                  <w:vAlign w:val="center"/>
                </w:tcPr>
                <w:p w14:paraId="5152DB08">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w:t>
                  </w:r>
                </w:p>
              </w:tc>
              <w:tc>
                <w:tcPr>
                  <w:tcW w:w="579" w:type="pct"/>
                  <w:tcBorders>
                    <w:right w:val="single" w:color="000000" w:sz="6" w:space="0"/>
                  </w:tcBorders>
                  <w:noWrap w:val="0"/>
                  <w:vAlign w:val="center"/>
                </w:tcPr>
                <w:p w14:paraId="573BD87A">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w:t>
                  </w:r>
                </w:p>
              </w:tc>
              <w:tc>
                <w:tcPr>
                  <w:tcW w:w="581" w:type="pct"/>
                  <w:tcBorders>
                    <w:right w:val="single" w:color="000000" w:sz="6" w:space="0"/>
                  </w:tcBorders>
                  <w:noWrap w:val="0"/>
                  <w:vAlign w:val="center"/>
                </w:tcPr>
                <w:p w14:paraId="3FAE7820">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w:t>
                  </w:r>
                </w:p>
              </w:tc>
              <w:tc>
                <w:tcPr>
                  <w:tcW w:w="768" w:type="pct"/>
                  <w:vMerge w:val="continue"/>
                  <w:tcBorders>
                    <w:right w:val="single" w:color="000000" w:sz="6" w:space="0"/>
                  </w:tcBorders>
                  <w:noWrap w:val="0"/>
                  <w:vAlign w:val="center"/>
                </w:tcPr>
                <w:p w14:paraId="0F6AEF51">
                  <w:pPr>
                    <w:jc w:val="center"/>
                    <w:rPr>
                      <w:rFonts w:hint="eastAsia" w:ascii="Times New Roman" w:hAnsi="Times New Roman" w:eastAsia="宋体" w:cs="Times New Roman"/>
                      <w:color w:val="auto"/>
                      <w:sz w:val="21"/>
                      <w:szCs w:val="21"/>
                      <w:highlight w:val="none"/>
                      <w:lang w:val="en-US" w:eastAsia="zh-CN"/>
                    </w:rPr>
                  </w:pPr>
                </w:p>
              </w:tc>
            </w:tr>
            <w:tr w14:paraId="0FA46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381" w:type="pct"/>
                  <w:vMerge w:val="restart"/>
                  <w:noWrap w:val="0"/>
                  <w:vAlign w:val="center"/>
                </w:tcPr>
                <w:p w14:paraId="35BB1054">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金烨钢铁集团有限公司自行监测</w:t>
                  </w:r>
                </w:p>
              </w:tc>
              <w:tc>
                <w:tcPr>
                  <w:tcW w:w="763" w:type="pct"/>
                  <w:vMerge w:val="restart"/>
                  <w:tcBorders>
                    <w:right w:val="single" w:color="000000" w:sz="6" w:space="0"/>
                  </w:tcBorders>
                  <w:shd w:val="clear" w:color="auto" w:fill="auto"/>
                  <w:noWrap w:val="0"/>
                  <w:vAlign w:val="center"/>
                </w:tcPr>
                <w:p w14:paraId="1CC9670A">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颗粒物</w:t>
                  </w:r>
                </w:p>
              </w:tc>
              <w:tc>
                <w:tcPr>
                  <w:tcW w:w="768" w:type="pct"/>
                  <w:tcBorders>
                    <w:right w:val="single" w:color="000000" w:sz="6" w:space="0"/>
                  </w:tcBorders>
                  <w:shd w:val="clear" w:color="auto" w:fill="auto"/>
                  <w:noWrap w:val="0"/>
                  <w:vAlign w:val="center"/>
                </w:tcPr>
                <w:p w14:paraId="4495FEBD">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1#参照点</w:t>
                  </w:r>
                </w:p>
              </w:tc>
              <w:tc>
                <w:tcPr>
                  <w:tcW w:w="579" w:type="pct"/>
                  <w:tcBorders>
                    <w:right w:val="single" w:color="000000" w:sz="6" w:space="0"/>
                  </w:tcBorders>
                  <w:shd w:val="clear" w:color="auto" w:fill="auto"/>
                  <w:noWrap w:val="0"/>
                  <w:vAlign w:val="center"/>
                </w:tcPr>
                <w:p w14:paraId="788DEE95">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0.263</w:t>
                  </w:r>
                </w:p>
              </w:tc>
              <w:tc>
                <w:tcPr>
                  <w:tcW w:w="579" w:type="pct"/>
                  <w:tcBorders>
                    <w:right w:val="single" w:color="000000" w:sz="6" w:space="0"/>
                  </w:tcBorders>
                  <w:shd w:val="clear" w:color="auto" w:fill="auto"/>
                  <w:noWrap w:val="0"/>
                  <w:vAlign w:val="center"/>
                </w:tcPr>
                <w:p w14:paraId="0B293127">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0.213</w:t>
                  </w:r>
                </w:p>
              </w:tc>
              <w:tc>
                <w:tcPr>
                  <w:tcW w:w="579" w:type="pct"/>
                  <w:tcBorders>
                    <w:right w:val="single" w:color="000000" w:sz="6" w:space="0"/>
                  </w:tcBorders>
                  <w:shd w:val="clear" w:color="auto" w:fill="auto"/>
                  <w:noWrap w:val="0"/>
                  <w:vAlign w:val="center"/>
                </w:tcPr>
                <w:p w14:paraId="2915B059">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0.230</w:t>
                  </w:r>
                </w:p>
              </w:tc>
              <w:tc>
                <w:tcPr>
                  <w:tcW w:w="581" w:type="pct"/>
                  <w:tcBorders>
                    <w:right w:val="single" w:color="000000" w:sz="6" w:space="0"/>
                  </w:tcBorders>
                  <w:shd w:val="clear" w:color="auto" w:fill="auto"/>
                  <w:noWrap w:val="0"/>
                  <w:vAlign w:val="center"/>
                </w:tcPr>
                <w:p w14:paraId="617FD12B">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0.248</w:t>
                  </w:r>
                </w:p>
              </w:tc>
              <w:tc>
                <w:tcPr>
                  <w:tcW w:w="768" w:type="pct"/>
                  <w:vMerge w:val="restart"/>
                  <w:tcBorders>
                    <w:right w:val="single" w:color="000000" w:sz="6" w:space="0"/>
                  </w:tcBorders>
                  <w:shd w:val="clear" w:color="auto" w:fill="auto"/>
                  <w:noWrap w:val="0"/>
                  <w:vAlign w:val="center"/>
                </w:tcPr>
                <w:p w14:paraId="21465E82">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1</w:t>
                  </w:r>
                </w:p>
              </w:tc>
            </w:tr>
            <w:tr w14:paraId="0B610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381" w:type="pct"/>
                  <w:vMerge w:val="continue"/>
                  <w:noWrap w:val="0"/>
                  <w:vAlign w:val="center"/>
                </w:tcPr>
                <w:p w14:paraId="3E2745EC">
                  <w:pPr>
                    <w:jc w:val="center"/>
                    <w:rPr>
                      <w:rFonts w:hint="eastAsia"/>
                      <w:color w:val="auto"/>
                      <w:sz w:val="21"/>
                      <w:szCs w:val="21"/>
                      <w:highlight w:val="none"/>
                      <w:lang w:val="en-US" w:eastAsia="zh-CN"/>
                    </w:rPr>
                  </w:pPr>
                </w:p>
              </w:tc>
              <w:tc>
                <w:tcPr>
                  <w:tcW w:w="763" w:type="pct"/>
                  <w:vMerge w:val="continue"/>
                  <w:tcBorders>
                    <w:right w:val="single" w:color="000000" w:sz="6" w:space="0"/>
                  </w:tcBorders>
                  <w:noWrap w:val="0"/>
                  <w:vAlign w:val="center"/>
                </w:tcPr>
                <w:p w14:paraId="642D8FF1">
                  <w:pPr>
                    <w:jc w:val="center"/>
                    <w:rPr>
                      <w:rFonts w:hint="eastAsia"/>
                      <w:color w:val="auto"/>
                      <w:sz w:val="21"/>
                      <w:szCs w:val="21"/>
                      <w:highlight w:val="none"/>
                      <w:lang w:val="en-US" w:eastAsia="zh-CN"/>
                    </w:rPr>
                  </w:pPr>
                </w:p>
              </w:tc>
              <w:tc>
                <w:tcPr>
                  <w:tcW w:w="768" w:type="pct"/>
                  <w:tcBorders>
                    <w:right w:val="single" w:color="000000" w:sz="6" w:space="0"/>
                  </w:tcBorders>
                  <w:shd w:val="clear" w:color="auto" w:fill="auto"/>
                  <w:noWrap w:val="0"/>
                  <w:vAlign w:val="center"/>
                </w:tcPr>
                <w:p w14:paraId="3F14E290">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2#监控点</w:t>
                  </w:r>
                </w:p>
              </w:tc>
              <w:tc>
                <w:tcPr>
                  <w:tcW w:w="579" w:type="pct"/>
                  <w:tcBorders>
                    <w:right w:val="single" w:color="000000" w:sz="6" w:space="0"/>
                  </w:tcBorders>
                  <w:shd w:val="clear" w:color="auto" w:fill="auto"/>
                  <w:noWrap w:val="0"/>
                  <w:vAlign w:val="center"/>
                </w:tcPr>
                <w:p w14:paraId="7E2B70A9">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0.483</w:t>
                  </w:r>
                </w:p>
              </w:tc>
              <w:tc>
                <w:tcPr>
                  <w:tcW w:w="579" w:type="pct"/>
                  <w:tcBorders>
                    <w:right w:val="single" w:color="000000" w:sz="6" w:space="0"/>
                  </w:tcBorders>
                  <w:shd w:val="clear" w:color="auto" w:fill="auto"/>
                  <w:noWrap w:val="0"/>
                  <w:vAlign w:val="center"/>
                </w:tcPr>
                <w:p w14:paraId="7A1E3862">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0.374</w:t>
                  </w:r>
                </w:p>
              </w:tc>
              <w:tc>
                <w:tcPr>
                  <w:tcW w:w="579" w:type="pct"/>
                  <w:tcBorders>
                    <w:right w:val="single" w:color="000000" w:sz="6" w:space="0"/>
                  </w:tcBorders>
                  <w:shd w:val="clear" w:color="auto" w:fill="auto"/>
                  <w:noWrap w:val="0"/>
                  <w:vAlign w:val="center"/>
                </w:tcPr>
                <w:p w14:paraId="6869DE4D">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0.424</w:t>
                  </w:r>
                </w:p>
              </w:tc>
              <w:tc>
                <w:tcPr>
                  <w:tcW w:w="581" w:type="pct"/>
                  <w:tcBorders>
                    <w:right w:val="single" w:color="000000" w:sz="6" w:space="0"/>
                  </w:tcBorders>
                  <w:shd w:val="clear" w:color="auto" w:fill="auto"/>
                  <w:noWrap w:val="0"/>
                  <w:vAlign w:val="center"/>
                </w:tcPr>
                <w:p w14:paraId="0090154B">
                  <w:pPr>
                    <w:jc w:val="center"/>
                    <w:rPr>
                      <w:rFonts w:hint="eastAsia" w:ascii="Times New Roman" w:hAnsi="Times New Roman" w:eastAsia="宋体" w:cs="Times New Roman"/>
                      <w:kern w:val="2"/>
                      <w:sz w:val="21"/>
                      <w:szCs w:val="24"/>
                      <w:highlight w:val="none"/>
                      <w:lang w:val="en-US" w:eastAsia="zh-CN" w:bidi="ar-SA"/>
                    </w:rPr>
                  </w:pPr>
                  <w:r>
                    <w:rPr>
                      <w:rFonts w:hint="eastAsia" w:ascii="Times New Roman" w:hAnsi="Times New Roman" w:eastAsia="宋体" w:cs="Times New Roman"/>
                      <w:color w:val="auto"/>
                      <w:sz w:val="21"/>
                      <w:szCs w:val="21"/>
                      <w:highlight w:val="none"/>
                      <w:lang w:val="en-US" w:eastAsia="zh-CN"/>
                    </w:rPr>
                    <w:t>0.398</w:t>
                  </w:r>
                </w:p>
              </w:tc>
              <w:tc>
                <w:tcPr>
                  <w:tcW w:w="768" w:type="pct"/>
                  <w:vMerge w:val="continue"/>
                  <w:tcBorders>
                    <w:right w:val="single" w:color="000000" w:sz="6" w:space="0"/>
                  </w:tcBorders>
                  <w:noWrap w:val="0"/>
                  <w:vAlign w:val="center"/>
                </w:tcPr>
                <w:p w14:paraId="65CF31C6">
                  <w:pPr>
                    <w:jc w:val="center"/>
                    <w:rPr>
                      <w:rFonts w:hint="eastAsia" w:ascii="Times New Roman" w:hAnsi="Times New Roman" w:eastAsia="宋体" w:cs="Times New Roman"/>
                      <w:color w:val="auto"/>
                      <w:sz w:val="21"/>
                      <w:szCs w:val="21"/>
                      <w:highlight w:val="none"/>
                      <w:lang w:val="en-US" w:eastAsia="zh-CN"/>
                    </w:rPr>
                  </w:pPr>
                </w:p>
              </w:tc>
            </w:tr>
            <w:tr w14:paraId="63123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381" w:type="pct"/>
                  <w:vMerge w:val="continue"/>
                  <w:noWrap w:val="0"/>
                  <w:vAlign w:val="center"/>
                </w:tcPr>
                <w:p w14:paraId="79F0C2F2">
                  <w:pPr>
                    <w:jc w:val="center"/>
                    <w:rPr>
                      <w:rFonts w:hint="eastAsia"/>
                      <w:color w:val="auto"/>
                      <w:sz w:val="21"/>
                      <w:szCs w:val="21"/>
                      <w:highlight w:val="none"/>
                      <w:lang w:val="en-US" w:eastAsia="zh-CN"/>
                    </w:rPr>
                  </w:pPr>
                </w:p>
              </w:tc>
              <w:tc>
                <w:tcPr>
                  <w:tcW w:w="763" w:type="pct"/>
                  <w:vMerge w:val="continue"/>
                  <w:tcBorders>
                    <w:right w:val="single" w:color="000000" w:sz="6" w:space="0"/>
                  </w:tcBorders>
                  <w:noWrap w:val="0"/>
                  <w:vAlign w:val="center"/>
                </w:tcPr>
                <w:p w14:paraId="4B5D9BC0">
                  <w:pPr>
                    <w:jc w:val="center"/>
                    <w:rPr>
                      <w:rFonts w:hint="eastAsia"/>
                      <w:color w:val="auto"/>
                      <w:sz w:val="21"/>
                      <w:szCs w:val="21"/>
                      <w:highlight w:val="none"/>
                      <w:lang w:val="en-US" w:eastAsia="zh-CN"/>
                    </w:rPr>
                  </w:pPr>
                </w:p>
              </w:tc>
              <w:tc>
                <w:tcPr>
                  <w:tcW w:w="768" w:type="pct"/>
                  <w:tcBorders>
                    <w:right w:val="single" w:color="000000" w:sz="6" w:space="0"/>
                  </w:tcBorders>
                  <w:shd w:val="clear" w:color="auto" w:fill="auto"/>
                  <w:noWrap w:val="0"/>
                  <w:vAlign w:val="center"/>
                </w:tcPr>
                <w:p w14:paraId="29116A94">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3#监控点</w:t>
                  </w:r>
                </w:p>
              </w:tc>
              <w:tc>
                <w:tcPr>
                  <w:tcW w:w="579" w:type="pct"/>
                  <w:tcBorders>
                    <w:right w:val="single" w:color="000000" w:sz="6" w:space="0"/>
                  </w:tcBorders>
                  <w:shd w:val="clear" w:color="auto" w:fill="auto"/>
                  <w:noWrap w:val="0"/>
                  <w:vAlign w:val="center"/>
                </w:tcPr>
                <w:p w14:paraId="43DC060D">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0.402</w:t>
                  </w:r>
                </w:p>
              </w:tc>
              <w:tc>
                <w:tcPr>
                  <w:tcW w:w="579" w:type="pct"/>
                  <w:tcBorders>
                    <w:right w:val="single" w:color="000000" w:sz="6" w:space="0"/>
                  </w:tcBorders>
                  <w:shd w:val="clear" w:color="auto" w:fill="auto"/>
                  <w:noWrap w:val="0"/>
                  <w:vAlign w:val="center"/>
                </w:tcPr>
                <w:p w14:paraId="26E341D5">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0.395</w:t>
                  </w:r>
                </w:p>
              </w:tc>
              <w:tc>
                <w:tcPr>
                  <w:tcW w:w="579" w:type="pct"/>
                  <w:tcBorders>
                    <w:right w:val="single" w:color="000000" w:sz="6" w:space="0"/>
                  </w:tcBorders>
                  <w:shd w:val="clear" w:color="auto" w:fill="auto"/>
                  <w:noWrap w:val="0"/>
                  <w:vAlign w:val="center"/>
                </w:tcPr>
                <w:p w14:paraId="35B34AA4">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0.452</w:t>
                  </w:r>
                </w:p>
              </w:tc>
              <w:tc>
                <w:tcPr>
                  <w:tcW w:w="581" w:type="pct"/>
                  <w:tcBorders>
                    <w:right w:val="single" w:color="000000" w:sz="6" w:space="0"/>
                  </w:tcBorders>
                  <w:shd w:val="clear" w:color="auto" w:fill="auto"/>
                  <w:noWrap w:val="0"/>
                  <w:vAlign w:val="center"/>
                </w:tcPr>
                <w:p w14:paraId="27FE980C">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0.437</w:t>
                  </w:r>
                </w:p>
              </w:tc>
              <w:tc>
                <w:tcPr>
                  <w:tcW w:w="768" w:type="pct"/>
                  <w:vMerge w:val="continue"/>
                  <w:tcBorders>
                    <w:right w:val="single" w:color="000000" w:sz="6" w:space="0"/>
                  </w:tcBorders>
                  <w:noWrap w:val="0"/>
                  <w:vAlign w:val="center"/>
                </w:tcPr>
                <w:p w14:paraId="607490E5">
                  <w:pPr>
                    <w:jc w:val="center"/>
                    <w:rPr>
                      <w:rFonts w:hint="eastAsia" w:ascii="Times New Roman" w:hAnsi="Times New Roman" w:eastAsia="宋体" w:cs="Times New Roman"/>
                      <w:color w:val="auto"/>
                      <w:sz w:val="21"/>
                      <w:szCs w:val="21"/>
                      <w:highlight w:val="none"/>
                      <w:lang w:val="en-US" w:eastAsia="zh-CN"/>
                    </w:rPr>
                  </w:pPr>
                </w:p>
              </w:tc>
            </w:tr>
            <w:tr w14:paraId="7830F2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381" w:type="pct"/>
                  <w:vMerge w:val="continue"/>
                  <w:noWrap w:val="0"/>
                  <w:vAlign w:val="center"/>
                </w:tcPr>
                <w:p w14:paraId="1D30F061">
                  <w:pPr>
                    <w:jc w:val="center"/>
                    <w:rPr>
                      <w:rFonts w:hint="eastAsia"/>
                      <w:color w:val="auto"/>
                      <w:sz w:val="21"/>
                      <w:szCs w:val="21"/>
                      <w:highlight w:val="none"/>
                      <w:lang w:val="en-US" w:eastAsia="zh-CN"/>
                    </w:rPr>
                  </w:pPr>
                </w:p>
              </w:tc>
              <w:tc>
                <w:tcPr>
                  <w:tcW w:w="763" w:type="pct"/>
                  <w:vMerge w:val="continue"/>
                  <w:tcBorders>
                    <w:right w:val="single" w:color="000000" w:sz="6" w:space="0"/>
                  </w:tcBorders>
                  <w:noWrap w:val="0"/>
                  <w:vAlign w:val="center"/>
                </w:tcPr>
                <w:p w14:paraId="62FAB3C8">
                  <w:pPr>
                    <w:jc w:val="center"/>
                    <w:rPr>
                      <w:rFonts w:hint="eastAsia"/>
                      <w:color w:val="auto"/>
                      <w:sz w:val="21"/>
                      <w:szCs w:val="21"/>
                      <w:highlight w:val="none"/>
                      <w:lang w:val="en-US" w:eastAsia="zh-CN"/>
                    </w:rPr>
                  </w:pPr>
                </w:p>
              </w:tc>
              <w:tc>
                <w:tcPr>
                  <w:tcW w:w="768" w:type="pct"/>
                  <w:tcBorders>
                    <w:right w:val="single" w:color="000000" w:sz="6" w:space="0"/>
                  </w:tcBorders>
                  <w:shd w:val="clear" w:color="auto" w:fill="auto"/>
                  <w:noWrap w:val="0"/>
                  <w:vAlign w:val="center"/>
                </w:tcPr>
                <w:p w14:paraId="5312C764">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4#监控点</w:t>
                  </w:r>
                </w:p>
              </w:tc>
              <w:tc>
                <w:tcPr>
                  <w:tcW w:w="579" w:type="pct"/>
                  <w:tcBorders>
                    <w:right w:val="single" w:color="000000" w:sz="6" w:space="0"/>
                  </w:tcBorders>
                  <w:shd w:val="clear" w:color="auto" w:fill="auto"/>
                  <w:noWrap w:val="0"/>
                  <w:vAlign w:val="center"/>
                </w:tcPr>
                <w:p w14:paraId="64DAEC7D">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0.425</w:t>
                  </w:r>
                </w:p>
              </w:tc>
              <w:tc>
                <w:tcPr>
                  <w:tcW w:w="579" w:type="pct"/>
                  <w:tcBorders>
                    <w:right w:val="single" w:color="000000" w:sz="6" w:space="0"/>
                  </w:tcBorders>
                  <w:shd w:val="clear" w:color="auto" w:fill="auto"/>
                  <w:noWrap w:val="0"/>
                  <w:vAlign w:val="center"/>
                </w:tcPr>
                <w:p w14:paraId="1E354EDB">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0.442</w:t>
                  </w:r>
                </w:p>
              </w:tc>
              <w:tc>
                <w:tcPr>
                  <w:tcW w:w="579" w:type="pct"/>
                  <w:tcBorders>
                    <w:right w:val="single" w:color="000000" w:sz="6" w:space="0"/>
                  </w:tcBorders>
                  <w:shd w:val="clear" w:color="auto" w:fill="auto"/>
                  <w:noWrap w:val="0"/>
                  <w:vAlign w:val="center"/>
                </w:tcPr>
                <w:p w14:paraId="73546782">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0.387</w:t>
                  </w:r>
                </w:p>
              </w:tc>
              <w:tc>
                <w:tcPr>
                  <w:tcW w:w="581" w:type="pct"/>
                  <w:tcBorders>
                    <w:right w:val="single" w:color="000000" w:sz="6" w:space="0"/>
                  </w:tcBorders>
                  <w:shd w:val="clear" w:color="auto" w:fill="auto"/>
                  <w:noWrap w:val="0"/>
                  <w:vAlign w:val="center"/>
                </w:tcPr>
                <w:p w14:paraId="25ED0FBE">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0.438</w:t>
                  </w:r>
                </w:p>
              </w:tc>
              <w:tc>
                <w:tcPr>
                  <w:tcW w:w="768" w:type="pct"/>
                  <w:vMerge w:val="continue"/>
                  <w:tcBorders>
                    <w:right w:val="single" w:color="000000" w:sz="6" w:space="0"/>
                  </w:tcBorders>
                  <w:noWrap w:val="0"/>
                  <w:vAlign w:val="center"/>
                </w:tcPr>
                <w:p w14:paraId="04E35984">
                  <w:pPr>
                    <w:jc w:val="center"/>
                    <w:rPr>
                      <w:rFonts w:hint="eastAsia" w:ascii="Times New Roman" w:hAnsi="Times New Roman" w:eastAsia="宋体" w:cs="Times New Roman"/>
                      <w:color w:val="auto"/>
                      <w:sz w:val="21"/>
                      <w:szCs w:val="21"/>
                      <w:highlight w:val="none"/>
                      <w:lang w:val="en-US" w:eastAsia="zh-CN"/>
                    </w:rPr>
                  </w:pPr>
                </w:p>
              </w:tc>
            </w:tr>
            <w:tr w14:paraId="4B4F70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381" w:type="pct"/>
                  <w:vMerge w:val="continue"/>
                  <w:noWrap w:val="0"/>
                  <w:vAlign w:val="center"/>
                </w:tcPr>
                <w:p w14:paraId="3339FABE">
                  <w:pPr>
                    <w:jc w:val="center"/>
                    <w:rPr>
                      <w:rFonts w:hint="eastAsia"/>
                      <w:color w:val="auto"/>
                      <w:sz w:val="21"/>
                      <w:szCs w:val="21"/>
                      <w:highlight w:val="none"/>
                      <w:lang w:val="en-US" w:eastAsia="zh-CN"/>
                    </w:rPr>
                  </w:pPr>
                </w:p>
              </w:tc>
              <w:tc>
                <w:tcPr>
                  <w:tcW w:w="763" w:type="pct"/>
                  <w:vMerge w:val="restart"/>
                  <w:tcBorders>
                    <w:right w:val="single" w:color="000000" w:sz="6" w:space="0"/>
                  </w:tcBorders>
                  <w:shd w:val="clear" w:color="auto" w:fill="auto"/>
                  <w:noWrap w:val="0"/>
                  <w:vAlign w:val="center"/>
                </w:tcPr>
                <w:p w14:paraId="797D0ADE">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CO</w:t>
                  </w:r>
                </w:p>
              </w:tc>
              <w:tc>
                <w:tcPr>
                  <w:tcW w:w="768" w:type="pct"/>
                  <w:tcBorders>
                    <w:right w:val="single" w:color="000000" w:sz="6" w:space="0"/>
                  </w:tcBorders>
                  <w:shd w:val="clear" w:color="auto" w:fill="auto"/>
                  <w:noWrap w:val="0"/>
                  <w:vAlign w:val="center"/>
                </w:tcPr>
                <w:p w14:paraId="5B601C73">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1#参照点</w:t>
                  </w:r>
                </w:p>
              </w:tc>
              <w:tc>
                <w:tcPr>
                  <w:tcW w:w="579" w:type="pct"/>
                  <w:tcBorders>
                    <w:right w:val="single" w:color="000000" w:sz="6" w:space="0"/>
                  </w:tcBorders>
                  <w:shd w:val="clear" w:color="auto" w:fill="auto"/>
                  <w:noWrap w:val="0"/>
                  <w:vAlign w:val="center"/>
                </w:tcPr>
                <w:p w14:paraId="31967875">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0.3</w:t>
                  </w:r>
                </w:p>
              </w:tc>
              <w:tc>
                <w:tcPr>
                  <w:tcW w:w="579" w:type="pct"/>
                  <w:tcBorders>
                    <w:right w:val="single" w:color="000000" w:sz="6" w:space="0"/>
                  </w:tcBorders>
                  <w:shd w:val="clear" w:color="auto" w:fill="auto"/>
                  <w:noWrap w:val="0"/>
                  <w:vAlign w:val="center"/>
                </w:tcPr>
                <w:p w14:paraId="754C0D1C">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0.3</w:t>
                  </w:r>
                </w:p>
              </w:tc>
              <w:tc>
                <w:tcPr>
                  <w:tcW w:w="579" w:type="pct"/>
                  <w:tcBorders>
                    <w:right w:val="single" w:color="000000" w:sz="6" w:space="0"/>
                  </w:tcBorders>
                  <w:shd w:val="clear" w:color="auto" w:fill="auto"/>
                  <w:noWrap w:val="0"/>
                  <w:vAlign w:val="center"/>
                </w:tcPr>
                <w:p w14:paraId="49F5EEBC">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0.3</w:t>
                  </w:r>
                </w:p>
              </w:tc>
              <w:tc>
                <w:tcPr>
                  <w:tcW w:w="581" w:type="pct"/>
                  <w:tcBorders>
                    <w:right w:val="single" w:color="000000" w:sz="6" w:space="0"/>
                  </w:tcBorders>
                  <w:shd w:val="clear" w:color="auto" w:fill="auto"/>
                  <w:noWrap w:val="0"/>
                  <w:vAlign w:val="center"/>
                </w:tcPr>
                <w:p w14:paraId="3F0854BA">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0.3</w:t>
                  </w:r>
                </w:p>
              </w:tc>
              <w:tc>
                <w:tcPr>
                  <w:tcW w:w="768" w:type="pct"/>
                  <w:vMerge w:val="restart"/>
                  <w:tcBorders>
                    <w:right w:val="single" w:color="000000" w:sz="6" w:space="0"/>
                  </w:tcBorders>
                  <w:shd w:val="clear" w:color="auto" w:fill="auto"/>
                  <w:noWrap w:val="0"/>
                  <w:vAlign w:val="center"/>
                </w:tcPr>
                <w:p w14:paraId="055B50C7">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10</w:t>
                  </w:r>
                </w:p>
              </w:tc>
            </w:tr>
            <w:tr w14:paraId="18177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381" w:type="pct"/>
                  <w:vMerge w:val="continue"/>
                  <w:noWrap w:val="0"/>
                  <w:vAlign w:val="center"/>
                </w:tcPr>
                <w:p w14:paraId="71008060">
                  <w:pPr>
                    <w:jc w:val="center"/>
                    <w:rPr>
                      <w:rFonts w:hint="eastAsia"/>
                      <w:color w:val="auto"/>
                      <w:sz w:val="21"/>
                      <w:szCs w:val="21"/>
                      <w:highlight w:val="none"/>
                      <w:lang w:val="en-US" w:eastAsia="zh-CN"/>
                    </w:rPr>
                  </w:pPr>
                </w:p>
              </w:tc>
              <w:tc>
                <w:tcPr>
                  <w:tcW w:w="763" w:type="pct"/>
                  <w:vMerge w:val="continue"/>
                  <w:tcBorders>
                    <w:right w:val="single" w:color="000000" w:sz="6" w:space="0"/>
                  </w:tcBorders>
                  <w:noWrap w:val="0"/>
                  <w:vAlign w:val="center"/>
                </w:tcPr>
                <w:p w14:paraId="06FCA550">
                  <w:pPr>
                    <w:jc w:val="center"/>
                    <w:rPr>
                      <w:rFonts w:hint="eastAsia"/>
                      <w:color w:val="auto"/>
                      <w:sz w:val="21"/>
                      <w:szCs w:val="21"/>
                      <w:highlight w:val="none"/>
                      <w:lang w:val="en-US" w:eastAsia="zh-CN"/>
                    </w:rPr>
                  </w:pPr>
                </w:p>
              </w:tc>
              <w:tc>
                <w:tcPr>
                  <w:tcW w:w="768" w:type="pct"/>
                  <w:tcBorders>
                    <w:right w:val="single" w:color="000000" w:sz="6" w:space="0"/>
                  </w:tcBorders>
                  <w:shd w:val="clear" w:color="auto" w:fill="auto"/>
                  <w:noWrap w:val="0"/>
                  <w:vAlign w:val="center"/>
                </w:tcPr>
                <w:p w14:paraId="77C57D6A">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2#监控点</w:t>
                  </w:r>
                </w:p>
              </w:tc>
              <w:tc>
                <w:tcPr>
                  <w:tcW w:w="579" w:type="pct"/>
                  <w:tcBorders>
                    <w:right w:val="single" w:color="000000" w:sz="6" w:space="0"/>
                  </w:tcBorders>
                  <w:shd w:val="clear" w:color="auto" w:fill="auto"/>
                  <w:noWrap w:val="0"/>
                  <w:vAlign w:val="center"/>
                </w:tcPr>
                <w:p w14:paraId="2F67727B">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0.3</w:t>
                  </w:r>
                </w:p>
              </w:tc>
              <w:tc>
                <w:tcPr>
                  <w:tcW w:w="579" w:type="pct"/>
                  <w:tcBorders>
                    <w:right w:val="single" w:color="000000" w:sz="6" w:space="0"/>
                  </w:tcBorders>
                  <w:shd w:val="clear" w:color="auto" w:fill="auto"/>
                  <w:noWrap w:val="0"/>
                  <w:vAlign w:val="center"/>
                </w:tcPr>
                <w:p w14:paraId="6E3F9991">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0.3</w:t>
                  </w:r>
                </w:p>
              </w:tc>
              <w:tc>
                <w:tcPr>
                  <w:tcW w:w="579" w:type="pct"/>
                  <w:tcBorders>
                    <w:right w:val="single" w:color="000000" w:sz="6" w:space="0"/>
                  </w:tcBorders>
                  <w:shd w:val="clear" w:color="auto" w:fill="auto"/>
                  <w:noWrap w:val="0"/>
                  <w:vAlign w:val="center"/>
                </w:tcPr>
                <w:p w14:paraId="7146990E">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0.3</w:t>
                  </w:r>
                </w:p>
              </w:tc>
              <w:tc>
                <w:tcPr>
                  <w:tcW w:w="581" w:type="pct"/>
                  <w:tcBorders>
                    <w:right w:val="single" w:color="000000" w:sz="6" w:space="0"/>
                  </w:tcBorders>
                  <w:shd w:val="clear" w:color="auto" w:fill="auto"/>
                  <w:noWrap w:val="0"/>
                  <w:vAlign w:val="center"/>
                </w:tcPr>
                <w:p w14:paraId="5F0E0C73">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0.3</w:t>
                  </w:r>
                </w:p>
              </w:tc>
              <w:tc>
                <w:tcPr>
                  <w:tcW w:w="768" w:type="pct"/>
                  <w:vMerge w:val="continue"/>
                  <w:tcBorders>
                    <w:right w:val="single" w:color="000000" w:sz="6" w:space="0"/>
                  </w:tcBorders>
                  <w:noWrap w:val="0"/>
                  <w:vAlign w:val="center"/>
                </w:tcPr>
                <w:p w14:paraId="6ECC15A0">
                  <w:pPr>
                    <w:jc w:val="center"/>
                    <w:rPr>
                      <w:rFonts w:hint="eastAsia" w:ascii="Times New Roman" w:hAnsi="Times New Roman" w:eastAsia="宋体" w:cs="Times New Roman"/>
                      <w:color w:val="auto"/>
                      <w:sz w:val="21"/>
                      <w:szCs w:val="21"/>
                      <w:highlight w:val="none"/>
                      <w:lang w:val="en-US" w:eastAsia="zh-CN"/>
                    </w:rPr>
                  </w:pPr>
                </w:p>
              </w:tc>
            </w:tr>
            <w:tr w14:paraId="5DB961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381" w:type="pct"/>
                  <w:vMerge w:val="continue"/>
                  <w:noWrap w:val="0"/>
                  <w:vAlign w:val="center"/>
                </w:tcPr>
                <w:p w14:paraId="722D539C">
                  <w:pPr>
                    <w:jc w:val="center"/>
                    <w:rPr>
                      <w:rFonts w:hint="eastAsia"/>
                      <w:color w:val="auto"/>
                      <w:sz w:val="21"/>
                      <w:szCs w:val="21"/>
                      <w:highlight w:val="none"/>
                      <w:lang w:val="en-US" w:eastAsia="zh-CN"/>
                    </w:rPr>
                  </w:pPr>
                </w:p>
              </w:tc>
              <w:tc>
                <w:tcPr>
                  <w:tcW w:w="763" w:type="pct"/>
                  <w:vMerge w:val="continue"/>
                  <w:tcBorders>
                    <w:right w:val="single" w:color="000000" w:sz="6" w:space="0"/>
                  </w:tcBorders>
                  <w:noWrap w:val="0"/>
                  <w:vAlign w:val="center"/>
                </w:tcPr>
                <w:p w14:paraId="29743375">
                  <w:pPr>
                    <w:jc w:val="center"/>
                    <w:rPr>
                      <w:rFonts w:hint="eastAsia"/>
                      <w:color w:val="auto"/>
                      <w:sz w:val="21"/>
                      <w:szCs w:val="21"/>
                      <w:highlight w:val="none"/>
                      <w:lang w:val="en-US" w:eastAsia="zh-CN"/>
                    </w:rPr>
                  </w:pPr>
                </w:p>
              </w:tc>
              <w:tc>
                <w:tcPr>
                  <w:tcW w:w="768" w:type="pct"/>
                  <w:tcBorders>
                    <w:right w:val="single" w:color="000000" w:sz="6" w:space="0"/>
                  </w:tcBorders>
                  <w:shd w:val="clear" w:color="auto" w:fill="auto"/>
                  <w:noWrap w:val="0"/>
                  <w:vAlign w:val="center"/>
                </w:tcPr>
                <w:p w14:paraId="6F9B1A67">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3#监控点</w:t>
                  </w:r>
                </w:p>
              </w:tc>
              <w:tc>
                <w:tcPr>
                  <w:tcW w:w="579" w:type="pct"/>
                  <w:tcBorders>
                    <w:right w:val="single" w:color="000000" w:sz="6" w:space="0"/>
                  </w:tcBorders>
                  <w:shd w:val="clear" w:color="auto" w:fill="auto"/>
                  <w:noWrap w:val="0"/>
                  <w:vAlign w:val="center"/>
                </w:tcPr>
                <w:p w14:paraId="75485266">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0.3</w:t>
                  </w:r>
                </w:p>
              </w:tc>
              <w:tc>
                <w:tcPr>
                  <w:tcW w:w="579" w:type="pct"/>
                  <w:tcBorders>
                    <w:right w:val="single" w:color="000000" w:sz="6" w:space="0"/>
                  </w:tcBorders>
                  <w:shd w:val="clear" w:color="auto" w:fill="auto"/>
                  <w:noWrap w:val="0"/>
                  <w:vAlign w:val="center"/>
                </w:tcPr>
                <w:p w14:paraId="7A6C9DE4">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0.3</w:t>
                  </w:r>
                </w:p>
              </w:tc>
              <w:tc>
                <w:tcPr>
                  <w:tcW w:w="579" w:type="pct"/>
                  <w:tcBorders>
                    <w:right w:val="single" w:color="000000" w:sz="6" w:space="0"/>
                  </w:tcBorders>
                  <w:shd w:val="clear" w:color="auto" w:fill="auto"/>
                  <w:noWrap w:val="0"/>
                  <w:vAlign w:val="center"/>
                </w:tcPr>
                <w:p w14:paraId="7ED0E25E">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0.3</w:t>
                  </w:r>
                </w:p>
              </w:tc>
              <w:tc>
                <w:tcPr>
                  <w:tcW w:w="581" w:type="pct"/>
                  <w:tcBorders>
                    <w:right w:val="single" w:color="000000" w:sz="6" w:space="0"/>
                  </w:tcBorders>
                  <w:shd w:val="clear" w:color="auto" w:fill="auto"/>
                  <w:noWrap w:val="0"/>
                  <w:vAlign w:val="center"/>
                </w:tcPr>
                <w:p w14:paraId="23602BB8">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0.3</w:t>
                  </w:r>
                </w:p>
              </w:tc>
              <w:tc>
                <w:tcPr>
                  <w:tcW w:w="768" w:type="pct"/>
                  <w:vMerge w:val="continue"/>
                  <w:tcBorders>
                    <w:right w:val="single" w:color="000000" w:sz="6" w:space="0"/>
                  </w:tcBorders>
                  <w:noWrap w:val="0"/>
                  <w:vAlign w:val="center"/>
                </w:tcPr>
                <w:p w14:paraId="0CD52FFF">
                  <w:pPr>
                    <w:jc w:val="center"/>
                    <w:rPr>
                      <w:rFonts w:hint="eastAsia" w:ascii="Times New Roman" w:hAnsi="Times New Roman" w:eastAsia="宋体" w:cs="Times New Roman"/>
                      <w:color w:val="auto"/>
                      <w:sz w:val="21"/>
                      <w:szCs w:val="21"/>
                      <w:highlight w:val="none"/>
                      <w:lang w:val="en-US" w:eastAsia="zh-CN"/>
                    </w:rPr>
                  </w:pPr>
                </w:p>
              </w:tc>
            </w:tr>
            <w:tr w14:paraId="5CDABE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381" w:type="pct"/>
                  <w:vMerge w:val="continue"/>
                  <w:noWrap w:val="0"/>
                  <w:vAlign w:val="center"/>
                </w:tcPr>
                <w:p w14:paraId="1BB8218C">
                  <w:pPr>
                    <w:jc w:val="center"/>
                    <w:rPr>
                      <w:rFonts w:hint="eastAsia"/>
                      <w:color w:val="auto"/>
                      <w:sz w:val="21"/>
                      <w:szCs w:val="21"/>
                      <w:highlight w:val="none"/>
                      <w:lang w:val="en-US" w:eastAsia="zh-CN"/>
                    </w:rPr>
                  </w:pPr>
                </w:p>
              </w:tc>
              <w:tc>
                <w:tcPr>
                  <w:tcW w:w="763" w:type="pct"/>
                  <w:vMerge w:val="continue"/>
                  <w:tcBorders>
                    <w:right w:val="single" w:color="000000" w:sz="6" w:space="0"/>
                  </w:tcBorders>
                  <w:noWrap w:val="0"/>
                  <w:vAlign w:val="center"/>
                </w:tcPr>
                <w:p w14:paraId="59054078">
                  <w:pPr>
                    <w:jc w:val="center"/>
                    <w:rPr>
                      <w:rFonts w:hint="eastAsia"/>
                      <w:color w:val="auto"/>
                      <w:sz w:val="21"/>
                      <w:szCs w:val="21"/>
                      <w:highlight w:val="none"/>
                      <w:lang w:val="en-US" w:eastAsia="zh-CN"/>
                    </w:rPr>
                  </w:pPr>
                </w:p>
              </w:tc>
              <w:tc>
                <w:tcPr>
                  <w:tcW w:w="768" w:type="pct"/>
                  <w:tcBorders>
                    <w:right w:val="single" w:color="000000" w:sz="6" w:space="0"/>
                  </w:tcBorders>
                  <w:shd w:val="clear" w:color="auto" w:fill="auto"/>
                  <w:noWrap w:val="0"/>
                  <w:vAlign w:val="center"/>
                </w:tcPr>
                <w:p w14:paraId="47594B29">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4#监控点</w:t>
                  </w:r>
                </w:p>
              </w:tc>
              <w:tc>
                <w:tcPr>
                  <w:tcW w:w="579" w:type="pct"/>
                  <w:tcBorders>
                    <w:right w:val="single" w:color="000000" w:sz="6" w:space="0"/>
                  </w:tcBorders>
                  <w:shd w:val="clear" w:color="auto" w:fill="auto"/>
                  <w:noWrap w:val="0"/>
                  <w:vAlign w:val="center"/>
                </w:tcPr>
                <w:p w14:paraId="5DD0D656">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0.3</w:t>
                  </w:r>
                </w:p>
              </w:tc>
              <w:tc>
                <w:tcPr>
                  <w:tcW w:w="579" w:type="pct"/>
                  <w:tcBorders>
                    <w:right w:val="single" w:color="000000" w:sz="6" w:space="0"/>
                  </w:tcBorders>
                  <w:shd w:val="clear" w:color="auto" w:fill="auto"/>
                  <w:noWrap w:val="0"/>
                  <w:vAlign w:val="center"/>
                </w:tcPr>
                <w:p w14:paraId="44A30C51">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0.3</w:t>
                  </w:r>
                </w:p>
              </w:tc>
              <w:tc>
                <w:tcPr>
                  <w:tcW w:w="579" w:type="pct"/>
                  <w:tcBorders>
                    <w:right w:val="single" w:color="000000" w:sz="6" w:space="0"/>
                  </w:tcBorders>
                  <w:shd w:val="clear" w:color="auto" w:fill="auto"/>
                  <w:noWrap w:val="0"/>
                  <w:vAlign w:val="center"/>
                </w:tcPr>
                <w:p w14:paraId="0CA602C6">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0.3</w:t>
                  </w:r>
                </w:p>
              </w:tc>
              <w:tc>
                <w:tcPr>
                  <w:tcW w:w="581" w:type="pct"/>
                  <w:tcBorders>
                    <w:right w:val="single" w:color="000000" w:sz="6" w:space="0"/>
                  </w:tcBorders>
                  <w:shd w:val="clear" w:color="auto" w:fill="auto"/>
                  <w:noWrap w:val="0"/>
                  <w:vAlign w:val="center"/>
                </w:tcPr>
                <w:p w14:paraId="7A19DEC2">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0.3</w:t>
                  </w:r>
                </w:p>
              </w:tc>
              <w:tc>
                <w:tcPr>
                  <w:tcW w:w="768" w:type="pct"/>
                  <w:vMerge w:val="continue"/>
                  <w:tcBorders>
                    <w:right w:val="single" w:color="000000" w:sz="6" w:space="0"/>
                  </w:tcBorders>
                  <w:noWrap w:val="0"/>
                  <w:vAlign w:val="center"/>
                </w:tcPr>
                <w:p w14:paraId="63963E44">
                  <w:pPr>
                    <w:jc w:val="center"/>
                    <w:rPr>
                      <w:rFonts w:hint="eastAsia" w:ascii="Times New Roman" w:hAnsi="Times New Roman" w:eastAsia="宋体" w:cs="Times New Roman"/>
                      <w:color w:val="auto"/>
                      <w:sz w:val="21"/>
                      <w:szCs w:val="21"/>
                      <w:highlight w:val="none"/>
                      <w:lang w:val="en-US" w:eastAsia="zh-CN"/>
                    </w:rPr>
                  </w:pPr>
                </w:p>
              </w:tc>
            </w:tr>
          </w:tbl>
          <w:p w14:paraId="5F070E91">
            <w:pPr>
              <w:spacing w:line="240" w:lineRule="auto"/>
              <w:ind w:firstLine="422" w:firstLineChars="200"/>
              <w:jc w:val="center"/>
              <w:rPr>
                <w:rFonts w:hint="default" w:eastAsia="宋体"/>
                <w:b/>
                <w:bCs/>
                <w:color w:val="auto"/>
                <w:sz w:val="21"/>
                <w:szCs w:val="21"/>
                <w:highlight w:val="none"/>
                <w:lang w:val="en-US" w:eastAsia="zh-CN"/>
              </w:rPr>
            </w:pPr>
            <w:r>
              <w:rPr>
                <w:b/>
                <w:bCs/>
                <w:color w:val="auto"/>
                <w:sz w:val="21"/>
                <w:szCs w:val="21"/>
                <w:highlight w:val="none"/>
              </w:rPr>
              <w:t>表</w:t>
            </w:r>
            <w:r>
              <w:rPr>
                <w:rFonts w:hint="eastAsia"/>
                <w:b/>
                <w:bCs/>
                <w:color w:val="auto"/>
                <w:sz w:val="21"/>
                <w:szCs w:val="21"/>
                <w:highlight w:val="none"/>
                <w:lang w:val="en-US" w:eastAsia="zh-CN"/>
              </w:rPr>
              <w:t>2-13 厂界噪声</w:t>
            </w:r>
            <w:r>
              <w:rPr>
                <w:b/>
                <w:bCs/>
                <w:color w:val="auto"/>
                <w:sz w:val="21"/>
                <w:szCs w:val="21"/>
                <w:highlight w:val="none"/>
              </w:rPr>
              <w:t>一览表</w:t>
            </w:r>
            <w:r>
              <w:rPr>
                <w:rFonts w:hint="eastAsia"/>
                <w:b/>
                <w:bCs/>
                <w:color w:val="auto"/>
                <w:sz w:val="21"/>
                <w:szCs w:val="21"/>
                <w:highlight w:val="none"/>
                <w:lang w:val="en-US" w:eastAsia="zh-CN"/>
              </w:rPr>
              <w:t xml:space="preserve"> mg/m</w:t>
            </w:r>
            <w:r>
              <w:rPr>
                <w:rFonts w:hint="eastAsia"/>
                <w:b/>
                <w:bCs/>
                <w:color w:val="auto"/>
                <w:sz w:val="21"/>
                <w:szCs w:val="21"/>
                <w:highlight w:val="none"/>
                <w:vertAlign w:val="superscript"/>
                <w:lang w:val="en-US" w:eastAsia="zh-CN"/>
              </w:rPr>
              <w:t>3</w:t>
            </w:r>
          </w:p>
          <w:tbl>
            <w:tblPr>
              <w:tblStyle w:val="54"/>
              <w:tblW w:w="838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146"/>
              <w:gridCol w:w="1114"/>
              <w:gridCol w:w="1500"/>
              <w:gridCol w:w="990"/>
              <w:gridCol w:w="795"/>
              <w:gridCol w:w="1840"/>
            </w:tblGrid>
            <w:tr w14:paraId="2DA977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279" w:type="pct"/>
                  <w:vMerge w:val="restart"/>
                  <w:tcBorders>
                    <w:top w:val="single" w:color="000000" w:sz="6" w:space="0"/>
                  </w:tcBorders>
                  <w:noWrap w:val="0"/>
                  <w:vAlign w:val="center"/>
                </w:tcPr>
                <w:p w14:paraId="5387B5F7">
                  <w:pPr>
                    <w:jc w:val="center"/>
                    <w:rPr>
                      <w:rFonts w:hint="default" w:eastAsia="宋体"/>
                      <w:b/>
                      <w:bCs/>
                      <w:color w:val="auto"/>
                      <w:sz w:val="21"/>
                      <w:szCs w:val="21"/>
                      <w:highlight w:val="none"/>
                      <w:lang w:val="en-US" w:eastAsia="zh-CN"/>
                    </w:rPr>
                  </w:pPr>
                  <w:r>
                    <w:rPr>
                      <w:rFonts w:hint="eastAsia" w:eastAsia="宋体"/>
                      <w:b/>
                      <w:bCs/>
                      <w:color w:val="auto"/>
                      <w:sz w:val="21"/>
                      <w:szCs w:val="21"/>
                      <w:highlight w:val="none"/>
                      <w:lang w:val="en-US" w:eastAsia="zh-CN"/>
                    </w:rPr>
                    <w:t>监测报告</w:t>
                  </w:r>
                </w:p>
              </w:tc>
              <w:tc>
                <w:tcPr>
                  <w:tcW w:w="664" w:type="pct"/>
                  <w:vMerge w:val="restart"/>
                  <w:tcBorders>
                    <w:top w:val="single" w:color="000000" w:sz="6" w:space="0"/>
                    <w:right w:val="single" w:color="000000" w:sz="6" w:space="0"/>
                  </w:tcBorders>
                  <w:noWrap w:val="0"/>
                  <w:vAlign w:val="center"/>
                </w:tcPr>
                <w:p w14:paraId="1B1009C4">
                  <w:pPr>
                    <w:jc w:val="center"/>
                    <w:rPr>
                      <w:rFonts w:hint="default" w:eastAsia="宋体"/>
                      <w:b/>
                      <w:bCs/>
                      <w:color w:val="auto"/>
                      <w:sz w:val="21"/>
                      <w:szCs w:val="21"/>
                      <w:highlight w:val="none"/>
                      <w:lang w:val="en-US" w:eastAsia="zh-CN"/>
                    </w:rPr>
                  </w:pPr>
                  <w:r>
                    <w:rPr>
                      <w:rFonts w:hint="eastAsia"/>
                      <w:b/>
                      <w:bCs/>
                      <w:color w:val="auto"/>
                      <w:sz w:val="21"/>
                      <w:szCs w:val="21"/>
                      <w:highlight w:val="none"/>
                      <w:lang w:val="en-US" w:eastAsia="zh-CN"/>
                    </w:rPr>
                    <w:t>监测项目</w:t>
                  </w:r>
                </w:p>
              </w:tc>
              <w:tc>
                <w:tcPr>
                  <w:tcW w:w="894" w:type="pct"/>
                  <w:vMerge w:val="restart"/>
                  <w:tcBorders>
                    <w:top w:val="single" w:color="000000" w:sz="6" w:space="0"/>
                    <w:right w:val="single" w:color="000000" w:sz="6" w:space="0"/>
                  </w:tcBorders>
                  <w:noWrap w:val="0"/>
                  <w:vAlign w:val="center"/>
                </w:tcPr>
                <w:p w14:paraId="649F9410">
                  <w:pPr>
                    <w:jc w:val="center"/>
                    <w:rPr>
                      <w:rFonts w:hint="default"/>
                      <w:b/>
                      <w:bCs/>
                      <w:color w:val="auto"/>
                      <w:sz w:val="21"/>
                      <w:szCs w:val="21"/>
                      <w:highlight w:val="none"/>
                      <w:lang w:val="en-US" w:eastAsia="zh-CN"/>
                    </w:rPr>
                  </w:pPr>
                  <w:r>
                    <w:rPr>
                      <w:rFonts w:hint="eastAsia"/>
                      <w:b/>
                      <w:bCs/>
                      <w:color w:val="auto"/>
                      <w:sz w:val="21"/>
                      <w:szCs w:val="21"/>
                      <w:highlight w:val="none"/>
                      <w:lang w:val="en-US" w:eastAsia="zh-CN"/>
                    </w:rPr>
                    <w:t>监测点位</w:t>
                  </w:r>
                </w:p>
              </w:tc>
              <w:tc>
                <w:tcPr>
                  <w:tcW w:w="1064" w:type="pct"/>
                  <w:gridSpan w:val="2"/>
                  <w:tcBorders>
                    <w:top w:val="single" w:color="000000" w:sz="6" w:space="0"/>
                    <w:right w:val="single" w:color="000000" w:sz="6" w:space="0"/>
                  </w:tcBorders>
                  <w:noWrap w:val="0"/>
                  <w:vAlign w:val="center"/>
                </w:tcPr>
                <w:p w14:paraId="5D62A0D2">
                  <w:pPr>
                    <w:jc w:val="center"/>
                    <w:rPr>
                      <w:rFonts w:hint="default" w:eastAsia="宋体"/>
                      <w:b/>
                      <w:bCs/>
                      <w:color w:val="auto"/>
                      <w:sz w:val="21"/>
                      <w:szCs w:val="21"/>
                      <w:highlight w:val="none"/>
                      <w:lang w:val="en-US" w:eastAsia="zh-CN"/>
                    </w:rPr>
                  </w:pPr>
                  <w:r>
                    <w:rPr>
                      <w:rFonts w:hint="eastAsia" w:eastAsia="宋体"/>
                      <w:b/>
                      <w:bCs/>
                      <w:color w:val="auto"/>
                      <w:sz w:val="21"/>
                      <w:szCs w:val="21"/>
                      <w:highlight w:val="none"/>
                      <w:lang w:val="en-US" w:eastAsia="zh-CN"/>
                    </w:rPr>
                    <w:t>Leq</w:t>
                  </w:r>
                </w:p>
              </w:tc>
              <w:tc>
                <w:tcPr>
                  <w:tcW w:w="1097" w:type="pct"/>
                  <w:vMerge w:val="restart"/>
                  <w:tcBorders>
                    <w:top w:val="single" w:color="000000" w:sz="6" w:space="0"/>
                    <w:right w:val="single" w:color="000000" w:sz="6" w:space="0"/>
                  </w:tcBorders>
                  <w:noWrap w:val="0"/>
                  <w:vAlign w:val="center"/>
                </w:tcPr>
                <w:p w14:paraId="6E891614">
                  <w:pPr>
                    <w:jc w:val="center"/>
                    <w:rPr>
                      <w:rFonts w:hint="default" w:eastAsia="宋体"/>
                      <w:b/>
                      <w:bCs/>
                      <w:color w:val="auto"/>
                      <w:sz w:val="21"/>
                      <w:szCs w:val="21"/>
                      <w:highlight w:val="none"/>
                      <w:lang w:val="en-US" w:eastAsia="zh-CN"/>
                    </w:rPr>
                  </w:pPr>
                  <w:r>
                    <w:rPr>
                      <w:rFonts w:hint="eastAsia" w:eastAsia="宋体"/>
                      <w:b/>
                      <w:bCs/>
                      <w:color w:val="auto"/>
                      <w:sz w:val="21"/>
                      <w:szCs w:val="21"/>
                      <w:highlight w:val="none"/>
                      <w:lang w:val="en-US" w:eastAsia="zh-CN"/>
                    </w:rPr>
                    <w:t>标准限值</w:t>
                  </w:r>
                </w:p>
              </w:tc>
            </w:tr>
            <w:tr w14:paraId="24CE84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279" w:type="pct"/>
                  <w:vMerge w:val="continue"/>
                  <w:noWrap w:val="0"/>
                  <w:vAlign w:val="center"/>
                </w:tcPr>
                <w:p w14:paraId="23EFA7E6">
                  <w:pPr>
                    <w:jc w:val="center"/>
                    <w:rPr>
                      <w:rFonts w:hint="eastAsia"/>
                      <w:b/>
                      <w:bCs/>
                      <w:color w:val="auto"/>
                      <w:sz w:val="21"/>
                      <w:szCs w:val="21"/>
                      <w:highlight w:val="none"/>
                      <w:lang w:val="en-US" w:eastAsia="zh-CN"/>
                    </w:rPr>
                  </w:pPr>
                </w:p>
              </w:tc>
              <w:tc>
                <w:tcPr>
                  <w:tcW w:w="664" w:type="pct"/>
                  <w:vMerge w:val="continue"/>
                  <w:tcBorders>
                    <w:right w:val="single" w:color="000000" w:sz="6" w:space="0"/>
                  </w:tcBorders>
                  <w:noWrap w:val="0"/>
                  <w:vAlign w:val="center"/>
                </w:tcPr>
                <w:p w14:paraId="358C8940">
                  <w:pPr>
                    <w:jc w:val="center"/>
                    <w:rPr>
                      <w:rFonts w:hint="eastAsia"/>
                      <w:b/>
                      <w:bCs/>
                      <w:color w:val="auto"/>
                      <w:sz w:val="21"/>
                      <w:szCs w:val="21"/>
                      <w:highlight w:val="none"/>
                      <w:lang w:val="en-US" w:eastAsia="zh-CN"/>
                    </w:rPr>
                  </w:pPr>
                </w:p>
              </w:tc>
              <w:tc>
                <w:tcPr>
                  <w:tcW w:w="894" w:type="pct"/>
                  <w:vMerge w:val="continue"/>
                  <w:tcBorders>
                    <w:right w:val="single" w:color="000000" w:sz="6" w:space="0"/>
                  </w:tcBorders>
                  <w:noWrap w:val="0"/>
                  <w:vAlign w:val="center"/>
                </w:tcPr>
                <w:p w14:paraId="771D0E62">
                  <w:pPr>
                    <w:jc w:val="center"/>
                    <w:rPr>
                      <w:rFonts w:hint="eastAsia"/>
                      <w:b/>
                      <w:bCs/>
                      <w:color w:val="auto"/>
                      <w:sz w:val="21"/>
                      <w:szCs w:val="21"/>
                      <w:highlight w:val="none"/>
                      <w:lang w:val="en-US" w:eastAsia="zh-CN"/>
                    </w:rPr>
                  </w:pPr>
                </w:p>
              </w:tc>
              <w:tc>
                <w:tcPr>
                  <w:tcW w:w="590" w:type="pct"/>
                  <w:tcBorders>
                    <w:top w:val="single" w:color="000000" w:sz="6" w:space="0"/>
                    <w:right w:val="single" w:color="000000" w:sz="6" w:space="0"/>
                  </w:tcBorders>
                  <w:noWrap w:val="0"/>
                  <w:vAlign w:val="center"/>
                </w:tcPr>
                <w:p w14:paraId="3566724E">
                  <w:pPr>
                    <w:jc w:val="center"/>
                    <w:rPr>
                      <w:rFonts w:hint="default" w:eastAsia="宋体"/>
                      <w:b/>
                      <w:bCs/>
                      <w:color w:val="auto"/>
                      <w:sz w:val="21"/>
                      <w:szCs w:val="21"/>
                      <w:highlight w:val="none"/>
                      <w:lang w:val="en-US" w:eastAsia="zh-CN"/>
                    </w:rPr>
                  </w:pPr>
                  <w:r>
                    <w:rPr>
                      <w:rFonts w:hint="eastAsia" w:eastAsia="宋体"/>
                      <w:b/>
                      <w:bCs/>
                      <w:color w:val="auto"/>
                      <w:sz w:val="21"/>
                      <w:szCs w:val="21"/>
                      <w:highlight w:val="none"/>
                      <w:lang w:val="en-US" w:eastAsia="zh-CN"/>
                    </w:rPr>
                    <w:t>昼间</w:t>
                  </w:r>
                </w:p>
              </w:tc>
              <w:tc>
                <w:tcPr>
                  <w:tcW w:w="473" w:type="pct"/>
                  <w:tcBorders>
                    <w:top w:val="single" w:color="000000" w:sz="6" w:space="0"/>
                    <w:right w:val="single" w:color="000000" w:sz="6" w:space="0"/>
                  </w:tcBorders>
                  <w:noWrap w:val="0"/>
                  <w:vAlign w:val="center"/>
                </w:tcPr>
                <w:p w14:paraId="3942C9BE">
                  <w:pPr>
                    <w:jc w:val="center"/>
                    <w:rPr>
                      <w:rFonts w:hint="default" w:eastAsia="宋体"/>
                      <w:b/>
                      <w:bCs/>
                      <w:color w:val="auto"/>
                      <w:sz w:val="21"/>
                      <w:szCs w:val="21"/>
                      <w:highlight w:val="none"/>
                      <w:lang w:val="en-US" w:eastAsia="zh-CN"/>
                    </w:rPr>
                  </w:pPr>
                  <w:r>
                    <w:rPr>
                      <w:rFonts w:hint="eastAsia" w:eastAsia="宋体"/>
                      <w:b/>
                      <w:bCs/>
                      <w:color w:val="auto"/>
                      <w:sz w:val="21"/>
                      <w:szCs w:val="21"/>
                      <w:highlight w:val="none"/>
                      <w:lang w:val="en-US" w:eastAsia="zh-CN"/>
                    </w:rPr>
                    <w:t>夜间</w:t>
                  </w:r>
                </w:p>
              </w:tc>
              <w:tc>
                <w:tcPr>
                  <w:tcW w:w="1097" w:type="pct"/>
                  <w:vMerge w:val="continue"/>
                  <w:tcBorders>
                    <w:right w:val="single" w:color="000000" w:sz="6" w:space="0"/>
                  </w:tcBorders>
                  <w:noWrap w:val="0"/>
                  <w:vAlign w:val="center"/>
                </w:tcPr>
                <w:p w14:paraId="139B0F31">
                  <w:pPr>
                    <w:jc w:val="center"/>
                    <w:rPr>
                      <w:rFonts w:hint="eastAsia" w:eastAsia="宋体"/>
                      <w:b/>
                      <w:bCs/>
                      <w:color w:val="auto"/>
                      <w:sz w:val="21"/>
                      <w:szCs w:val="21"/>
                      <w:highlight w:val="none"/>
                      <w:lang w:val="en-US" w:eastAsia="zh-CN"/>
                    </w:rPr>
                  </w:pPr>
                </w:p>
              </w:tc>
            </w:tr>
            <w:tr w14:paraId="09700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279" w:type="pct"/>
                  <w:vMerge w:val="restart"/>
                  <w:tcBorders>
                    <w:top w:val="single" w:color="000000" w:sz="6" w:space="0"/>
                  </w:tcBorders>
                  <w:noWrap w:val="0"/>
                  <w:vAlign w:val="center"/>
                </w:tcPr>
                <w:p w14:paraId="6F4FA421">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金烨钢铁集团铸造有限公司自行监测</w:t>
                  </w:r>
                </w:p>
              </w:tc>
              <w:tc>
                <w:tcPr>
                  <w:tcW w:w="664" w:type="pct"/>
                  <w:vMerge w:val="restart"/>
                  <w:tcBorders>
                    <w:top w:val="single" w:color="000000" w:sz="6" w:space="0"/>
                    <w:right w:val="single" w:color="000000" w:sz="6" w:space="0"/>
                  </w:tcBorders>
                  <w:noWrap w:val="0"/>
                  <w:vAlign w:val="center"/>
                </w:tcPr>
                <w:p w14:paraId="4B4A0348">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厂界噪声</w:t>
                  </w:r>
                </w:p>
              </w:tc>
              <w:tc>
                <w:tcPr>
                  <w:tcW w:w="894" w:type="pct"/>
                  <w:tcBorders>
                    <w:top w:val="single" w:color="000000" w:sz="6" w:space="0"/>
                    <w:right w:val="single" w:color="000000" w:sz="6" w:space="0"/>
                  </w:tcBorders>
                  <w:shd w:val="clear" w:color="auto" w:fill="auto"/>
                  <w:noWrap w:val="0"/>
                  <w:vAlign w:val="center"/>
                </w:tcPr>
                <w:p w14:paraId="666DA330">
                  <w:pPr>
                    <w:jc w:val="center"/>
                    <w:rPr>
                      <w:rFonts w:hint="default"/>
                      <w:color w:val="auto"/>
                      <w:sz w:val="21"/>
                      <w:szCs w:val="21"/>
                      <w:highlight w:val="none"/>
                      <w:lang w:val="en-US" w:eastAsia="zh-CN"/>
                    </w:rPr>
                  </w:pPr>
                  <w:r>
                    <w:rPr>
                      <w:rFonts w:hint="eastAsia"/>
                      <w:color w:val="auto"/>
                      <w:sz w:val="21"/>
                      <w:szCs w:val="21"/>
                      <w:highlight w:val="none"/>
                      <w:lang w:val="en-US" w:eastAsia="zh-CN"/>
                    </w:rPr>
                    <w:t>1#南</w:t>
                  </w:r>
                </w:p>
              </w:tc>
              <w:tc>
                <w:tcPr>
                  <w:tcW w:w="590" w:type="pct"/>
                  <w:tcBorders>
                    <w:top w:val="single" w:color="000000" w:sz="6" w:space="0"/>
                    <w:right w:val="single" w:color="000000" w:sz="6" w:space="0"/>
                  </w:tcBorders>
                  <w:shd w:val="clear" w:color="auto" w:fill="auto"/>
                  <w:noWrap w:val="0"/>
                  <w:vAlign w:val="center"/>
                </w:tcPr>
                <w:p w14:paraId="1A56D7D2">
                  <w:pPr>
                    <w:jc w:val="center"/>
                    <w:rPr>
                      <w:rFonts w:hint="default" w:ascii="Times New Roman" w:hAnsi="Times New Roman" w:eastAsia="宋体" w:cs="Times New Roman"/>
                      <w:color w:val="auto"/>
                      <w:sz w:val="21"/>
                      <w:szCs w:val="21"/>
                      <w:highlight w:val="none"/>
                      <w:lang w:val="en-US" w:eastAsia="zh-CN"/>
                    </w:rPr>
                  </w:pPr>
                  <w:r>
                    <w:rPr>
                      <w:rFonts w:hint="eastAsia"/>
                      <w:highlight w:val="none"/>
                    </w:rPr>
                    <w:t>50.4</w:t>
                  </w:r>
                </w:p>
              </w:tc>
              <w:tc>
                <w:tcPr>
                  <w:tcW w:w="473" w:type="pct"/>
                  <w:tcBorders>
                    <w:top w:val="single" w:color="000000" w:sz="6" w:space="0"/>
                    <w:right w:val="single" w:color="000000" w:sz="6" w:space="0"/>
                  </w:tcBorders>
                  <w:shd w:val="clear" w:color="auto" w:fill="auto"/>
                  <w:noWrap w:val="0"/>
                  <w:vAlign w:val="center"/>
                </w:tcPr>
                <w:p w14:paraId="13CD4425">
                  <w:pPr>
                    <w:jc w:val="center"/>
                    <w:rPr>
                      <w:rFonts w:hint="default" w:ascii="Times New Roman" w:hAnsi="Times New Roman" w:eastAsia="宋体" w:cs="Times New Roman"/>
                      <w:color w:val="auto"/>
                      <w:sz w:val="21"/>
                      <w:szCs w:val="21"/>
                      <w:highlight w:val="none"/>
                      <w:lang w:val="en-US" w:eastAsia="zh-CN"/>
                    </w:rPr>
                  </w:pPr>
                  <w:r>
                    <w:rPr>
                      <w:rFonts w:hint="eastAsia"/>
                      <w:highlight w:val="none"/>
                    </w:rPr>
                    <w:t>45.2</w:t>
                  </w:r>
                </w:p>
              </w:tc>
              <w:tc>
                <w:tcPr>
                  <w:tcW w:w="1097" w:type="pct"/>
                  <w:vMerge w:val="restart"/>
                  <w:tcBorders>
                    <w:top w:val="single" w:color="000000" w:sz="6" w:space="0"/>
                    <w:right w:val="single" w:color="000000" w:sz="6" w:space="0"/>
                  </w:tcBorders>
                  <w:shd w:val="clear" w:color="auto" w:fill="auto"/>
                  <w:noWrap w:val="0"/>
                  <w:vAlign w:val="center"/>
                </w:tcPr>
                <w:p w14:paraId="4BBD81A0">
                  <w:pPr>
                    <w:jc w:val="both"/>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昼间：60dB（A）</w:t>
                  </w:r>
                </w:p>
                <w:p w14:paraId="5986A6D3">
                  <w:pPr>
                    <w:pStyle w:val="25"/>
                    <w:ind w:left="0" w:leftChars="0" w:firstLine="0" w:firstLineChars="0"/>
                    <w:rPr>
                      <w:rFonts w:hint="default"/>
                      <w:highlight w:val="none"/>
                      <w:lang w:val="en-US" w:eastAsia="zh-CN"/>
                    </w:rPr>
                  </w:pPr>
                  <w:r>
                    <w:rPr>
                      <w:rFonts w:hint="eastAsia" w:ascii="Times New Roman" w:hAnsi="Times New Roman" w:eastAsia="宋体" w:cs="Times New Roman"/>
                      <w:color w:val="auto"/>
                      <w:sz w:val="21"/>
                      <w:szCs w:val="21"/>
                      <w:highlight w:val="none"/>
                      <w:lang w:val="en-US" w:eastAsia="zh-CN"/>
                    </w:rPr>
                    <w:t>夜间：50dB（A）</w:t>
                  </w:r>
                </w:p>
              </w:tc>
            </w:tr>
            <w:tr w14:paraId="784EE8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279" w:type="pct"/>
                  <w:vMerge w:val="continue"/>
                  <w:noWrap w:val="0"/>
                  <w:vAlign w:val="center"/>
                </w:tcPr>
                <w:p w14:paraId="02CEC580">
                  <w:pPr>
                    <w:jc w:val="center"/>
                    <w:rPr>
                      <w:rFonts w:hint="eastAsia" w:ascii="Times New Roman" w:hAnsi="Times New Roman" w:eastAsia="宋体" w:cs="Times New Roman"/>
                      <w:color w:val="auto"/>
                      <w:sz w:val="21"/>
                      <w:szCs w:val="21"/>
                      <w:highlight w:val="none"/>
                      <w:lang w:val="en-US" w:eastAsia="zh-CN"/>
                    </w:rPr>
                  </w:pPr>
                </w:p>
              </w:tc>
              <w:tc>
                <w:tcPr>
                  <w:tcW w:w="664" w:type="pct"/>
                  <w:vMerge w:val="continue"/>
                  <w:tcBorders>
                    <w:right w:val="single" w:color="000000" w:sz="6" w:space="0"/>
                  </w:tcBorders>
                  <w:noWrap w:val="0"/>
                  <w:vAlign w:val="center"/>
                </w:tcPr>
                <w:p w14:paraId="675DA3E2">
                  <w:pPr>
                    <w:jc w:val="center"/>
                    <w:rPr>
                      <w:color w:val="auto"/>
                      <w:sz w:val="21"/>
                      <w:szCs w:val="21"/>
                      <w:highlight w:val="none"/>
                    </w:rPr>
                  </w:pPr>
                </w:p>
              </w:tc>
              <w:tc>
                <w:tcPr>
                  <w:tcW w:w="894" w:type="pct"/>
                  <w:tcBorders>
                    <w:right w:val="single" w:color="000000" w:sz="6" w:space="0"/>
                  </w:tcBorders>
                  <w:noWrap w:val="0"/>
                  <w:vAlign w:val="center"/>
                </w:tcPr>
                <w:p w14:paraId="5B2EED55">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2#南</w:t>
                  </w:r>
                </w:p>
              </w:tc>
              <w:tc>
                <w:tcPr>
                  <w:tcW w:w="590" w:type="pct"/>
                  <w:tcBorders>
                    <w:right w:val="single" w:color="000000" w:sz="6" w:space="0"/>
                  </w:tcBorders>
                  <w:noWrap w:val="0"/>
                  <w:vAlign w:val="center"/>
                </w:tcPr>
                <w:p w14:paraId="78A379DB">
                  <w:pPr>
                    <w:jc w:val="center"/>
                    <w:rPr>
                      <w:rFonts w:hint="default" w:ascii="Times New Roman" w:hAnsi="Times New Roman" w:eastAsia="宋体" w:cs="Times New Roman"/>
                      <w:color w:val="auto"/>
                      <w:sz w:val="21"/>
                      <w:szCs w:val="21"/>
                      <w:highlight w:val="none"/>
                      <w:lang w:val="en-US" w:eastAsia="zh-CN"/>
                    </w:rPr>
                  </w:pPr>
                  <w:r>
                    <w:rPr>
                      <w:rFonts w:hint="eastAsia"/>
                      <w:highlight w:val="none"/>
                    </w:rPr>
                    <w:t>59.2</w:t>
                  </w:r>
                </w:p>
              </w:tc>
              <w:tc>
                <w:tcPr>
                  <w:tcW w:w="473" w:type="pct"/>
                  <w:tcBorders>
                    <w:right w:val="single" w:color="000000" w:sz="6" w:space="0"/>
                  </w:tcBorders>
                  <w:noWrap w:val="0"/>
                  <w:vAlign w:val="center"/>
                </w:tcPr>
                <w:p w14:paraId="06C896E3">
                  <w:pPr>
                    <w:jc w:val="center"/>
                    <w:rPr>
                      <w:rFonts w:hint="default" w:ascii="Times New Roman" w:hAnsi="Times New Roman" w:eastAsia="宋体" w:cs="Times New Roman"/>
                      <w:color w:val="auto"/>
                      <w:sz w:val="21"/>
                      <w:szCs w:val="21"/>
                      <w:highlight w:val="none"/>
                      <w:lang w:val="en-US" w:eastAsia="zh-CN"/>
                    </w:rPr>
                  </w:pPr>
                  <w:r>
                    <w:rPr>
                      <w:rFonts w:hint="eastAsia"/>
                      <w:highlight w:val="none"/>
                    </w:rPr>
                    <w:t>41.8</w:t>
                  </w:r>
                </w:p>
              </w:tc>
              <w:tc>
                <w:tcPr>
                  <w:tcW w:w="1097" w:type="pct"/>
                  <w:vMerge w:val="continue"/>
                  <w:tcBorders>
                    <w:right w:val="single" w:color="000000" w:sz="6" w:space="0"/>
                  </w:tcBorders>
                  <w:noWrap w:val="0"/>
                  <w:vAlign w:val="center"/>
                </w:tcPr>
                <w:p w14:paraId="2C2C7F1B">
                  <w:pPr>
                    <w:jc w:val="center"/>
                    <w:rPr>
                      <w:rFonts w:hint="default" w:ascii="Times New Roman" w:hAnsi="Times New Roman" w:eastAsia="宋体" w:cs="Times New Roman"/>
                      <w:color w:val="auto"/>
                      <w:sz w:val="21"/>
                      <w:szCs w:val="21"/>
                      <w:highlight w:val="none"/>
                      <w:lang w:val="en-US" w:eastAsia="zh-CN"/>
                    </w:rPr>
                  </w:pPr>
                </w:p>
              </w:tc>
            </w:tr>
            <w:tr w14:paraId="36A1D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279" w:type="pct"/>
                  <w:vMerge w:val="continue"/>
                  <w:noWrap w:val="0"/>
                  <w:vAlign w:val="center"/>
                </w:tcPr>
                <w:p w14:paraId="4B108EF9">
                  <w:pPr>
                    <w:jc w:val="center"/>
                    <w:rPr>
                      <w:rFonts w:hint="eastAsia" w:ascii="Times New Roman" w:hAnsi="Times New Roman" w:eastAsia="宋体" w:cs="Times New Roman"/>
                      <w:color w:val="auto"/>
                      <w:sz w:val="21"/>
                      <w:szCs w:val="21"/>
                      <w:highlight w:val="none"/>
                      <w:lang w:val="en-US" w:eastAsia="zh-CN"/>
                    </w:rPr>
                  </w:pPr>
                </w:p>
              </w:tc>
              <w:tc>
                <w:tcPr>
                  <w:tcW w:w="664" w:type="pct"/>
                  <w:vMerge w:val="continue"/>
                  <w:tcBorders>
                    <w:right w:val="single" w:color="000000" w:sz="6" w:space="0"/>
                  </w:tcBorders>
                  <w:noWrap w:val="0"/>
                  <w:vAlign w:val="center"/>
                </w:tcPr>
                <w:p w14:paraId="1D9B865F">
                  <w:pPr>
                    <w:jc w:val="center"/>
                    <w:rPr>
                      <w:color w:val="auto"/>
                      <w:sz w:val="21"/>
                      <w:szCs w:val="21"/>
                      <w:highlight w:val="none"/>
                    </w:rPr>
                  </w:pPr>
                </w:p>
              </w:tc>
              <w:tc>
                <w:tcPr>
                  <w:tcW w:w="894" w:type="pct"/>
                  <w:tcBorders>
                    <w:right w:val="single" w:color="000000" w:sz="6" w:space="0"/>
                  </w:tcBorders>
                  <w:noWrap w:val="0"/>
                  <w:vAlign w:val="center"/>
                </w:tcPr>
                <w:p w14:paraId="5F980D3E">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3#西</w:t>
                  </w:r>
                </w:p>
              </w:tc>
              <w:tc>
                <w:tcPr>
                  <w:tcW w:w="590" w:type="pct"/>
                  <w:tcBorders>
                    <w:right w:val="single" w:color="000000" w:sz="6" w:space="0"/>
                  </w:tcBorders>
                  <w:noWrap w:val="0"/>
                  <w:vAlign w:val="center"/>
                </w:tcPr>
                <w:p w14:paraId="15A66475">
                  <w:pPr>
                    <w:jc w:val="center"/>
                    <w:rPr>
                      <w:rFonts w:hint="default" w:ascii="Times New Roman" w:hAnsi="Times New Roman" w:eastAsia="宋体" w:cs="Times New Roman"/>
                      <w:color w:val="auto"/>
                      <w:sz w:val="21"/>
                      <w:szCs w:val="21"/>
                      <w:highlight w:val="none"/>
                      <w:lang w:val="en-US" w:eastAsia="zh-CN"/>
                    </w:rPr>
                  </w:pPr>
                  <w:r>
                    <w:rPr>
                      <w:rFonts w:hint="eastAsia"/>
                      <w:highlight w:val="none"/>
                    </w:rPr>
                    <w:t>54.2</w:t>
                  </w:r>
                </w:p>
              </w:tc>
              <w:tc>
                <w:tcPr>
                  <w:tcW w:w="473" w:type="pct"/>
                  <w:tcBorders>
                    <w:right w:val="single" w:color="000000" w:sz="6" w:space="0"/>
                  </w:tcBorders>
                  <w:noWrap w:val="0"/>
                  <w:vAlign w:val="center"/>
                </w:tcPr>
                <w:p w14:paraId="4FD0436B">
                  <w:pPr>
                    <w:jc w:val="center"/>
                    <w:rPr>
                      <w:rFonts w:hint="default" w:ascii="Times New Roman" w:hAnsi="Times New Roman" w:eastAsia="宋体" w:cs="Times New Roman"/>
                      <w:color w:val="auto"/>
                      <w:sz w:val="21"/>
                      <w:szCs w:val="21"/>
                      <w:highlight w:val="none"/>
                      <w:lang w:val="en-US" w:eastAsia="zh-CN"/>
                    </w:rPr>
                  </w:pPr>
                  <w:r>
                    <w:rPr>
                      <w:rFonts w:hint="eastAsia"/>
                      <w:highlight w:val="none"/>
                    </w:rPr>
                    <w:t>44.5</w:t>
                  </w:r>
                </w:p>
              </w:tc>
              <w:tc>
                <w:tcPr>
                  <w:tcW w:w="1097" w:type="pct"/>
                  <w:vMerge w:val="continue"/>
                  <w:tcBorders>
                    <w:right w:val="single" w:color="000000" w:sz="6" w:space="0"/>
                  </w:tcBorders>
                  <w:noWrap w:val="0"/>
                  <w:vAlign w:val="center"/>
                </w:tcPr>
                <w:p w14:paraId="6271778A">
                  <w:pPr>
                    <w:jc w:val="center"/>
                    <w:rPr>
                      <w:rFonts w:hint="default" w:ascii="Times New Roman" w:hAnsi="Times New Roman" w:eastAsia="宋体" w:cs="Times New Roman"/>
                      <w:color w:val="auto"/>
                      <w:sz w:val="21"/>
                      <w:szCs w:val="21"/>
                      <w:highlight w:val="none"/>
                      <w:lang w:val="en-US" w:eastAsia="zh-CN"/>
                    </w:rPr>
                  </w:pPr>
                </w:p>
              </w:tc>
            </w:tr>
            <w:tr w14:paraId="03FC6B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279" w:type="pct"/>
                  <w:vMerge w:val="continue"/>
                  <w:noWrap w:val="0"/>
                  <w:vAlign w:val="center"/>
                </w:tcPr>
                <w:p w14:paraId="0B29A92B">
                  <w:pPr>
                    <w:jc w:val="center"/>
                    <w:rPr>
                      <w:rFonts w:hint="default" w:ascii="Times New Roman" w:hAnsi="Times New Roman" w:eastAsia="宋体" w:cs="Times New Roman"/>
                      <w:color w:val="auto"/>
                      <w:sz w:val="21"/>
                      <w:szCs w:val="21"/>
                      <w:highlight w:val="none"/>
                      <w:lang w:val="en-US" w:eastAsia="zh-CN"/>
                    </w:rPr>
                  </w:pPr>
                </w:p>
              </w:tc>
              <w:tc>
                <w:tcPr>
                  <w:tcW w:w="664" w:type="pct"/>
                  <w:vMerge w:val="continue"/>
                  <w:tcBorders>
                    <w:right w:val="single" w:color="000000" w:sz="6" w:space="0"/>
                  </w:tcBorders>
                  <w:noWrap w:val="0"/>
                  <w:vAlign w:val="center"/>
                </w:tcPr>
                <w:p w14:paraId="4F8CAEB8">
                  <w:pPr>
                    <w:jc w:val="center"/>
                    <w:rPr>
                      <w:rFonts w:hint="eastAsia"/>
                      <w:color w:val="auto"/>
                      <w:sz w:val="21"/>
                      <w:szCs w:val="21"/>
                      <w:highlight w:val="none"/>
                      <w:lang w:val="en-US" w:eastAsia="zh-CN"/>
                    </w:rPr>
                  </w:pPr>
                </w:p>
              </w:tc>
              <w:tc>
                <w:tcPr>
                  <w:tcW w:w="894" w:type="pct"/>
                  <w:tcBorders>
                    <w:right w:val="single" w:color="000000" w:sz="6" w:space="0"/>
                  </w:tcBorders>
                  <w:noWrap w:val="0"/>
                  <w:vAlign w:val="center"/>
                </w:tcPr>
                <w:p w14:paraId="239A8D28">
                  <w:pPr>
                    <w:jc w:val="center"/>
                    <w:rPr>
                      <w:rFonts w:hint="default"/>
                      <w:color w:val="auto"/>
                      <w:sz w:val="21"/>
                      <w:szCs w:val="21"/>
                      <w:highlight w:val="none"/>
                      <w:lang w:val="en-US" w:eastAsia="zh-CN"/>
                    </w:rPr>
                  </w:pPr>
                  <w:r>
                    <w:rPr>
                      <w:rFonts w:hint="eastAsia"/>
                      <w:color w:val="auto"/>
                      <w:sz w:val="21"/>
                      <w:szCs w:val="21"/>
                      <w:highlight w:val="none"/>
                      <w:lang w:val="en-US" w:eastAsia="zh-CN"/>
                    </w:rPr>
                    <w:t>4#西</w:t>
                  </w:r>
                </w:p>
              </w:tc>
              <w:tc>
                <w:tcPr>
                  <w:tcW w:w="590" w:type="pct"/>
                  <w:tcBorders>
                    <w:right w:val="single" w:color="000000" w:sz="6" w:space="0"/>
                  </w:tcBorders>
                  <w:noWrap w:val="0"/>
                  <w:vAlign w:val="center"/>
                </w:tcPr>
                <w:p w14:paraId="5AC03765">
                  <w:pPr>
                    <w:jc w:val="center"/>
                    <w:rPr>
                      <w:rFonts w:hint="default" w:ascii="Times New Roman" w:hAnsi="Times New Roman" w:eastAsia="宋体" w:cs="Times New Roman"/>
                      <w:color w:val="auto"/>
                      <w:sz w:val="21"/>
                      <w:szCs w:val="21"/>
                      <w:highlight w:val="none"/>
                      <w:lang w:val="en-US" w:eastAsia="zh-CN"/>
                    </w:rPr>
                  </w:pPr>
                  <w:r>
                    <w:rPr>
                      <w:rFonts w:hint="eastAsia"/>
                      <w:highlight w:val="none"/>
                    </w:rPr>
                    <w:t>54.2</w:t>
                  </w:r>
                </w:p>
              </w:tc>
              <w:tc>
                <w:tcPr>
                  <w:tcW w:w="473" w:type="pct"/>
                  <w:tcBorders>
                    <w:right w:val="single" w:color="000000" w:sz="6" w:space="0"/>
                  </w:tcBorders>
                  <w:noWrap w:val="0"/>
                  <w:vAlign w:val="center"/>
                </w:tcPr>
                <w:p w14:paraId="4A242A24">
                  <w:pPr>
                    <w:jc w:val="center"/>
                    <w:rPr>
                      <w:rFonts w:hint="default" w:ascii="Times New Roman" w:hAnsi="Times New Roman" w:eastAsia="宋体" w:cs="Times New Roman"/>
                      <w:color w:val="auto"/>
                      <w:sz w:val="21"/>
                      <w:szCs w:val="21"/>
                      <w:highlight w:val="none"/>
                      <w:lang w:val="en-US" w:eastAsia="zh-CN"/>
                    </w:rPr>
                  </w:pPr>
                  <w:r>
                    <w:rPr>
                      <w:rFonts w:hint="eastAsia"/>
                      <w:highlight w:val="none"/>
                    </w:rPr>
                    <w:t>42.6</w:t>
                  </w:r>
                </w:p>
              </w:tc>
              <w:tc>
                <w:tcPr>
                  <w:tcW w:w="1097" w:type="pct"/>
                  <w:vMerge w:val="continue"/>
                  <w:tcBorders>
                    <w:right w:val="single" w:color="000000" w:sz="6" w:space="0"/>
                  </w:tcBorders>
                  <w:noWrap w:val="0"/>
                  <w:vAlign w:val="center"/>
                </w:tcPr>
                <w:p w14:paraId="051D0B9B">
                  <w:pPr>
                    <w:jc w:val="center"/>
                    <w:rPr>
                      <w:rFonts w:hint="eastAsia" w:ascii="Times New Roman" w:hAnsi="Times New Roman" w:eastAsia="宋体" w:cs="Times New Roman"/>
                      <w:color w:val="auto"/>
                      <w:sz w:val="21"/>
                      <w:szCs w:val="21"/>
                      <w:highlight w:val="none"/>
                      <w:lang w:val="en-US" w:eastAsia="zh-CN"/>
                    </w:rPr>
                  </w:pPr>
                </w:p>
              </w:tc>
            </w:tr>
            <w:tr w14:paraId="515D60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279" w:type="pct"/>
                  <w:vMerge w:val="continue"/>
                  <w:noWrap w:val="0"/>
                  <w:vAlign w:val="center"/>
                </w:tcPr>
                <w:p w14:paraId="49C9EA1F">
                  <w:pPr>
                    <w:jc w:val="center"/>
                    <w:rPr>
                      <w:rFonts w:hint="default" w:ascii="Times New Roman" w:hAnsi="Times New Roman" w:eastAsia="宋体" w:cs="Times New Roman"/>
                      <w:color w:val="auto"/>
                      <w:sz w:val="21"/>
                      <w:szCs w:val="21"/>
                      <w:highlight w:val="none"/>
                      <w:lang w:val="en-US" w:eastAsia="zh-CN"/>
                    </w:rPr>
                  </w:pPr>
                </w:p>
              </w:tc>
              <w:tc>
                <w:tcPr>
                  <w:tcW w:w="664" w:type="pct"/>
                  <w:vMerge w:val="continue"/>
                  <w:tcBorders>
                    <w:right w:val="single" w:color="000000" w:sz="6" w:space="0"/>
                  </w:tcBorders>
                  <w:noWrap w:val="0"/>
                  <w:vAlign w:val="center"/>
                </w:tcPr>
                <w:p w14:paraId="6E180C6F">
                  <w:pPr>
                    <w:jc w:val="center"/>
                    <w:rPr>
                      <w:rFonts w:hint="eastAsia"/>
                      <w:color w:val="auto"/>
                      <w:sz w:val="21"/>
                      <w:szCs w:val="21"/>
                      <w:highlight w:val="none"/>
                      <w:lang w:val="en-US" w:eastAsia="zh-CN"/>
                    </w:rPr>
                  </w:pPr>
                </w:p>
              </w:tc>
              <w:tc>
                <w:tcPr>
                  <w:tcW w:w="894" w:type="pct"/>
                  <w:tcBorders>
                    <w:right w:val="single" w:color="000000" w:sz="6" w:space="0"/>
                  </w:tcBorders>
                  <w:noWrap w:val="0"/>
                  <w:vAlign w:val="center"/>
                </w:tcPr>
                <w:p w14:paraId="46DBE747">
                  <w:pPr>
                    <w:jc w:val="center"/>
                    <w:rPr>
                      <w:rFonts w:hint="default"/>
                      <w:color w:val="auto"/>
                      <w:sz w:val="21"/>
                      <w:szCs w:val="21"/>
                      <w:highlight w:val="none"/>
                      <w:lang w:val="en-US" w:eastAsia="zh-CN"/>
                    </w:rPr>
                  </w:pPr>
                  <w:r>
                    <w:rPr>
                      <w:rFonts w:hint="eastAsia"/>
                      <w:color w:val="auto"/>
                      <w:sz w:val="21"/>
                      <w:szCs w:val="21"/>
                      <w:highlight w:val="none"/>
                      <w:lang w:val="en-US" w:eastAsia="zh-CN"/>
                    </w:rPr>
                    <w:t>5#北</w:t>
                  </w:r>
                </w:p>
              </w:tc>
              <w:tc>
                <w:tcPr>
                  <w:tcW w:w="590" w:type="pct"/>
                  <w:tcBorders>
                    <w:right w:val="single" w:color="000000" w:sz="6" w:space="0"/>
                  </w:tcBorders>
                  <w:noWrap w:val="0"/>
                  <w:vAlign w:val="center"/>
                </w:tcPr>
                <w:p w14:paraId="476B3967">
                  <w:pPr>
                    <w:jc w:val="center"/>
                    <w:rPr>
                      <w:rFonts w:hint="default" w:ascii="Times New Roman" w:hAnsi="Times New Roman" w:eastAsia="宋体" w:cs="Times New Roman"/>
                      <w:color w:val="auto"/>
                      <w:sz w:val="21"/>
                      <w:szCs w:val="21"/>
                      <w:highlight w:val="none"/>
                      <w:lang w:val="en-US" w:eastAsia="zh-CN"/>
                    </w:rPr>
                  </w:pPr>
                  <w:r>
                    <w:rPr>
                      <w:rFonts w:hint="eastAsia"/>
                      <w:highlight w:val="none"/>
                    </w:rPr>
                    <w:t>53.5</w:t>
                  </w:r>
                </w:p>
              </w:tc>
              <w:tc>
                <w:tcPr>
                  <w:tcW w:w="473" w:type="pct"/>
                  <w:tcBorders>
                    <w:right w:val="single" w:color="000000" w:sz="6" w:space="0"/>
                  </w:tcBorders>
                  <w:noWrap w:val="0"/>
                  <w:vAlign w:val="center"/>
                </w:tcPr>
                <w:p w14:paraId="7CF83671">
                  <w:pPr>
                    <w:jc w:val="center"/>
                    <w:rPr>
                      <w:rFonts w:hint="default" w:ascii="Times New Roman" w:hAnsi="Times New Roman" w:eastAsia="宋体" w:cs="Times New Roman"/>
                      <w:color w:val="auto"/>
                      <w:sz w:val="21"/>
                      <w:szCs w:val="21"/>
                      <w:highlight w:val="none"/>
                      <w:lang w:val="en-US" w:eastAsia="zh-CN"/>
                    </w:rPr>
                  </w:pPr>
                  <w:r>
                    <w:rPr>
                      <w:rFonts w:hint="eastAsia"/>
                      <w:highlight w:val="none"/>
                    </w:rPr>
                    <w:t>42.7</w:t>
                  </w:r>
                </w:p>
              </w:tc>
              <w:tc>
                <w:tcPr>
                  <w:tcW w:w="1097" w:type="pct"/>
                  <w:vMerge w:val="continue"/>
                  <w:tcBorders>
                    <w:right w:val="single" w:color="000000" w:sz="6" w:space="0"/>
                  </w:tcBorders>
                  <w:noWrap w:val="0"/>
                  <w:vAlign w:val="center"/>
                </w:tcPr>
                <w:p w14:paraId="488BE7F2">
                  <w:pPr>
                    <w:jc w:val="center"/>
                    <w:rPr>
                      <w:rFonts w:hint="eastAsia" w:ascii="Times New Roman" w:hAnsi="Times New Roman" w:eastAsia="宋体" w:cs="Times New Roman"/>
                      <w:color w:val="auto"/>
                      <w:sz w:val="21"/>
                      <w:szCs w:val="21"/>
                      <w:highlight w:val="none"/>
                      <w:lang w:val="en-US" w:eastAsia="zh-CN"/>
                    </w:rPr>
                  </w:pPr>
                </w:p>
              </w:tc>
            </w:tr>
            <w:tr w14:paraId="39A03B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279" w:type="pct"/>
                  <w:vMerge w:val="continue"/>
                  <w:noWrap w:val="0"/>
                  <w:vAlign w:val="center"/>
                </w:tcPr>
                <w:p w14:paraId="01DF2B5D">
                  <w:pPr>
                    <w:jc w:val="center"/>
                    <w:rPr>
                      <w:rFonts w:hint="default" w:ascii="Times New Roman" w:hAnsi="Times New Roman" w:eastAsia="宋体" w:cs="Times New Roman"/>
                      <w:color w:val="auto"/>
                      <w:sz w:val="21"/>
                      <w:szCs w:val="21"/>
                      <w:highlight w:val="none"/>
                      <w:lang w:val="en-US" w:eastAsia="zh-CN"/>
                    </w:rPr>
                  </w:pPr>
                </w:p>
              </w:tc>
              <w:tc>
                <w:tcPr>
                  <w:tcW w:w="664" w:type="pct"/>
                  <w:vMerge w:val="continue"/>
                  <w:tcBorders>
                    <w:right w:val="single" w:color="000000" w:sz="6" w:space="0"/>
                  </w:tcBorders>
                  <w:noWrap w:val="0"/>
                  <w:vAlign w:val="center"/>
                </w:tcPr>
                <w:p w14:paraId="68122E52">
                  <w:pPr>
                    <w:jc w:val="center"/>
                    <w:rPr>
                      <w:rFonts w:hint="eastAsia"/>
                      <w:color w:val="auto"/>
                      <w:sz w:val="21"/>
                      <w:szCs w:val="21"/>
                      <w:highlight w:val="none"/>
                      <w:lang w:val="en-US" w:eastAsia="zh-CN"/>
                    </w:rPr>
                  </w:pPr>
                </w:p>
              </w:tc>
              <w:tc>
                <w:tcPr>
                  <w:tcW w:w="894" w:type="pct"/>
                  <w:tcBorders>
                    <w:right w:val="single" w:color="000000" w:sz="6" w:space="0"/>
                  </w:tcBorders>
                  <w:noWrap w:val="0"/>
                  <w:vAlign w:val="center"/>
                </w:tcPr>
                <w:p w14:paraId="2997099F">
                  <w:pPr>
                    <w:jc w:val="center"/>
                    <w:rPr>
                      <w:rFonts w:hint="default"/>
                      <w:color w:val="auto"/>
                      <w:sz w:val="21"/>
                      <w:szCs w:val="21"/>
                      <w:highlight w:val="none"/>
                      <w:lang w:val="en-US" w:eastAsia="zh-CN"/>
                    </w:rPr>
                  </w:pPr>
                  <w:r>
                    <w:rPr>
                      <w:rFonts w:hint="eastAsia"/>
                      <w:color w:val="auto"/>
                      <w:sz w:val="21"/>
                      <w:szCs w:val="21"/>
                      <w:highlight w:val="none"/>
                      <w:lang w:val="en-US" w:eastAsia="zh-CN"/>
                    </w:rPr>
                    <w:t>6#北</w:t>
                  </w:r>
                </w:p>
              </w:tc>
              <w:tc>
                <w:tcPr>
                  <w:tcW w:w="590" w:type="pct"/>
                  <w:tcBorders>
                    <w:right w:val="single" w:color="000000" w:sz="6" w:space="0"/>
                  </w:tcBorders>
                  <w:noWrap w:val="0"/>
                  <w:vAlign w:val="center"/>
                </w:tcPr>
                <w:p w14:paraId="3FC00671">
                  <w:pPr>
                    <w:jc w:val="center"/>
                    <w:rPr>
                      <w:rFonts w:hint="eastAsia" w:ascii="Times New Roman" w:hAnsi="Times New Roman" w:eastAsia="宋体" w:cs="Times New Roman"/>
                      <w:color w:val="auto"/>
                      <w:sz w:val="21"/>
                      <w:szCs w:val="21"/>
                      <w:highlight w:val="none"/>
                      <w:lang w:val="en-US" w:eastAsia="zh-CN"/>
                    </w:rPr>
                  </w:pPr>
                  <w:r>
                    <w:rPr>
                      <w:rFonts w:hint="eastAsia"/>
                      <w:highlight w:val="none"/>
                    </w:rPr>
                    <w:t>55.4</w:t>
                  </w:r>
                </w:p>
              </w:tc>
              <w:tc>
                <w:tcPr>
                  <w:tcW w:w="473" w:type="pct"/>
                  <w:tcBorders>
                    <w:right w:val="single" w:color="000000" w:sz="6" w:space="0"/>
                  </w:tcBorders>
                  <w:noWrap w:val="0"/>
                  <w:vAlign w:val="center"/>
                </w:tcPr>
                <w:p w14:paraId="68E3D214">
                  <w:pPr>
                    <w:jc w:val="center"/>
                    <w:rPr>
                      <w:rFonts w:hint="eastAsia" w:ascii="Times New Roman" w:hAnsi="Times New Roman" w:eastAsia="宋体" w:cs="Times New Roman"/>
                      <w:color w:val="auto"/>
                      <w:sz w:val="21"/>
                      <w:szCs w:val="21"/>
                      <w:highlight w:val="none"/>
                      <w:lang w:val="en-US" w:eastAsia="zh-CN"/>
                    </w:rPr>
                  </w:pPr>
                  <w:r>
                    <w:rPr>
                      <w:rFonts w:hint="eastAsia"/>
                      <w:highlight w:val="none"/>
                    </w:rPr>
                    <w:t>44.8</w:t>
                  </w:r>
                </w:p>
              </w:tc>
              <w:tc>
                <w:tcPr>
                  <w:tcW w:w="1097" w:type="pct"/>
                  <w:vMerge w:val="continue"/>
                  <w:tcBorders>
                    <w:right w:val="single" w:color="000000" w:sz="6" w:space="0"/>
                  </w:tcBorders>
                  <w:noWrap w:val="0"/>
                  <w:vAlign w:val="center"/>
                </w:tcPr>
                <w:p w14:paraId="656C1E1D">
                  <w:pPr>
                    <w:jc w:val="center"/>
                    <w:rPr>
                      <w:rFonts w:hint="eastAsia" w:ascii="Times New Roman" w:hAnsi="Times New Roman" w:eastAsia="宋体" w:cs="Times New Roman"/>
                      <w:color w:val="auto"/>
                      <w:sz w:val="21"/>
                      <w:szCs w:val="21"/>
                      <w:highlight w:val="none"/>
                      <w:lang w:val="en-US" w:eastAsia="zh-CN"/>
                    </w:rPr>
                  </w:pPr>
                </w:p>
              </w:tc>
            </w:tr>
            <w:tr w14:paraId="4EE84A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279" w:type="pct"/>
                  <w:vMerge w:val="restart"/>
                  <w:noWrap w:val="0"/>
                  <w:vAlign w:val="center"/>
                </w:tcPr>
                <w:p w14:paraId="755868EB">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金烨钢铁集团有限公司自行监测</w:t>
                  </w:r>
                </w:p>
              </w:tc>
              <w:tc>
                <w:tcPr>
                  <w:tcW w:w="664" w:type="pct"/>
                  <w:vMerge w:val="restart"/>
                  <w:tcBorders>
                    <w:right w:val="single" w:color="000000" w:sz="6" w:space="0"/>
                  </w:tcBorders>
                  <w:shd w:val="clear" w:color="auto" w:fill="auto"/>
                  <w:noWrap w:val="0"/>
                  <w:vAlign w:val="center"/>
                </w:tcPr>
                <w:p w14:paraId="3B728F14">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厂界噪声</w:t>
                  </w:r>
                </w:p>
              </w:tc>
              <w:tc>
                <w:tcPr>
                  <w:tcW w:w="894" w:type="pct"/>
                  <w:tcBorders>
                    <w:right w:val="single" w:color="000000" w:sz="6" w:space="0"/>
                  </w:tcBorders>
                  <w:shd w:val="clear" w:color="auto" w:fill="auto"/>
                  <w:noWrap w:val="0"/>
                  <w:vAlign w:val="center"/>
                </w:tcPr>
                <w:p w14:paraId="792FFFE6">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1#北</w:t>
                  </w:r>
                </w:p>
              </w:tc>
              <w:tc>
                <w:tcPr>
                  <w:tcW w:w="590" w:type="pct"/>
                  <w:tcBorders>
                    <w:right w:val="single" w:color="000000" w:sz="6" w:space="0"/>
                  </w:tcBorders>
                  <w:shd w:val="clear" w:color="auto" w:fill="auto"/>
                  <w:noWrap w:val="0"/>
                  <w:vAlign w:val="center"/>
                </w:tcPr>
                <w:p w14:paraId="18EE7E54">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54.0</w:t>
                  </w:r>
                </w:p>
              </w:tc>
              <w:tc>
                <w:tcPr>
                  <w:tcW w:w="473" w:type="pct"/>
                  <w:tcBorders>
                    <w:right w:val="single" w:color="000000" w:sz="6" w:space="0"/>
                  </w:tcBorders>
                  <w:shd w:val="clear" w:color="auto" w:fill="auto"/>
                  <w:noWrap w:val="0"/>
                  <w:vAlign w:val="center"/>
                </w:tcPr>
                <w:p w14:paraId="44DDD505">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43.1</w:t>
                  </w:r>
                </w:p>
              </w:tc>
              <w:tc>
                <w:tcPr>
                  <w:tcW w:w="1097" w:type="pct"/>
                  <w:vMerge w:val="continue"/>
                  <w:tcBorders>
                    <w:right w:val="single" w:color="000000" w:sz="6" w:space="0"/>
                  </w:tcBorders>
                  <w:shd w:val="clear" w:color="auto" w:fill="auto"/>
                  <w:noWrap w:val="0"/>
                  <w:vAlign w:val="center"/>
                </w:tcPr>
                <w:p w14:paraId="654E8A4E">
                  <w:pPr>
                    <w:jc w:val="center"/>
                    <w:rPr>
                      <w:rFonts w:hint="eastAsia" w:ascii="Times New Roman" w:hAnsi="Times New Roman" w:eastAsia="宋体" w:cs="Times New Roman"/>
                      <w:color w:val="auto"/>
                      <w:kern w:val="2"/>
                      <w:sz w:val="21"/>
                      <w:szCs w:val="21"/>
                      <w:highlight w:val="none"/>
                      <w:lang w:val="en-US" w:eastAsia="zh-CN" w:bidi="ar-SA"/>
                    </w:rPr>
                  </w:pPr>
                </w:p>
              </w:tc>
            </w:tr>
            <w:tr w14:paraId="13E16F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279" w:type="pct"/>
                  <w:vMerge w:val="continue"/>
                  <w:noWrap w:val="0"/>
                  <w:vAlign w:val="center"/>
                </w:tcPr>
                <w:p w14:paraId="430BC4E5">
                  <w:pPr>
                    <w:jc w:val="center"/>
                    <w:rPr>
                      <w:rFonts w:hint="eastAsia"/>
                      <w:color w:val="auto"/>
                      <w:sz w:val="21"/>
                      <w:szCs w:val="21"/>
                      <w:highlight w:val="none"/>
                      <w:lang w:val="en-US" w:eastAsia="zh-CN"/>
                    </w:rPr>
                  </w:pPr>
                </w:p>
              </w:tc>
              <w:tc>
                <w:tcPr>
                  <w:tcW w:w="664" w:type="pct"/>
                  <w:vMerge w:val="continue"/>
                  <w:tcBorders>
                    <w:right w:val="single" w:color="000000" w:sz="6" w:space="0"/>
                  </w:tcBorders>
                  <w:noWrap w:val="0"/>
                  <w:vAlign w:val="center"/>
                </w:tcPr>
                <w:p w14:paraId="0DA89FEB">
                  <w:pPr>
                    <w:jc w:val="center"/>
                    <w:rPr>
                      <w:rFonts w:hint="eastAsia"/>
                      <w:color w:val="auto"/>
                      <w:sz w:val="21"/>
                      <w:szCs w:val="21"/>
                      <w:highlight w:val="none"/>
                      <w:lang w:val="en-US" w:eastAsia="zh-CN"/>
                    </w:rPr>
                  </w:pPr>
                </w:p>
              </w:tc>
              <w:tc>
                <w:tcPr>
                  <w:tcW w:w="894" w:type="pct"/>
                  <w:tcBorders>
                    <w:right w:val="single" w:color="000000" w:sz="6" w:space="0"/>
                  </w:tcBorders>
                  <w:shd w:val="clear" w:color="auto" w:fill="auto"/>
                  <w:noWrap w:val="0"/>
                  <w:vAlign w:val="center"/>
                </w:tcPr>
                <w:p w14:paraId="1A44A7F5">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2#北</w:t>
                  </w:r>
                </w:p>
              </w:tc>
              <w:tc>
                <w:tcPr>
                  <w:tcW w:w="590" w:type="pct"/>
                  <w:tcBorders>
                    <w:right w:val="single" w:color="000000" w:sz="6" w:space="0"/>
                  </w:tcBorders>
                  <w:shd w:val="clear" w:color="auto" w:fill="auto"/>
                  <w:noWrap w:val="0"/>
                  <w:vAlign w:val="center"/>
                </w:tcPr>
                <w:p w14:paraId="26B987EB">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52.1</w:t>
                  </w:r>
                </w:p>
              </w:tc>
              <w:tc>
                <w:tcPr>
                  <w:tcW w:w="473" w:type="pct"/>
                  <w:tcBorders>
                    <w:right w:val="single" w:color="000000" w:sz="6" w:space="0"/>
                  </w:tcBorders>
                  <w:shd w:val="clear" w:color="auto" w:fill="auto"/>
                  <w:noWrap w:val="0"/>
                  <w:vAlign w:val="center"/>
                </w:tcPr>
                <w:p w14:paraId="3761F090">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42.2</w:t>
                  </w:r>
                </w:p>
              </w:tc>
              <w:tc>
                <w:tcPr>
                  <w:tcW w:w="1097" w:type="pct"/>
                  <w:vMerge w:val="continue"/>
                  <w:tcBorders>
                    <w:right w:val="single" w:color="000000" w:sz="6" w:space="0"/>
                  </w:tcBorders>
                  <w:noWrap w:val="0"/>
                  <w:vAlign w:val="center"/>
                </w:tcPr>
                <w:p w14:paraId="3D5C7C70">
                  <w:pPr>
                    <w:jc w:val="center"/>
                    <w:rPr>
                      <w:rFonts w:hint="eastAsia" w:ascii="Times New Roman" w:hAnsi="Times New Roman" w:eastAsia="宋体" w:cs="Times New Roman"/>
                      <w:color w:val="auto"/>
                      <w:sz w:val="21"/>
                      <w:szCs w:val="21"/>
                      <w:highlight w:val="none"/>
                      <w:lang w:val="en-US" w:eastAsia="zh-CN"/>
                    </w:rPr>
                  </w:pPr>
                </w:p>
              </w:tc>
            </w:tr>
            <w:tr w14:paraId="03C791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279" w:type="pct"/>
                  <w:vMerge w:val="continue"/>
                  <w:noWrap w:val="0"/>
                  <w:vAlign w:val="center"/>
                </w:tcPr>
                <w:p w14:paraId="0D95C9BE">
                  <w:pPr>
                    <w:jc w:val="center"/>
                    <w:rPr>
                      <w:rFonts w:hint="eastAsia"/>
                      <w:color w:val="auto"/>
                      <w:sz w:val="21"/>
                      <w:szCs w:val="21"/>
                      <w:highlight w:val="none"/>
                      <w:lang w:val="en-US" w:eastAsia="zh-CN"/>
                    </w:rPr>
                  </w:pPr>
                </w:p>
              </w:tc>
              <w:tc>
                <w:tcPr>
                  <w:tcW w:w="664" w:type="pct"/>
                  <w:vMerge w:val="continue"/>
                  <w:tcBorders>
                    <w:right w:val="single" w:color="000000" w:sz="6" w:space="0"/>
                  </w:tcBorders>
                  <w:noWrap w:val="0"/>
                  <w:vAlign w:val="center"/>
                </w:tcPr>
                <w:p w14:paraId="0BB920DB">
                  <w:pPr>
                    <w:jc w:val="center"/>
                    <w:rPr>
                      <w:rFonts w:hint="eastAsia"/>
                      <w:color w:val="auto"/>
                      <w:sz w:val="21"/>
                      <w:szCs w:val="21"/>
                      <w:highlight w:val="none"/>
                      <w:lang w:val="en-US" w:eastAsia="zh-CN"/>
                    </w:rPr>
                  </w:pPr>
                </w:p>
              </w:tc>
              <w:tc>
                <w:tcPr>
                  <w:tcW w:w="894" w:type="pct"/>
                  <w:tcBorders>
                    <w:right w:val="single" w:color="000000" w:sz="6" w:space="0"/>
                  </w:tcBorders>
                  <w:shd w:val="clear" w:color="auto" w:fill="auto"/>
                  <w:noWrap w:val="0"/>
                  <w:vAlign w:val="center"/>
                </w:tcPr>
                <w:p w14:paraId="3AC32057">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3#东</w:t>
                  </w:r>
                </w:p>
              </w:tc>
              <w:tc>
                <w:tcPr>
                  <w:tcW w:w="590" w:type="pct"/>
                  <w:tcBorders>
                    <w:right w:val="single" w:color="000000" w:sz="6" w:space="0"/>
                  </w:tcBorders>
                  <w:shd w:val="clear" w:color="auto" w:fill="auto"/>
                  <w:noWrap w:val="0"/>
                  <w:vAlign w:val="center"/>
                </w:tcPr>
                <w:p w14:paraId="62054A33">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53.4</w:t>
                  </w:r>
                </w:p>
              </w:tc>
              <w:tc>
                <w:tcPr>
                  <w:tcW w:w="473" w:type="pct"/>
                  <w:tcBorders>
                    <w:right w:val="single" w:color="000000" w:sz="6" w:space="0"/>
                  </w:tcBorders>
                  <w:shd w:val="clear" w:color="auto" w:fill="auto"/>
                  <w:noWrap w:val="0"/>
                  <w:vAlign w:val="center"/>
                </w:tcPr>
                <w:p w14:paraId="4E356474">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43.1</w:t>
                  </w:r>
                </w:p>
              </w:tc>
              <w:tc>
                <w:tcPr>
                  <w:tcW w:w="1097" w:type="pct"/>
                  <w:vMerge w:val="continue"/>
                  <w:tcBorders>
                    <w:right w:val="single" w:color="000000" w:sz="6" w:space="0"/>
                  </w:tcBorders>
                  <w:noWrap w:val="0"/>
                  <w:vAlign w:val="center"/>
                </w:tcPr>
                <w:p w14:paraId="3EE14349">
                  <w:pPr>
                    <w:jc w:val="center"/>
                    <w:rPr>
                      <w:rFonts w:hint="eastAsia" w:ascii="Times New Roman" w:hAnsi="Times New Roman" w:eastAsia="宋体" w:cs="Times New Roman"/>
                      <w:color w:val="auto"/>
                      <w:sz w:val="21"/>
                      <w:szCs w:val="21"/>
                      <w:highlight w:val="none"/>
                      <w:lang w:val="en-US" w:eastAsia="zh-CN"/>
                    </w:rPr>
                  </w:pPr>
                </w:p>
              </w:tc>
            </w:tr>
            <w:tr w14:paraId="5A369D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279" w:type="pct"/>
                  <w:vMerge w:val="continue"/>
                  <w:noWrap w:val="0"/>
                  <w:vAlign w:val="center"/>
                </w:tcPr>
                <w:p w14:paraId="655FFE8D">
                  <w:pPr>
                    <w:jc w:val="center"/>
                    <w:rPr>
                      <w:rFonts w:hint="eastAsia"/>
                      <w:color w:val="auto"/>
                      <w:sz w:val="21"/>
                      <w:szCs w:val="21"/>
                      <w:highlight w:val="none"/>
                      <w:lang w:val="en-US" w:eastAsia="zh-CN"/>
                    </w:rPr>
                  </w:pPr>
                </w:p>
              </w:tc>
              <w:tc>
                <w:tcPr>
                  <w:tcW w:w="664" w:type="pct"/>
                  <w:vMerge w:val="continue"/>
                  <w:tcBorders>
                    <w:right w:val="single" w:color="000000" w:sz="6" w:space="0"/>
                  </w:tcBorders>
                  <w:noWrap w:val="0"/>
                  <w:vAlign w:val="center"/>
                </w:tcPr>
                <w:p w14:paraId="5B6940B9">
                  <w:pPr>
                    <w:jc w:val="center"/>
                    <w:rPr>
                      <w:rFonts w:hint="eastAsia"/>
                      <w:color w:val="auto"/>
                      <w:sz w:val="21"/>
                      <w:szCs w:val="21"/>
                      <w:highlight w:val="none"/>
                      <w:lang w:val="en-US" w:eastAsia="zh-CN"/>
                    </w:rPr>
                  </w:pPr>
                </w:p>
              </w:tc>
              <w:tc>
                <w:tcPr>
                  <w:tcW w:w="894" w:type="pct"/>
                  <w:tcBorders>
                    <w:right w:val="single" w:color="000000" w:sz="6" w:space="0"/>
                  </w:tcBorders>
                  <w:shd w:val="clear" w:color="auto" w:fill="auto"/>
                  <w:noWrap w:val="0"/>
                  <w:vAlign w:val="center"/>
                </w:tcPr>
                <w:p w14:paraId="5BFED5F4">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4#东</w:t>
                  </w:r>
                </w:p>
              </w:tc>
              <w:tc>
                <w:tcPr>
                  <w:tcW w:w="590" w:type="pct"/>
                  <w:tcBorders>
                    <w:right w:val="single" w:color="000000" w:sz="6" w:space="0"/>
                  </w:tcBorders>
                  <w:shd w:val="clear" w:color="auto" w:fill="auto"/>
                  <w:noWrap w:val="0"/>
                  <w:vAlign w:val="center"/>
                </w:tcPr>
                <w:p w14:paraId="59A4633E">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53.5</w:t>
                  </w:r>
                </w:p>
              </w:tc>
              <w:tc>
                <w:tcPr>
                  <w:tcW w:w="473" w:type="pct"/>
                  <w:tcBorders>
                    <w:right w:val="single" w:color="000000" w:sz="6" w:space="0"/>
                  </w:tcBorders>
                  <w:shd w:val="clear" w:color="auto" w:fill="auto"/>
                  <w:noWrap w:val="0"/>
                  <w:vAlign w:val="center"/>
                </w:tcPr>
                <w:p w14:paraId="0D2D86B4">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44.1</w:t>
                  </w:r>
                </w:p>
              </w:tc>
              <w:tc>
                <w:tcPr>
                  <w:tcW w:w="1097" w:type="pct"/>
                  <w:vMerge w:val="continue"/>
                  <w:tcBorders>
                    <w:right w:val="single" w:color="000000" w:sz="6" w:space="0"/>
                  </w:tcBorders>
                  <w:noWrap w:val="0"/>
                  <w:vAlign w:val="center"/>
                </w:tcPr>
                <w:p w14:paraId="49586E9C">
                  <w:pPr>
                    <w:jc w:val="center"/>
                    <w:rPr>
                      <w:rFonts w:hint="eastAsia" w:ascii="Times New Roman" w:hAnsi="Times New Roman" w:eastAsia="宋体" w:cs="Times New Roman"/>
                      <w:color w:val="auto"/>
                      <w:sz w:val="21"/>
                      <w:szCs w:val="21"/>
                      <w:highlight w:val="none"/>
                      <w:lang w:val="en-US" w:eastAsia="zh-CN"/>
                    </w:rPr>
                  </w:pPr>
                </w:p>
              </w:tc>
            </w:tr>
          </w:tbl>
          <w:p w14:paraId="1937936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color w:val="auto"/>
                <w:sz w:val="24"/>
                <w:szCs w:val="32"/>
                <w:highlight w:val="none"/>
                <w:lang w:val="en-US" w:eastAsia="zh-CN"/>
              </w:rPr>
            </w:pPr>
            <w:r>
              <w:rPr>
                <w:rFonts w:hint="eastAsia"/>
                <w:color w:val="auto"/>
                <w:sz w:val="24"/>
                <w:szCs w:val="32"/>
                <w:highlight w:val="none"/>
                <w:lang w:val="en-US" w:eastAsia="zh-CN"/>
              </w:rPr>
              <w:t>根据自行监测数据，金烨钢铁厂厂区噪声、无组织废气达标排放。</w:t>
            </w:r>
          </w:p>
          <w:p w14:paraId="1A7C1DD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根据现场踏勘，厂区内存在环境问题：（1）项目所在区域，局部地面未硬化。（2）高炉煤气输气管线标识及管道警示标志模糊、</w:t>
            </w:r>
            <w:r>
              <w:rPr>
                <w:rFonts w:hint="eastAsia" w:cs="Times New Roman"/>
                <w:color w:val="auto"/>
                <w:sz w:val="24"/>
                <w:highlight w:val="none"/>
                <w:lang w:val="en-US" w:eastAsia="zh-CN"/>
              </w:rPr>
              <w:t>褪色。</w:t>
            </w:r>
          </w:p>
          <w:p w14:paraId="27E0B61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lang w:val="en-US" w:eastAsia="zh-CN"/>
              </w:rPr>
            </w:pPr>
            <w:r>
              <w:rPr>
                <w:rFonts w:hint="eastAsia" w:ascii="Times New Roman" w:hAnsi="Times New Roman" w:eastAsia="宋体" w:cs="Times New Roman"/>
                <w:color w:val="auto"/>
                <w:sz w:val="24"/>
                <w:highlight w:val="none"/>
                <w:lang w:val="en-US" w:eastAsia="zh-CN"/>
              </w:rPr>
              <w:t>整改措施：（1</w:t>
            </w:r>
            <w:r>
              <w:rPr>
                <w:rFonts w:hint="eastAsia" w:cs="Times New Roman"/>
                <w:color w:val="auto"/>
                <w:sz w:val="24"/>
                <w:highlight w:val="none"/>
                <w:lang w:val="en-US" w:eastAsia="zh-CN"/>
              </w:rPr>
              <w:t>）对</w:t>
            </w:r>
            <w:r>
              <w:rPr>
                <w:rFonts w:hint="eastAsia" w:ascii="Times New Roman" w:hAnsi="Times New Roman" w:eastAsia="宋体" w:cs="Times New Roman"/>
                <w:color w:val="auto"/>
                <w:sz w:val="24"/>
                <w:highlight w:val="none"/>
                <w:lang w:val="en-US" w:eastAsia="zh-CN"/>
              </w:rPr>
              <w:t>地面进行硬化改造。（2）对高炉煤气输气管线进行排查，对色环、流向、标识、警示标志等进行维护和更换。</w:t>
            </w:r>
          </w:p>
        </w:tc>
      </w:tr>
    </w:tbl>
    <w:p w14:paraId="5F2E3FDE">
      <w:pPr>
        <w:pStyle w:val="22"/>
        <w:jc w:val="center"/>
        <w:rPr>
          <w:rFonts w:ascii="黑体" w:hAnsi="黑体" w:eastAsia="黑体"/>
          <w:snapToGrid w:val="0"/>
          <w:color w:val="auto"/>
          <w:sz w:val="36"/>
          <w:szCs w:val="36"/>
        </w:rPr>
        <w:sectPr>
          <w:footerReference r:id="rId5" w:type="default"/>
          <w:pgSz w:w="11906" w:h="16838"/>
          <w:pgMar w:top="1701" w:right="1531" w:bottom="1644" w:left="1531" w:header="851" w:footer="851" w:gutter="0"/>
          <w:cols w:space="720" w:num="1"/>
          <w:docGrid w:linePitch="312" w:charSpace="0"/>
        </w:sectPr>
      </w:pPr>
    </w:p>
    <w:p w14:paraId="08696469">
      <w:pPr>
        <w:pStyle w:val="22"/>
        <w:adjustRightInd w:val="0"/>
        <w:snapToGrid w:val="0"/>
        <w:spacing w:before="0" w:beforeAutospacing="0" w:after="0" w:afterAutospacing="0" w:line="14" w:lineRule="auto"/>
        <w:jc w:val="center"/>
        <w:rPr>
          <w:rFonts w:ascii="黑体" w:hAnsi="黑体" w:eastAsia="黑体"/>
          <w:snapToGrid w:val="0"/>
          <w:color w:val="auto"/>
          <w:sz w:val="30"/>
          <w:szCs w:val="30"/>
        </w:rPr>
      </w:pPr>
    </w:p>
    <w:p w14:paraId="5406799B">
      <w:pPr>
        <w:pStyle w:val="22"/>
        <w:jc w:val="center"/>
        <w:outlineLvl w:val="0"/>
        <w:rPr>
          <w:rFonts w:ascii="黑体" w:hAnsi="黑体" w:eastAsia="黑体"/>
          <w:snapToGrid w:val="0"/>
          <w:color w:val="auto"/>
          <w:sz w:val="30"/>
          <w:szCs w:val="30"/>
        </w:rPr>
      </w:pPr>
      <w:r>
        <w:rPr>
          <w:rFonts w:hint="eastAsia" w:ascii="黑体" w:hAnsi="黑体" w:eastAsia="黑体"/>
          <w:snapToGrid w:val="0"/>
          <w:color w:val="auto"/>
          <w:sz w:val="30"/>
          <w:szCs w:val="30"/>
        </w:rPr>
        <w:t>三、区域环境质量现状、环境保护目标及评价标准</w:t>
      </w:r>
    </w:p>
    <w:tbl>
      <w:tblPr>
        <w:tblStyle w:val="2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90"/>
      </w:tblGrid>
      <w:tr w14:paraId="388271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06" w:hRule="atLeast"/>
          <w:jc w:val="center"/>
        </w:trPr>
        <w:tc>
          <w:tcPr>
            <w:tcW w:w="800" w:type="dxa"/>
            <w:noWrap w:val="0"/>
            <w:vAlign w:val="center"/>
          </w:tcPr>
          <w:p w14:paraId="5E7D1AFD">
            <w:pPr>
              <w:adjustRightInd w:val="0"/>
              <w:snapToGrid w:val="0"/>
              <w:jc w:val="center"/>
              <w:rPr>
                <w:rFonts w:ascii="宋体" w:hAnsi="宋体" w:cs="宋体"/>
                <w:color w:val="auto"/>
                <w:kern w:val="0"/>
                <w:szCs w:val="21"/>
              </w:rPr>
            </w:pPr>
            <w:r>
              <w:rPr>
                <w:rFonts w:hint="eastAsia" w:ascii="宋体" w:hAnsi="宋体" w:cs="宋体"/>
                <w:color w:val="auto"/>
                <w:kern w:val="0"/>
                <w:szCs w:val="21"/>
              </w:rPr>
              <w:t>区域</w:t>
            </w:r>
          </w:p>
          <w:p w14:paraId="7AD98649">
            <w:pPr>
              <w:adjustRightInd w:val="0"/>
              <w:snapToGrid w:val="0"/>
              <w:jc w:val="center"/>
              <w:rPr>
                <w:rFonts w:ascii="宋体" w:hAnsi="宋体" w:cs="宋体"/>
                <w:color w:val="auto"/>
                <w:kern w:val="0"/>
                <w:szCs w:val="21"/>
              </w:rPr>
            </w:pPr>
            <w:r>
              <w:rPr>
                <w:rFonts w:hint="eastAsia" w:ascii="宋体" w:hAnsi="宋体" w:cs="宋体"/>
                <w:color w:val="auto"/>
                <w:kern w:val="0"/>
                <w:szCs w:val="21"/>
              </w:rPr>
              <w:t>环境</w:t>
            </w:r>
          </w:p>
          <w:p w14:paraId="103BEC70">
            <w:pPr>
              <w:adjustRightInd w:val="0"/>
              <w:snapToGrid w:val="0"/>
              <w:jc w:val="center"/>
              <w:rPr>
                <w:rFonts w:ascii="宋体" w:hAnsi="宋体" w:cs="宋体"/>
                <w:color w:val="auto"/>
                <w:kern w:val="0"/>
                <w:szCs w:val="21"/>
              </w:rPr>
            </w:pPr>
            <w:r>
              <w:rPr>
                <w:rFonts w:hint="eastAsia" w:ascii="宋体" w:hAnsi="宋体" w:cs="宋体"/>
                <w:color w:val="auto"/>
                <w:kern w:val="0"/>
                <w:szCs w:val="21"/>
              </w:rPr>
              <w:t>质量</w:t>
            </w:r>
          </w:p>
          <w:p w14:paraId="4B632AA8">
            <w:pPr>
              <w:adjustRightInd w:val="0"/>
              <w:snapToGrid w:val="0"/>
              <w:jc w:val="center"/>
              <w:rPr>
                <w:rFonts w:ascii="宋体" w:hAnsi="宋体" w:cs="宋体"/>
                <w:color w:val="auto"/>
                <w:kern w:val="0"/>
                <w:szCs w:val="21"/>
              </w:rPr>
            </w:pPr>
            <w:r>
              <w:rPr>
                <w:rFonts w:hint="eastAsia" w:ascii="宋体" w:hAnsi="宋体" w:cs="宋体"/>
                <w:color w:val="auto"/>
                <w:kern w:val="0"/>
                <w:szCs w:val="21"/>
              </w:rPr>
              <w:t>现状</w:t>
            </w:r>
          </w:p>
        </w:tc>
        <w:tc>
          <w:tcPr>
            <w:tcW w:w="8190" w:type="dxa"/>
            <w:noWrap w:val="0"/>
            <w:vAlign w:val="center"/>
          </w:tcPr>
          <w:p w14:paraId="74FBA8B6">
            <w:pPr>
              <w:adjustRightInd w:val="0"/>
              <w:snapToGrid w:val="0"/>
              <w:spacing w:beforeLines="50" w:line="360" w:lineRule="auto"/>
              <w:ind w:firstLine="482" w:firstLineChars="200"/>
              <w:jc w:val="left"/>
              <w:rPr>
                <w:b/>
                <w:bCs/>
                <w:color w:val="auto"/>
                <w:kern w:val="0"/>
                <w:sz w:val="24"/>
                <w:lang w:val="zh-CN"/>
              </w:rPr>
            </w:pPr>
            <w:r>
              <w:rPr>
                <w:b/>
                <w:bCs/>
                <w:color w:val="auto"/>
                <w:kern w:val="0"/>
                <w:sz w:val="24"/>
              </w:rPr>
              <w:t>1、</w:t>
            </w:r>
            <w:r>
              <w:rPr>
                <w:b/>
                <w:bCs/>
                <w:color w:val="auto"/>
                <w:kern w:val="0"/>
                <w:sz w:val="24"/>
                <w:lang w:val="zh-CN"/>
              </w:rPr>
              <w:t>环境空气质量现状</w:t>
            </w:r>
          </w:p>
          <w:p w14:paraId="26A3ED95">
            <w:pPr>
              <w:spacing w:line="360" w:lineRule="auto"/>
              <w:ind w:firstLine="480" w:firstLineChars="200"/>
              <w:jc w:val="left"/>
              <w:rPr>
                <w:bCs/>
                <w:color w:val="auto"/>
                <w:sz w:val="24"/>
              </w:rPr>
            </w:pPr>
            <w:r>
              <w:rPr>
                <w:rFonts w:hint="eastAsia"/>
                <w:bCs/>
                <w:color w:val="auto"/>
                <w:sz w:val="24"/>
              </w:rPr>
              <w:t>（1）基本污染物</w:t>
            </w:r>
          </w:p>
          <w:p w14:paraId="26AB88E5">
            <w:pPr>
              <w:spacing w:line="360" w:lineRule="auto"/>
              <w:ind w:firstLine="480" w:firstLineChars="200"/>
              <w:jc w:val="left"/>
              <w:rPr>
                <w:bCs/>
                <w:color w:val="auto"/>
                <w:sz w:val="24"/>
              </w:rPr>
            </w:pPr>
            <w:r>
              <w:rPr>
                <w:bCs/>
                <w:color w:val="auto"/>
                <w:sz w:val="24"/>
              </w:rPr>
              <w:t>本次评价收集了</w:t>
            </w:r>
            <w:r>
              <w:rPr>
                <w:rFonts w:hint="eastAsia"/>
                <w:color w:val="auto"/>
                <w:sz w:val="24"/>
                <w:szCs w:val="32"/>
                <w:lang w:val="en-US" w:eastAsia="zh-CN"/>
              </w:rPr>
              <w:t>壶关县</w:t>
            </w:r>
            <w:r>
              <w:rPr>
                <w:rFonts w:eastAsia="Times New Roman"/>
                <w:color w:val="auto"/>
                <w:sz w:val="24"/>
                <w:szCs w:val="32"/>
              </w:rPr>
              <w:t>202</w:t>
            </w:r>
            <w:r>
              <w:rPr>
                <w:rFonts w:hint="eastAsia"/>
                <w:color w:val="auto"/>
                <w:sz w:val="24"/>
                <w:szCs w:val="32"/>
                <w:lang w:val="en-US" w:eastAsia="zh-CN"/>
              </w:rPr>
              <w:t>5</w:t>
            </w:r>
            <w:r>
              <w:rPr>
                <w:color w:val="auto"/>
                <w:sz w:val="24"/>
                <w:szCs w:val="32"/>
              </w:rPr>
              <w:t>年环境空气例</w:t>
            </w:r>
            <w:r>
              <w:rPr>
                <w:color w:val="auto"/>
                <w:spacing w:val="-4"/>
                <w:sz w:val="24"/>
                <w:szCs w:val="32"/>
              </w:rPr>
              <w:t>行监测数据</w:t>
            </w:r>
            <w:r>
              <w:rPr>
                <w:bCs/>
                <w:color w:val="auto"/>
                <w:sz w:val="24"/>
              </w:rPr>
              <w:t>，见表3-1。</w:t>
            </w:r>
          </w:p>
          <w:p w14:paraId="35610739">
            <w:pPr>
              <w:adjustRightInd w:val="0"/>
              <w:jc w:val="center"/>
              <w:textAlignment w:val="baseline"/>
              <w:rPr>
                <w:b/>
                <w:bCs/>
                <w:color w:val="auto"/>
                <w:spacing w:val="4"/>
                <w:szCs w:val="21"/>
              </w:rPr>
            </w:pPr>
            <w:r>
              <w:rPr>
                <w:b/>
                <w:bCs/>
                <w:color w:val="auto"/>
                <w:spacing w:val="4"/>
                <w:szCs w:val="21"/>
              </w:rPr>
              <w:t>表3-1</w:t>
            </w:r>
            <w:r>
              <w:rPr>
                <w:rFonts w:hint="eastAsia"/>
                <w:b/>
                <w:bCs/>
                <w:color w:val="auto"/>
                <w:spacing w:val="4"/>
                <w:kern w:val="32"/>
                <w:szCs w:val="21"/>
                <w:lang w:val="en-US" w:eastAsia="zh-CN"/>
              </w:rPr>
              <w:t>壶关县</w:t>
            </w:r>
            <w:r>
              <w:rPr>
                <w:b/>
                <w:bCs/>
                <w:color w:val="auto"/>
                <w:spacing w:val="4"/>
                <w:kern w:val="32"/>
                <w:szCs w:val="21"/>
              </w:rPr>
              <w:t>202</w:t>
            </w:r>
            <w:r>
              <w:rPr>
                <w:rFonts w:hint="eastAsia"/>
                <w:b/>
                <w:bCs/>
                <w:color w:val="auto"/>
                <w:spacing w:val="4"/>
                <w:kern w:val="32"/>
                <w:szCs w:val="21"/>
                <w:lang w:val="en-US" w:eastAsia="zh-CN"/>
              </w:rPr>
              <w:t>5</w:t>
            </w:r>
            <w:r>
              <w:rPr>
                <w:b/>
                <w:bCs/>
                <w:color w:val="auto"/>
                <w:spacing w:val="4"/>
                <w:kern w:val="32"/>
                <w:szCs w:val="21"/>
              </w:rPr>
              <w:t>年例行监测环境空气质量监测结果</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763"/>
              <w:gridCol w:w="1438"/>
              <w:gridCol w:w="1491"/>
              <w:gridCol w:w="1231"/>
              <w:gridCol w:w="1067"/>
            </w:tblGrid>
            <w:tr w14:paraId="58A0A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1" w:type="dxa"/>
                  <w:noWrap w:val="0"/>
                  <w:vAlign w:val="center"/>
                </w:tcPr>
                <w:p w14:paraId="1189DBC8">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rPr>
                    <w:t>污染物</w:t>
                  </w:r>
                </w:p>
              </w:tc>
              <w:tc>
                <w:tcPr>
                  <w:tcW w:w="1763" w:type="dxa"/>
                  <w:noWrap w:val="0"/>
                  <w:vAlign w:val="center"/>
                </w:tcPr>
                <w:p w14:paraId="0C56827C">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rPr>
                    <w:t>年评价指标</w:t>
                  </w:r>
                </w:p>
              </w:tc>
              <w:tc>
                <w:tcPr>
                  <w:tcW w:w="1438" w:type="dxa"/>
                  <w:noWrap w:val="0"/>
                  <w:vAlign w:val="center"/>
                </w:tcPr>
                <w:p w14:paraId="2F55F95B">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rPr>
                    <w:t>现状浓度</w:t>
                  </w:r>
                </w:p>
              </w:tc>
              <w:tc>
                <w:tcPr>
                  <w:tcW w:w="1491" w:type="dxa"/>
                  <w:noWrap w:val="0"/>
                  <w:vAlign w:val="center"/>
                </w:tcPr>
                <w:p w14:paraId="3A54C0A7">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rPr>
                    <w:t>标准值</w:t>
                  </w:r>
                </w:p>
              </w:tc>
              <w:tc>
                <w:tcPr>
                  <w:tcW w:w="1231" w:type="dxa"/>
                  <w:noWrap w:val="0"/>
                  <w:vAlign w:val="center"/>
                </w:tcPr>
                <w:p w14:paraId="483C68D7">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rPr>
                    <w:t>占标率</w:t>
                  </w:r>
                </w:p>
              </w:tc>
              <w:tc>
                <w:tcPr>
                  <w:tcW w:w="1067" w:type="dxa"/>
                  <w:noWrap w:val="0"/>
                  <w:vAlign w:val="center"/>
                </w:tcPr>
                <w:p w14:paraId="2D226F5F">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rPr>
                    <w:t>达标情况</w:t>
                  </w:r>
                </w:p>
              </w:tc>
            </w:tr>
            <w:tr w14:paraId="04EC2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1" w:type="dxa"/>
                  <w:noWrap w:val="0"/>
                  <w:vAlign w:val="center"/>
                </w:tcPr>
                <w:p w14:paraId="50C90EA4">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rPr>
                    <w:t>SO</w:t>
                  </w:r>
                  <w:r>
                    <w:rPr>
                      <w:rFonts w:hint="default" w:ascii="Times New Roman" w:hAnsi="Times New Roman" w:cs="Times New Roman"/>
                      <w:color w:val="auto"/>
                      <w:highlight w:val="none"/>
                      <w:vertAlign w:val="subscript"/>
                    </w:rPr>
                    <w:t>2</w:t>
                  </w:r>
                </w:p>
              </w:tc>
              <w:tc>
                <w:tcPr>
                  <w:tcW w:w="1763" w:type="dxa"/>
                  <w:vMerge w:val="restart"/>
                  <w:noWrap w:val="0"/>
                  <w:vAlign w:val="center"/>
                </w:tcPr>
                <w:p w14:paraId="2AB21ACF">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rPr>
                    <w:t>年平均质量浓度</w:t>
                  </w:r>
                </w:p>
              </w:tc>
              <w:tc>
                <w:tcPr>
                  <w:tcW w:w="1438" w:type="dxa"/>
                  <w:noWrap w:val="0"/>
                  <w:vAlign w:val="center"/>
                </w:tcPr>
                <w:p w14:paraId="13C0F832">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lang w:val="en-US" w:eastAsia="zh-CN"/>
                    </w:rPr>
                    <w:t>16</w:t>
                  </w:r>
                </w:p>
              </w:tc>
              <w:tc>
                <w:tcPr>
                  <w:tcW w:w="1491" w:type="dxa"/>
                  <w:noWrap w:val="0"/>
                  <w:vAlign w:val="center"/>
                </w:tcPr>
                <w:p w14:paraId="6B0D0A47">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lang w:val="en-US" w:eastAsia="zh-CN"/>
                    </w:rPr>
                    <w:t>60</w:t>
                  </w:r>
                </w:p>
              </w:tc>
              <w:tc>
                <w:tcPr>
                  <w:tcW w:w="1231" w:type="dxa"/>
                  <w:noWrap w:val="0"/>
                  <w:vAlign w:val="center"/>
                </w:tcPr>
                <w:p w14:paraId="216A55C6">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lang w:val="en-US" w:eastAsia="zh-CN"/>
                    </w:rPr>
                    <w:t>26.67%</w:t>
                  </w:r>
                </w:p>
              </w:tc>
              <w:tc>
                <w:tcPr>
                  <w:tcW w:w="1067" w:type="dxa"/>
                  <w:noWrap w:val="0"/>
                  <w:vAlign w:val="center"/>
                </w:tcPr>
                <w:p w14:paraId="165ECA69">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lang w:val="en-US" w:eastAsia="zh-CN"/>
                    </w:rPr>
                    <w:t>达标</w:t>
                  </w:r>
                </w:p>
              </w:tc>
            </w:tr>
            <w:tr w14:paraId="5E5D5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1" w:type="dxa"/>
                  <w:noWrap w:val="0"/>
                  <w:vAlign w:val="center"/>
                </w:tcPr>
                <w:p w14:paraId="308202E0">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rPr>
                    <w:t>NO</w:t>
                  </w:r>
                  <w:r>
                    <w:rPr>
                      <w:rFonts w:hint="default" w:ascii="Times New Roman" w:hAnsi="Times New Roman" w:cs="Times New Roman"/>
                      <w:color w:val="auto"/>
                      <w:highlight w:val="none"/>
                      <w:vertAlign w:val="subscript"/>
                    </w:rPr>
                    <w:t>2</w:t>
                  </w:r>
                </w:p>
              </w:tc>
              <w:tc>
                <w:tcPr>
                  <w:tcW w:w="1763" w:type="dxa"/>
                  <w:vMerge w:val="continue"/>
                  <w:noWrap w:val="0"/>
                  <w:vAlign w:val="center"/>
                </w:tcPr>
                <w:p w14:paraId="25611F4C">
                  <w:pPr>
                    <w:pStyle w:val="47"/>
                    <w:bidi w:val="0"/>
                    <w:rPr>
                      <w:rFonts w:hint="default" w:ascii="Times New Roman" w:hAnsi="Times New Roman" w:cs="Times New Roman"/>
                      <w:color w:val="auto"/>
                      <w:szCs w:val="21"/>
                    </w:rPr>
                  </w:pPr>
                </w:p>
              </w:tc>
              <w:tc>
                <w:tcPr>
                  <w:tcW w:w="1438" w:type="dxa"/>
                  <w:noWrap w:val="0"/>
                  <w:vAlign w:val="center"/>
                </w:tcPr>
                <w:p w14:paraId="1D454295">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lang w:val="en-US" w:eastAsia="zh-CN"/>
                    </w:rPr>
                    <w:t>19</w:t>
                  </w:r>
                </w:p>
              </w:tc>
              <w:tc>
                <w:tcPr>
                  <w:tcW w:w="1491" w:type="dxa"/>
                  <w:noWrap w:val="0"/>
                  <w:vAlign w:val="center"/>
                </w:tcPr>
                <w:p w14:paraId="6B96C5F4">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lang w:val="en-US" w:eastAsia="zh-CN"/>
                    </w:rPr>
                    <w:t>40</w:t>
                  </w:r>
                </w:p>
              </w:tc>
              <w:tc>
                <w:tcPr>
                  <w:tcW w:w="1231" w:type="dxa"/>
                  <w:noWrap w:val="0"/>
                  <w:vAlign w:val="center"/>
                </w:tcPr>
                <w:p w14:paraId="1017AF7E">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lang w:val="en-US" w:eastAsia="zh-CN"/>
                    </w:rPr>
                    <w:t>47.5%</w:t>
                  </w:r>
                </w:p>
              </w:tc>
              <w:tc>
                <w:tcPr>
                  <w:tcW w:w="1067" w:type="dxa"/>
                  <w:noWrap w:val="0"/>
                  <w:vAlign w:val="center"/>
                </w:tcPr>
                <w:p w14:paraId="31B1F8FC">
                  <w:pPr>
                    <w:bidi w:val="0"/>
                    <w:jc w:val="center"/>
                    <w:rPr>
                      <w:rFonts w:hint="default" w:ascii="Times New Roman" w:hAnsi="Times New Roman" w:cs="Times New Roman"/>
                      <w:color w:val="auto"/>
                      <w:szCs w:val="21"/>
                    </w:rPr>
                  </w:pPr>
                  <w:r>
                    <w:rPr>
                      <w:rFonts w:hint="default" w:ascii="Times New Roman" w:hAnsi="Times New Roman" w:cs="Times New Roman"/>
                      <w:color w:val="auto"/>
                      <w:highlight w:val="none"/>
                      <w:lang w:val="en-US" w:eastAsia="zh-CN"/>
                    </w:rPr>
                    <w:t>达标</w:t>
                  </w:r>
                </w:p>
              </w:tc>
            </w:tr>
            <w:tr w14:paraId="3E826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1" w:type="dxa"/>
                  <w:noWrap w:val="0"/>
                  <w:vAlign w:val="center"/>
                </w:tcPr>
                <w:p w14:paraId="583367B9">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rPr>
                    <w:t>PM</w:t>
                  </w:r>
                  <w:r>
                    <w:rPr>
                      <w:rFonts w:hint="default" w:ascii="Times New Roman" w:hAnsi="Times New Roman" w:cs="Times New Roman"/>
                      <w:color w:val="auto"/>
                      <w:highlight w:val="none"/>
                      <w:vertAlign w:val="subscript"/>
                    </w:rPr>
                    <w:t>10</w:t>
                  </w:r>
                </w:p>
              </w:tc>
              <w:tc>
                <w:tcPr>
                  <w:tcW w:w="1763" w:type="dxa"/>
                  <w:vMerge w:val="continue"/>
                  <w:noWrap w:val="0"/>
                  <w:vAlign w:val="center"/>
                </w:tcPr>
                <w:p w14:paraId="711FDBC6">
                  <w:pPr>
                    <w:pStyle w:val="47"/>
                    <w:bidi w:val="0"/>
                    <w:rPr>
                      <w:rFonts w:hint="default" w:ascii="Times New Roman" w:hAnsi="Times New Roman" w:cs="Times New Roman"/>
                      <w:color w:val="auto"/>
                      <w:szCs w:val="21"/>
                    </w:rPr>
                  </w:pPr>
                </w:p>
              </w:tc>
              <w:tc>
                <w:tcPr>
                  <w:tcW w:w="1438" w:type="dxa"/>
                  <w:noWrap w:val="0"/>
                  <w:vAlign w:val="center"/>
                </w:tcPr>
                <w:p w14:paraId="311FEEAF">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lang w:val="en-US" w:eastAsia="zh-CN"/>
                    </w:rPr>
                    <w:t>57</w:t>
                  </w:r>
                </w:p>
              </w:tc>
              <w:tc>
                <w:tcPr>
                  <w:tcW w:w="1491" w:type="dxa"/>
                  <w:noWrap w:val="0"/>
                  <w:vAlign w:val="center"/>
                </w:tcPr>
                <w:p w14:paraId="30DD3E25">
                  <w:pPr>
                    <w:pStyle w:val="47"/>
                    <w:bidi w:val="0"/>
                    <w:rPr>
                      <w:rFonts w:hint="default" w:ascii="Times New Roman" w:hAnsi="Times New Roman" w:cs="Times New Roman"/>
                      <w:color w:val="auto"/>
                      <w:szCs w:val="21"/>
                      <w:lang w:val="en-US"/>
                    </w:rPr>
                  </w:pPr>
                  <w:r>
                    <w:rPr>
                      <w:rFonts w:hint="eastAsia" w:ascii="Times New Roman" w:hAnsi="Times New Roman" w:cs="Times New Roman"/>
                      <w:color w:val="auto"/>
                      <w:highlight w:val="none"/>
                      <w:lang w:val="en-US" w:eastAsia="zh-CN"/>
                    </w:rPr>
                    <w:t>70</w:t>
                  </w:r>
                </w:p>
              </w:tc>
              <w:tc>
                <w:tcPr>
                  <w:tcW w:w="1231" w:type="dxa"/>
                  <w:noWrap w:val="0"/>
                  <w:vAlign w:val="center"/>
                </w:tcPr>
                <w:p w14:paraId="4283231B">
                  <w:pPr>
                    <w:pStyle w:val="47"/>
                    <w:bidi w:val="0"/>
                    <w:rPr>
                      <w:rFonts w:hint="default" w:ascii="Times New Roman" w:hAnsi="Times New Roman" w:cs="Times New Roman"/>
                      <w:color w:val="auto"/>
                      <w:szCs w:val="21"/>
                    </w:rPr>
                  </w:pPr>
                  <w:r>
                    <w:rPr>
                      <w:rFonts w:hint="eastAsia" w:ascii="Times New Roman" w:hAnsi="Times New Roman" w:cs="Times New Roman"/>
                      <w:color w:val="auto"/>
                      <w:highlight w:val="none"/>
                      <w:lang w:val="en-US" w:eastAsia="zh-CN"/>
                    </w:rPr>
                    <w:t>81.43</w:t>
                  </w:r>
                  <w:r>
                    <w:rPr>
                      <w:rFonts w:hint="default" w:ascii="Times New Roman" w:hAnsi="Times New Roman" w:cs="Times New Roman"/>
                      <w:color w:val="auto"/>
                      <w:highlight w:val="none"/>
                      <w:lang w:val="en-US" w:eastAsia="zh-CN"/>
                    </w:rPr>
                    <w:t>%</w:t>
                  </w:r>
                </w:p>
              </w:tc>
              <w:tc>
                <w:tcPr>
                  <w:tcW w:w="1067" w:type="dxa"/>
                  <w:noWrap w:val="0"/>
                  <w:vAlign w:val="center"/>
                </w:tcPr>
                <w:p w14:paraId="55B235FB">
                  <w:pPr>
                    <w:bidi w:val="0"/>
                    <w:jc w:val="center"/>
                    <w:rPr>
                      <w:rFonts w:hint="default" w:ascii="Times New Roman" w:hAnsi="Times New Roman" w:cs="Times New Roman"/>
                      <w:color w:val="auto"/>
                      <w:szCs w:val="21"/>
                    </w:rPr>
                  </w:pPr>
                  <w:r>
                    <w:rPr>
                      <w:rFonts w:hint="default" w:ascii="Times New Roman" w:hAnsi="Times New Roman" w:cs="Times New Roman"/>
                      <w:color w:val="auto"/>
                      <w:highlight w:val="none"/>
                      <w:lang w:val="en-US" w:eastAsia="zh-CN"/>
                    </w:rPr>
                    <w:t>达标</w:t>
                  </w:r>
                </w:p>
              </w:tc>
            </w:tr>
            <w:tr w14:paraId="49360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1" w:type="dxa"/>
                  <w:noWrap w:val="0"/>
                  <w:vAlign w:val="center"/>
                </w:tcPr>
                <w:p w14:paraId="4C795253">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rPr>
                    <w:t>PM</w:t>
                  </w:r>
                  <w:r>
                    <w:rPr>
                      <w:rFonts w:hint="default" w:ascii="Times New Roman" w:hAnsi="Times New Roman" w:cs="Times New Roman"/>
                      <w:color w:val="auto"/>
                      <w:highlight w:val="none"/>
                      <w:vertAlign w:val="subscript"/>
                    </w:rPr>
                    <w:t>2.5</w:t>
                  </w:r>
                </w:p>
              </w:tc>
              <w:tc>
                <w:tcPr>
                  <w:tcW w:w="1763" w:type="dxa"/>
                  <w:vMerge w:val="continue"/>
                  <w:noWrap w:val="0"/>
                  <w:vAlign w:val="center"/>
                </w:tcPr>
                <w:p w14:paraId="567D7B6A">
                  <w:pPr>
                    <w:pStyle w:val="47"/>
                    <w:bidi w:val="0"/>
                    <w:rPr>
                      <w:rFonts w:hint="default" w:ascii="Times New Roman" w:hAnsi="Times New Roman" w:cs="Times New Roman"/>
                      <w:color w:val="auto"/>
                      <w:szCs w:val="21"/>
                    </w:rPr>
                  </w:pPr>
                </w:p>
              </w:tc>
              <w:tc>
                <w:tcPr>
                  <w:tcW w:w="1438" w:type="dxa"/>
                  <w:noWrap w:val="0"/>
                  <w:vAlign w:val="center"/>
                </w:tcPr>
                <w:p w14:paraId="2960E2AC">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lang w:val="en-US" w:eastAsia="zh-CN"/>
                    </w:rPr>
                    <w:t>30</w:t>
                  </w:r>
                </w:p>
              </w:tc>
              <w:tc>
                <w:tcPr>
                  <w:tcW w:w="1491" w:type="dxa"/>
                  <w:noWrap w:val="0"/>
                  <w:vAlign w:val="center"/>
                </w:tcPr>
                <w:p w14:paraId="2A939C89">
                  <w:pPr>
                    <w:pStyle w:val="47"/>
                    <w:bidi w:val="0"/>
                    <w:rPr>
                      <w:rFonts w:hint="default" w:ascii="Times New Roman" w:hAnsi="Times New Roman" w:cs="Times New Roman"/>
                      <w:color w:val="auto"/>
                      <w:szCs w:val="21"/>
                      <w:lang w:val="en-US"/>
                    </w:rPr>
                  </w:pPr>
                  <w:r>
                    <w:rPr>
                      <w:rFonts w:hint="eastAsia" w:ascii="Times New Roman" w:hAnsi="Times New Roman" w:cs="Times New Roman"/>
                      <w:color w:val="auto"/>
                      <w:highlight w:val="none"/>
                      <w:lang w:val="en-US" w:eastAsia="zh-CN"/>
                    </w:rPr>
                    <w:t>35</w:t>
                  </w:r>
                </w:p>
              </w:tc>
              <w:tc>
                <w:tcPr>
                  <w:tcW w:w="1231" w:type="dxa"/>
                  <w:noWrap w:val="0"/>
                  <w:vAlign w:val="center"/>
                </w:tcPr>
                <w:p w14:paraId="175E6C49">
                  <w:pPr>
                    <w:pStyle w:val="47"/>
                    <w:bidi w:val="0"/>
                    <w:rPr>
                      <w:rFonts w:hint="default" w:ascii="Times New Roman" w:hAnsi="Times New Roman" w:cs="Times New Roman"/>
                      <w:color w:val="auto"/>
                      <w:szCs w:val="21"/>
                    </w:rPr>
                  </w:pPr>
                  <w:r>
                    <w:rPr>
                      <w:rFonts w:hint="eastAsia" w:ascii="Times New Roman" w:hAnsi="Times New Roman" w:cs="Times New Roman"/>
                      <w:color w:val="auto"/>
                      <w:highlight w:val="none"/>
                      <w:lang w:val="en-US" w:eastAsia="zh-CN"/>
                    </w:rPr>
                    <w:t>85.71</w:t>
                  </w:r>
                  <w:r>
                    <w:rPr>
                      <w:rFonts w:hint="default" w:ascii="Times New Roman" w:hAnsi="Times New Roman" w:cs="Times New Roman"/>
                      <w:color w:val="auto"/>
                      <w:highlight w:val="none"/>
                      <w:lang w:val="en-US" w:eastAsia="zh-CN"/>
                    </w:rPr>
                    <w:t>%</w:t>
                  </w:r>
                </w:p>
              </w:tc>
              <w:tc>
                <w:tcPr>
                  <w:tcW w:w="1067" w:type="dxa"/>
                  <w:noWrap w:val="0"/>
                  <w:vAlign w:val="center"/>
                </w:tcPr>
                <w:p w14:paraId="0950F3BF">
                  <w:pPr>
                    <w:bidi w:val="0"/>
                    <w:jc w:val="center"/>
                    <w:rPr>
                      <w:rFonts w:hint="default" w:ascii="Times New Roman" w:hAnsi="Times New Roman" w:cs="Times New Roman"/>
                      <w:color w:val="auto"/>
                      <w:szCs w:val="21"/>
                    </w:rPr>
                  </w:pPr>
                  <w:r>
                    <w:rPr>
                      <w:rFonts w:hint="default" w:ascii="Times New Roman" w:hAnsi="Times New Roman" w:cs="Times New Roman"/>
                      <w:color w:val="auto"/>
                      <w:highlight w:val="none"/>
                      <w:lang w:val="en-US" w:eastAsia="zh-CN"/>
                    </w:rPr>
                    <w:t>达标</w:t>
                  </w:r>
                </w:p>
              </w:tc>
            </w:tr>
            <w:tr w14:paraId="44149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1" w:type="dxa"/>
                  <w:noWrap w:val="0"/>
                  <w:vAlign w:val="center"/>
                </w:tcPr>
                <w:p w14:paraId="0458E79C">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rPr>
                    <w:t>CO</w:t>
                  </w:r>
                </w:p>
              </w:tc>
              <w:tc>
                <w:tcPr>
                  <w:tcW w:w="1763" w:type="dxa"/>
                  <w:noWrap w:val="0"/>
                  <w:vAlign w:val="center"/>
                </w:tcPr>
                <w:p w14:paraId="3011BA72">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rPr>
                    <w:t>百分位数日平均质量浓度</w:t>
                  </w:r>
                </w:p>
              </w:tc>
              <w:tc>
                <w:tcPr>
                  <w:tcW w:w="1438" w:type="dxa"/>
                  <w:noWrap w:val="0"/>
                  <w:vAlign w:val="center"/>
                </w:tcPr>
                <w:p w14:paraId="76E46DC8">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lang w:val="en-US" w:eastAsia="zh-CN"/>
                    </w:rPr>
                    <w:t>1800</w:t>
                  </w:r>
                </w:p>
              </w:tc>
              <w:tc>
                <w:tcPr>
                  <w:tcW w:w="1491" w:type="dxa"/>
                  <w:noWrap w:val="0"/>
                  <w:vAlign w:val="center"/>
                </w:tcPr>
                <w:p w14:paraId="222F6E1C">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lang w:val="en-US" w:eastAsia="zh-CN"/>
                    </w:rPr>
                    <w:t>4000</w:t>
                  </w:r>
                </w:p>
              </w:tc>
              <w:tc>
                <w:tcPr>
                  <w:tcW w:w="1231" w:type="dxa"/>
                  <w:noWrap w:val="0"/>
                  <w:vAlign w:val="center"/>
                </w:tcPr>
                <w:p w14:paraId="4677773B">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lang w:val="en-US" w:eastAsia="zh-CN"/>
                    </w:rPr>
                    <w:t>45%</w:t>
                  </w:r>
                </w:p>
              </w:tc>
              <w:tc>
                <w:tcPr>
                  <w:tcW w:w="1067" w:type="dxa"/>
                  <w:noWrap w:val="0"/>
                  <w:vAlign w:val="center"/>
                </w:tcPr>
                <w:p w14:paraId="7A8F04F7">
                  <w:pPr>
                    <w:bidi w:val="0"/>
                    <w:jc w:val="center"/>
                    <w:rPr>
                      <w:rFonts w:hint="default" w:ascii="Times New Roman" w:hAnsi="Times New Roman" w:cs="Times New Roman"/>
                      <w:color w:val="auto"/>
                      <w:szCs w:val="21"/>
                    </w:rPr>
                  </w:pPr>
                  <w:r>
                    <w:rPr>
                      <w:rFonts w:hint="default" w:ascii="Times New Roman" w:hAnsi="Times New Roman" w:cs="Times New Roman"/>
                      <w:color w:val="auto"/>
                      <w:highlight w:val="none"/>
                      <w:lang w:val="en-US" w:eastAsia="zh-CN"/>
                    </w:rPr>
                    <w:t>达标</w:t>
                  </w:r>
                </w:p>
              </w:tc>
            </w:tr>
            <w:tr w14:paraId="3701B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1" w:type="dxa"/>
                  <w:noWrap w:val="0"/>
                  <w:vAlign w:val="center"/>
                </w:tcPr>
                <w:p w14:paraId="1AE34D84">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rPr>
                    <w:t>O</w:t>
                  </w:r>
                  <w:r>
                    <w:rPr>
                      <w:rFonts w:hint="default" w:ascii="Times New Roman" w:hAnsi="Times New Roman" w:cs="Times New Roman"/>
                      <w:color w:val="auto"/>
                      <w:highlight w:val="none"/>
                      <w:vertAlign w:val="subscript"/>
                    </w:rPr>
                    <w:t>3</w:t>
                  </w:r>
                </w:p>
              </w:tc>
              <w:tc>
                <w:tcPr>
                  <w:tcW w:w="1763" w:type="dxa"/>
                  <w:noWrap w:val="0"/>
                  <w:vAlign w:val="center"/>
                </w:tcPr>
                <w:p w14:paraId="0AB75F47">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rPr>
                    <w:t>百分位数8h平均质量浓度</w:t>
                  </w:r>
                </w:p>
              </w:tc>
              <w:tc>
                <w:tcPr>
                  <w:tcW w:w="1438" w:type="dxa"/>
                  <w:noWrap w:val="0"/>
                  <w:vAlign w:val="center"/>
                </w:tcPr>
                <w:p w14:paraId="372D9247">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lang w:val="en-US" w:eastAsia="zh-CN"/>
                    </w:rPr>
                    <w:t>154</w:t>
                  </w:r>
                </w:p>
              </w:tc>
              <w:tc>
                <w:tcPr>
                  <w:tcW w:w="1491" w:type="dxa"/>
                  <w:noWrap w:val="0"/>
                  <w:vAlign w:val="center"/>
                </w:tcPr>
                <w:p w14:paraId="10C7833D">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lang w:val="en-US" w:eastAsia="zh-CN"/>
                    </w:rPr>
                    <w:t>160</w:t>
                  </w:r>
                </w:p>
              </w:tc>
              <w:tc>
                <w:tcPr>
                  <w:tcW w:w="1231" w:type="dxa"/>
                  <w:noWrap w:val="0"/>
                  <w:vAlign w:val="center"/>
                </w:tcPr>
                <w:p w14:paraId="2A8E8647">
                  <w:pPr>
                    <w:pStyle w:val="47"/>
                    <w:bidi w:val="0"/>
                    <w:rPr>
                      <w:rFonts w:hint="default" w:ascii="Times New Roman" w:hAnsi="Times New Roman" w:cs="Times New Roman"/>
                      <w:color w:val="auto"/>
                      <w:szCs w:val="21"/>
                    </w:rPr>
                  </w:pPr>
                  <w:r>
                    <w:rPr>
                      <w:rFonts w:hint="default" w:ascii="Times New Roman" w:hAnsi="Times New Roman" w:cs="Times New Roman"/>
                      <w:color w:val="auto"/>
                      <w:highlight w:val="none"/>
                      <w:lang w:val="en-US" w:eastAsia="zh-CN"/>
                    </w:rPr>
                    <w:t>96.25%</w:t>
                  </w:r>
                </w:p>
              </w:tc>
              <w:tc>
                <w:tcPr>
                  <w:tcW w:w="1067" w:type="dxa"/>
                  <w:noWrap w:val="0"/>
                  <w:vAlign w:val="center"/>
                </w:tcPr>
                <w:p w14:paraId="0E446B0B">
                  <w:pPr>
                    <w:bidi w:val="0"/>
                    <w:jc w:val="center"/>
                    <w:rPr>
                      <w:rFonts w:hint="default" w:ascii="Times New Roman" w:hAnsi="Times New Roman" w:cs="Times New Roman"/>
                      <w:color w:val="auto"/>
                      <w:szCs w:val="21"/>
                    </w:rPr>
                  </w:pPr>
                  <w:r>
                    <w:rPr>
                      <w:rFonts w:hint="default" w:ascii="Times New Roman" w:hAnsi="Times New Roman" w:cs="Times New Roman"/>
                      <w:color w:val="auto"/>
                      <w:highlight w:val="none"/>
                      <w:lang w:val="en-US" w:eastAsia="zh-CN"/>
                    </w:rPr>
                    <w:t>达标</w:t>
                  </w:r>
                </w:p>
              </w:tc>
            </w:tr>
          </w:tbl>
          <w:p w14:paraId="1CDC021C">
            <w:pPr>
              <w:widowControl/>
              <w:spacing w:beforeLines="50" w:line="360" w:lineRule="auto"/>
              <w:ind w:firstLine="480" w:firstLineChars="200"/>
              <w:rPr>
                <w:color w:val="auto"/>
                <w:sz w:val="24"/>
              </w:rPr>
            </w:pPr>
            <w:r>
              <w:rPr>
                <w:color w:val="auto"/>
                <w:sz w:val="24"/>
              </w:rPr>
              <w:t>根</w:t>
            </w:r>
            <w:r>
              <w:rPr>
                <w:rFonts w:hint="eastAsia" w:ascii="Times New Roman" w:hAnsi="Times New Roman" w:eastAsia="宋体" w:cs="Times New Roman"/>
                <w:color w:val="auto"/>
                <w:sz w:val="24"/>
                <w:lang w:val="en-US" w:eastAsia="zh-CN"/>
              </w:rPr>
              <w:t>据2025年壶关</w:t>
            </w:r>
            <w:r>
              <w:rPr>
                <w:rFonts w:hint="eastAsia"/>
                <w:color w:val="auto"/>
                <w:sz w:val="24"/>
                <w:lang w:val="en-US" w:eastAsia="zh-CN"/>
              </w:rPr>
              <w:t>县</w:t>
            </w:r>
            <w:r>
              <w:rPr>
                <w:color w:val="auto"/>
                <w:sz w:val="24"/>
              </w:rPr>
              <w:t>环境空气例行监测数据，</w:t>
            </w:r>
            <w:bookmarkStart w:id="7" w:name="_Hlk118824020"/>
            <w:r>
              <w:rPr>
                <w:color w:val="auto"/>
                <w:sz w:val="24"/>
              </w:rPr>
              <w:t>SO</w:t>
            </w:r>
            <w:r>
              <w:rPr>
                <w:color w:val="auto"/>
                <w:sz w:val="24"/>
                <w:vertAlign w:val="subscript"/>
              </w:rPr>
              <w:t>2</w:t>
            </w:r>
            <w:r>
              <w:rPr>
                <w:color w:val="auto"/>
                <w:sz w:val="24"/>
              </w:rPr>
              <w:t>、NO</w:t>
            </w:r>
            <w:r>
              <w:rPr>
                <w:color w:val="auto"/>
                <w:sz w:val="24"/>
                <w:vertAlign w:val="subscript"/>
              </w:rPr>
              <w:t>2</w:t>
            </w:r>
            <w:r>
              <w:rPr>
                <w:color w:val="auto"/>
                <w:sz w:val="24"/>
              </w:rPr>
              <w:t>、CO</w:t>
            </w:r>
            <w:r>
              <w:rPr>
                <w:rFonts w:hint="eastAsia"/>
                <w:color w:val="auto"/>
                <w:kern w:val="21"/>
                <w:sz w:val="24"/>
              </w:rPr>
              <w:t>、</w:t>
            </w:r>
            <w:r>
              <w:rPr>
                <w:color w:val="auto"/>
                <w:sz w:val="24"/>
              </w:rPr>
              <w:t>O</w:t>
            </w:r>
            <w:r>
              <w:rPr>
                <w:color w:val="auto"/>
                <w:sz w:val="24"/>
                <w:vertAlign w:val="subscript"/>
              </w:rPr>
              <w:t>3</w:t>
            </w:r>
            <w:r>
              <w:rPr>
                <w:rFonts w:hint="eastAsia"/>
                <w:color w:val="auto"/>
                <w:kern w:val="21"/>
                <w:sz w:val="24"/>
                <w:lang w:eastAsia="zh-CN"/>
              </w:rPr>
              <w:t>、</w:t>
            </w:r>
            <w:r>
              <w:rPr>
                <w:color w:val="auto"/>
                <w:sz w:val="24"/>
              </w:rPr>
              <w:t>PM</w:t>
            </w:r>
            <w:r>
              <w:rPr>
                <w:color w:val="auto"/>
                <w:sz w:val="24"/>
                <w:vertAlign w:val="subscript"/>
              </w:rPr>
              <w:t>2.5</w:t>
            </w:r>
            <w:r>
              <w:rPr>
                <w:rFonts w:hint="eastAsia"/>
                <w:color w:val="auto"/>
                <w:kern w:val="21"/>
                <w:sz w:val="24"/>
              </w:rPr>
              <w:t>、</w:t>
            </w:r>
            <w:r>
              <w:rPr>
                <w:color w:val="auto"/>
                <w:sz w:val="24"/>
              </w:rPr>
              <w:t>PM</w:t>
            </w:r>
            <w:r>
              <w:rPr>
                <w:color w:val="auto"/>
                <w:sz w:val="24"/>
                <w:vertAlign w:val="subscript"/>
              </w:rPr>
              <w:t>10</w:t>
            </w:r>
            <w:r>
              <w:rPr>
                <w:color w:val="auto"/>
                <w:kern w:val="21"/>
                <w:sz w:val="24"/>
              </w:rPr>
              <w:t>满足《环境空气质量标准》（GB3095-2012）二级标准</w:t>
            </w:r>
            <w:r>
              <w:rPr>
                <w:rFonts w:hint="eastAsia"/>
                <w:color w:val="auto"/>
                <w:kern w:val="21"/>
                <w:sz w:val="24"/>
                <w:lang w:eastAsia="zh-CN"/>
              </w:rPr>
              <w:t>。</w:t>
            </w:r>
            <w:r>
              <w:rPr>
                <w:color w:val="auto"/>
                <w:kern w:val="21"/>
                <w:sz w:val="24"/>
              </w:rPr>
              <w:t>项目所在区域为达标区</w:t>
            </w:r>
            <w:r>
              <w:rPr>
                <w:color w:val="auto"/>
                <w:sz w:val="24"/>
              </w:rPr>
              <w:t>。</w:t>
            </w:r>
            <w:bookmarkEnd w:id="7"/>
          </w:p>
          <w:p w14:paraId="0AE8D3CE">
            <w:pPr>
              <w:widowControl/>
              <w:spacing w:line="360" w:lineRule="auto"/>
              <w:ind w:firstLine="460" w:firstLineChars="200"/>
              <w:rPr>
                <w:sz w:val="24"/>
                <w:szCs w:val="32"/>
                <w:highlight w:val="none"/>
              </w:rPr>
            </w:pPr>
            <w:r>
              <w:rPr>
                <w:spacing w:val="-5"/>
                <w:sz w:val="24"/>
                <w:szCs w:val="32"/>
                <w:highlight w:val="none"/>
              </w:rPr>
              <w:t>本次评价</w:t>
            </w:r>
            <w:r>
              <w:rPr>
                <w:rFonts w:hint="eastAsia"/>
                <w:spacing w:val="-5"/>
                <w:sz w:val="24"/>
                <w:szCs w:val="32"/>
                <w:highlight w:val="none"/>
                <w:lang w:val="en-US" w:eastAsia="zh-CN"/>
              </w:rPr>
              <w:t>引用</w:t>
            </w:r>
            <w:r>
              <w:rPr>
                <w:rFonts w:hint="eastAsia"/>
                <w:spacing w:val="-5"/>
                <w:sz w:val="24"/>
                <w:szCs w:val="32"/>
                <w:highlight w:val="none"/>
              </w:rPr>
              <w:t>TSP</w:t>
            </w:r>
            <w:r>
              <w:rPr>
                <w:spacing w:val="-5"/>
                <w:sz w:val="24"/>
                <w:szCs w:val="32"/>
                <w:highlight w:val="none"/>
              </w:rPr>
              <w:t>环境空气质量</w:t>
            </w:r>
            <w:r>
              <w:rPr>
                <w:rFonts w:hint="eastAsia"/>
                <w:spacing w:val="-5"/>
                <w:sz w:val="24"/>
                <w:szCs w:val="32"/>
                <w:highlight w:val="none"/>
                <w:lang w:val="en-US" w:eastAsia="zh-CN"/>
              </w:rPr>
              <w:t>数据</w:t>
            </w:r>
            <w:r>
              <w:rPr>
                <w:sz w:val="24"/>
                <w:szCs w:val="32"/>
                <w:highlight w:val="none"/>
              </w:rPr>
              <w:t>，监测项目为TSP，监测点位为厂区</w:t>
            </w:r>
            <w:r>
              <w:rPr>
                <w:rFonts w:hint="eastAsia"/>
                <w:sz w:val="24"/>
                <w:szCs w:val="32"/>
                <w:highlight w:val="none"/>
              </w:rPr>
              <w:t>下风向常平村（距本项目东侧</w:t>
            </w:r>
            <w:r>
              <w:rPr>
                <w:rFonts w:hint="eastAsia"/>
                <w:sz w:val="24"/>
                <w:szCs w:val="32"/>
                <w:highlight w:val="none"/>
                <w:lang w:val="en-US" w:eastAsia="zh-CN"/>
              </w:rPr>
              <w:t>2.7k</w:t>
            </w:r>
            <w:r>
              <w:rPr>
                <w:rFonts w:hint="eastAsia"/>
                <w:sz w:val="24"/>
                <w:szCs w:val="32"/>
                <w:highlight w:val="none"/>
              </w:rPr>
              <w:t>m）处</w:t>
            </w:r>
            <w:r>
              <w:rPr>
                <w:sz w:val="24"/>
                <w:szCs w:val="32"/>
                <w:highlight w:val="none"/>
              </w:rPr>
              <w:t>，</w:t>
            </w:r>
            <w:r>
              <w:rPr>
                <w:rFonts w:hint="eastAsia"/>
                <w:sz w:val="24"/>
                <w:szCs w:val="32"/>
                <w:highlight w:val="none"/>
              </w:rPr>
              <w:t>监测日期为</w:t>
            </w:r>
            <w:r>
              <w:rPr>
                <w:sz w:val="24"/>
                <w:szCs w:val="32"/>
                <w:highlight w:val="none"/>
              </w:rPr>
              <w:t>202</w:t>
            </w:r>
            <w:r>
              <w:rPr>
                <w:rFonts w:hint="eastAsia"/>
                <w:sz w:val="24"/>
                <w:szCs w:val="32"/>
                <w:highlight w:val="none"/>
              </w:rPr>
              <w:t>4</w:t>
            </w:r>
            <w:r>
              <w:rPr>
                <w:sz w:val="24"/>
                <w:szCs w:val="32"/>
                <w:highlight w:val="none"/>
              </w:rPr>
              <w:t>年</w:t>
            </w:r>
            <w:r>
              <w:rPr>
                <w:rFonts w:hint="eastAsia"/>
                <w:sz w:val="24"/>
                <w:szCs w:val="32"/>
                <w:highlight w:val="none"/>
              </w:rPr>
              <w:t>3</w:t>
            </w:r>
            <w:r>
              <w:rPr>
                <w:sz w:val="24"/>
                <w:szCs w:val="32"/>
                <w:highlight w:val="none"/>
              </w:rPr>
              <w:t>月</w:t>
            </w:r>
            <w:r>
              <w:rPr>
                <w:rFonts w:hint="eastAsia"/>
                <w:sz w:val="24"/>
                <w:szCs w:val="32"/>
                <w:highlight w:val="none"/>
              </w:rPr>
              <w:t>12</w:t>
            </w:r>
            <w:r>
              <w:rPr>
                <w:sz w:val="24"/>
                <w:szCs w:val="32"/>
                <w:highlight w:val="none"/>
              </w:rPr>
              <w:t>日</w:t>
            </w:r>
            <w:r>
              <w:rPr>
                <w:rFonts w:hint="eastAsia"/>
                <w:sz w:val="24"/>
                <w:szCs w:val="32"/>
                <w:highlight w:val="none"/>
                <w:lang w:eastAsia="zh-CN"/>
              </w:rPr>
              <w:t>—</w:t>
            </w:r>
            <w:r>
              <w:rPr>
                <w:sz w:val="24"/>
                <w:szCs w:val="32"/>
                <w:highlight w:val="none"/>
              </w:rPr>
              <w:t>1</w:t>
            </w:r>
            <w:r>
              <w:rPr>
                <w:rFonts w:hint="eastAsia"/>
                <w:sz w:val="24"/>
                <w:szCs w:val="32"/>
                <w:highlight w:val="none"/>
              </w:rPr>
              <w:t>5</w:t>
            </w:r>
            <w:r>
              <w:rPr>
                <w:sz w:val="24"/>
                <w:szCs w:val="32"/>
                <w:highlight w:val="none"/>
              </w:rPr>
              <w:t>日</w:t>
            </w:r>
            <w:r>
              <w:rPr>
                <w:rFonts w:hint="eastAsia"/>
                <w:sz w:val="24"/>
                <w:szCs w:val="32"/>
                <w:highlight w:val="none"/>
              </w:rPr>
              <w:t>，</w:t>
            </w:r>
            <w:r>
              <w:rPr>
                <w:sz w:val="24"/>
                <w:szCs w:val="32"/>
                <w:highlight w:val="none"/>
              </w:rPr>
              <w:t>连续监测</w:t>
            </w:r>
            <w:r>
              <w:rPr>
                <w:rFonts w:hint="eastAsia"/>
                <w:sz w:val="24"/>
                <w:szCs w:val="32"/>
                <w:highlight w:val="none"/>
              </w:rPr>
              <w:t>3</w:t>
            </w:r>
            <w:r>
              <w:rPr>
                <w:sz w:val="24"/>
                <w:szCs w:val="32"/>
                <w:highlight w:val="none"/>
              </w:rPr>
              <w:t>天。</w:t>
            </w:r>
          </w:p>
          <w:p w14:paraId="4B78ED42">
            <w:pPr>
              <w:adjustRightInd w:val="0"/>
              <w:jc w:val="center"/>
              <w:textAlignment w:val="baseline"/>
              <w:rPr>
                <w:rFonts w:hint="default" w:ascii="Times New Roman" w:hAnsi="Times New Roman" w:eastAsia="宋体" w:cs="Times New Roman"/>
                <w:b/>
                <w:bCs/>
                <w:spacing w:val="4"/>
                <w:kern w:val="32"/>
                <w:szCs w:val="21"/>
                <w:highlight w:val="none"/>
                <w:lang w:val="en-US" w:eastAsia="zh-CN" w:bidi="ar"/>
              </w:rPr>
            </w:pPr>
            <w:r>
              <w:rPr>
                <w:rFonts w:hint="eastAsia" w:ascii="Times New Roman" w:hAnsi="Times New Roman" w:eastAsia="宋体" w:cs="Times New Roman"/>
                <w:b/>
                <w:bCs/>
                <w:spacing w:val="4"/>
                <w:kern w:val="32"/>
                <w:szCs w:val="21"/>
                <w:highlight w:val="none"/>
                <w:lang w:val="en-US" w:eastAsia="zh-CN" w:bidi="ar"/>
              </w:rPr>
              <w:t>表3-2TSP环境空气质量监测结果</w:t>
            </w:r>
          </w:p>
          <w:tbl>
            <w:tblPr>
              <w:tblStyle w:val="26"/>
              <w:tblW w:w="5000" w:type="pct"/>
              <w:tblInd w:w="5" w:type="dxa"/>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108" w:type="dxa"/>
                <w:bottom w:w="0" w:type="dxa"/>
                <w:right w:w="108" w:type="dxa"/>
              </w:tblCellMar>
            </w:tblPr>
            <w:tblGrid>
              <w:gridCol w:w="717"/>
              <w:gridCol w:w="991"/>
              <w:gridCol w:w="1277"/>
              <w:gridCol w:w="1701"/>
              <w:gridCol w:w="1417"/>
              <w:gridCol w:w="991"/>
              <w:gridCol w:w="870"/>
            </w:tblGrid>
            <w:tr w14:paraId="72B887A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50" w:type="pct"/>
                  <w:vMerge w:val="restart"/>
                  <w:tcBorders>
                    <w:top w:val="single" w:color="000000" w:sz="12" w:space="0"/>
                    <w:left w:val="nil"/>
                    <w:tl2br w:val="nil"/>
                  </w:tcBorders>
                  <w:shd w:val="clear" w:color="auto" w:fill="FFFFFF"/>
                  <w:noWrap w:val="0"/>
                  <w:vAlign w:val="center"/>
                </w:tcPr>
                <w:p w14:paraId="639A8BC3">
                  <w:pPr>
                    <w:widowControl/>
                    <w:jc w:val="center"/>
                    <w:rPr>
                      <w:b w:val="0"/>
                      <w:bCs/>
                      <w:color w:val="000000"/>
                      <w:kern w:val="0"/>
                      <w:szCs w:val="21"/>
                      <w:highlight w:val="none"/>
                    </w:rPr>
                  </w:pPr>
                  <w:r>
                    <w:rPr>
                      <w:b w:val="0"/>
                      <w:bCs/>
                      <w:color w:val="000000"/>
                      <w:kern w:val="0"/>
                      <w:szCs w:val="21"/>
                      <w:highlight w:val="none"/>
                    </w:rPr>
                    <w:t>监测点位</w:t>
                  </w:r>
                </w:p>
              </w:tc>
              <w:tc>
                <w:tcPr>
                  <w:tcW w:w="622" w:type="pct"/>
                  <w:vMerge w:val="restart"/>
                  <w:tcBorders>
                    <w:top w:val="single" w:color="000000" w:sz="12" w:space="0"/>
                  </w:tcBorders>
                  <w:shd w:val="clear" w:color="auto" w:fill="FFFFFF"/>
                  <w:noWrap w:val="0"/>
                  <w:vAlign w:val="center"/>
                </w:tcPr>
                <w:p w14:paraId="39987082">
                  <w:pPr>
                    <w:widowControl/>
                    <w:jc w:val="center"/>
                    <w:rPr>
                      <w:b w:val="0"/>
                      <w:bCs/>
                      <w:color w:val="000000"/>
                      <w:kern w:val="0"/>
                      <w:szCs w:val="21"/>
                      <w:highlight w:val="none"/>
                    </w:rPr>
                  </w:pPr>
                  <w:r>
                    <w:rPr>
                      <w:b w:val="0"/>
                      <w:bCs/>
                      <w:color w:val="000000"/>
                      <w:kern w:val="0"/>
                      <w:szCs w:val="21"/>
                      <w:highlight w:val="none"/>
                    </w:rPr>
                    <w:t>污染物</w:t>
                  </w:r>
                </w:p>
              </w:tc>
              <w:tc>
                <w:tcPr>
                  <w:tcW w:w="801" w:type="pct"/>
                  <w:vMerge w:val="restart"/>
                  <w:tcBorders>
                    <w:top w:val="single" w:color="000000" w:sz="12" w:space="0"/>
                  </w:tcBorders>
                  <w:shd w:val="clear" w:color="auto" w:fill="FFFFFF"/>
                  <w:noWrap w:val="0"/>
                  <w:vAlign w:val="center"/>
                </w:tcPr>
                <w:p w14:paraId="3789D13C">
                  <w:pPr>
                    <w:widowControl/>
                    <w:jc w:val="center"/>
                    <w:rPr>
                      <w:b w:val="0"/>
                      <w:bCs/>
                      <w:color w:val="000000"/>
                      <w:kern w:val="0"/>
                      <w:szCs w:val="21"/>
                      <w:highlight w:val="none"/>
                    </w:rPr>
                  </w:pPr>
                  <w:r>
                    <w:rPr>
                      <w:rFonts w:hint="eastAsia"/>
                      <w:b w:val="0"/>
                      <w:bCs/>
                      <w:color w:val="000000"/>
                      <w:kern w:val="0"/>
                      <w:szCs w:val="21"/>
                      <w:highlight w:val="none"/>
                      <w:lang w:eastAsia="zh-CN"/>
                    </w:rPr>
                    <w:t>标准值</w:t>
                  </w:r>
                  <w:r>
                    <w:rPr>
                      <w:b w:val="0"/>
                      <w:bCs/>
                      <w:color w:val="000000"/>
                      <w:kern w:val="0"/>
                      <w:szCs w:val="21"/>
                      <w:highlight w:val="none"/>
                    </w:rPr>
                    <w:t>（mg/m</w:t>
                  </w:r>
                  <w:r>
                    <w:rPr>
                      <w:b w:val="0"/>
                      <w:bCs/>
                      <w:color w:val="000000"/>
                      <w:kern w:val="0"/>
                      <w:szCs w:val="21"/>
                      <w:highlight w:val="none"/>
                      <w:vertAlign w:val="superscript"/>
                    </w:rPr>
                    <w:t>3</w:t>
                  </w:r>
                  <w:r>
                    <w:rPr>
                      <w:b w:val="0"/>
                      <w:bCs/>
                      <w:color w:val="000000"/>
                      <w:kern w:val="0"/>
                      <w:szCs w:val="21"/>
                      <w:highlight w:val="none"/>
                    </w:rPr>
                    <w:t>）</w:t>
                  </w:r>
                </w:p>
              </w:tc>
              <w:tc>
                <w:tcPr>
                  <w:tcW w:w="1067" w:type="pct"/>
                  <w:vMerge w:val="restart"/>
                  <w:tcBorders>
                    <w:top w:val="single" w:color="000000" w:sz="12" w:space="0"/>
                  </w:tcBorders>
                  <w:shd w:val="clear" w:color="auto" w:fill="FFFFFF"/>
                  <w:noWrap w:val="0"/>
                  <w:vAlign w:val="center"/>
                </w:tcPr>
                <w:p w14:paraId="3060C491">
                  <w:pPr>
                    <w:widowControl/>
                    <w:jc w:val="center"/>
                    <w:rPr>
                      <w:b w:val="0"/>
                      <w:bCs/>
                      <w:color w:val="000000"/>
                      <w:kern w:val="0"/>
                      <w:szCs w:val="21"/>
                      <w:highlight w:val="none"/>
                    </w:rPr>
                  </w:pPr>
                  <w:r>
                    <w:rPr>
                      <w:b w:val="0"/>
                      <w:bCs/>
                      <w:color w:val="000000"/>
                      <w:kern w:val="0"/>
                      <w:szCs w:val="21"/>
                      <w:highlight w:val="none"/>
                    </w:rPr>
                    <w:t>监测浓度（mg/m</w:t>
                  </w:r>
                  <w:r>
                    <w:rPr>
                      <w:b w:val="0"/>
                      <w:bCs/>
                      <w:color w:val="000000"/>
                      <w:kern w:val="0"/>
                      <w:szCs w:val="21"/>
                      <w:highlight w:val="none"/>
                      <w:vertAlign w:val="superscript"/>
                    </w:rPr>
                    <w:t>3</w:t>
                  </w:r>
                  <w:r>
                    <w:rPr>
                      <w:b w:val="0"/>
                      <w:bCs/>
                      <w:color w:val="000000"/>
                      <w:kern w:val="0"/>
                      <w:szCs w:val="21"/>
                      <w:highlight w:val="none"/>
                    </w:rPr>
                    <w:t>）</w:t>
                  </w:r>
                </w:p>
              </w:tc>
              <w:tc>
                <w:tcPr>
                  <w:tcW w:w="889" w:type="pct"/>
                  <w:vMerge w:val="restart"/>
                  <w:tcBorders>
                    <w:top w:val="single" w:color="000000" w:sz="12" w:space="0"/>
                  </w:tcBorders>
                  <w:shd w:val="clear" w:color="auto" w:fill="FFFFFF"/>
                  <w:noWrap w:val="0"/>
                  <w:vAlign w:val="center"/>
                </w:tcPr>
                <w:p w14:paraId="1DF041D6">
                  <w:pPr>
                    <w:widowControl/>
                    <w:jc w:val="center"/>
                    <w:rPr>
                      <w:b w:val="0"/>
                      <w:bCs/>
                      <w:color w:val="000000"/>
                      <w:kern w:val="0"/>
                      <w:szCs w:val="21"/>
                      <w:highlight w:val="none"/>
                    </w:rPr>
                  </w:pPr>
                  <w:r>
                    <w:rPr>
                      <w:b w:val="0"/>
                      <w:bCs/>
                      <w:color w:val="000000"/>
                      <w:kern w:val="0"/>
                      <w:szCs w:val="21"/>
                      <w:highlight w:val="none"/>
                    </w:rPr>
                    <w:t>占标率/%</w:t>
                  </w:r>
                </w:p>
              </w:tc>
              <w:tc>
                <w:tcPr>
                  <w:tcW w:w="622" w:type="pct"/>
                  <w:vMerge w:val="restart"/>
                  <w:tcBorders>
                    <w:top w:val="single" w:color="000000" w:sz="12" w:space="0"/>
                  </w:tcBorders>
                  <w:shd w:val="clear" w:color="auto" w:fill="FFFFFF"/>
                  <w:noWrap w:val="0"/>
                  <w:vAlign w:val="center"/>
                </w:tcPr>
                <w:p w14:paraId="36A8283E">
                  <w:pPr>
                    <w:widowControl/>
                    <w:jc w:val="center"/>
                    <w:rPr>
                      <w:b w:val="0"/>
                      <w:bCs/>
                      <w:color w:val="000000"/>
                      <w:kern w:val="0"/>
                      <w:szCs w:val="21"/>
                      <w:highlight w:val="none"/>
                    </w:rPr>
                  </w:pPr>
                  <w:r>
                    <w:rPr>
                      <w:b w:val="0"/>
                      <w:bCs/>
                      <w:color w:val="000000"/>
                      <w:kern w:val="0"/>
                      <w:szCs w:val="21"/>
                      <w:highlight w:val="none"/>
                    </w:rPr>
                    <w:t>超标率/%</w:t>
                  </w:r>
                </w:p>
              </w:tc>
              <w:tc>
                <w:tcPr>
                  <w:tcW w:w="545" w:type="pct"/>
                  <w:vMerge w:val="restart"/>
                  <w:tcBorders>
                    <w:top w:val="single" w:color="000000" w:sz="12" w:space="0"/>
                    <w:right w:val="nil"/>
                  </w:tcBorders>
                  <w:shd w:val="clear" w:color="auto" w:fill="FFFFFF"/>
                  <w:noWrap w:val="0"/>
                  <w:vAlign w:val="center"/>
                </w:tcPr>
                <w:p w14:paraId="7A4F1C83">
                  <w:pPr>
                    <w:widowControl/>
                    <w:jc w:val="center"/>
                    <w:rPr>
                      <w:b w:val="0"/>
                      <w:bCs/>
                      <w:color w:val="000000"/>
                      <w:kern w:val="0"/>
                      <w:szCs w:val="21"/>
                      <w:highlight w:val="none"/>
                    </w:rPr>
                  </w:pPr>
                  <w:r>
                    <w:rPr>
                      <w:b w:val="0"/>
                      <w:bCs/>
                      <w:color w:val="000000"/>
                      <w:kern w:val="0"/>
                      <w:szCs w:val="21"/>
                      <w:highlight w:val="none"/>
                    </w:rPr>
                    <w:t>达标情况</w:t>
                  </w:r>
                </w:p>
              </w:tc>
            </w:tr>
            <w:tr w14:paraId="67A8873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50" w:type="pct"/>
                  <w:vMerge w:val="continue"/>
                  <w:tcBorders>
                    <w:left w:val="nil"/>
                  </w:tcBorders>
                  <w:shd w:val="clear" w:color="auto" w:fill="FFFFFF"/>
                  <w:noWrap w:val="0"/>
                  <w:vAlign w:val="center"/>
                </w:tcPr>
                <w:p w14:paraId="2B6C3440">
                  <w:pPr>
                    <w:widowControl/>
                    <w:jc w:val="left"/>
                    <w:rPr>
                      <w:b w:val="0"/>
                      <w:color w:val="000000"/>
                      <w:kern w:val="0"/>
                      <w:szCs w:val="21"/>
                      <w:highlight w:val="none"/>
                    </w:rPr>
                  </w:pPr>
                </w:p>
              </w:tc>
              <w:tc>
                <w:tcPr>
                  <w:tcW w:w="622" w:type="pct"/>
                  <w:vMerge w:val="continue"/>
                  <w:shd w:val="clear" w:color="auto" w:fill="FFFFFF"/>
                  <w:noWrap w:val="0"/>
                  <w:vAlign w:val="center"/>
                </w:tcPr>
                <w:p w14:paraId="092C0617">
                  <w:pPr>
                    <w:widowControl/>
                    <w:jc w:val="left"/>
                    <w:rPr>
                      <w:b w:val="0"/>
                      <w:color w:val="000000"/>
                      <w:kern w:val="0"/>
                      <w:szCs w:val="21"/>
                      <w:highlight w:val="none"/>
                    </w:rPr>
                  </w:pPr>
                </w:p>
              </w:tc>
              <w:tc>
                <w:tcPr>
                  <w:tcW w:w="801" w:type="pct"/>
                  <w:vMerge w:val="continue"/>
                  <w:shd w:val="clear" w:color="auto" w:fill="FFFFFF"/>
                  <w:noWrap w:val="0"/>
                  <w:vAlign w:val="center"/>
                </w:tcPr>
                <w:p w14:paraId="2CB9E21A">
                  <w:pPr>
                    <w:widowControl/>
                    <w:jc w:val="left"/>
                    <w:rPr>
                      <w:b w:val="0"/>
                      <w:color w:val="000000"/>
                      <w:kern w:val="0"/>
                      <w:szCs w:val="21"/>
                      <w:highlight w:val="none"/>
                    </w:rPr>
                  </w:pPr>
                </w:p>
              </w:tc>
              <w:tc>
                <w:tcPr>
                  <w:tcW w:w="1067" w:type="pct"/>
                  <w:vMerge w:val="continue"/>
                  <w:shd w:val="clear" w:color="auto" w:fill="FFFFFF"/>
                  <w:noWrap w:val="0"/>
                  <w:vAlign w:val="center"/>
                </w:tcPr>
                <w:p w14:paraId="1CAE0C58">
                  <w:pPr>
                    <w:widowControl/>
                    <w:jc w:val="left"/>
                    <w:rPr>
                      <w:b w:val="0"/>
                      <w:color w:val="000000"/>
                      <w:kern w:val="0"/>
                      <w:szCs w:val="21"/>
                      <w:highlight w:val="none"/>
                    </w:rPr>
                  </w:pPr>
                </w:p>
              </w:tc>
              <w:tc>
                <w:tcPr>
                  <w:tcW w:w="889" w:type="pct"/>
                  <w:vMerge w:val="continue"/>
                  <w:shd w:val="clear" w:color="auto" w:fill="FFFFFF"/>
                  <w:noWrap w:val="0"/>
                  <w:vAlign w:val="center"/>
                </w:tcPr>
                <w:p w14:paraId="5B8F7726">
                  <w:pPr>
                    <w:widowControl/>
                    <w:jc w:val="left"/>
                    <w:rPr>
                      <w:b w:val="0"/>
                      <w:color w:val="000000"/>
                      <w:kern w:val="0"/>
                      <w:szCs w:val="21"/>
                      <w:highlight w:val="none"/>
                    </w:rPr>
                  </w:pPr>
                </w:p>
              </w:tc>
              <w:tc>
                <w:tcPr>
                  <w:tcW w:w="622" w:type="pct"/>
                  <w:vMerge w:val="continue"/>
                  <w:shd w:val="clear" w:color="auto" w:fill="FFFFFF"/>
                  <w:noWrap w:val="0"/>
                  <w:vAlign w:val="center"/>
                </w:tcPr>
                <w:p w14:paraId="36522EA0">
                  <w:pPr>
                    <w:widowControl/>
                    <w:jc w:val="left"/>
                    <w:rPr>
                      <w:b w:val="0"/>
                      <w:color w:val="000000"/>
                      <w:kern w:val="0"/>
                      <w:szCs w:val="21"/>
                      <w:highlight w:val="none"/>
                    </w:rPr>
                  </w:pPr>
                </w:p>
              </w:tc>
              <w:tc>
                <w:tcPr>
                  <w:tcW w:w="545" w:type="pct"/>
                  <w:vMerge w:val="continue"/>
                  <w:tcBorders>
                    <w:right w:val="nil"/>
                  </w:tcBorders>
                  <w:shd w:val="clear" w:color="auto" w:fill="FFFFFF"/>
                  <w:noWrap w:val="0"/>
                  <w:vAlign w:val="center"/>
                </w:tcPr>
                <w:p w14:paraId="6B6CC00A">
                  <w:pPr>
                    <w:widowControl/>
                    <w:jc w:val="left"/>
                    <w:rPr>
                      <w:b w:val="0"/>
                      <w:color w:val="000000"/>
                      <w:kern w:val="0"/>
                      <w:szCs w:val="21"/>
                      <w:highlight w:val="none"/>
                    </w:rPr>
                  </w:pPr>
                </w:p>
              </w:tc>
            </w:tr>
            <w:tr w14:paraId="24519C0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50" w:type="pct"/>
                  <w:vMerge w:val="restart"/>
                  <w:tcBorders>
                    <w:left w:val="nil"/>
                  </w:tcBorders>
                  <w:shd w:val="clear" w:color="auto" w:fill="FFFFFF"/>
                  <w:noWrap w:val="0"/>
                  <w:vAlign w:val="center"/>
                </w:tcPr>
                <w:p w14:paraId="507CCCC1">
                  <w:pPr>
                    <w:widowControl/>
                    <w:jc w:val="center"/>
                    <w:rPr>
                      <w:rFonts w:hint="eastAsia"/>
                      <w:b w:val="0"/>
                      <w:color w:val="000000"/>
                      <w:kern w:val="0"/>
                      <w:szCs w:val="21"/>
                      <w:highlight w:val="none"/>
                    </w:rPr>
                  </w:pPr>
                  <w:r>
                    <w:rPr>
                      <w:rFonts w:hint="eastAsia"/>
                      <w:b w:val="0"/>
                      <w:color w:val="000000"/>
                      <w:highlight w:val="none"/>
                    </w:rPr>
                    <w:t>常平村</w:t>
                  </w:r>
                </w:p>
              </w:tc>
              <w:tc>
                <w:tcPr>
                  <w:tcW w:w="622" w:type="pct"/>
                  <w:vMerge w:val="restart"/>
                  <w:shd w:val="clear" w:color="auto" w:fill="FFFFFF"/>
                  <w:noWrap w:val="0"/>
                  <w:vAlign w:val="center"/>
                </w:tcPr>
                <w:p w14:paraId="42A718AA">
                  <w:pPr>
                    <w:widowControl/>
                    <w:jc w:val="center"/>
                    <w:rPr>
                      <w:b w:val="0"/>
                      <w:color w:val="000000"/>
                      <w:kern w:val="0"/>
                      <w:szCs w:val="21"/>
                      <w:highlight w:val="none"/>
                    </w:rPr>
                  </w:pPr>
                  <w:r>
                    <w:rPr>
                      <w:b w:val="0"/>
                      <w:color w:val="000000"/>
                      <w:kern w:val="0"/>
                      <w:szCs w:val="21"/>
                      <w:highlight w:val="none"/>
                    </w:rPr>
                    <w:t>TSP</w:t>
                  </w:r>
                </w:p>
              </w:tc>
              <w:tc>
                <w:tcPr>
                  <w:tcW w:w="801" w:type="pct"/>
                  <w:vMerge w:val="restart"/>
                  <w:shd w:val="clear" w:color="auto" w:fill="FFFFFF"/>
                  <w:noWrap w:val="0"/>
                  <w:vAlign w:val="center"/>
                </w:tcPr>
                <w:p w14:paraId="5E175A8F">
                  <w:pPr>
                    <w:widowControl/>
                    <w:jc w:val="center"/>
                    <w:rPr>
                      <w:b w:val="0"/>
                      <w:color w:val="000000"/>
                      <w:kern w:val="0"/>
                      <w:szCs w:val="21"/>
                      <w:highlight w:val="none"/>
                    </w:rPr>
                  </w:pPr>
                  <w:r>
                    <w:rPr>
                      <w:b w:val="0"/>
                      <w:color w:val="000000"/>
                      <w:kern w:val="0"/>
                      <w:szCs w:val="21"/>
                      <w:highlight w:val="none"/>
                    </w:rPr>
                    <w:t>0.3</w:t>
                  </w:r>
                </w:p>
              </w:tc>
              <w:tc>
                <w:tcPr>
                  <w:tcW w:w="1067" w:type="pct"/>
                  <w:shd w:val="clear" w:color="auto" w:fill="FFFFFF"/>
                  <w:noWrap w:val="0"/>
                  <w:vAlign w:val="center"/>
                </w:tcPr>
                <w:p w14:paraId="63D7EC85">
                  <w:pPr>
                    <w:widowControl/>
                    <w:jc w:val="center"/>
                    <w:rPr>
                      <w:b w:val="0"/>
                      <w:color w:val="000000"/>
                      <w:kern w:val="0"/>
                      <w:szCs w:val="21"/>
                      <w:highlight w:val="none"/>
                    </w:rPr>
                  </w:pPr>
                  <w:r>
                    <w:rPr>
                      <w:rFonts w:hint="eastAsia"/>
                      <w:b w:val="0"/>
                      <w:color w:val="000000"/>
                      <w:kern w:val="0"/>
                      <w:szCs w:val="21"/>
                      <w:highlight w:val="none"/>
                    </w:rPr>
                    <w:t>0.179</w:t>
                  </w:r>
                </w:p>
              </w:tc>
              <w:tc>
                <w:tcPr>
                  <w:tcW w:w="889" w:type="pct"/>
                  <w:shd w:val="clear" w:color="auto" w:fill="FFFFFF"/>
                  <w:noWrap w:val="0"/>
                  <w:vAlign w:val="center"/>
                </w:tcPr>
                <w:p w14:paraId="00471EC9">
                  <w:pPr>
                    <w:widowControl/>
                    <w:jc w:val="center"/>
                    <w:rPr>
                      <w:b w:val="0"/>
                      <w:color w:val="000000"/>
                      <w:kern w:val="0"/>
                      <w:szCs w:val="21"/>
                      <w:highlight w:val="none"/>
                    </w:rPr>
                  </w:pPr>
                  <w:r>
                    <w:rPr>
                      <w:rFonts w:hint="eastAsia"/>
                      <w:b w:val="0"/>
                      <w:color w:val="000000"/>
                      <w:kern w:val="0"/>
                      <w:szCs w:val="21"/>
                      <w:highlight w:val="none"/>
                    </w:rPr>
                    <w:t>59.67</w:t>
                  </w:r>
                </w:p>
              </w:tc>
              <w:tc>
                <w:tcPr>
                  <w:tcW w:w="622" w:type="pct"/>
                  <w:shd w:val="clear" w:color="auto" w:fill="FFFFFF"/>
                  <w:noWrap w:val="0"/>
                  <w:vAlign w:val="center"/>
                </w:tcPr>
                <w:p w14:paraId="3631BBB8">
                  <w:pPr>
                    <w:widowControl/>
                    <w:jc w:val="center"/>
                    <w:rPr>
                      <w:b w:val="0"/>
                      <w:color w:val="000000"/>
                      <w:kern w:val="0"/>
                      <w:szCs w:val="21"/>
                      <w:highlight w:val="none"/>
                    </w:rPr>
                  </w:pPr>
                  <w:r>
                    <w:rPr>
                      <w:b w:val="0"/>
                      <w:color w:val="000000"/>
                      <w:kern w:val="0"/>
                      <w:szCs w:val="21"/>
                      <w:highlight w:val="none"/>
                    </w:rPr>
                    <w:t>0</w:t>
                  </w:r>
                </w:p>
              </w:tc>
              <w:tc>
                <w:tcPr>
                  <w:tcW w:w="545" w:type="pct"/>
                  <w:tcBorders>
                    <w:right w:val="nil"/>
                  </w:tcBorders>
                  <w:shd w:val="clear" w:color="auto" w:fill="FFFFFF"/>
                  <w:noWrap w:val="0"/>
                  <w:vAlign w:val="center"/>
                </w:tcPr>
                <w:p w14:paraId="3238B85A">
                  <w:pPr>
                    <w:widowControl/>
                    <w:jc w:val="center"/>
                    <w:rPr>
                      <w:b w:val="0"/>
                      <w:color w:val="000000"/>
                      <w:kern w:val="0"/>
                      <w:szCs w:val="21"/>
                      <w:highlight w:val="none"/>
                    </w:rPr>
                  </w:pPr>
                  <w:r>
                    <w:rPr>
                      <w:b w:val="0"/>
                      <w:color w:val="000000"/>
                      <w:kern w:val="0"/>
                      <w:szCs w:val="21"/>
                      <w:highlight w:val="none"/>
                    </w:rPr>
                    <w:t>达标</w:t>
                  </w:r>
                </w:p>
              </w:tc>
            </w:tr>
            <w:tr w14:paraId="3647ABA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50" w:type="pct"/>
                  <w:vMerge w:val="continue"/>
                  <w:tcBorders>
                    <w:left w:val="nil"/>
                  </w:tcBorders>
                  <w:shd w:val="clear" w:color="auto" w:fill="FFFFFF"/>
                  <w:noWrap w:val="0"/>
                  <w:vAlign w:val="center"/>
                </w:tcPr>
                <w:p w14:paraId="481AD85E">
                  <w:pPr>
                    <w:widowControl/>
                    <w:jc w:val="center"/>
                    <w:rPr>
                      <w:b w:val="0"/>
                      <w:color w:val="000000"/>
                      <w:kern w:val="0"/>
                      <w:szCs w:val="21"/>
                      <w:highlight w:val="none"/>
                    </w:rPr>
                  </w:pPr>
                </w:p>
              </w:tc>
              <w:tc>
                <w:tcPr>
                  <w:tcW w:w="622" w:type="pct"/>
                  <w:vMerge w:val="continue"/>
                  <w:shd w:val="clear" w:color="auto" w:fill="FFFFFF"/>
                  <w:noWrap w:val="0"/>
                  <w:vAlign w:val="center"/>
                </w:tcPr>
                <w:p w14:paraId="038D847C">
                  <w:pPr>
                    <w:widowControl/>
                    <w:jc w:val="center"/>
                    <w:rPr>
                      <w:b w:val="0"/>
                      <w:color w:val="000000"/>
                      <w:kern w:val="0"/>
                      <w:szCs w:val="21"/>
                      <w:highlight w:val="none"/>
                    </w:rPr>
                  </w:pPr>
                </w:p>
              </w:tc>
              <w:tc>
                <w:tcPr>
                  <w:tcW w:w="801" w:type="pct"/>
                  <w:vMerge w:val="continue"/>
                  <w:shd w:val="clear" w:color="auto" w:fill="FFFFFF"/>
                  <w:noWrap w:val="0"/>
                  <w:vAlign w:val="center"/>
                </w:tcPr>
                <w:p w14:paraId="4A388A79">
                  <w:pPr>
                    <w:widowControl/>
                    <w:jc w:val="center"/>
                    <w:rPr>
                      <w:b w:val="0"/>
                      <w:color w:val="000000"/>
                      <w:kern w:val="0"/>
                      <w:szCs w:val="21"/>
                      <w:highlight w:val="none"/>
                    </w:rPr>
                  </w:pPr>
                </w:p>
              </w:tc>
              <w:tc>
                <w:tcPr>
                  <w:tcW w:w="1067" w:type="pct"/>
                  <w:shd w:val="clear" w:color="auto" w:fill="FFFFFF"/>
                  <w:noWrap w:val="0"/>
                  <w:vAlign w:val="center"/>
                </w:tcPr>
                <w:p w14:paraId="215D2ED8">
                  <w:pPr>
                    <w:widowControl/>
                    <w:jc w:val="center"/>
                    <w:rPr>
                      <w:b w:val="0"/>
                      <w:color w:val="000000"/>
                      <w:kern w:val="0"/>
                      <w:szCs w:val="21"/>
                      <w:highlight w:val="none"/>
                    </w:rPr>
                  </w:pPr>
                  <w:r>
                    <w:rPr>
                      <w:rFonts w:hint="eastAsia"/>
                      <w:b w:val="0"/>
                      <w:color w:val="000000"/>
                      <w:kern w:val="0"/>
                      <w:szCs w:val="21"/>
                      <w:highlight w:val="none"/>
                    </w:rPr>
                    <w:t>0.154</w:t>
                  </w:r>
                </w:p>
              </w:tc>
              <w:tc>
                <w:tcPr>
                  <w:tcW w:w="889" w:type="pct"/>
                  <w:shd w:val="clear" w:color="auto" w:fill="FFFFFF"/>
                  <w:noWrap w:val="0"/>
                  <w:vAlign w:val="center"/>
                </w:tcPr>
                <w:p w14:paraId="5D43F621">
                  <w:pPr>
                    <w:widowControl/>
                    <w:jc w:val="center"/>
                    <w:rPr>
                      <w:b w:val="0"/>
                      <w:color w:val="000000"/>
                      <w:kern w:val="0"/>
                      <w:szCs w:val="21"/>
                      <w:highlight w:val="none"/>
                    </w:rPr>
                  </w:pPr>
                  <w:r>
                    <w:rPr>
                      <w:rFonts w:hint="eastAsia"/>
                      <w:b w:val="0"/>
                      <w:color w:val="000000"/>
                      <w:kern w:val="0"/>
                      <w:szCs w:val="21"/>
                      <w:highlight w:val="none"/>
                    </w:rPr>
                    <w:t>51.33</w:t>
                  </w:r>
                </w:p>
              </w:tc>
              <w:tc>
                <w:tcPr>
                  <w:tcW w:w="622" w:type="pct"/>
                  <w:shd w:val="clear" w:color="auto" w:fill="FFFFFF"/>
                  <w:noWrap w:val="0"/>
                  <w:vAlign w:val="center"/>
                </w:tcPr>
                <w:p w14:paraId="2243292F">
                  <w:pPr>
                    <w:widowControl/>
                    <w:jc w:val="center"/>
                    <w:rPr>
                      <w:b w:val="0"/>
                      <w:color w:val="000000"/>
                      <w:kern w:val="0"/>
                      <w:szCs w:val="21"/>
                      <w:highlight w:val="none"/>
                    </w:rPr>
                  </w:pPr>
                  <w:r>
                    <w:rPr>
                      <w:b w:val="0"/>
                      <w:color w:val="000000"/>
                      <w:kern w:val="0"/>
                      <w:szCs w:val="21"/>
                      <w:highlight w:val="none"/>
                    </w:rPr>
                    <w:t>0</w:t>
                  </w:r>
                </w:p>
              </w:tc>
              <w:tc>
                <w:tcPr>
                  <w:tcW w:w="545" w:type="pct"/>
                  <w:tcBorders>
                    <w:right w:val="nil"/>
                  </w:tcBorders>
                  <w:shd w:val="clear" w:color="auto" w:fill="FFFFFF"/>
                  <w:noWrap w:val="0"/>
                  <w:vAlign w:val="center"/>
                </w:tcPr>
                <w:p w14:paraId="3000D6F4">
                  <w:pPr>
                    <w:widowControl/>
                    <w:jc w:val="center"/>
                    <w:rPr>
                      <w:b w:val="0"/>
                      <w:color w:val="000000"/>
                      <w:kern w:val="0"/>
                      <w:szCs w:val="21"/>
                      <w:highlight w:val="none"/>
                    </w:rPr>
                  </w:pPr>
                  <w:r>
                    <w:rPr>
                      <w:b w:val="0"/>
                      <w:color w:val="000000"/>
                      <w:kern w:val="0"/>
                      <w:szCs w:val="21"/>
                      <w:highlight w:val="none"/>
                    </w:rPr>
                    <w:t>达标</w:t>
                  </w:r>
                </w:p>
              </w:tc>
            </w:tr>
            <w:tr w14:paraId="2626788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450" w:type="pct"/>
                  <w:vMerge w:val="continue"/>
                  <w:tcBorders>
                    <w:left w:val="nil"/>
                    <w:bottom w:val="single" w:color="000000" w:sz="12" w:space="0"/>
                  </w:tcBorders>
                  <w:shd w:val="clear" w:color="auto" w:fill="FFFFFF"/>
                  <w:noWrap w:val="0"/>
                  <w:vAlign w:val="center"/>
                </w:tcPr>
                <w:p w14:paraId="213E220E">
                  <w:pPr>
                    <w:widowControl/>
                    <w:jc w:val="center"/>
                    <w:rPr>
                      <w:b w:val="0"/>
                      <w:color w:val="000000"/>
                      <w:kern w:val="0"/>
                      <w:szCs w:val="21"/>
                      <w:highlight w:val="none"/>
                    </w:rPr>
                  </w:pPr>
                </w:p>
              </w:tc>
              <w:tc>
                <w:tcPr>
                  <w:tcW w:w="622" w:type="pct"/>
                  <w:vMerge w:val="continue"/>
                  <w:tcBorders>
                    <w:bottom w:val="single" w:color="000000" w:sz="12" w:space="0"/>
                  </w:tcBorders>
                  <w:shd w:val="clear" w:color="auto" w:fill="FFFFFF"/>
                  <w:noWrap w:val="0"/>
                  <w:vAlign w:val="center"/>
                </w:tcPr>
                <w:p w14:paraId="0D607860">
                  <w:pPr>
                    <w:widowControl/>
                    <w:jc w:val="center"/>
                    <w:rPr>
                      <w:b w:val="0"/>
                      <w:color w:val="000000"/>
                      <w:kern w:val="0"/>
                      <w:szCs w:val="21"/>
                      <w:highlight w:val="none"/>
                    </w:rPr>
                  </w:pPr>
                </w:p>
              </w:tc>
              <w:tc>
                <w:tcPr>
                  <w:tcW w:w="801" w:type="pct"/>
                  <w:vMerge w:val="continue"/>
                  <w:tcBorders>
                    <w:bottom w:val="single" w:color="000000" w:sz="12" w:space="0"/>
                  </w:tcBorders>
                  <w:shd w:val="clear" w:color="auto" w:fill="FFFFFF"/>
                  <w:noWrap w:val="0"/>
                  <w:vAlign w:val="center"/>
                </w:tcPr>
                <w:p w14:paraId="29528013">
                  <w:pPr>
                    <w:widowControl/>
                    <w:jc w:val="center"/>
                    <w:rPr>
                      <w:b w:val="0"/>
                      <w:color w:val="000000"/>
                      <w:kern w:val="0"/>
                      <w:szCs w:val="21"/>
                      <w:highlight w:val="none"/>
                    </w:rPr>
                  </w:pPr>
                </w:p>
              </w:tc>
              <w:tc>
                <w:tcPr>
                  <w:tcW w:w="1067" w:type="pct"/>
                  <w:tcBorders>
                    <w:bottom w:val="single" w:color="000000" w:sz="12" w:space="0"/>
                  </w:tcBorders>
                  <w:shd w:val="clear" w:color="auto" w:fill="FFFFFF"/>
                  <w:noWrap w:val="0"/>
                  <w:vAlign w:val="center"/>
                </w:tcPr>
                <w:p w14:paraId="6DF177BA">
                  <w:pPr>
                    <w:widowControl/>
                    <w:jc w:val="center"/>
                    <w:rPr>
                      <w:b w:val="0"/>
                      <w:color w:val="000000"/>
                      <w:kern w:val="0"/>
                      <w:szCs w:val="21"/>
                      <w:highlight w:val="none"/>
                    </w:rPr>
                  </w:pPr>
                  <w:r>
                    <w:rPr>
                      <w:rFonts w:hint="eastAsia"/>
                      <w:b w:val="0"/>
                      <w:color w:val="000000"/>
                      <w:kern w:val="0"/>
                      <w:szCs w:val="21"/>
                      <w:highlight w:val="none"/>
                    </w:rPr>
                    <w:t>0.172</w:t>
                  </w:r>
                </w:p>
              </w:tc>
              <w:tc>
                <w:tcPr>
                  <w:tcW w:w="889" w:type="pct"/>
                  <w:tcBorders>
                    <w:bottom w:val="single" w:color="000000" w:sz="12" w:space="0"/>
                  </w:tcBorders>
                  <w:shd w:val="clear" w:color="auto" w:fill="FFFFFF"/>
                  <w:noWrap w:val="0"/>
                  <w:vAlign w:val="center"/>
                </w:tcPr>
                <w:p w14:paraId="2BBD58C3">
                  <w:pPr>
                    <w:widowControl/>
                    <w:jc w:val="center"/>
                    <w:rPr>
                      <w:b w:val="0"/>
                      <w:color w:val="000000"/>
                      <w:kern w:val="0"/>
                      <w:szCs w:val="21"/>
                      <w:highlight w:val="none"/>
                    </w:rPr>
                  </w:pPr>
                  <w:r>
                    <w:rPr>
                      <w:rFonts w:hint="eastAsia"/>
                      <w:b w:val="0"/>
                      <w:color w:val="000000"/>
                      <w:kern w:val="0"/>
                      <w:szCs w:val="21"/>
                      <w:highlight w:val="none"/>
                    </w:rPr>
                    <w:t>57.33</w:t>
                  </w:r>
                </w:p>
              </w:tc>
              <w:tc>
                <w:tcPr>
                  <w:tcW w:w="622" w:type="pct"/>
                  <w:tcBorders>
                    <w:bottom w:val="single" w:color="000000" w:sz="12" w:space="0"/>
                  </w:tcBorders>
                  <w:shd w:val="clear" w:color="auto" w:fill="FFFFFF"/>
                  <w:noWrap w:val="0"/>
                  <w:vAlign w:val="center"/>
                </w:tcPr>
                <w:p w14:paraId="20CABA1E">
                  <w:pPr>
                    <w:widowControl/>
                    <w:jc w:val="center"/>
                    <w:rPr>
                      <w:b w:val="0"/>
                      <w:color w:val="000000"/>
                      <w:kern w:val="0"/>
                      <w:szCs w:val="21"/>
                      <w:highlight w:val="none"/>
                    </w:rPr>
                  </w:pPr>
                  <w:r>
                    <w:rPr>
                      <w:b w:val="0"/>
                      <w:color w:val="000000"/>
                      <w:kern w:val="0"/>
                      <w:szCs w:val="21"/>
                      <w:highlight w:val="none"/>
                    </w:rPr>
                    <w:t>0</w:t>
                  </w:r>
                </w:p>
              </w:tc>
              <w:tc>
                <w:tcPr>
                  <w:tcW w:w="545" w:type="pct"/>
                  <w:tcBorders>
                    <w:bottom w:val="single" w:color="000000" w:sz="12" w:space="0"/>
                    <w:right w:val="nil"/>
                  </w:tcBorders>
                  <w:shd w:val="clear" w:color="auto" w:fill="FFFFFF"/>
                  <w:noWrap w:val="0"/>
                  <w:vAlign w:val="center"/>
                </w:tcPr>
                <w:p w14:paraId="330E5668">
                  <w:pPr>
                    <w:widowControl/>
                    <w:jc w:val="center"/>
                    <w:rPr>
                      <w:b w:val="0"/>
                      <w:color w:val="000000"/>
                      <w:kern w:val="0"/>
                      <w:szCs w:val="21"/>
                      <w:highlight w:val="none"/>
                    </w:rPr>
                  </w:pPr>
                  <w:r>
                    <w:rPr>
                      <w:b w:val="0"/>
                      <w:color w:val="000000"/>
                      <w:kern w:val="0"/>
                      <w:szCs w:val="21"/>
                      <w:highlight w:val="none"/>
                    </w:rPr>
                    <w:t>达标</w:t>
                  </w:r>
                </w:p>
              </w:tc>
            </w:tr>
          </w:tbl>
          <w:p w14:paraId="243E58B0">
            <w:pPr>
              <w:widowControl/>
              <w:spacing w:beforeLines="50" w:line="360" w:lineRule="auto"/>
              <w:ind w:firstLine="480" w:firstLineChars="200"/>
              <w:rPr>
                <w:rFonts w:hint="eastAsia" w:ascii="Times New Roman" w:hAnsi="Times New Roman" w:eastAsia="宋体" w:cs="Times New Roman"/>
                <w:color w:val="auto"/>
                <w:kern w:val="21"/>
                <w:sz w:val="24"/>
                <w:lang w:val="en-US" w:eastAsia="zh-CN"/>
              </w:rPr>
            </w:pPr>
            <w:r>
              <w:rPr>
                <w:rFonts w:ascii="Times New Roman" w:hAnsi="Times New Roman" w:eastAsia="宋体" w:cs="Times New Roman"/>
                <w:color w:val="auto"/>
                <w:kern w:val="21"/>
                <w:sz w:val="24"/>
              </w:rPr>
              <w:t>由监测结果可知，TSP浓度</w:t>
            </w:r>
            <w:r>
              <w:rPr>
                <w:rFonts w:hint="eastAsia" w:ascii="Times New Roman" w:hAnsi="Times New Roman" w:eastAsia="宋体" w:cs="Times New Roman"/>
                <w:color w:val="auto"/>
                <w:kern w:val="21"/>
                <w:sz w:val="24"/>
              </w:rPr>
              <w:t>为0.154</w:t>
            </w:r>
            <w:r>
              <w:rPr>
                <w:rFonts w:hint="eastAsia" w:ascii="Times New Roman" w:hAnsi="Times New Roman" w:eastAsia="宋体" w:cs="Times New Roman"/>
                <w:color w:val="auto"/>
                <w:kern w:val="21"/>
                <w:sz w:val="24"/>
                <w:lang w:eastAsia="zh-CN"/>
              </w:rPr>
              <w:t>～</w:t>
            </w:r>
            <w:r>
              <w:rPr>
                <w:rFonts w:hint="eastAsia" w:ascii="Times New Roman" w:hAnsi="Times New Roman" w:eastAsia="宋体" w:cs="Times New Roman"/>
                <w:color w:val="auto"/>
                <w:kern w:val="21"/>
                <w:sz w:val="24"/>
              </w:rPr>
              <w:t>0.179mg/m</w:t>
            </w:r>
            <w:r>
              <w:rPr>
                <w:rFonts w:hint="eastAsia" w:ascii="Times New Roman" w:hAnsi="Times New Roman" w:eastAsia="宋体" w:cs="Times New Roman"/>
                <w:color w:val="auto"/>
                <w:kern w:val="21"/>
                <w:sz w:val="24"/>
                <w:vertAlign w:val="superscript"/>
              </w:rPr>
              <w:t>3</w:t>
            </w:r>
            <w:r>
              <w:rPr>
                <w:rFonts w:hint="eastAsia" w:ascii="Times New Roman" w:hAnsi="Times New Roman" w:eastAsia="宋体" w:cs="Times New Roman"/>
                <w:color w:val="auto"/>
                <w:kern w:val="21"/>
                <w:sz w:val="24"/>
              </w:rPr>
              <w:t>，</w:t>
            </w:r>
            <w:r>
              <w:rPr>
                <w:rFonts w:ascii="Times New Roman" w:hAnsi="Times New Roman" w:eastAsia="宋体" w:cs="Times New Roman"/>
                <w:color w:val="auto"/>
                <w:kern w:val="21"/>
                <w:sz w:val="24"/>
              </w:rPr>
              <w:t>满足《环境空气质量标准》（GB3095-20</w:t>
            </w:r>
            <w:r>
              <w:rPr>
                <w:rFonts w:hint="eastAsia" w:cs="Times New Roman"/>
                <w:color w:val="auto"/>
                <w:kern w:val="21"/>
                <w:sz w:val="24"/>
                <w:lang w:val="en-US" w:eastAsia="zh-CN"/>
              </w:rPr>
              <w:t>12</w:t>
            </w:r>
            <w:r>
              <w:rPr>
                <w:rFonts w:ascii="Times New Roman" w:hAnsi="Times New Roman" w:eastAsia="宋体" w:cs="Times New Roman"/>
                <w:color w:val="auto"/>
                <w:kern w:val="21"/>
                <w:sz w:val="24"/>
              </w:rPr>
              <w:t>）</w:t>
            </w:r>
            <w:r>
              <w:rPr>
                <w:color w:val="auto"/>
                <w:sz w:val="24"/>
                <w:szCs w:val="32"/>
              </w:rPr>
              <w:t>中二级标准限值</w:t>
            </w:r>
            <w:r>
              <w:rPr>
                <w:rFonts w:hint="eastAsia" w:ascii="Times New Roman" w:hAnsi="Times New Roman" w:eastAsia="宋体" w:cs="Times New Roman"/>
                <w:color w:val="auto"/>
                <w:kern w:val="21"/>
                <w:sz w:val="24"/>
                <w:lang w:eastAsia="zh-CN"/>
              </w:rPr>
              <w:t>。</w:t>
            </w:r>
          </w:p>
          <w:p w14:paraId="35DD7AEE">
            <w:pPr>
              <w:adjustRightInd w:val="0"/>
              <w:snapToGrid w:val="0"/>
              <w:spacing w:line="360" w:lineRule="auto"/>
              <w:ind w:firstLine="482" w:firstLineChars="200"/>
              <w:jc w:val="left"/>
              <w:rPr>
                <w:b/>
                <w:bCs/>
                <w:color w:val="auto"/>
                <w:kern w:val="0"/>
                <w:sz w:val="24"/>
              </w:rPr>
            </w:pPr>
            <w:r>
              <w:rPr>
                <w:b/>
                <w:bCs/>
                <w:color w:val="auto"/>
                <w:kern w:val="0"/>
                <w:sz w:val="24"/>
              </w:rPr>
              <w:t>2、地表水环境质量现状</w:t>
            </w:r>
          </w:p>
          <w:p w14:paraId="30E73494">
            <w:pPr>
              <w:autoSpaceDE w:val="0"/>
              <w:autoSpaceDN w:val="0"/>
              <w:spacing w:line="360" w:lineRule="auto"/>
              <w:ind w:firstLine="588" w:firstLineChars="245"/>
              <w:rPr>
                <w:rFonts w:hint="default" w:eastAsia="宋体"/>
                <w:color w:val="auto"/>
                <w:sz w:val="24"/>
                <w:szCs w:val="32"/>
                <w:lang w:val="en-US" w:eastAsia="zh-CN"/>
              </w:rPr>
            </w:pPr>
            <w:r>
              <w:rPr>
                <w:color w:val="auto"/>
                <w:sz w:val="24"/>
                <w:szCs w:val="32"/>
              </w:rPr>
              <w:t>本项目距离最近的地表水为</w:t>
            </w:r>
            <w:r>
              <w:rPr>
                <w:rFonts w:hint="eastAsia"/>
                <w:color w:val="auto"/>
                <w:sz w:val="24"/>
                <w:szCs w:val="32"/>
              </w:rPr>
              <w:t>石子河，位于本项目南侧</w:t>
            </w:r>
            <w:r>
              <w:rPr>
                <w:rFonts w:hint="eastAsia"/>
                <w:color w:val="auto"/>
                <w:sz w:val="24"/>
                <w:szCs w:val="32"/>
                <w:lang w:val="en-US" w:eastAsia="zh-CN"/>
              </w:rPr>
              <w:t>0.76</w:t>
            </w:r>
            <w:r>
              <w:rPr>
                <w:rFonts w:hint="eastAsia"/>
                <w:color w:val="auto"/>
                <w:sz w:val="24"/>
                <w:szCs w:val="32"/>
              </w:rPr>
              <w:t>km，为浊漳河</w:t>
            </w:r>
            <w:r>
              <w:rPr>
                <w:color w:val="auto"/>
                <w:sz w:val="24"/>
                <w:szCs w:val="32"/>
              </w:rPr>
              <w:t>支流</w:t>
            </w:r>
            <w:r>
              <w:rPr>
                <w:rFonts w:hint="eastAsia"/>
                <w:color w:val="auto"/>
                <w:sz w:val="24"/>
                <w:szCs w:val="32"/>
              </w:rPr>
              <w:t>（季节性河流）</w:t>
            </w:r>
            <w:r>
              <w:rPr>
                <w:color w:val="auto"/>
                <w:sz w:val="24"/>
                <w:szCs w:val="32"/>
              </w:rPr>
              <w:t>。根据《山西省地表水环境功能区划》（DB14/67-2019），区域地表水属于壶关县石子河河口桥断面，水环境功能为一般景观用水保护，执行《地表水环境质量标准》（GB3838-2002）中的V类标准限值。本次环评引用了长治市生态环境局公布的</w:t>
            </w:r>
            <w:r>
              <w:rPr>
                <w:rFonts w:hint="eastAsia"/>
                <w:color w:val="auto"/>
                <w:sz w:val="24"/>
                <w:szCs w:val="32"/>
              </w:rPr>
              <w:t>《</w:t>
            </w:r>
            <w:r>
              <w:rPr>
                <w:color w:val="auto"/>
                <w:sz w:val="24"/>
                <w:szCs w:val="32"/>
              </w:rPr>
              <w:t>20</w:t>
            </w:r>
            <w:r>
              <w:rPr>
                <w:rFonts w:hint="eastAsia"/>
                <w:color w:val="auto"/>
                <w:sz w:val="24"/>
                <w:szCs w:val="32"/>
              </w:rPr>
              <w:t>2</w:t>
            </w:r>
            <w:r>
              <w:rPr>
                <w:rFonts w:hint="eastAsia"/>
                <w:color w:val="auto"/>
                <w:sz w:val="24"/>
                <w:szCs w:val="32"/>
                <w:lang w:val="en-US" w:eastAsia="zh-CN"/>
              </w:rPr>
              <w:t>6</w:t>
            </w:r>
            <w:r>
              <w:rPr>
                <w:color w:val="auto"/>
                <w:sz w:val="24"/>
                <w:szCs w:val="32"/>
              </w:rPr>
              <w:t>年</w:t>
            </w:r>
            <w:r>
              <w:rPr>
                <w:rFonts w:hint="eastAsia"/>
                <w:color w:val="auto"/>
                <w:sz w:val="24"/>
                <w:szCs w:val="32"/>
                <w:lang w:val="en-US" w:eastAsia="zh-CN"/>
              </w:rPr>
              <w:t>4</w:t>
            </w:r>
            <w:r>
              <w:rPr>
                <w:color w:val="auto"/>
                <w:sz w:val="24"/>
                <w:szCs w:val="32"/>
              </w:rPr>
              <w:t>月地表水断面水质类别数据</w:t>
            </w:r>
            <w:r>
              <w:rPr>
                <w:rFonts w:hint="eastAsia"/>
                <w:color w:val="auto"/>
                <w:sz w:val="24"/>
                <w:szCs w:val="32"/>
              </w:rPr>
              <w:t>》</w:t>
            </w:r>
            <w:r>
              <w:rPr>
                <w:color w:val="auto"/>
                <w:sz w:val="24"/>
                <w:szCs w:val="32"/>
              </w:rPr>
              <w:t>，壶关县石子河河口桥断面</w:t>
            </w:r>
            <w:r>
              <w:rPr>
                <w:rFonts w:hint="eastAsia"/>
                <w:color w:val="auto"/>
                <w:sz w:val="24"/>
                <w:szCs w:val="32"/>
                <w:lang w:val="en-US" w:eastAsia="zh-CN"/>
              </w:rPr>
              <w:t>2026</w:t>
            </w:r>
            <w:r>
              <w:rPr>
                <w:color w:val="auto"/>
                <w:sz w:val="24"/>
                <w:szCs w:val="32"/>
              </w:rPr>
              <w:t>年</w:t>
            </w:r>
            <w:r>
              <w:rPr>
                <w:rFonts w:hint="eastAsia"/>
                <w:color w:val="auto"/>
                <w:sz w:val="24"/>
                <w:szCs w:val="32"/>
                <w:lang w:val="en-US" w:eastAsia="zh-CN"/>
              </w:rPr>
              <w:t>4</w:t>
            </w:r>
            <w:r>
              <w:rPr>
                <w:color w:val="auto"/>
                <w:sz w:val="24"/>
                <w:szCs w:val="32"/>
              </w:rPr>
              <w:t>月水质类别</w:t>
            </w:r>
            <w:r>
              <w:rPr>
                <w:rFonts w:hint="eastAsia"/>
                <w:color w:val="auto"/>
                <w:sz w:val="24"/>
                <w:szCs w:val="32"/>
              </w:rPr>
              <w:t>均</w:t>
            </w:r>
            <w:r>
              <w:rPr>
                <w:color w:val="auto"/>
                <w:sz w:val="24"/>
                <w:szCs w:val="32"/>
              </w:rPr>
              <w:t>为</w:t>
            </w:r>
            <w:r>
              <w:rPr>
                <w:rFonts w:hint="eastAsia"/>
                <w:color w:val="auto"/>
                <w:sz w:val="24"/>
                <w:szCs w:val="32"/>
                <w:lang w:val="en-US" w:eastAsia="zh-CN"/>
              </w:rPr>
              <w:t>III</w:t>
            </w:r>
            <w:r>
              <w:rPr>
                <w:rFonts w:hint="eastAsia"/>
                <w:color w:val="auto"/>
                <w:sz w:val="24"/>
                <w:szCs w:val="32"/>
                <w:lang w:eastAsia="zh-CN"/>
              </w:rPr>
              <w:t>类</w:t>
            </w:r>
            <w:r>
              <w:rPr>
                <w:color w:val="auto"/>
                <w:sz w:val="24"/>
                <w:szCs w:val="32"/>
              </w:rPr>
              <w:t>水质，</w:t>
            </w:r>
            <w:r>
              <w:rPr>
                <w:rFonts w:hint="eastAsia"/>
                <w:color w:val="auto"/>
                <w:sz w:val="24"/>
                <w:szCs w:val="32"/>
                <w:lang w:val="en-US" w:eastAsia="zh-CN"/>
              </w:rPr>
              <w:t>水质良好。</w:t>
            </w:r>
          </w:p>
          <w:p w14:paraId="31D24163">
            <w:pPr>
              <w:adjustRightInd w:val="0"/>
              <w:snapToGrid w:val="0"/>
              <w:spacing w:line="360" w:lineRule="auto"/>
              <w:ind w:firstLine="482" w:firstLineChars="200"/>
              <w:jc w:val="left"/>
              <w:rPr>
                <w:b/>
                <w:bCs/>
                <w:color w:val="auto"/>
                <w:kern w:val="0"/>
                <w:sz w:val="24"/>
              </w:rPr>
            </w:pPr>
            <w:r>
              <w:rPr>
                <w:b/>
                <w:bCs/>
                <w:color w:val="auto"/>
                <w:kern w:val="0"/>
                <w:sz w:val="24"/>
              </w:rPr>
              <w:t>3、声环境质量现状</w:t>
            </w:r>
            <w:bookmarkStart w:id="8" w:name="_Hlk530439883"/>
            <w:bookmarkEnd w:id="8"/>
          </w:p>
          <w:p w14:paraId="347AE808">
            <w:pPr>
              <w:adjustRightInd w:val="0"/>
              <w:snapToGrid w:val="0"/>
              <w:spacing w:line="360" w:lineRule="auto"/>
              <w:ind w:firstLine="480" w:firstLineChars="200"/>
              <w:jc w:val="left"/>
              <w:rPr>
                <w:color w:val="auto"/>
                <w:spacing w:val="4"/>
                <w:sz w:val="24"/>
              </w:rPr>
            </w:pPr>
            <w:r>
              <w:rPr>
                <w:rFonts w:hint="eastAsia"/>
                <w:color w:val="auto"/>
                <w:sz w:val="24"/>
              </w:rPr>
              <w:t>根据现场踏勘了解，厂界外周边50m范围内无声环境保护目标，根据《建设项目环境影响报告表编制技术指南》（污染影响类），不需进行声环境质量现状监测</w:t>
            </w:r>
            <w:r>
              <w:rPr>
                <w:color w:val="auto"/>
                <w:spacing w:val="4"/>
                <w:sz w:val="24"/>
              </w:rPr>
              <w:t>。</w:t>
            </w:r>
          </w:p>
          <w:p w14:paraId="4CAD5F60">
            <w:pPr>
              <w:adjustRightInd w:val="0"/>
              <w:snapToGrid w:val="0"/>
              <w:spacing w:line="360" w:lineRule="auto"/>
              <w:ind w:firstLine="482" w:firstLineChars="200"/>
              <w:jc w:val="left"/>
              <w:rPr>
                <w:b/>
                <w:bCs/>
                <w:color w:val="auto"/>
                <w:kern w:val="0"/>
                <w:sz w:val="24"/>
              </w:rPr>
            </w:pPr>
            <w:r>
              <w:rPr>
                <w:b/>
                <w:bCs/>
                <w:color w:val="auto"/>
                <w:kern w:val="0"/>
                <w:sz w:val="24"/>
              </w:rPr>
              <w:t>4、生态环境质量现状</w:t>
            </w:r>
          </w:p>
          <w:p w14:paraId="45A7F8F0">
            <w:pPr>
              <w:adjustRightInd w:val="0"/>
              <w:snapToGrid w:val="0"/>
              <w:spacing w:line="360" w:lineRule="auto"/>
              <w:ind w:firstLine="480" w:firstLineChars="200"/>
              <w:jc w:val="left"/>
              <w:rPr>
                <w:color w:val="auto"/>
                <w:kern w:val="0"/>
                <w:sz w:val="24"/>
              </w:rPr>
            </w:pPr>
            <w:r>
              <w:rPr>
                <w:color w:val="auto"/>
                <w:kern w:val="0"/>
                <w:sz w:val="24"/>
              </w:rPr>
              <w:t>本项目</w:t>
            </w:r>
            <w:r>
              <w:rPr>
                <w:rFonts w:hint="eastAsia"/>
                <w:color w:val="auto"/>
                <w:kern w:val="0"/>
                <w:sz w:val="24"/>
              </w:rPr>
              <w:t>在现有厂区内建设，不新增占地，无生态环境保护目标。</w:t>
            </w:r>
          </w:p>
          <w:p w14:paraId="6CF6D98F">
            <w:pPr>
              <w:adjustRightInd w:val="0"/>
              <w:snapToGrid w:val="0"/>
              <w:spacing w:line="360" w:lineRule="auto"/>
              <w:ind w:firstLine="482" w:firstLineChars="200"/>
              <w:jc w:val="left"/>
              <w:rPr>
                <w:b/>
                <w:bCs/>
                <w:color w:val="auto"/>
                <w:kern w:val="0"/>
                <w:sz w:val="24"/>
              </w:rPr>
            </w:pPr>
            <w:r>
              <w:rPr>
                <w:b/>
                <w:bCs/>
                <w:color w:val="auto"/>
                <w:kern w:val="0"/>
                <w:sz w:val="24"/>
              </w:rPr>
              <w:t>5、地下水、土壤质量现状</w:t>
            </w:r>
          </w:p>
          <w:p w14:paraId="02BD95EA">
            <w:pPr>
              <w:spacing w:line="360" w:lineRule="auto"/>
              <w:ind w:firstLine="480" w:firstLineChars="200"/>
              <w:rPr>
                <w:rFonts w:hint="eastAsia"/>
                <w:color w:val="auto"/>
                <w:kern w:val="0"/>
                <w:sz w:val="24"/>
                <w:lang w:eastAsia="zh-CN"/>
              </w:rPr>
            </w:pPr>
            <w:r>
              <w:rPr>
                <w:color w:val="auto"/>
                <w:kern w:val="0"/>
                <w:sz w:val="24"/>
              </w:rPr>
              <w:t>本项目可能造成地下水、土壤的污染源是</w:t>
            </w:r>
            <w:r>
              <w:rPr>
                <w:rFonts w:hint="eastAsia"/>
                <w:color w:val="auto"/>
                <w:kern w:val="0"/>
                <w:sz w:val="24"/>
              </w:rPr>
              <w:t>废机油</w:t>
            </w:r>
            <w:r>
              <w:rPr>
                <w:rFonts w:hint="eastAsia"/>
                <w:color w:val="auto"/>
                <w:kern w:val="0"/>
                <w:sz w:val="24"/>
                <w:lang w:eastAsia="zh-CN"/>
              </w:rPr>
              <w:t>、</w:t>
            </w:r>
            <w:r>
              <w:rPr>
                <w:rFonts w:hint="eastAsia"/>
                <w:color w:val="auto"/>
                <w:kern w:val="0"/>
                <w:sz w:val="24"/>
                <w:lang w:val="en-US" w:eastAsia="zh-CN"/>
              </w:rPr>
              <w:t>汽轮机油</w:t>
            </w:r>
            <w:r>
              <w:rPr>
                <w:rFonts w:hint="eastAsia"/>
                <w:color w:val="auto"/>
                <w:kern w:val="0"/>
                <w:sz w:val="24"/>
              </w:rPr>
              <w:t>泄漏。本项目将危险废物（废机油、废油桶）收集后暂存</w:t>
            </w:r>
            <w:r>
              <w:rPr>
                <w:rFonts w:hint="eastAsia"/>
                <w:color w:val="auto"/>
                <w:kern w:val="0"/>
                <w:sz w:val="24"/>
                <w:lang w:val="en-US" w:eastAsia="zh-CN"/>
              </w:rPr>
              <w:t>于</w:t>
            </w:r>
            <w:r>
              <w:rPr>
                <w:rFonts w:hint="eastAsia"/>
                <w:color w:val="auto"/>
                <w:kern w:val="0"/>
                <w:sz w:val="24"/>
              </w:rPr>
              <w:t>厂区内现有危废贮存库，分类堆存，定期交由有资质单位处置；危废贮存库已进行</w:t>
            </w:r>
            <w:r>
              <w:rPr>
                <w:color w:val="auto"/>
                <w:kern w:val="0"/>
                <w:sz w:val="24"/>
              </w:rPr>
              <w:t>防渗</w:t>
            </w:r>
            <w:r>
              <w:rPr>
                <w:rFonts w:hint="eastAsia"/>
                <w:color w:val="auto"/>
                <w:kern w:val="0"/>
                <w:sz w:val="24"/>
                <w:lang w:eastAsia="zh-CN"/>
              </w:rPr>
              <w:t>。</w:t>
            </w:r>
          </w:p>
          <w:p w14:paraId="330057CE">
            <w:pPr>
              <w:spacing w:line="360" w:lineRule="auto"/>
              <w:ind w:firstLine="480" w:firstLineChars="200"/>
              <w:rPr>
                <w:rFonts w:hint="eastAsia" w:eastAsia="宋体"/>
                <w:color w:val="auto"/>
                <w:sz w:val="24"/>
                <w:lang w:val="en-US" w:eastAsia="zh-CN"/>
              </w:rPr>
            </w:pPr>
            <w:r>
              <w:rPr>
                <w:rFonts w:hint="eastAsia"/>
                <w:color w:val="auto"/>
                <w:sz w:val="24"/>
                <w:lang w:val="en-US" w:eastAsia="zh-CN"/>
              </w:rPr>
              <w:t>本项目设置有事故油池，用于暂存事故状态下汽轮机油。</w:t>
            </w:r>
            <w:r>
              <w:rPr>
                <w:rFonts w:hint="eastAsia"/>
                <w:color w:val="auto"/>
                <w:sz w:val="24"/>
              </w:rPr>
              <w:t>事故油池做防渗处理，同时地面无裂缝</w:t>
            </w:r>
            <w:r>
              <w:rPr>
                <w:rFonts w:hint="eastAsia"/>
                <w:color w:val="auto"/>
                <w:sz w:val="24"/>
                <w:lang w:eastAsia="zh-CN"/>
              </w:rPr>
              <w:t>，</w:t>
            </w:r>
            <w:r>
              <w:rPr>
                <w:rFonts w:hint="eastAsia"/>
                <w:color w:val="auto"/>
                <w:sz w:val="24"/>
                <w:lang w:val="en-US" w:eastAsia="zh-CN"/>
              </w:rPr>
              <w:t>可确保</w:t>
            </w:r>
            <w:r>
              <w:rPr>
                <w:rFonts w:hint="eastAsia"/>
                <w:color w:val="auto"/>
                <w:sz w:val="24"/>
              </w:rPr>
              <w:t>区域地下水和土壤不</w:t>
            </w:r>
            <w:r>
              <w:rPr>
                <w:rFonts w:hint="eastAsia"/>
                <w:color w:val="auto"/>
                <w:sz w:val="24"/>
                <w:lang w:eastAsia="zh-CN"/>
              </w:rPr>
              <w:t>受</w:t>
            </w:r>
            <w:r>
              <w:rPr>
                <w:rFonts w:hint="eastAsia"/>
                <w:color w:val="auto"/>
                <w:sz w:val="24"/>
              </w:rPr>
              <w:t>本项目污染</w:t>
            </w:r>
            <w:r>
              <w:rPr>
                <w:rFonts w:hint="eastAsia"/>
                <w:color w:val="auto"/>
                <w:sz w:val="24"/>
                <w:lang w:eastAsia="zh-CN"/>
              </w:rPr>
              <w:t>。</w:t>
            </w:r>
          </w:p>
          <w:p w14:paraId="0F062F1D">
            <w:pPr>
              <w:adjustRightInd w:val="0"/>
              <w:snapToGrid w:val="0"/>
              <w:spacing w:line="360" w:lineRule="auto"/>
              <w:ind w:firstLine="480" w:firstLineChars="200"/>
              <w:jc w:val="left"/>
              <w:rPr>
                <w:rFonts w:ascii="宋体" w:hAnsi="宋体" w:cs="宋体"/>
                <w:color w:val="auto"/>
                <w:kern w:val="0"/>
                <w:szCs w:val="21"/>
              </w:rPr>
            </w:pPr>
            <w:r>
              <w:rPr>
                <w:color w:val="auto"/>
                <w:kern w:val="0"/>
                <w:sz w:val="24"/>
              </w:rPr>
              <w:t>采取措施后不存在污染途径，</w:t>
            </w:r>
            <w:r>
              <w:rPr>
                <w:rFonts w:hint="eastAsia"/>
                <w:color w:val="auto"/>
                <w:kern w:val="0"/>
                <w:sz w:val="24"/>
              </w:rPr>
              <w:t>经过分析后本项目</w:t>
            </w:r>
            <w:r>
              <w:rPr>
                <w:color w:val="auto"/>
                <w:kern w:val="0"/>
                <w:sz w:val="24"/>
              </w:rPr>
              <w:t>不开展现状调查。</w:t>
            </w:r>
          </w:p>
        </w:tc>
      </w:tr>
      <w:tr w14:paraId="69B2E8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62" w:hRule="atLeast"/>
          <w:jc w:val="center"/>
        </w:trPr>
        <w:tc>
          <w:tcPr>
            <w:tcW w:w="800" w:type="dxa"/>
            <w:noWrap w:val="0"/>
            <w:vAlign w:val="center"/>
          </w:tcPr>
          <w:p w14:paraId="03CA917F">
            <w:pPr>
              <w:adjustRightInd w:val="0"/>
              <w:snapToGrid w:val="0"/>
              <w:jc w:val="center"/>
              <w:rPr>
                <w:rFonts w:ascii="宋体" w:hAnsi="宋体" w:cs="宋体"/>
                <w:color w:val="auto"/>
                <w:kern w:val="0"/>
                <w:sz w:val="24"/>
              </w:rPr>
            </w:pPr>
            <w:r>
              <w:rPr>
                <w:rFonts w:hint="eastAsia" w:ascii="宋体" w:hAnsi="宋体" w:cs="宋体"/>
                <w:color w:val="auto"/>
                <w:kern w:val="0"/>
                <w:sz w:val="24"/>
              </w:rPr>
              <w:t>环境</w:t>
            </w:r>
          </w:p>
          <w:p w14:paraId="41E4F082">
            <w:pPr>
              <w:adjustRightInd w:val="0"/>
              <w:snapToGrid w:val="0"/>
              <w:jc w:val="center"/>
              <w:rPr>
                <w:rFonts w:ascii="宋体" w:hAnsi="宋体" w:cs="宋体"/>
                <w:color w:val="auto"/>
                <w:kern w:val="0"/>
                <w:sz w:val="24"/>
              </w:rPr>
            </w:pPr>
            <w:r>
              <w:rPr>
                <w:rFonts w:hint="eastAsia" w:ascii="宋体" w:hAnsi="宋体" w:cs="宋体"/>
                <w:color w:val="auto"/>
                <w:kern w:val="0"/>
                <w:sz w:val="24"/>
              </w:rPr>
              <w:t>保护</w:t>
            </w:r>
          </w:p>
          <w:p w14:paraId="48118E3D">
            <w:pPr>
              <w:adjustRightInd w:val="0"/>
              <w:snapToGrid w:val="0"/>
              <w:jc w:val="center"/>
              <w:rPr>
                <w:rFonts w:ascii="宋体" w:hAnsi="宋体" w:cs="宋体"/>
                <w:color w:val="auto"/>
                <w:kern w:val="0"/>
                <w:szCs w:val="21"/>
              </w:rPr>
            </w:pPr>
            <w:r>
              <w:rPr>
                <w:rFonts w:hint="eastAsia" w:ascii="宋体" w:hAnsi="宋体" w:cs="宋体"/>
                <w:color w:val="auto"/>
                <w:kern w:val="0"/>
                <w:sz w:val="24"/>
              </w:rPr>
              <w:t>目标</w:t>
            </w:r>
          </w:p>
        </w:tc>
        <w:tc>
          <w:tcPr>
            <w:tcW w:w="8190" w:type="dxa"/>
            <w:noWrap w:val="0"/>
            <w:vAlign w:val="center"/>
          </w:tcPr>
          <w:p w14:paraId="71CC6444">
            <w:pPr>
              <w:adjustRightInd w:val="0"/>
              <w:snapToGrid w:val="0"/>
              <w:jc w:val="center"/>
              <w:rPr>
                <w:color w:val="auto"/>
                <w:kern w:val="0"/>
                <w:szCs w:val="21"/>
              </w:rPr>
            </w:pPr>
          </w:p>
          <w:p w14:paraId="04678441">
            <w:pPr>
              <w:widowControl/>
              <w:jc w:val="left"/>
              <w:rPr>
                <w:color w:val="auto"/>
              </w:rPr>
            </w:pPr>
            <w:r>
              <w:rPr>
                <w:rFonts w:hint="eastAsia" w:ascii="宋体" w:hAnsi="宋体" w:cs="宋体"/>
                <w:color w:val="auto"/>
                <w:kern w:val="0"/>
                <w:sz w:val="24"/>
              </w:rPr>
              <w:t>本项目厂界外</w:t>
            </w:r>
            <w:r>
              <w:rPr>
                <w:color w:val="auto"/>
                <w:kern w:val="0"/>
                <w:sz w:val="24"/>
              </w:rPr>
              <w:t>500m</w:t>
            </w:r>
            <w:r>
              <w:rPr>
                <w:rFonts w:hint="eastAsia" w:ascii="宋体" w:hAnsi="宋体" w:cs="宋体"/>
                <w:color w:val="auto"/>
                <w:kern w:val="0"/>
                <w:sz w:val="24"/>
              </w:rPr>
              <w:t>范围内无地下水集中式饮用水水源和热水、矿泉水、温</w:t>
            </w:r>
          </w:p>
          <w:p w14:paraId="79DC50AD">
            <w:pPr>
              <w:widowControl/>
              <w:jc w:val="left"/>
              <w:rPr>
                <w:color w:val="auto"/>
              </w:rPr>
            </w:pPr>
            <w:r>
              <w:rPr>
                <w:rFonts w:hint="eastAsia" w:ascii="宋体" w:hAnsi="宋体" w:cs="宋体"/>
                <w:color w:val="auto"/>
                <w:kern w:val="0"/>
                <w:sz w:val="24"/>
              </w:rPr>
              <w:t>泉等特殊地下水资源，环境保护目标见下表：</w:t>
            </w:r>
          </w:p>
          <w:p w14:paraId="00EECAAB">
            <w:pPr>
              <w:adjustRightInd w:val="0"/>
              <w:snapToGrid w:val="0"/>
              <w:spacing w:line="360" w:lineRule="auto"/>
              <w:ind w:firstLine="422" w:firstLineChars="200"/>
              <w:jc w:val="center"/>
              <w:rPr>
                <w:b/>
                <w:bCs/>
                <w:color w:val="auto"/>
                <w:kern w:val="0"/>
                <w:szCs w:val="21"/>
              </w:rPr>
            </w:pPr>
            <w:r>
              <w:rPr>
                <w:rFonts w:hint="eastAsia"/>
                <w:b/>
                <w:bCs/>
                <w:color w:val="auto"/>
                <w:kern w:val="0"/>
                <w:szCs w:val="21"/>
              </w:rPr>
              <w:t>表3-3环境保护目标</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
              <w:gridCol w:w="705"/>
              <w:gridCol w:w="385"/>
              <w:gridCol w:w="709"/>
              <w:gridCol w:w="1477"/>
              <w:gridCol w:w="1407"/>
              <w:gridCol w:w="339"/>
              <w:gridCol w:w="998"/>
              <w:gridCol w:w="1456"/>
            </w:tblGrid>
            <w:tr w14:paraId="26099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06" w:type="pct"/>
                  <w:vMerge w:val="restart"/>
                  <w:noWrap w:val="0"/>
                  <w:vAlign w:val="center"/>
                </w:tcPr>
                <w:p w14:paraId="74AC9C9B">
                  <w:pPr>
                    <w:adjustRightInd w:val="0"/>
                    <w:snapToGrid w:val="0"/>
                    <w:jc w:val="center"/>
                    <w:rPr>
                      <w:color w:val="auto"/>
                      <w:kern w:val="0"/>
                      <w:szCs w:val="21"/>
                    </w:rPr>
                  </w:pPr>
                  <w:r>
                    <w:rPr>
                      <w:rFonts w:hint="eastAsia"/>
                      <w:color w:val="auto"/>
                      <w:kern w:val="0"/>
                      <w:szCs w:val="21"/>
                    </w:rPr>
                    <w:t>环境要素</w:t>
                  </w:r>
                </w:p>
              </w:tc>
              <w:tc>
                <w:tcPr>
                  <w:tcW w:w="1129" w:type="pct"/>
                  <w:gridSpan w:val="3"/>
                  <w:noWrap w:val="0"/>
                  <w:vAlign w:val="center"/>
                </w:tcPr>
                <w:p w14:paraId="7E5D67A5">
                  <w:pPr>
                    <w:adjustRightInd w:val="0"/>
                    <w:snapToGrid w:val="0"/>
                    <w:jc w:val="center"/>
                    <w:rPr>
                      <w:color w:val="auto"/>
                      <w:kern w:val="0"/>
                      <w:szCs w:val="21"/>
                    </w:rPr>
                  </w:pPr>
                  <w:r>
                    <w:rPr>
                      <w:rFonts w:hint="eastAsia"/>
                      <w:color w:val="auto"/>
                      <w:kern w:val="0"/>
                      <w:szCs w:val="21"/>
                    </w:rPr>
                    <w:t>相对本项目</w:t>
                  </w:r>
                </w:p>
              </w:tc>
              <w:tc>
                <w:tcPr>
                  <w:tcW w:w="1810" w:type="pct"/>
                  <w:gridSpan w:val="2"/>
                  <w:noWrap w:val="0"/>
                  <w:vAlign w:val="center"/>
                </w:tcPr>
                <w:p w14:paraId="5C3848C5">
                  <w:pPr>
                    <w:adjustRightInd w:val="0"/>
                    <w:snapToGrid w:val="0"/>
                    <w:jc w:val="center"/>
                    <w:rPr>
                      <w:color w:val="auto"/>
                      <w:kern w:val="0"/>
                      <w:szCs w:val="21"/>
                    </w:rPr>
                  </w:pPr>
                  <w:r>
                    <w:rPr>
                      <w:rFonts w:hint="eastAsia"/>
                      <w:color w:val="auto"/>
                      <w:kern w:val="0"/>
                      <w:szCs w:val="21"/>
                    </w:rPr>
                    <w:t>地理坐标</w:t>
                  </w:r>
                </w:p>
              </w:tc>
              <w:tc>
                <w:tcPr>
                  <w:tcW w:w="212" w:type="pct"/>
                  <w:vMerge w:val="restart"/>
                  <w:noWrap w:val="0"/>
                  <w:vAlign w:val="center"/>
                </w:tcPr>
                <w:p w14:paraId="685DC2F1">
                  <w:pPr>
                    <w:adjustRightInd w:val="0"/>
                    <w:snapToGrid w:val="0"/>
                    <w:jc w:val="center"/>
                    <w:rPr>
                      <w:color w:val="auto"/>
                      <w:kern w:val="0"/>
                      <w:szCs w:val="21"/>
                    </w:rPr>
                  </w:pPr>
                  <w:r>
                    <w:rPr>
                      <w:rFonts w:hint="eastAsia"/>
                      <w:color w:val="auto"/>
                      <w:kern w:val="0"/>
                      <w:szCs w:val="21"/>
                    </w:rPr>
                    <w:t>功能</w:t>
                  </w:r>
                </w:p>
              </w:tc>
              <w:tc>
                <w:tcPr>
                  <w:tcW w:w="626" w:type="pct"/>
                  <w:vMerge w:val="restart"/>
                  <w:noWrap w:val="0"/>
                  <w:vAlign w:val="center"/>
                </w:tcPr>
                <w:p w14:paraId="52048FCF">
                  <w:pPr>
                    <w:adjustRightInd w:val="0"/>
                    <w:snapToGrid w:val="0"/>
                    <w:jc w:val="center"/>
                    <w:rPr>
                      <w:color w:val="auto"/>
                      <w:kern w:val="0"/>
                      <w:szCs w:val="21"/>
                    </w:rPr>
                  </w:pPr>
                  <w:r>
                    <w:rPr>
                      <w:rFonts w:hint="eastAsia"/>
                      <w:color w:val="auto"/>
                      <w:kern w:val="0"/>
                      <w:szCs w:val="21"/>
                    </w:rPr>
                    <w:t>保护对象</w:t>
                  </w:r>
                </w:p>
              </w:tc>
              <w:tc>
                <w:tcPr>
                  <w:tcW w:w="914" w:type="pct"/>
                  <w:vMerge w:val="restart"/>
                  <w:noWrap w:val="0"/>
                  <w:vAlign w:val="center"/>
                </w:tcPr>
                <w:p w14:paraId="0F6B4218">
                  <w:pPr>
                    <w:adjustRightInd w:val="0"/>
                    <w:snapToGrid w:val="0"/>
                    <w:jc w:val="center"/>
                    <w:rPr>
                      <w:color w:val="auto"/>
                      <w:kern w:val="0"/>
                      <w:szCs w:val="21"/>
                    </w:rPr>
                  </w:pPr>
                  <w:r>
                    <w:rPr>
                      <w:rFonts w:hint="eastAsia"/>
                      <w:color w:val="auto"/>
                      <w:kern w:val="0"/>
                      <w:szCs w:val="21"/>
                    </w:rPr>
                    <w:t>保护要求</w:t>
                  </w:r>
                </w:p>
              </w:tc>
            </w:tr>
            <w:tr w14:paraId="691F8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06" w:type="pct"/>
                  <w:vMerge w:val="continue"/>
                  <w:noWrap w:val="0"/>
                  <w:vAlign w:val="center"/>
                </w:tcPr>
                <w:p w14:paraId="56154892">
                  <w:pPr>
                    <w:adjustRightInd w:val="0"/>
                    <w:snapToGrid w:val="0"/>
                    <w:jc w:val="center"/>
                    <w:rPr>
                      <w:color w:val="auto"/>
                    </w:rPr>
                  </w:pPr>
                </w:p>
              </w:tc>
              <w:tc>
                <w:tcPr>
                  <w:tcW w:w="442" w:type="pct"/>
                  <w:noWrap w:val="0"/>
                  <w:vAlign w:val="center"/>
                </w:tcPr>
                <w:p w14:paraId="5B8CC5FE">
                  <w:pPr>
                    <w:adjustRightInd w:val="0"/>
                    <w:snapToGrid w:val="0"/>
                    <w:jc w:val="center"/>
                    <w:rPr>
                      <w:color w:val="auto"/>
                      <w:kern w:val="0"/>
                      <w:szCs w:val="21"/>
                    </w:rPr>
                  </w:pPr>
                  <w:r>
                    <w:rPr>
                      <w:rFonts w:hint="eastAsia"/>
                      <w:color w:val="auto"/>
                      <w:kern w:val="0"/>
                      <w:szCs w:val="21"/>
                    </w:rPr>
                    <w:t>环境保护对象</w:t>
                  </w:r>
                </w:p>
              </w:tc>
              <w:tc>
                <w:tcPr>
                  <w:tcW w:w="241" w:type="pct"/>
                  <w:noWrap w:val="0"/>
                  <w:vAlign w:val="center"/>
                </w:tcPr>
                <w:p w14:paraId="55F44F6C">
                  <w:pPr>
                    <w:adjustRightInd w:val="0"/>
                    <w:snapToGrid w:val="0"/>
                    <w:jc w:val="center"/>
                    <w:rPr>
                      <w:color w:val="auto"/>
                      <w:kern w:val="0"/>
                      <w:szCs w:val="21"/>
                    </w:rPr>
                  </w:pPr>
                  <w:r>
                    <w:rPr>
                      <w:rFonts w:hint="eastAsia"/>
                      <w:color w:val="auto"/>
                      <w:kern w:val="0"/>
                      <w:szCs w:val="21"/>
                    </w:rPr>
                    <w:t>方位</w:t>
                  </w:r>
                </w:p>
              </w:tc>
              <w:tc>
                <w:tcPr>
                  <w:tcW w:w="445" w:type="pct"/>
                  <w:noWrap w:val="0"/>
                  <w:vAlign w:val="center"/>
                </w:tcPr>
                <w:p w14:paraId="4407EC17">
                  <w:pPr>
                    <w:adjustRightInd w:val="0"/>
                    <w:snapToGrid w:val="0"/>
                    <w:jc w:val="center"/>
                    <w:rPr>
                      <w:color w:val="auto"/>
                      <w:kern w:val="0"/>
                      <w:szCs w:val="21"/>
                    </w:rPr>
                  </w:pPr>
                  <w:r>
                    <w:rPr>
                      <w:rFonts w:hint="eastAsia"/>
                      <w:color w:val="auto"/>
                      <w:kern w:val="0"/>
                      <w:szCs w:val="21"/>
                    </w:rPr>
                    <w:t>距离</w:t>
                  </w:r>
                </w:p>
                <w:p w14:paraId="3E09A10B">
                  <w:pPr>
                    <w:adjustRightInd w:val="0"/>
                    <w:snapToGrid w:val="0"/>
                    <w:jc w:val="center"/>
                    <w:rPr>
                      <w:color w:val="auto"/>
                      <w:kern w:val="0"/>
                      <w:szCs w:val="21"/>
                    </w:rPr>
                  </w:pPr>
                  <w:r>
                    <w:rPr>
                      <w:rFonts w:hint="eastAsia"/>
                      <w:color w:val="auto"/>
                      <w:kern w:val="0"/>
                      <w:szCs w:val="21"/>
                    </w:rPr>
                    <w:t>km</w:t>
                  </w:r>
                </w:p>
              </w:tc>
              <w:tc>
                <w:tcPr>
                  <w:tcW w:w="927" w:type="pct"/>
                  <w:noWrap w:val="0"/>
                  <w:vAlign w:val="center"/>
                </w:tcPr>
                <w:p w14:paraId="55585AB5">
                  <w:pPr>
                    <w:adjustRightInd w:val="0"/>
                    <w:snapToGrid w:val="0"/>
                    <w:jc w:val="center"/>
                    <w:rPr>
                      <w:color w:val="auto"/>
                      <w:kern w:val="0"/>
                      <w:szCs w:val="21"/>
                    </w:rPr>
                  </w:pPr>
                  <w:r>
                    <w:rPr>
                      <w:rFonts w:hint="eastAsia"/>
                      <w:color w:val="auto"/>
                      <w:kern w:val="0"/>
                      <w:szCs w:val="21"/>
                    </w:rPr>
                    <w:t>经度</w:t>
                  </w:r>
                </w:p>
                <w:p w14:paraId="0B3DDCB9">
                  <w:pPr>
                    <w:adjustRightInd w:val="0"/>
                    <w:snapToGrid w:val="0"/>
                    <w:jc w:val="center"/>
                    <w:rPr>
                      <w:color w:val="auto"/>
                      <w:kern w:val="0"/>
                      <w:szCs w:val="21"/>
                    </w:rPr>
                  </w:pPr>
                  <w:r>
                    <w:rPr>
                      <w:rFonts w:hint="eastAsia"/>
                      <w:color w:val="auto"/>
                      <w:kern w:val="0"/>
                      <w:szCs w:val="21"/>
                    </w:rPr>
                    <w:t>（°）</w:t>
                  </w:r>
                </w:p>
              </w:tc>
              <w:tc>
                <w:tcPr>
                  <w:tcW w:w="883" w:type="pct"/>
                  <w:noWrap w:val="0"/>
                  <w:vAlign w:val="center"/>
                </w:tcPr>
                <w:p w14:paraId="251FA5C5">
                  <w:pPr>
                    <w:adjustRightInd w:val="0"/>
                    <w:snapToGrid w:val="0"/>
                    <w:jc w:val="center"/>
                    <w:rPr>
                      <w:color w:val="auto"/>
                      <w:kern w:val="0"/>
                      <w:szCs w:val="21"/>
                    </w:rPr>
                  </w:pPr>
                  <w:r>
                    <w:rPr>
                      <w:rFonts w:hint="eastAsia"/>
                      <w:color w:val="auto"/>
                      <w:kern w:val="0"/>
                      <w:szCs w:val="21"/>
                    </w:rPr>
                    <w:t>纬度</w:t>
                  </w:r>
                </w:p>
                <w:p w14:paraId="6AA4D989">
                  <w:pPr>
                    <w:adjustRightInd w:val="0"/>
                    <w:snapToGrid w:val="0"/>
                    <w:jc w:val="center"/>
                    <w:rPr>
                      <w:color w:val="auto"/>
                      <w:kern w:val="0"/>
                      <w:szCs w:val="21"/>
                    </w:rPr>
                  </w:pPr>
                  <w:r>
                    <w:rPr>
                      <w:rFonts w:hint="eastAsia"/>
                      <w:color w:val="auto"/>
                      <w:kern w:val="0"/>
                      <w:szCs w:val="21"/>
                    </w:rPr>
                    <w:t>（°）</w:t>
                  </w:r>
                </w:p>
              </w:tc>
              <w:tc>
                <w:tcPr>
                  <w:tcW w:w="212" w:type="pct"/>
                  <w:vMerge w:val="continue"/>
                  <w:noWrap w:val="0"/>
                  <w:vAlign w:val="center"/>
                </w:tcPr>
                <w:p w14:paraId="680236B9">
                  <w:pPr>
                    <w:adjustRightInd w:val="0"/>
                    <w:snapToGrid w:val="0"/>
                    <w:jc w:val="center"/>
                    <w:rPr>
                      <w:color w:val="auto"/>
                      <w:kern w:val="0"/>
                      <w:szCs w:val="21"/>
                    </w:rPr>
                  </w:pPr>
                </w:p>
              </w:tc>
              <w:tc>
                <w:tcPr>
                  <w:tcW w:w="626" w:type="pct"/>
                  <w:vMerge w:val="continue"/>
                  <w:noWrap w:val="0"/>
                  <w:vAlign w:val="center"/>
                </w:tcPr>
                <w:p w14:paraId="582D0B03">
                  <w:pPr>
                    <w:adjustRightInd w:val="0"/>
                    <w:snapToGrid w:val="0"/>
                    <w:jc w:val="center"/>
                    <w:rPr>
                      <w:color w:val="auto"/>
                      <w:kern w:val="0"/>
                      <w:szCs w:val="21"/>
                    </w:rPr>
                  </w:pPr>
                </w:p>
              </w:tc>
              <w:tc>
                <w:tcPr>
                  <w:tcW w:w="914" w:type="pct"/>
                  <w:vMerge w:val="continue"/>
                  <w:noWrap w:val="0"/>
                  <w:vAlign w:val="center"/>
                </w:tcPr>
                <w:p w14:paraId="5F6DEE8D">
                  <w:pPr>
                    <w:adjustRightInd w:val="0"/>
                    <w:snapToGrid w:val="0"/>
                    <w:jc w:val="center"/>
                    <w:rPr>
                      <w:color w:val="auto"/>
                      <w:kern w:val="0"/>
                      <w:szCs w:val="21"/>
                    </w:rPr>
                  </w:pPr>
                </w:p>
              </w:tc>
            </w:tr>
            <w:tr w14:paraId="7394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306" w:type="pct"/>
                  <w:vMerge w:val="restart"/>
                  <w:noWrap w:val="0"/>
                  <w:vAlign w:val="center"/>
                </w:tcPr>
                <w:p w14:paraId="37DFD908">
                  <w:pPr>
                    <w:adjustRightInd w:val="0"/>
                    <w:snapToGrid w:val="0"/>
                    <w:jc w:val="center"/>
                    <w:rPr>
                      <w:color w:val="auto"/>
                      <w:kern w:val="0"/>
                      <w:szCs w:val="21"/>
                    </w:rPr>
                  </w:pPr>
                  <w:r>
                    <w:rPr>
                      <w:rFonts w:hint="eastAsia"/>
                      <w:color w:val="auto"/>
                      <w:kern w:val="0"/>
                      <w:szCs w:val="21"/>
                    </w:rPr>
                    <w:t>环境空气</w:t>
                  </w:r>
                </w:p>
              </w:tc>
              <w:tc>
                <w:tcPr>
                  <w:tcW w:w="442" w:type="pct"/>
                  <w:noWrap w:val="0"/>
                  <w:vAlign w:val="center"/>
                </w:tcPr>
                <w:p w14:paraId="6A529549">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王家河村</w:t>
                  </w:r>
                </w:p>
              </w:tc>
              <w:tc>
                <w:tcPr>
                  <w:tcW w:w="241" w:type="pct"/>
                  <w:noWrap w:val="0"/>
                  <w:vAlign w:val="center"/>
                </w:tcPr>
                <w:p w14:paraId="1EA1A73C">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S</w:t>
                  </w:r>
                </w:p>
              </w:tc>
              <w:tc>
                <w:tcPr>
                  <w:tcW w:w="445" w:type="pct"/>
                  <w:noWrap w:val="0"/>
                  <w:vAlign w:val="center"/>
                </w:tcPr>
                <w:p w14:paraId="3CD659C8">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0.348</w:t>
                  </w:r>
                </w:p>
              </w:tc>
              <w:tc>
                <w:tcPr>
                  <w:tcW w:w="927" w:type="pct"/>
                  <w:noWrap w:val="0"/>
                  <w:vAlign w:val="center"/>
                </w:tcPr>
                <w:p w14:paraId="1D0059DF">
                  <w:pPr>
                    <w:adjustRightInd w:val="0"/>
                    <w:snapToGrid w:val="0"/>
                    <w:rPr>
                      <w:color w:val="auto"/>
                      <w:kern w:val="0"/>
                      <w:szCs w:val="21"/>
                    </w:rPr>
                  </w:pPr>
                  <w:r>
                    <w:rPr>
                      <w:rFonts w:hint="eastAsia"/>
                      <w:color w:val="auto"/>
                      <w:kern w:val="0"/>
                      <w:szCs w:val="21"/>
                    </w:rPr>
                    <w:t>113.21416348</w:t>
                  </w:r>
                </w:p>
              </w:tc>
              <w:tc>
                <w:tcPr>
                  <w:tcW w:w="883" w:type="pct"/>
                  <w:noWrap w:val="0"/>
                  <w:vAlign w:val="center"/>
                </w:tcPr>
                <w:p w14:paraId="56773204">
                  <w:pPr>
                    <w:adjustRightInd w:val="0"/>
                    <w:snapToGrid w:val="0"/>
                    <w:jc w:val="center"/>
                    <w:rPr>
                      <w:color w:val="auto"/>
                      <w:kern w:val="0"/>
                      <w:szCs w:val="21"/>
                    </w:rPr>
                  </w:pPr>
                  <w:r>
                    <w:rPr>
                      <w:rFonts w:hint="eastAsia"/>
                      <w:color w:val="auto"/>
                      <w:kern w:val="0"/>
                      <w:szCs w:val="21"/>
                    </w:rPr>
                    <w:t>36.13428319</w:t>
                  </w:r>
                </w:p>
              </w:tc>
              <w:tc>
                <w:tcPr>
                  <w:tcW w:w="212" w:type="pct"/>
                  <w:noWrap w:val="0"/>
                  <w:vAlign w:val="center"/>
                </w:tcPr>
                <w:p w14:paraId="5A180ACE">
                  <w:pPr>
                    <w:adjustRightInd w:val="0"/>
                    <w:snapToGrid w:val="0"/>
                    <w:jc w:val="center"/>
                    <w:rPr>
                      <w:rFonts w:hint="eastAsia" w:eastAsia="宋体"/>
                      <w:color w:val="auto"/>
                      <w:kern w:val="0"/>
                      <w:szCs w:val="21"/>
                      <w:lang w:val="en-US" w:eastAsia="zh-CN"/>
                    </w:rPr>
                  </w:pPr>
                  <w:r>
                    <w:rPr>
                      <w:rFonts w:hint="eastAsia"/>
                      <w:color w:val="auto"/>
                      <w:kern w:val="0"/>
                      <w:szCs w:val="21"/>
                    </w:rPr>
                    <w:t>二类</w:t>
                  </w:r>
                </w:p>
              </w:tc>
              <w:tc>
                <w:tcPr>
                  <w:tcW w:w="626" w:type="pct"/>
                  <w:noWrap w:val="0"/>
                  <w:vAlign w:val="center"/>
                </w:tcPr>
                <w:p w14:paraId="33466C48">
                  <w:pPr>
                    <w:adjustRightInd w:val="0"/>
                    <w:snapToGrid w:val="0"/>
                    <w:jc w:val="center"/>
                    <w:rPr>
                      <w:color w:val="auto"/>
                      <w:kern w:val="0"/>
                      <w:szCs w:val="21"/>
                    </w:rPr>
                  </w:pPr>
                  <w:r>
                    <w:rPr>
                      <w:rFonts w:hint="eastAsia"/>
                      <w:color w:val="auto"/>
                      <w:kern w:val="0"/>
                      <w:szCs w:val="21"/>
                    </w:rPr>
                    <w:t>居民区居民</w:t>
                  </w:r>
                </w:p>
              </w:tc>
              <w:tc>
                <w:tcPr>
                  <w:tcW w:w="914" w:type="pct"/>
                  <w:vMerge w:val="restart"/>
                  <w:noWrap w:val="0"/>
                  <w:vAlign w:val="center"/>
                </w:tcPr>
                <w:p w14:paraId="66FD3068">
                  <w:pPr>
                    <w:adjustRightInd w:val="0"/>
                    <w:snapToGrid w:val="0"/>
                    <w:jc w:val="center"/>
                    <w:rPr>
                      <w:rFonts w:hint="eastAsia" w:eastAsia="宋体"/>
                      <w:color w:val="auto"/>
                      <w:kern w:val="0"/>
                      <w:szCs w:val="21"/>
                      <w:lang w:eastAsia="zh-CN"/>
                    </w:rPr>
                  </w:pPr>
                  <w:r>
                    <w:rPr>
                      <w:rFonts w:hint="eastAsia"/>
                      <w:color w:val="auto"/>
                      <w:kern w:val="0"/>
                      <w:szCs w:val="21"/>
                      <w:lang w:eastAsia="zh-CN"/>
                    </w:rPr>
                    <w:t>《环境空气质量标准》（GB3095—2026）中的表 1 过渡阶段浓度限值的二级标准。</w:t>
                  </w:r>
                </w:p>
              </w:tc>
            </w:tr>
            <w:tr w14:paraId="28E2D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306" w:type="pct"/>
                  <w:vMerge w:val="continue"/>
                  <w:noWrap w:val="0"/>
                  <w:vAlign w:val="center"/>
                </w:tcPr>
                <w:p w14:paraId="15B433A5">
                  <w:pPr>
                    <w:adjustRightInd w:val="0"/>
                    <w:snapToGrid w:val="0"/>
                    <w:jc w:val="center"/>
                    <w:rPr>
                      <w:rFonts w:hint="eastAsia"/>
                      <w:color w:val="auto"/>
                      <w:kern w:val="0"/>
                      <w:szCs w:val="21"/>
                    </w:rPr>
                  </w:pPr>
                </w:p>
              </w:tc>
              <w:tc>
                <w:tcPr>
                  <w:tcW w:w="442" w:type="pct"/>
                  <w:noWrap w:val="0"/>
                  <w:vAlign w:val="center"/>
                </w:tcPr>
                <w:p w14:paraId="617368F3">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杜家河村</w:t>
                  </w:r>
                </w:p>
              </w:tc>
              <w:tc>
                <w:tcPr>
                  <w:tcW w:w="241" w:type="pct"/>
                  <w:noWrap w:val="0"/>
                  <w:vAlign w:val="center"/>
                </w:tcPr>
                <w:p w14:paraId="6C646032">
                  <w:pPr>
                    <w:adjustRightInd w:val="0"/>
                    <w:snapToGrid w:val="0"/>
                    <w:jc w:val="center"/>
                    <w:rPr>
                      <w:rFonts w:hint="eastAsia" w:eastAsia="宋体"/>
                      <w:color w:val="auto"/>
                      <w:kern w:val="0"/>
                      <w:szCs w:val="21"/>
                      <w:lang w:val="en-US" w:eastAsia="zh-CN"/>
                    </w:rPr>
                  </w:pPr>
                  <w:r>
                    <w:rPr>
                      <w:rFonts w:hint="eastAsia"/>
                      <w:color w:val="auto"/>
                      <w:kern w:val="0"/>
                      <w:szCs w:val="21"/>
                      <w:lang w:val="en-US" w:eastAsia="zh-CN"/>
                    </w:rPr>
                    <w:t>S</w:t>
                  </w:r>
                </w:p>
              </w:tc>
              <w:tc>
                <w:tcPr>
                  <w:tcW w:w="445" w:type="pct"/>
                  <w:noWrap w:val="0"/>
                  <w:vAlign w:val="center"/>
                </w:tcPr>
                <w:p w14:paraId="0C40CC66">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0.420</w:t>
                  </w:r>
                </w:p>
              </w:tc>
              <w:tc>
                <w:tcPr>
                  <w:tcW w:w="927" w:type="pct"/>
                  <w:noWrap w:val="0"/>
                  <w:vAlign w:val="center"/>
                </w:tcPr>
                <w:p w14:paraId="38378B41">
                  <w:pPr>
                    <w:adjustRightInd w:val="0"/>
                    <w:snapToGrid w:val="0"/>
                    <w:rPr>
                      <w:color w:val="auto"/>
                      <w:kern w:val="0"/>
                      <w:szCs w:val="21"/>
                    </w:rPr>
                  </w:pPr>
                  <w:r>
                    <w:rPr>
                      <w:rFonts w:hint="eastAsia"/>
                      <w:color w:val="auto"/>
                      <w:kern w:val="0"/>
                      <w:szCs w:val="21"/>
                    </w:rPr>
                    <w:t>113.22212427</w:t>
                  </w:r>
                </w:p>
              </w:tc>
              <w:tc>
                <w:tcPr>
                  <w:tcW w:w="883" w:type="pct"/>
                  <w:noWrap w:val="0"/>
                  <w:vAlign w:val="center"/>
                </w:tcPr>
                <w:p w14:paraId="78FD377E">
                  <w:pPr>
                    <w:adjustRightInd w:val="0"/>
                    <w:snapToGrid w:val="0"/>
                    <w:jc w:val="center"/>
                    <w:rPr>
                      <w:color w:val="auto"/>
                      <w:kern w:val="0"/>
                      <w:szCs w:val="21"/>
                    </w:rPr>
                  </w:pPr>
                  <w:r>
                    <w:rPr>
                      <w:rFonts w:hint="eastAsia"/>
                      <w:color w:val="auto"/>
                      <w:kern w:val="0"/>
                      <w:szCs w:val="21"/>
                    </w:rPr>
                    <w:t>36.13196576</w:t>
                  </w:r>
                </w:p>
              </w:tc>
              <w:tc>
                <w:tcPr>
                  <w:tcW w:w="212" w:type="pct"/>
                  <w:noWrap w:val="0"/>
                  <w:vAlign w:val="center"/>
                </w:tcPr>
                <w:p w14:paraId="77BF8011">
                  <w:pPr>
                    <w:adjustRightInd w:val="0"/>
                    <w:snapToGrid w:val="0"/>
                    <w:jc w:val="center"/>
                    <w:rPr>
                      <w:rFonts w:hint="eastAsia"/>
                      <w:color w:val="auto"/>
                      <w:kern w:val="0"/>
                      <w:szCs w:val="21"/>
                      <w:lang w:val="en-US" w:eastAsia="zh-CN"/>
                    </w:rPr>
                  </w:pPr>
                  <w:r>
                    <w:rPr>
                      <w:rFonts w:hint="eastAsia"/>
                      <w:color w:val="auto"/>
                      <w:kern w:val="0"/>
                      <w:szCs w:val="21"/>
                    </w:rPr>
                    <w:t>二类</w:t>
                  </w:r>
                </w:p>
              </w:tc>
              <w:tc>
                <w:tcPr>
                  <w:tcW w:w="626" w:type="pct"/>
                  <w:noWrap w:val="0"/>
                  <w:vAlign w:val="center"/>
                </w:tcPr>
                <w:p w14:paraId="66057BAD">
                  <w:pPr>
                    <w:adjustRightInd w:val="0"/>
                    <w:snapToGrid w:val="0"/>
                    <w:jc w:val="center"/>
                    <w:rPr>
                      <w:rFonts w:hint="eastAsia"/>
                      <w:color w:val="auto"/>
                      <w:kern w:val="0"/>
                      <w:szCs w:val="21"/>
                    </w:rPr>
                  </w:pPr>
                  <w:r>
                    <w:rPr>
                      <w:rFonts w:hint="eastAsia"/>
                      <w:color w:val="auto"/>
                      <w:kern w:val="0"/>
                      <w:szCs w:val="21"/>
                    </w:rPr>
                    <w:t>居民区居民</w:t>
                  </w:r>
                </w:p>
              </w:tc>
              <w:tc>
                <w:tcPr>
                  <w:tcW w:w="914" w:type="pct"/>
                  <w:vMerge w:val="continue"/>
                  <w:noWrap w:val="0"/>
                  <w:vAlign w:val="center"/>
                </w:tcPr>
                <w:p w14:paraId="7741F418">
                  <w:pPr>
                    <w:adjustRightInd w:val="0"/>
                    <w:snapToGrid w:val="0"/>
                    <w:jc w:val="center"/>
                    <w:rPr>
                      <w:rFonts w:hint="eastAsia"/>
                      <w:color w:val="auto"/>
                      <w:kern w:val="0"/>
                      <w:szCs w:val="21"/>
                    </w:rPr>
                  </w:pPr>
                </w:p>
              </w:tc>
            </w:tr>
            <w:tr w14:paraId="680C9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 w:type="pct"/>
                  <w:vMerge w:val="continue"/>
                  <w:noWrap w:val="0"/>
                  <w:vAlign w:val="center"/>
                </w:tcPr>
                <w:p w14:paraId="7EF7D9BB">
                  <w:pPr>
                    <w:adjustRightInd w:val="0"/>
                    <w:snapToGrid w:val="0"/>
                    <w:jc w:val="center"/>
                    <w:rPr>
                      <w:color w:val="auto"/>
                      <w:kern w:val="0"/>
                      <w:szCs w:val="21"/>
                    </w:rPr>
                  </w:pPr>
                </w:p>
              </w:tc>
              <w:tc>
                <w:tcPr>
                  <w:tcW w:w="442" w:type="pct"/>
                  <w:noWrap w:val="0"/>
                  <w:vAlign w:val="center"/>
                </w:tcPr>
                <w:p w14:paraId="20F9177F">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闫家河村</w:t>
                  </w:r>
                </w:p>
              </w:tc>
              <w:tc>
                <w:tcPr>
                  <w:tcW w:w="241" w:type="pct"/>
                  <w:noWrap w:val="0"/>
                  <w:vAlign w:val="center"/>
                </w:tcPr>
                <w:p w14:paraId="66F7648D">
                  <w:pPr>
                    <w:adjustRightInd w:val="0"/>
                    <w:snapToGrid w:val="0"/>
                    <w:jc w:val="center"/>
                    <w:rPr>
                      <w:rFonts w:hint="eastAsia" w:eastAsia="宋体"/>
                      <w:color w:val="auto"/>
                      <w:kern w:val="0"/>
                      <w:szCs w:val="21"/>
                      <w:lang w:val="en-US" w:eastAsia="zh-CN"/>
                    </w:rPr>
                  </w:pPr>
                  <w:r>
                    <w:rPr>
                      <w:rFonts w:hint="eastAsia"/>
                      <w:color w:val="auto"/>
                      <w:kern w:val="0"/>
                      <w:szCs w:val="21"/>
                      <w:lang w:val="en-US" w:eastAsia="zh-CN"/>
                    </w:rPr>
                    <w:t>S</w:t>
                  </w:r>
                </w:p>
              </w:tc>
              <w:tc>
                <w:tcPr>
                  <w:tcW w:w="445" w:type="pct"/>
                  <w:noWrap w:val="0"/>
                  <w:vAlign w:val="center"/>
                </w:tcPr>
                <w:p w14:paraId="288C6E78">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0.580</w:t>
                  </w:r>
                </w:p>
              </w:tc>
              <w:tc>
                <w:tcPr>
                  <w:tcW w:w="927" w:type="pct"/>
                  <w:noWrap w:val="0"/>
                  <w:vAlign w:val="center"/>
                </w:tcPr>
                <w:p w14:paraId="21591580">
                  <w:pPr>
                    <w:adjustRightInd w:val="0"/>
                    <w:snapToGrid w:val="0"/>
                    <w:rPr>
                      <w:color w:val="auto"/>
                      <w:kern w:val="0"/>
                      <w:szCs w:val="21"/>
                    </w:rPr>
                  </w:pPr>
                  <w:r>
                    <w:rPr>
                      <w:rFonts w:hint="eastAsia"/>
                      <w:color w:val="auto"/>
                      <w:kern w:val="0"/>
                      <w:szCs w:val="21"/>
                    </w:rPr>
                    <w:t>113.21738213</w:t>
                  </w:r>
                </w:p>
              </w:tc>
              <w:tc>
                <w:tcPr>
                  <w:tcW w:w="883" w:type="pct"/>
                  <w:noWrap w:val="0"/>
                  <w:vAlign w:val="center"/>
                </w:tcPr>
                <w:p w14:paraId="1192C974">
                  <w:pPr>
                    <w:adjustRightInd w:val="0"/>
                    <w:snapToGrid w:val="0"/>
                    <w:jc w:val="center"/>
                    <w:rPr>
                      <w:color w:val="auto"/>
                      <w:kern w:val="0"/>
                      <w:szCs w:val="21"/>
                    </w:rPr>
                  </w:pPr>
                  <w:r>
                    <w:rPr>
                      <w:rFonts w:hint="eastAsia"/>
                      <w:color w:val="auto"/>
                      <w:kern w:val="0"/>
                      <w:szCs w:val="21"/>
                    </w:rPr>
                    <w:t>36.13284552</w:t>
                  </w:r>
                </w:p>
              </w:tc>
              <w:tc>
                <w:tcPr>
                  <w:tcW w:w="212" w:type="pct"/>
                  <w:noWrap w:val="0"/>
                  <w:vAlign w:val="center"/>
                </w:tcPr>
                <w:p w14:paraId="3B2B9D6E">
                  <w:pPr>
                    <w:adjustRightInd w:val="0"/>
                    <w:snapToGrid w:val="0"/>
                    <w:jc w:val="center"/>
                    <w:rPr>
                      <w:color w:val="auto"/>
                      <w:kern w:val="0"/>
                      <w:szCs w:val="21"/>
                    </w:rPr>
                  </w:pPr>
                  <w:r>
                    <w:rPr>
                      <w:rFonts w:hint="eastAsia"/>
                      <w:color w:val="auto"/>
                      <w:kern w:val="0"/>
                      <w:szCs w:val="21"/>
                    </w:rPr>
                    <w:t>二类</w:t>
                  </w:r>
                </w:p>
              </w:tc>
              <w:tc>
                <w:tcPr>
                  <w:tcW w:w="626" w:type="pct"/>
                  <w:noWrap w:val="0"/>
                  <w:vAlign w:val="center"/>
                </w:tcPr>
                <w:p w14:paraId="45510B6F">
                  <w:pPr>
                    <w:adjustRightInd w:val="0"/>
                    <w:snapToGrid w:val="0"/>
                    <w:jc w:val="center"/>
                    <w:rPr>
                      <w:color w:val="auto"/>
                      <w:kern w:val="0"/>
                      <w:szCs w:val="21"/>
                    </w:rPr>
                  </w:pPr>
                  <w:r>
                    <w:rPr>
                      <w:rFonts w:hint="eastAsia"/>
                      <w:color w:val="auto"/>
                      <w:kern w:val="0"/>
                      <w:szCs w:val="21"/>
                    </w:rPr>
                    <w:t>居民区居民</w:t>
                  </w:r>
                </w:p>
              </w:tc>
              <w:tc>
                <w:tcPr>
                  <w:tcW w:w="914" w:type="pct"/>
                  <w:vMerge w:val="continue"/>
                  <w:noWrap w:val="0"/>
                  <w:vAlign w:val="center"/>
                </w:tcPr>
                <w:p w14:paraId="36262BD3">
                  <w:pPr>
                    <w:adjustRightInd w:val="0"/>
                    <w:snapToGrid w:val="0"/>
                    <w:jc w:val="center"/>
                    <w:rPr>
                      <w:rFonts w:hint="eastAsia" w:eastAsia="宋体"/>
                      <w:color w:val="auto"/>
                      <w:kern w:val="0"/>
                      <w:szCs w:val="21"/>
                      <w:lang w:eastAsia="zh-CN"/>
                    </w:rPr>
                  </w:pPr>
                </w:p>
              </w:tc>
            </w:tr>
            <w:tr w14:paraId="50BD6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 w:type="pct"/>
                  <w:vMerge w:val="continue"/>
                  <w:noWrap w:val="0"/>
                  <w:vAlign w:val="center"/>
                </w:tcPr>
                <w:p w14:paraId="6B81C86F">
                  <w:pPr>
                    <w:adjustRightInd w:val="0"/>
                    <w:snapToGrid w:val="0"/>
                    <w:jc w:val="center"/>
                    <w:rPr>
                      <w:color w:val="auto"/>
                      <w:kern w:val="0"/>
                      <w:szCs w:val="21"/>
                    </w:rPr>
                  </w:pPr>
                </w:p>
              </w:tc>
              <w:tc>
                <w:tcPr>
                  <w:tcW w:w="442" w:type="pct"/>
                  <w:noWrap w:val="0"/>
                  <w:vAlign w:val="center"/>
                </w:tcPr>
                <w:p w14:paraId="7BD6ACEF">
                  <w:pPr>
                    <w:adjustRightInd w:val="0"/>
                    <w:snapToGrid w:val="0"/>
                    <w:jc w:val="center"/>
                    <w:rPr>
                      <w:rFonts w:hint="default"/>
                      <w:color w:val="auto"/>
                      <w:kern w:val="0"/>
                      <w:szCs w:val="21"/>
                      <w:lang w:val="en-US" w:eastAsia="zh-CN"/>
                    </w:rPr>
                  </w:pPr>
                  <w:r>
                    <w:rPr>
                      <w:rFonts w:hint="eastAsia"/>
                      <w:color w:val="auto"/>
                      <w:kern w:val="0"/>
                      <w:szCs w:val="21"/>
                      <w:lang w:val="en-US" w:eastAsia="zh-CN"/>
                    </w:rPr>
                    <w:t>呈祥村</w:t>
                  </w:r>
                </w:p>
              </w:tc>
              <w:tc>
                <w:tcPr>
                  <w:tcW w:w="241" w:type="pct"/>
                  <w:noWrap w:val="0"/>
                  <w:vAlign w:val="center"/>
                </w:tcPr>
                <w:p w14:paraId="22922533">
                  <w:pPr>
                    <w:adjustRightInd w:val="0"/>
                    <w:snapToGrid w:val="0"/>
                    <w:jc w:val="center"/>
                    <w:rPr>
                      <w:rFonts w:hint="default"/>
                      <w:color w:val="auto"/>
                      <w:kern w:val="0"/>
                      <w:szCs w:val="21"/>
                      <w:lang w:val="en-US" w:eastAsia="zh-CN"/>
                    </w:rPr>
                  </w:pPr>
                  <w:r>
                    <w:rPr>
                      <w:rFonts w:hint="eastAsia"/>
                      <w:color w:val="auto"/>
                      <w:kern w:val="0"/>
                      <w:szCs w:val="21"/>
                      <w:lang w:val="en-US" w:eastAsia="zh-CN"/>
                    </w:rPr>
                    <w:t>W</w:t>
                  </w:r>
                </w:p>
              </w:tc>
              <w:tc>
                <w:tcPr>
                  <w:tcW w:w="445" w:type="pct"/>
                  <w:noWrap w:val="0"/>
                  <w:vAlign w:val="center"/>
                </w:tcPr>
                <w:p w14:paraId="11015946">
                  <w:pPr>
                    <w:adjustRightInd w:val="0"/>
                    <w:snapToGrid w:val="0"/>
                    <w:jc w:val="center"/>
                    <w:rPr>
                      <w:rFonts w:hint="default"/>
                      <w:color w:val="auto"/>
                      <w:kern w:val="0"/>
                      <w:szCs w:val="21"/>
                      <w:lang w:val="en-US" w:eastAsia="zh-CN"/>
                    </w:rPr>
                  </w:pPr>
                  <w:r>
                    <w:rPr>
                      <w:rFonts w:hint="eastAsia"/>
                      <w:color w:val="auto"/>
                      <w:kern w:val="0"/>
                      <w:szCs w:val="21"/>
                      <w:lang w:val="en-US" w:eastAsia="zh-CN"/>
                    </w:rPr>
                    <w:t>0.630</w:t>
                  </w:r>
                </w:p>
              </w:tc>
              <w:tc>
                <w:tcPr>
                  <w:tcW w:w="927" w:type="pct"/>
                  <w:noWrap w:val="0"/>
                  <w:vAlign w:val="center"/>
                </w:tcPr>
                <w:p w14:paraId="431D3F63">
                  <w:pPr>
                    <w:adjustRightInd w:val="0"/>
                    <w:snapToGrid w:val="0"/>
                    <w:rPr>
                      <w:rFonts w:hint="eastAsia"/>
                      <w:color w:val="auto"/>
                      <w:kern w:val="0"/>
                      <w:szCs w:val="21"/>
                    </w:rPr>
                  </w:pPr>
                  <w:r>
                    <w:rPr>
                      <w:rFonts w:hint="eastAsia"/>
                      <w:color w:val="auto"/>
                      <w:kern w:val="0"/>
                      <w:szCs w:val="21"/>
                    </w:rPr>
                    <w:t>113.20909946</w:t>
                  </w:r>
                </w:p>
              </w:tc>
              <w:tc>
                <w:tcPr>
                  <w:tcW w:w="883" w:type="pct"/>
                  <w:noWrap w:val="0"/>
                  <w:vAlign w:val="center"/>
                </w:tcPr>
                <w:p w14:paraId="7E8DC735">
                  <w:pPr>
                    <w:adjustRightInd w:val="0"/>
                    <w:snapToGrid w:val="0"/>
                    <w:jc w:val="center"/>
                    <w:rPr>
                      <w:rFonts w:hint="eastAsia"/>
                      <w:color w:val="auto"/>
                      <w:kern w:val="0"/>
                      <w:szCs w:val="21"/>
                    </w:rPr>
                  </w:pPr>
                  <w:r>
                    <w:rPr>
                      <w:rFonts w:hint="eastAsia"/>
                      <w:color w:val="auto"/>
                      <w:kern w:val="0"/>
                      <w:szCs w:val="21"/>
                    </w:rPr>
                    <w:t>36.13874638</w:t>
                  </w:r>
                </w:p>
              </w:tc>
              <w:tc>
                <w:tcPr>
                  <w:tcW w:w="212" w:type="pct"/>
                  <w:noWrap w:val="0"/>
                  <w:vAlign w:val="center"/>
                </w:tcPr>
                <w:p w14:paraId="268388B0">
                  <w:pPr>
                    <w:adjustRightInd w:val="0"/>
                    <w:snapToGrid w:val="0"/>
                    <w:jc w:val="center"/>
                    <w:rPr>
                      <w:rFonts w:hint="eastAsia"/>
                      <w:color w:val="auto"/>
                      <w:kern w:val="0"/>
                      <w:szCs w:val="21"/>
                    </w:rPr>
                  </w:pPr>
                  <w:r>
                    <w:rPr>
                      <w:rFonts w:hint="eastAsia"/>
                      <w:color w:val="auto"/>
                      <w:kern w:val="0"/>
                      <w:szCs w:val="21"/>
                    </w:rPr>
                    <w:t>二类</w:t>
                  </w:r>
                </w:p>
              </w:tc>
              <w:tc>
                <w:tcPr>
                  <w:tcW w:w="626" w:type="pct"/>
                  <w:noWrap w:val="0"/>
                  <w:vAlign w:val="center"/>
                </w:tcPr>
                <w:p w14:paraId="6D0FCC51">
                  <w:pPr>
                    <w:adjustRightInd w:val="0"/>
                    <w:snapToGrid w:val="0"/>
                    <w:jc w:val="center"/>
                    <w:rPr>
                      <w:rFonts w:hint="eastAsia"/>
                      <w:color w:val="auto"/>
                      <w:kern w:val="0"/>
                      <w:szCs w:val="21"/>
                    </w:rPr>
                  </w:pPr>
                  <w:r>
                    <w:rPr>
                      <w:rFonts w:hint="eastAsia"/>
                      <w:color w:val="auto"/>
                      <w:kern w:val="0"/>
                      <w:szCs w:val="21"/>
                    </w:rPr>
                    <w:t>居民区居民</w:t>
                  </w:r>
                </w:p>
              </w:tc>
              <w:tc>
                <w:tcPr>
                  <w:tcW w:w="914" w:type="pct"/>
                  <w:vMerge w:val="continue"/>
                  <w:noWrap w:val="0"/>
                  <w:vAlign w:val="center"/>
                </w:tcPr>
                <w:p w14:paraId="66B127DB">
                  <w:pPr>
                    <w:adjustRightInd w:val="0"/>
                    <w:snapToGrid w:val="0"/>
                    <w:jc w:val="center"/>
                    <w:rPr>
                      <w:rFonts w:hint="eastAsia" w:eastAsia="宋体"/>
                      <w:color w:val="auto"/>
                      <w:kern w:val="0"/>
                      <w:szCs w:val="21"/>
                      <w:lang w:eastAsia="zh-CN"/>
                    </w:rPr>
                  </w:pPr>
                </w:p>
              </w:tc>
            </w:tr>
            <w:tr w14:paraId="06230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306" w:type="pct"/>
                  <w:noWrap w:val="0"/>
                  <w:vAlign w:val="center"/>
                </w:tcPr>
                <w:p w14:paraId="5BB560D3">
                  <w:pPr>
                    <w:adjustRightInd w:val="0"/>
                    <w:snapToGrid w:val="0"/>
                    <w:jc w:val="center"/>
                    <w:rPr>
                      <w:color w:val="auto"/>
                      <w:kern w:val="0"/>
                      <w:szCs w:val="21"/>
                    </w:rPr>
                  </w:pPr>
                  <w:r>
                    <w:rPr>
                      <w:rFonts w:hint="eastAsia"/>
                      <w:color w:val="auto"/>
                      <w:kern w:val="0"/>
                      <w:szCs w:val="21"/>
                    </w:rPr>
                    <w:t>声环境</w:t>
                  </w:r>
                </w:p>
              </w:tc>
              <w:tc>
                <w:tcPr>
                  <w:tcW w:w="4693" w:type="pct"/>
                  <w:gridSpan w:val="8"/>
                  <w:noWrap w:val="0"/>
                  <w:vAlign w:val="center"/>
                </w:tcPr>
                <w:p w14:paraId="2EDFDBD9">
                  <w:pPr>
                    <w:adjustRightInd w:val="0"/>
                    <w:snapToGrid w:val="0"/>
                    <w:jc w:val="center"/>
                    <w:rPr>
                      <w:color w:val="auto"/>
                      <w:kern w:val="0"/>
                      <w:szCs w:val="21"/>
                    </w:rPr>
                  </w:pPr>
                  <w:r>
                    <w:rPr>
                      <w:rFonts w:hint="eastAsia"/>
                      <w:color w:val="auto"/>
                      <w:kern w:val="0"/>
                      <w:szCs w:val="21"/>
                    </w:rPr>
                    <w:t>厂界外50米范围内无声环境保护目标</w:t>
                  </w:r>
                </w:p>
              </w:tc>
            </w:tr>
            <w:tr w14:paraId="3280E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6" w:type="pct"/>
                  <w:noWrap w:val="0"/>
                  <w:vAlign w:val="center"/>
                </w:tcPr>
                <w:p w14:paraId="501B2BF6">
                  <w:pPr>
                    <w:adjustRightInd w:val="0"/>
                    <w:snapToGrid w:val="0"/>
                    <w:jc w:val="center"/>
                    <w:rPr>
                      <w:color w:val="auto"/>
                      <w:kern w:val="0"/>
                      <w:szCs w:val="21"/>
                    </w:rPr>
                  </w:pPr>
                  <w:r>
                    <w:rPr>
                      <w:rFonts w:hint="eastAsia"/>
                      <w:color w:val="auto"/>
                      <w:kern w:val="0"/>
                      <w:szCs w:val="21"/>
                    </w:rPr>
                    <w:t>地表水</w:t>
                  </w:r>
                </w:p>
              </w:tc>
              <w:tc>
                <w:tcPr>
                  <w:tcW w:w="442" w:type="pct"/>
                  <w:noWrap w:val="0"/>
                  <w:vAlign w:val="center"/>
                </w:tcPr>
                <w:p w14:paraId="56CEE1B2">
                  <w:pPr>
                    <w:adjustRightInd w:val="0"/>
                    <w:snapToGrid w:val="0"/>
                    <w:jc w:val="center"/>
                    <w:rPr>
                      <w:rFonts w:hint="eastAsia" w:eastAsia="宋体"/>
                      <w:color w:val="auto"/>
                      <w:kern w:val="0"/>
                      <w:szCs w:val="21"/>
                      <w:lang w:eastAsia="zh-CN"/>
                    </w:rPr>
                  </w:pPr>
                  <w:r>
                    <w:rPr>
                      <w:rFonts w:hint="eastAsia"/>
                      <w:color w:val="auto"/>
                      <w:kern w:val="0"/>
                      <w:szCs w:val="21"/>
                      <w:lang w:val="en-US" w:eastAsia="zh-CN"/>
                    </w:rPr>
                    <w:t>石子河</w:t>
                  </w:r>
                </w:p>
              </w:tc>
              <w:tc>
                <w:tcPr>
                  <w:tcW w:w="241" w:type="pct"/>
                  <w:noWrap w:val="0"/>
                  <w:vAlign w:val="center"/>
                </w:tcPr>
                <w:p w14:paraId="2703892B">
                  <w:pPr>
                    <w:adjustRightInd w:val="0"/>
                    <w:snapToGrid w:val="0"/>
                    <w:jc w:val="center"/>
                    <w:rPr>
                      <w:rFonts w:hint="eastAsia" w:eastAsia="宋体"/>
                      <w:color w:val="auto"/>
                      <w:kern w:val="0"/>
                      <w:szCs w:val="21"/>
                      <w:lang w:val="en-US" w:eastAsia="zh-CN"/>
                    </w:rPr>
                  </w:pPr>
                  <w:r>
                    <w:rPr>
                      <w:rFonts w:hint="eastAsia"/>
                      <w:color w:val="auto"/>
                      <w:kern w:val="0"/>
                      <w:szCs w:val="21"/>
                      <w:lang w:val="en-US" w:eastAsia="zh-CN"/>
                    </w:rPr>
                    <w:t>N</w:t>
                  </w:r>
                </w:p>
              </w:tc>
              <w:tc>
                <w:tcPr>
                  <w:tcW w:w="445" w:type="pct"/>
                  <w:noWrap w:val="0"/>
                  <w:vAlign w:val="center"/>
                </w:tcPr>
                <w:p w14:paraId="41F0F34B">
                  <w:pPr>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0.76</w:t>
                  </w:r>
                </w:p>
              </w:tc>
              <w:tc>
                <w:tcPr>
                  <w:tcW w:w="927" w:type="pct"/>
                  <w:noWrap w:val="0"/>
                  <w:vAlign w:val="center"/>
                </w:tcPr>
                <w:p w14:paraId="6383081A">
                  <w:pPr>
                    <w:adjustRightInd w:val="0"/>
                    <w:snapToGrid w:val="0"/>
                    <w:jc w:val="center"/>
                    <w:rPr>
                      <w:color w:val="auto"/>
                      <w:kern w:val="0"/>
                      <w:szCs w:val="21"/>
                    </w:rPr>
                  </w:pPr>
                  <w:r>
                    <w:rPr>
                      <w:rFonts w:hint="eastAsia"/>
                      <w:color w:val="auto"/>
                      <w:kern w:val="0"/>
                      <w:szCs w:val="21"/>
                    </w:rPr>
                    <w:t>/</w:t>
                  </w:r>
                </w:p>
              </w:tc>
              <w:tc>
                <w:tcPr>
                  <w:tcW w:w="883" w:type="pct"/>
                  <w:noWrap w:val="0"/>
                  <w:vAlign w:val="center"/>
                </w:tcPr>
                <w:p w14:paraId="3DD587C1">
                  <w:pPr>
                    <w:adjustRightInd w:val="0"/>
                    <w:snapToGrid w:val="0"/>
                    <w:jc w:val="center"/>
                    <w:rPr>
                      <w:color w:val="auto"/>
                      <w:kern w:val="0"/>
                      <w:szCs w:val="21"/>
                    </w:rPr>
                  </w:pPr>
                  <w:r>
                    <w:rPr>
                      <w:rFonts w:hint="eastAsia"/>
                      <w:color w:val="auto"/>
                      <w:kern w:val="0"/>
                      <w:szCs w:val="21"/>
                    </w:rPr>
                    <w:t>/</w:t>
                  </w:r>
                </w:p>
              </w:tc>
              <w:tc>
                <w:tcPr>
                  <w:tcW w:w="212" w:type="pct"/>
                  <w:noWrap w:val="0"/>
                  <w:vAlign w:val="center"/>
                </w:tcPr>
                <w:p w14:paraId="12DC7AEC">
                  <w:pPr>
                    <w:adjustRightInd w:val="0"/>
                    <w:snapToGrid w:val="0"/>
                    <w:jc w:val="center"/>
                    <w:rPr>
                      <w:color w:val="auto"/>
                      <w:kern w:val="0"/>
                      <w:szCs w:val="21"/>
                    </w:rPr>
                  </w:pPr>
                  <w:r>
                    <w:rPr>
                      <w:rFonts w:hint="eastAsia"/>
                      <w:color w:val="auto"/>
                      <w:kern w:val="0"/>
                      <w:szCs w:val="21"/>
                    </w:rPr>
                    <w:t>V类</w:t>
                  </w:r>
                </w:p>
              </w:tc>
              <w:tc>
                <w:tcPr>
                  <w:tcW w:w="626" w:type="pct"/>
                  <w:noWrap w:val="0"/>
                  <w:vAlign w:val="center"/>
                </w:tcPr>
                <w:p w14:paraId="73962B73">
                  <w:pPr>
                    <w:adjustRightInd w:val="0"/>
                    <w:snapToGrid w:val="0"/>
                    <w:jc w:val="center"/>
                    <w:rPr>
                      <w:color w:val="auto"/>
                      <w:kern w:val="0"/>
                      <w:szCs w:val="21"/>
                    </w:rPr>
                  </w:pPr>
                  <w:r>
                    <w:rPr>
                      <w:rFonts w:hint="eastAsia"/>
                      <w:color w:val="auto"/>
                      <w:kern w:val="0"/>
                      <w:szCs w:val="21"/>
                    </w:rPr>
                    <w:t>地表水</w:t>
                  </w:r>
                </w:p>
              </w:tc>
              <w:tc>
                <w:tcPr>
                  <w:tcW w:w="914" w:type="pct"/>
                  <w:noWrap w:val="0"/>
                  <w:vAlign w:val="center"/>
                </w:tcPr>
                <w:p w14:paraId="29BC158F">
                  <w:pPr>
                    <w:adjustRightInd w:val="0"/>
                    <w:snapToGrid w:val="0"/>
                    <w:jc w:val="center"/>
                    <w:rPr>
                      <w:color w:val="auto"/>
                      <w:kern w:val="0"/>
                      <w:szCs w:val="21"/>
                    </w:rPr>
                  </w:pPr>
                  <w:r>
                    <w:rPr>
                      <w:rFonts w:hint="eastAsia"/>
                      <w:color w:val="auto"/>
                      <w:kern w:val="0"/>
                      <w:szCs w:val="21"/>
                    </w:rPr>
                    <w:t>《地表水环境质量标准》（GB3838-2002）V类标准要求</w:t>
                  </w:r>
                </w:p>
              </w:tc>
            </w:tr>
            <w:tr w14:paraId="6C7C4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306" w:type="pct"/>
                  <w:noWrap w:val="0"/>
                  <w:vAlign w:val="center"/>
                </w:tcPr>
                <w:p w14:paraId="07D0B91C">
                  <w:pPr>
                    <w:adjustRightInd w:val="0"/>
                    <w:snapToGrid w:val="0"/>
                    <w:jc w:val="center"/>
                    <w:rPr>
                      <w:color w:val="auto"/>
                      <w:kern w:val="0"/>
                      <w:szCs w:val="21"/>
                    </w:rPr>
                  </w:pPr>
                  <w:r>
                    <w:rPr>
                      <w:rFonts w:hint="eastAsia"/>
                      <w:color w:val="auto"/>
                      <w:kern w:val="0"/>
                      <w:szCs w:val="21"/>
                    </w:rPr>
                    <w:t>地下水</w:t>
                  </w:r>
                </w:p>
              </w:tc>
              <w:tc>
                <w:tcPr>
                  <w:tcW w:w="4693" w:type="pct"/>
                  <w:gridSpan w:val="8"/>
                  <w:noWrap w:val="0"/>
                  <w:vAlign w:val="center"/>
                </w:tcPr>
                <w:p w14:paraId="78946685">
                  <w:pPr>
                    <w:adjustRightInd w:val="0"/>
                    <w:snapToGrid w:val="0"/>
                    <w:jc w:val="center"/>
                    <w:rPr>
                      <w:color w:val="auto"/>
                      <w:kern w:val="0"/>
                      <w:szCs w:val="21"/>
                    </w:rPr>
                  </w:pPr>
                  <w:r>
                    <w:rPr>
                      <w:color w:val="auto"/>
                      <w:kern w:val="0"/>
                      <w:szCs w:val="21"/>
                    </w:rPr>
                    <w:t>厂界外500米范围内无地下水集中式饮用水水源和热水、矿泉水、温泉等特殊地下水资源</w:t>
                  </w:r>
                </w:p>
              </w:tc>
            </w:tr>
            <w:tr w14:paraId="54D8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 w:type="pct"/>
                  <w:noWrap w:val="0"/>
                  <w:vAlign w:val="center"/>
                </w:tcPr>
                <w:p w14:paraId="71748594">
                  <w:pPr>
                    <w:adjustRightInd w:val="0"/>
                    <w:snapToGrid w:val="0"/>
                    <w:jc w:val="center"/>
                    <w:rPr>
                      <w:color w:val="auto"/>
                      <w:kern w:val="0"/>
                      <w:szCs w:val="21"/>
                    </w:rPr>
                  </w:pPr>
                  <w:r>
                    <w:rPr>
                      <w:rFonts w:hint="eastAsia"/>
                      <w:color w:val="auto"/>
                      <w:kern w:val="0"/>
                      <w:szCs w:val="21"/>
                    </w:rPr>
                    <w:t>生态环境</w:t>
                  </w:r>
                </w:p>
              </w:tc>
              <w:tc>
                <w:tcPr>
                  <w:tcW w:w="3152" w:type="pct"/>
                  <w:gridSpan w:val="6"/>
                  <w:noWrap w:val="0"/>
                  <w:vAlign w:val="center"/>
                </w:tcPr>
                <w:p w14:paraId="4D4F7FF0">
                  <w:pPr>
                    <w:adjustRightInd w:val="0"/>
                    <w:snapToGrid w:val="0"/>
                    <w:jc w:val="center"/>
                    <w:rPr>
                      <w:color w:val="auto"/>
                      <w:kern w:val="0"/>
                      <w:szCs w:val="21"/>
                    </w:rPr>
                  </w:pPr>
                  <w:r>
                    <w:rPr>
                      <w:rFonts w:hint="eastAsia"/>
                      <w:color w:val="auto"/>
                      <w:kern w:val="0"/>
                      <w:szCs w:val="21"/>
                    </w:rPr>
                    <w:t>厂区周边生态系统</w:t>
                  </w:r>
                </w:p>
              </w:tc>
              <w:tc>
                <w:tcPr>
                  <w:tcW w:w="626" w:type="pct"/>
                  <w:noWrap w:val="0"/>
                  <w:vAlign w:val="center"/>
                </w:tcPr>
                <w:p w14:paraId="27210AD8">
                  <w:pPr>
                    <w:adjustRightInd w:val="0"/>
                    <w:snapToGrid w:val="0"/>
                    <w:jc w:val="center"/>
                    <w:rPr>
                      <w:color w:val="auto"/>
                      <w:kern w:val="0"/>
                      <w:szCs w:val="21"/>
                    </w:rPr>
                  </w:pPr>
                  <w:r>
                    <w:rPr>
                      <w:rFonts w:hint="eastAsia"/>
                      <w:color w:val="auto"/>
                      <w:kern w:val="0"/>
                      <w:szCs w:val="21"/>
                    </w:rPr>
                    <w:t>生态环境</w:t>
                  </w:r>
                </w:p>
              </w:tc>
              <w:tc>
                <w:tcPr>
                  <w:tcW w:w="914" w:type="pct"/>
                  <w:noWrap w:val="0"/>
                  <w:vAlign w:val="center"/>
                </w:tcPr>
                <w:p w14:paraId="38EBE737">
                  <w:pPr>
                    <w:adjustRightInd w:val="0"/>
                    <w:snapToGrid w:val="0"/>
                    <w:jc w:val="center"/>
                    <w:rPr>
                      <w:color w:val="auto"/>
                      <w:kern w:val="0"/>
                      <w:szCs w:val="21"/>
                    </w:rPr>
                  </w:pPr>
                  <w:r>
                    <w:rPr>
                      <w:rFonts w:hint="eastAsia"/>
                      <w:color w:val="auto"/>
                      <w:kern w:val="0"/>
                      <w:szCs w:val="21"/>
                    </w:rPr>
                    <w:t>生态环境良性循环</w:t>
                  </w:r>
                </w:p>
              </w:tc>
            </w:tr>
          </w:tbl>
          <w:p w14:paraId="34F698C2">
            <w:pPr>
              <w:adjustRightInd w:val="0"/>
              <w:snapToGrid w:val="0"/>
              <w:spacing w:line="360" w:lineRule="auto"/>
              <w:ind w:firstLine="420" w:firstLineChars="200"/>
              <w:jc w:val="left"/>
              <w:rPr>
                <w:color w:val="auto"/>
                <w:kern w:val="0"/>
                <w:szCs w:val="21"/>
              </w:rPr>
            </w:pPr>
          </w:p>
        </w:tc>
      </w:tr>
      <w:tr w14:paraId="3111F2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94" w:hRule="atLeast"/>
          <w:jc w:val="center"/>
        </w:trPr>
        <w:tc>
          <w:tcPr>
            <w:tcW w:w="800" w:type="dxa"/>
            <w:noWrap w:val="0"/>
            <w:tcMar>
              <w:left w:w="28" w:type="dxa"/>
              <w:right w:w="28" w:type="dxa"/>
            </w:tcMar>
            <w:vAlign w:val="center"/>
          </w:tcPr>
          <w:p w14:paraId="4AF4C0A1">
            <w:pPr>
              <w:adjustRightInd w:val="0"/>
              <w:snapToGrid w:val="0"/>
              <w:jc w:val="center"/>
              <w:rPr>
                <w:rFonts w:ascii="宋体" w:hAnsi="宋体" w:cs="宋体"/>
                <w:color w:val="auto"/>
                <w:kern w:val="0"/>
                <w:sz w:val="24"/>
              </w:rPr>
            </w:pPr>
            <w:r>
              <w:rPr>
                <w:rFonts w:hint="eastAsia" w:ascii="宋体" w:hAnsi="宋体" w:cs="宋体"/>
                <w:color w:val="auto"/>
                <w:kern w:val="0"/>
                <w:sz w:val="24"/>
              </w:rPr>
              <w:t>污染</w:t>
            </w:r>
          </w:p>
          <w:p w14:paraId="64BF36EA">
            <w:pPr>
              <w:adjustRightInd w:val="0"/>
              <w:snapToGrid w:val="0"/>
              <w:jc w:val="center"/>
              <w:rPr>
                <w:rFonts w:ascii="宋体" w:hAnsi="宋体" w:cs="宋体"/>
                <w:color w:val="auto"/>
                <w:kern w:val="0"/>
                <w:sz w:val="24"/>
              </w:rPr>
            </w:pPr>
            <w:r>
              <w:rPr>
                <w:rFonts w:hint="eastAsia" w:ascii="宋体" w:hAnsi="宋体" w:cs="宋体"/>
                <w:color w:val="auto"/>
                <w:kern w:val="0"/>
                <w:sz w:val="24"/>
              </w:rPr>
              <w:t>物排</w:t>
            </w:r>
          </w:p>
          <w:p w14:paraId="330E1927">
            <w:pPr>
              <w:adjustRightInd w:val="0"/>
              <w:snapToGrid w:val="0"/>
              <w:jc w:val="center"/>
              <w:rPr>
                <w:rFonts w:ascii="宋体" w:hAnsi="宋体" w:cs="宋体"/>
                <w:color w:val="auto"/>
                <w:kern w:val="0"/>
                <w:sz w:val="24"/>
              </w:rPr>
            </w:pPr>
            <w:r>
              <w:rPr>
                <w:rFonts w:hint="eastAsia" w:ascii="宋体" w:hAnsi="宋体" w:cs="宋体"/>
                <w:color w:val="auto"/>
                <w:kern w:val="0"/>
                <w:sz w:val="24"/>
              </w:rPr>
              <w:t>放控</w:t>
            </w:r>
          </w:p>
          <w:p w14:paraId="0E3EB652">
            <w:pPr>
              <w:adjustRightInd w:val="0"/>
              <w:snapToGrid w:val="0"/>
              <w:jc w:val="center"/>
              <w:rPr>
                <w:rFonts w:ascii="宋体" w:hAnsi="宋体" w:cs="宋体"/>
                <w:color w:val="auto"/>
                <w:kern w:val="0"/>
                <w:sz w:val="24"/>
              </w:rPr>
            </w:pPr>
            <w:r>
              <w:rPr>
                <w:rFonts w:hint="eastAsia" w:ascii="宋体" w:hAnsi="宋体" w:cs="宋体"/>
                <w:color w:val="auto"/>
                <w:kern w:val="0"/>
                <w:sz w:val="24"/>
              </w:rPr>
              <w:t>制标</w:t>
            </w:r>
          </w:p>
          <w:p w14:paraId="78E6F55A">
            <w:pPr>
              <w:adjustRightInd w:val="0"/>
              <w:snapToGrid w:val="0"/>
              <w:jc w:val="center"/>
              <w:rPr>
                <w:rFonts w:ascii="宋体" w:hAnsi="宋体" w:cs="宋体"/>
                <w:color w:val="auto"/>
                <w:kern w:val="0"/>
                <w:szCs w:val="21"/>
              </w:rPr>
            </w:pPr>
            <w:r>
              <w:rPr>
                <w:rFonts w:hint="eastAsia" w:ascii="宋体" w:hAnsi="宋体" w:cs="宋体"/>
                <w:color w:val="auto"/>
                <w:kern w:val="0"/>
                <w:sz w:val="24"/>
              </w:rPr>
              <w:t>准</w:t>
            </w:r>
          </w:p>
        </w:tc>
        <w:tc>
          <w:tcPr>
            <w:tcW w:w="8190" w:type="dxa"/>
            <w:noWrap w:val="0"/>
            <w:vAlign w:val="center"/>
          </w:tcPr>
          <w:p w14:paraId="237CE47B">
            <w:pPr>
              <w:spacing w:beforeLines="50" w:line="360" w:lineRule="auto"/>
              <w:ind w:firstLine="482" w:firstLineChars="200"/>
              <w:rPr>
                <w:b/>
                <w:bCs/>
                <w:color w:val="auto"/>
                <w:sz w:val="24"/>
              </w:rPr>
            </w:pPr>
            <w:r>
              <w:rPr>
                <w:b/>
                <w:bCs/>
                <w:color w:val="auto"/>
                <w:sz w:val="24"/>
              </w:rPr>
              <w:t>1、废气排放标准</w:t>
            </w:r>
          </w:p>
          <w:p w14:paraId="1E3A28EC">
            <w:pPr>
              <w:spacing w:line="360" w:lineRule="auto"/>
              <w:ind w:firstLine="480" w:firstLineChars="200"/>
              <w:rPr>
                <w:color w:val="auto"/>
                <w:sz w:val="24"/>
              </w:rPr>
            </w:pPr>
            <w:r>
              <w:rPr>
                <w:color w:val="auto"/>
                <w:sz w:val="24"/>
              </w:rPr>
              <w:t>煤气锅炉污染物</w:t>
            </w:r>
            <w:r>
              <w:rPr>
                <w:rFonts w:hint="eastAsia"/>
                <w:color w:val="auto"/>
                <w:sz w:val="24"/>
                <w:lang w:val="en-US" w:eastAsia="zh-CN"/>
              </w:rPr>
              <w:t>颗粒物、二氧化硫、氮氧化物</w:t>
            </w:r>
            <w:r>
              <w:rPr>
                <w:color w:val="auto"/>
                <w:sz w:val="24"/>
              </w:rPr>
              <w:t>排放执行山西省《锅炉大气污染物排放标准》（DB14/1929-2019）中相应限值，见表3-3。</w:t>
            </w:r>
          </w:p>
          <w:p w14:paraId="7EBE05A3">
            <w:pPr>
              <w:pStyle w:val="55"/>
              <w:spacing w:line="360" w:lineRule="auto"/>
              <w:rPr>
                <w:color w:val="auto"/>
                <w:sz w:val="24"/>
              </w:rPr>
            </w:pPr>
            <w:r>
              <w:rPr>
                <w:color w:val="auto"/>
                <w:sz w:val="24"/>
              </w:rPr>
              <w:t>表3-3</w:t>
            </w:r>
            <w:r>
              <w:rPr>
                <w:rFonts w:hint="eastAsia"/>
                <w:color w:val="auto"/>
                <w:sz w:val="24"/>
                <w:lang w:eastAsia="zh-CN"/>
              </w:rPr>
              <w:t xml:space="preserve"> </w:t>
            </w:r>
            <w:r>
              <w:rPr>
                <w:color w:val="auto"/>
                <w:sz w:val="24"/>
              </w:rPr>
              <w:t>《锅炉大气污染物排放标准》（DB14/1929-2019）</w:t>
            </w:r>
          </w:p>
          <w:tbl>
            <w:tblPr>
              <w:tblStyle w:val="54"/>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56"/>
              <w:gridCol w:w="1890"/>
              <w:gridCol w:w="2031"/>
              <w:gridCol w:w="2190"/>
            </w:tblGrid>
            <w:tr w14:paraId="2D3848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1165" w:type="pct"/>
                  <w:vMerge w:val="restart"/>
                  <w:tcBorders>
                    <w:bottom w:val="nil"/>
                  </w:tcBorders>
                  <w:noWrap w:val="0"/>
                  <w:vAlign w:val="center"/>
                </w:tcPr>
                <w:p w14:paraId="7A56756A">
                  <w:pPr>
                    <w:pStyle w:val="55"/>
                    <w:rPr>
                      <w:color w:val="auto"/>
                      <w:sz w:val="21"/>
                      <w:szCs w:val="21"/>
                    </w:rPr>
                  </w:pPr>
                  <w:r>
                    <w:rPr>
                      <w:color w:val="auto"/>
                      <w:sz w:val="21"/>
                      <w:szCs w:val="21"/>
                    </w:rPr>
                    <w:t>锅炉类型</w:t>
                  </w:r>
                </w:p>
              </w:tc>
              <w:tc>
                <w:tcPr>
                  <w:tcW w:w="3834" w:type="pct"/>
                  <w:gridSpan w:val="3"/>
                  <w:noWrap w:val="0"/>
                  <w:vAlign w:val="center"/>
                </w:tcPr>
                <w:p w14:paraId="73CDE17E">
                  <w:pPr>
                    <w:pStyle w:val="55"/>
                    <w:rPr>
                      <w:color w:val="auto"/>
                      <w:sz w:val="21"/>
                      <w:szCs w:val="21"/>
                    </w:rPr>
                  </w:pPr>
                  <w:r>
                    <w:rPr>
                      <w:color w:val="auto"/>
                      <w:sz w:val="21"/>
                      <w:szCs w:val="21"/>
                    </w:rPr>
                    <w:t>污染物项目</w:t>
                  </w:r>
                </w:p>
              </w:tc>
            </w:tr>
            <w:tr w14:paraId="636481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165" w:type="pct"/>
                  <w:vMerge w:val="continue"/>
                  <w:tcBorders>
                    <w:top w:val="nil"/>
                  </w:tcBorders>
                  <w:noWrap w:val="0"/>
                  <w:vAlign w:val="center"/>
                </w:tcPr>
                <w:p w14:paraId="084AF1BD">
                  <w:pPr>
                    <w:pStyle w:val="55"/>
                    <w:rPr>
                      <w:color w:val="auto"/>
                      <w:sz w:val="21"/>
                      <w:szCs w:val="21"/>
                    </w:rPr>
                  </w:pPr>
                </w:p>
              </w:tc>
              <w:tc>
                <w:tcPr>
                  <w:tcW w:w="1186" w:type="pct"/>
                  <w:noWrap w:val="0"/>
                  <w:vAlign w:val="center"/>
                </w:tcPr>
                <w:p w14:paraId="2C19AD9A">
                  <w:pPr>
                    <w:pStyle w:val="55"/>
                    <w:rPr>
                      <w:color w:val="auto"/>
                      <w:sz w:val="21"/>
                      <w:szCs w:val="21"/>
                    </w:rPr>
                  </w:pPr>
                  <w:r>
                    <w:rPr>
                      <w:color w:val="auto"/>
                      <w:sz w:val="21"/>
                      <w:szCs w:val="21"/>
                    </w:rPr>
                    <w:t>颗粒物（mg/m</w:t>
                  </w:r>
                  <w:r>
                    <w:rPr>
                      <w:color w:val="auto"/>
                      <w:sz w:val="21"/>
                      <w:szCs w:val="21"/>
                      <w:vertAlign w:val="superscript"/>
                    </w:rPr>
                    <w:t>3</w:t>
                  </w:r>
                  <w:r>
                    <w:rPr>
                      <w:color w:val="auto"/>
                      <w:sz w:val="21"/>
                      <w:szCs w:val="21"/>
                    </w:rPr>
                    <w:t>）</w:t>
                  </w:r>
                </w:p>
              </w:tc>
              <w:tc>
                <w:tcPr>
                  <w:tcW w:w="1274" w:type="pct"/>
                  <w:noWrap w:val="0"/>
                  <w:vAlign w:val="center"/>
                </w:tcPr>
                <w:p w14:paraId="32B003CC">
                  <w:pPr>
                    <w:pStyle w:val="55"/>
                    <w:rPr>
                      <w:color w:val="auto"/>
                      <w:sz w:val="21"/>
                      <w:szCs w:val="21"/>
                    </w:rPr>
                  </w:pPr>
                  <w:r>
                    <w:rPr>
                      <w:color w:val="auto"/>
                      <w:sz w:val="21"/>
                      <w:szCs w:val="21"/>
                    </w:rPr>
                    <w:t>二氧化硫（mg/m</w:t>
                  </w:r>
                  <w:r>
                    <w:rPr>
                      <w:color w:val="auto"/>
                      <w:sz w:val="21"/>
                      <w:szCs w:val="21"/>
                      <w:vertAlign w:val="superscript"/>
                    </w:rPr>
                    <w:t>3</w:t>
                  </w:r>
                  <w:r>
                    <w:rPr>
                      <w:color w:val="auto"/>
                      <w:sz w:val="21"/>
                      <w:szCs w:val="21"/>
                    </w:rPr>
                    <w:t>）</w:t>
                  </w:r>
                </w:p>
              </w:tc>
              <w:tc>
                <w:tcPr>
                  <w:tcW w:w="1372" w:type="pct"/>
                  <w:noWrap w:val="0"/>
                  <w:vAlign w:val="center"/>
                </w:tcPr>
                <w:p w14:paraId="491B06B8">
                  <w:pPr>
                    <w:pStyle w:val="55"/>
                    <w:rPr>
                      <w:color w:val="auto"/>
                      <w:sz w:val="21"/>
                      <w:szCs w:val="21"/>
                    </w:rPr>
                  </w:pPr>
                  <w:r>
                    <w:rPr>
                      <w:color w:val="auto"/>
                      <w:sz w:val="21"/>
                      <w:szCs w:val="21"/>
                    </w:rPr>
                    <w:t>氮氧化物（mg/m</w:t>
                  </w:r>
                  <w:r>
                    <w:rPr>
                      <w:color w:val="auto"/>
                      <w:sz w:val="21"/>
                      <w:szCs w:val="21"/>
                      <w:vertAlign w:val="superscript"/>
                    </w:rPr>
                    <w:t>3</w:t>
                  </w:r>
                  <w:r>
                    <w:rPr>
                      <w:color w:val="auto"/>
                      <w:sz w:val="21"/>
                      <w:szCs w:val="21"/>
                    </w:rPr>
                    <w:t>）</w:t>
                  </w:r>
                </w:p>
              </w:tc>
            </w:tr>
            <w:tr w14:paraId="35076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1165" w:type="pct"/>
                  <w:noWrap w:val="0"/>
                  <w:vAlign w:val="center"/>
                </w:tcPr>
                <w:p w14:paraId="1349C808">
                  <w:pPr>
                    <w:pStyle w:val="55"/>
                    <w:rPr>
                      <w:color w:val="auto"/>
                      <w:sz w:val="21"/>
                      <w:szCs w:val="21"/>
                    </w:rPr>
                  </w:pPr>
                  <w:r>
                    <w:rPr>
                      <w:color w:val="auto"/>
                      <w:sz w:val="21"/>
                      <w:szCs w:val="21"/>
                    </w:rPr>
                    <w:t>新建燃气锅炉</w:t>
                  </w:r>
                </w:p>
              </w:tc>
              <w:tc>
                <w:tcPr>
                  <w:tcW w:w="1186" w:type="pct"/>
                  <w:noWrap w:val="0"/>
                  <w:vAlign w:val="center"/>
                </w:tcPr>
                <w:p w14:paraId="1EECF111">
                  <w:pPr>
                    <w:pStyle w:val="55"/>
                    <w:rPr>
                      <w:color w:val="auto"/>
                      <w:sz w:val="21"/>
                      <w:szCs w:val="21"/>
                    </w:rPr>
                  </w:pPr>
                  <w:r>
                    <w:rPr>
                      <w:color w:val="auto"/>
                      <w:sz w:val="21"/>
                      <w:szCs w:val="21"/>
                    </w:rPr>
                    <w:t>5</w:t>
                  </w:r>
                </w:p>
              </w:tc>
              <w:tc>
                <w:tcPr>
                  <w:tcW w:w="1274" w:type="pct"/>
                  <w:noWrap w:val="0"/>
                  <w:vAlign w:val="center"/>
                </w:tcPr>
                <w:p w14:paraId="71AFC144">
                  <w:pPr>
                    <w:pStyle w:val="55"/>
                    <w:rPr>
                      <w:color w:val="auto"/>
                      <w:sz w:val="21"/>
                      <w:szCs w:val="21"/>
                    </w:rPr>
                  </w:pPr>
                  <w:r>
                    <w:rPr>
                      <w:color w:val="auto"/>
                      <w:sz w:val="21"/>
                      <w:szCs w:val="21"/>
                    </w:rPr>
                    <w:t>35</w:t>
                  </w:r>
                </w:p>
              </w:tc>
              <w:tc>
                <w:tcPr>
                  <w:tcW w:w="1372" w:type="pct"/>
                  <w:noWrap w:val="0"/>
                  <w:vAlign w:val="center"/>
                </w:tcPr>
                <w:p w14:paraId="25229200">
                  <w:pPr>
                    <w:pStyle w:val="55"/>
                    <w:rPr>
                      <w:color w:val="auto"/>
                      <w:sz w:val="21"/>
                      <w:szCs w:val="21"/>
                    </w:rPr>
                  </w:pPr>
                  <w:r>
                    <w:rPr>
                      <w:color w:val="auto"/>
                      <w:sz w:val="21"/>
                      <w:szCs w:val="21"/>
                    </w:rPr>
                    <w:t>50</w:t>
                  </w:r>
                </w:p>
              </w:tc>
            </w:tr>
          </w:tbl>
          <w:p w14:paraId="71C1A33E">
            <w:pPr>
              <w:spacing w:line="360" w:lineRule="auto"/>
              <w:ind w:firstLine="482" w:firstLineChars="200"/>
              <w:rPr>
                <w:b/>
                <w:color w:val="auto"/>
                <w:sz w:val="24"/>
              </w:rPr>
            </w:pPr>
            <w:r>
              <w:rPr>
                <w:b/>
                <w:color w:val="auto"/>
                <w:sz w:val="24"/>
              </w:rPr>
              <w:t>2、废水排放标准</w:t>
            </w:r>
          </w:p>
          <w:p w14:paraId="26116D27">
            <w:pPr>
              <w:spacing w:line="360" w:lineRule="auto"/>
              <w:ind w:firstLine="480" w:firstLineChars="200"/>
              <w:rPr>
                <w:color w:val="auto"/>
                <w:sz w:val="24"/>
              </w:rPr>
            </w:pPr>
            <w:r>
              <w:rPr>
                <w:color w:val="auto"/>
                <w:sz w:val="24"/>
              </w:rPr>
              <w:t>本项目生活污水</w:t>
            </w:r>
            <w:r>
              <w:rPr>
                <w:rFonts w:hint="eastAsia"/>
                <w:color w:val="auto"/>
                <w:sz w:val="24"/>
                <w:lang w:val="en-US" w:eastAsia="zh-CN"/>
              </w:rPr>
              <w:t>依托厂区</w:t>
            </w:r>
            <w:r>
              <w:rPr>
                <w:color w:val="auto"/>
                <w:kern w:val="44"/>
                <w:sz w:val="24"/>
              </w:rPr>
              <w:t>生活污水</w:t>
            </w:r>
            <w:r>
              <w:rPr>
                <w:rFonts w:hint="eastAsia"/>
                <w:color w:val="auto"/>
                <w:kern w:val="44"/>
                <w:sz w:val="24"/>
                <w:lang w:val="en-US" w:eastAsia="zh-CN"/>
              </w:rPr>
              <w:t>管网</w:t>
            </w:r>
            <w:r>
              <w:rPr>
                <w:bCs/>
                <w:color w:val="auto"/>
                <w:sz w:val="24"/>
              </w:rPr>
              <w:t>；</w:t>
            </w:r>
            <w:r>
              <w:rPr>
                <w:rFonts w:hint="eastAsia"/>
                <w:color w:val="auto"/>
                <w:sz w:val="24"/>
              </w:rPr>
              <w:t>本项目生产过程废水</w:t>
            </w:r>
            <w:r>
              <w:rPr>
                <w:rFonts w:hint="eastAsia"/>
                <w:color w:val="auto"/>
                <w:sz w:val="24"/>
                <w:lang w:val="en-US" w:eastAsia="zh-CN"/>
              </w:rPr>
              <w:t>经过处理后回用，不外排</w:t>
            </w:r>
            <w:r>
              <w:rPr>
                <w:color w:val="auto"/>
                <w:sz w:val="24"/>
              </w:rPr>
              <w:t>。</w:t>
            </w:r>
          </w:p>
          <w:p w14:paraId="0141457D">
            <w:pPr>
              <w:spacing w:line="360" w:lineRule="auto"/>
              <w:ind w:firstLine="482" w:firstLineChars="200"/>
              <w:rPr>
                <w:b/>
                <w:bCs/>
                <w:color w:val="auto"/>
                <w:sz w:val="24"/>
              </w:rPr>
            </w:pPr>
            <w:r>
              <w:rPr>
                <w:b/>
                <w:bCs/>
                <w:color w:val="auto"/>
                <w:sz w:val="24"/>
              </w:rPr>
              <w:t>3、</w:t>
            </w:r>
            <w:r>
              <w:rPr>
                <w:b/>
                <w:color w:val="auto"/>
                <w:sz w:val="24"/>
              </w:rPr>
              <w:t>厂界噪声排放标准</w:t>
            </w:r>
          </w:p>
          <w:p w14:paraId="62CB7CAA">
            <w:pPr>
              <w:pStyle w:val="55"/>
              <w:spacing w:line="360" w:lineRule="auto"/>
              <w:ind w:firstLine="480" w:firstLineChars="200"/>
              <w:jc w:val="both"/>
              <w:rPr>
                <w:color w:val="auto"/>
                <w:sz w:val="24"/>
              </w:rPr>
            </w:pPr>
            <w:r>
              <w:rPr>
                <w:color w:val="auto"/>
                <w:sz w:val="24"/>
              </w:rPr>
              <w:t>施工噪声执行《建筑施工噪声排放标准》（GB12523-20</w:t>
            </w:r>
            <w:r>
              <w:rPr>
                <w:rFonts w:hint="eastAsia"/>
                <w:color w:val="auto"/>
                <w:sz w:val="24"/>
                <w:lang w:val="en-US" w:eastAsia="zh-CN"/>
              </w:rPr>
              <w:t>25</w:t>
            </w:r>
            <w:r>
              <w:rPr>
                <w:color w:val="auto"/>
                <w:sz w:val="24"/>
              </w:rPr>
              <w:t>），具体标准值见表3-</w:t>
            </w:r>
            <w:r>
              <w:rPr>
                <w:rFonts w:hint="eastAsia"/>
                <w:color w:val="auto"/>
                <w:sz w:val="24"/>
              </w:rPr>
              <w:t>5</w:t>
            </w:r>
            <w:r>
              <w:rPr>
                <w:color w:val="auto"/>
                <w:sz w:val="24"/>
              </w:rPr>
              <w:t>。</w:t>
            </w:r>
          </w:p>
          <w:p w14:paraId="0A4519BE">
            <w:pPr>
              <w:pStyle w:val="55"/>
              <w:spacing w:line="360" w:lineRule="auto"/>
              <w:ind w:firstLine="480" w:firstLineChars="200"/>
              <w:jc w:val="both"/>
              <w:rPr>
                <w:color w:val="auto"/>
                <w:sz w:val="24"/>
              </w:rPr>
            </w:pPr>
            <w:r>
              <w:rPr>
                <w:color w:val="auto"/>
                <w:sz w:val="24"/>
              </w:rPr>
              <w:t>运营期厂界噪声执行《工业企业厂界环境噪声排放标准》（GB12348-2008）中</w:t>
            </w:r>
            <w:r>
              <w:rPr>
                <w:rFonts w:hint="eastAsia"/>
                <w:color w:val="auto"/>
                <w:spacing w:val="-3"/>
                <w:lang w:val="en-US" w:eastAsia="zh-CN"/>
              </w:rPr>
              <w:t>2</w:t>
            </w:r>
            <w:r>
              <w:rPr>
                <w:color w:val="auto"/>
                <w:sz w:val="24"/>
              </w:rPr>
              <w:t>类标准</w:t>
            </w:r>
            <w:r>
              <w:rPr>
                <w:rFonts w:hint="eastAsia"/>
                <w:color w:val="auto"/>
                <w:sz w:val="24"/>
              </w:rPr>
              <w:t>，</w:t>
            </w:r>
            <w:r>
              <w:rPr>
                <w:color w:val="auto"/>
                <w:sz w:val="24"/>
              </w:rPr>
              <w:t>具体标准值见</w:t>
            </w:r>
            <w:r>
              <w:rPr>
                <w:rFonts w:hint="eastAsia"/>
                <w:color w:val="auto"/>
                <w:sz w:val="24"/>
                <w:lang w:eastAsia="zh-CN"/>
              </w:rPr>
              <w:t>表3-6</w:t>
            </w:r>
            <w:r>
              <w:rPr>
                <w:color w:val="auto"/>
                <w:sz w:val="24"/>
              </w:rPr>
              <w:t>。</w:t>
            </w:r>
          </w:p>
          <w:p w14:paraId="3F871D77">
            <w:pPr>
              <w:pStyle w:val="55"/>
              <w:rPr>
                <w:b/>
                <w:color w:val="auto"/>
                <w:szCs w:val="21"/>
              </w:rPr>
            </w:pPr>
            <w:r>
              <w:rPr>
                <w:b/>
                <w:color w:val="auto"/>
                <w:szCs w:val="21"/>
              </w:rPr>
              <w:t>表3-</w:t>
            </w:r>
            <w:r>
              <w:rPr>
                <w:rFonts w:hint="eastAsia"/>
                <w:b/>
                <w:color w:val="auto"/>
                <w:szCs w:val="21"/>
              </w:rPr>
              <w:t>5</w:t>
            </w:r>
            <w:r>
              <w:rPr>
                <w:b/>
                <w:color w:val="auto"/>
                <w:szCs w:val="21"/>
              </w:rPr>
              <w:t>建筑施工噪声排放标准单位：dB（A）</w:t>
            </w:r>
          </w:p>
          <w:tbl>
            <w:tblPr>
              <w:tblStyle w:val="2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0"/>
              <w:gridCol w:w="3802"/>
            </w:tblGrid>
            <w:tr w14:paraId="5FFA4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612" w:type="pct"/>
                  <w:noWrap w:val="0"/>
                  <w:vAlign w:val="center"/>
                </w:tcPr>
                <w:p w14:paraId="38B01915">
                  <w:pPr>
                    <w:jc w:val="center"/>
                    <w:rPr>
                      <w:b/>
                      <w:bCs/>
                      <w:color w:val="auto"/>
                    </w:rPr>
                  </w:pPr>
                  <w:r>
                    <w:rPr>
                      <w:b/>
                      <w:bCs/>
                      <w:color w:val="auto"/>
                    </w:rPr>
                    <w:t>昼间</w:t>
                  </w:r>
                </w:p>
              </w:tc>
              <w:tc>
                <w:tcPr>
                  <w:tcW w:w="2387" w:type="pct"/>
                  <w:noWrap w:val="0"/>
                  <w:vAlign w:val="center"/>
                </w:tcPr>
                <w:p w14:paraId="27E9F864">
                  <w:pPr>
                    <w:jc w:val="center"/>
                    <w:rPr>
                      <w:b/>
                      <w:bCs/>
                      <w:color w:val="auto"/>
                    </w:rPr>
                  </w:pPr>
                  <w:r>
                    <w:rPr>
                      <w:b/>
                      <w:bCs/>
                      <w:color w:val="auto"/>
                    </w:rPr>
                    <w:t>夜间</w:t>
                  </w:r>
                </w:p>
              </w:tc>
            </w:tr>
            <w:tr w14:paraId="35318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612" w:type="pct"/>
                  <w:noWrap w:val="0"/>
                  <w:vAlign w:val="center"/>
                </w:tcPr>
                <w:p w14:paraId="2064D1C6">
                  <w:pPr>
                    <w:jc w:val="center"/>
                    <w:rPr>
                      <w:color w:val="auto"/>
                    </w:rPr>
                  </w:pPr>
                  <w:r>
                    <w:rPr>
                      <w:rFonts w:hint="eastAsia"/>
                      <w:color w:val="auto"/>
                    </w:rPr>
                    <w:t>70</w:t>
                  </w:r>
                </w:p>
              </w:tc>
              <w:tc>
                <w:tcPr>
                  <w:tcW w:w="2387" w:type="pct"/>
                  <w:noWrap w:val="0"/>
                  <w:vAlign w:val="center"/>
                </w:tcPr>
                <w:p w14:paraId="5BB64312">
                  <w:pPr>
                    <w:jc w:val="center"/>
                    <w:rPr>
                      <w:color w:val="auto"/>
                    </w:rPr>
                  </w:pPr>
                  <w:r>
                    <w:rPr>
                      <w:rFonts w:hint="eastAsia"/>
                      <w:color w:val="auto"/>
                    </w:rPr>
                    <w:t>55</w:t>
                  </w:r>
                </w:p>
              </w:tc>
            </w:tr>
          </w:tbl>
          <w:p w14:paraId="4BD82C0E">
            <w:pPr>
              <w:pStyle w:val="55"/>
              <w:rPr>
                <w:b/>
                <w:color w:val="auto"/>
                <w:szCs w:val="21"/>
              </w:rPr>
            </w:pPr>
          </w:p>
          <w:p w14:paraId="2E208325">
            <w:pPr>
              <w:pStyle w:val="55"/>
              <w:rPr>
                <w:b/>
                <w:color w:val="auto"/>
                <w:szCs w:val="21"/>
              </w:rPr>
            </w:pPr>
            <w:r>
              <w:rPr>
                <w:b/>
                <w:color w:val="auto"/>
                <w:szCs w:val="21"/>
              </w:rPr>
              <w:t>表3-</w:t>
            </w:r>
            <w:r>
              <w:rPr>
                <w:rFonts w:hint="eastAsia"/>
                <w:b/>
                <w:color w:val="auto"/>
                <w:szCs w:val="21"/>
              </w:rPr>
              <w:t>6</w:t>
            </w:r>
            <w:r>
              <w:rPr>
                <w:b/>
                <w:color w:val="auto"/>
                <w:szCs w:val="21"/>
              </w:rPr>
              <w:t>工业企业厂界环境噪声排放标准单位：dB（A）</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5"/>
              <w:gridCol w:w="3060"/>
              <w:gridCol w:w="2799"/>
            </w:tblGrid>
            <w:tr w14:paraId="15636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322" w:type="pct"/>
                  <w:noWrap w:val="0"/>
                  <w:vAlign w:val="center"/>
                </w:tcPr>
                <w:p w14:paraId="6F666BBC">
                  <w:pPr>
                    <w:jc w:val="center"/>
                    <w:rPr>
                      <w:b/>
                      <w:bCs/>
                      <w:color w:val="auto"/>
                    </w:rPr>
                  </w:pPr>
                  <w:r>
                    <w:rPr>
                      <w:b/>
                      <w:bCs/>
                      <w:color w:val="auto"/>
                    </w:rPr>
                    <w:t>标准级别</w:t>
                  </w:r>
                </w:p>
              </w:tc>
              <w:tc>
                <w:tcPr>
                  <w:tcW w:w="1921" w:type="pct"/>
                  <w:noWrap w:val="0"/>
                  <w:vAlign w:val="center"/>
                </w:tcPr>
                <w:p w14:paraId="24137C19">
                  <w:pPr>
                    <w:jc w:val="center"/>
                    <w:rPr>
                      <w:b/>
                      <w:bCs/>
                      <w:color w:val="auto"/>
                    </w:rPr>
                  </w:pPr>
                  <w:r>
                    <w:rPr>
                      <w:b/>
                      <w:bCs/>
                      <w:color w:val="auto"/>
                    </w:rPr>
                    <w:t>昼间</w:t>
                  </w:r>
                </w:p>
              </w:tc>
              <w:tc>
                <w:tcPr>
                  <w:tcW w:w="1757" w:type="pct"/>
                  <w:noWrap w:val="0"/>
                  <w:vAlign w:val="center"/>
                </w:tcPr>
                <w:p w14:paraId="71129D12">
                  <w:pPr>
                    <w:jc w:val="center"/>
                    <w:rPr>
                      <w:b/>
                      <w:bCs/>
                      <w:color w:val="auto"/>
                    </w:rPr>
                  </w:pPr>
                  <w:r>
                    <w:rPr>
                      <w:b/>
                      <w:bCs/>
                      <w:color w:val="auto"/>
                    </w:rPr>
                    <w:t>夜间</w:t>
                  </w:r>
                </w:p>
              </w:tc>
            </w:tr>
            <w:tr w14:paraId="66FF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322" w:type="pct"/>
                  <w:noWrap w:val="0"/>
                  <w:vAlign w:val="center"/>
                </w:tcPr>
                <w:p w14:paraId="591F9A3F">
                  <w:pPr>
                    <w:jc w:val="center"/>
                    <w:rPr>
                      <w:color w:val="auto"/>
                    </w:rPr>
                  </w:pPr>
                  <w:r>
                    <w:rPr>
                      <w:rFonts w:hint="eastAsia"/>
                      <w:color w:val="auto"/>
                      <w:spacing w:val="-3"/>
                      <w:lang w:val="en-US" w:eastAsia="zh-CN"/>
                    </w:rPr>
                    <w:t>2</w:t>
                  </w:r>
                  <w:r>
                    <w:rPr>
                      <w:color w:val="auto"/>
                    </w:rPr>
                    <w:t>类</w:t>
                  </w:r>
                </w:p>
              </w:tc>
              <w:tc>
                <w:tcPr>
                  <w:tcW w:w="1921" w:type="pct"/>
                  <w:noWrap w:val="0"/>
                  <w:vAlign w:val="center"/>
                </w:tcPr>
                <w:p w14:paraId="7E626B8A">
                  <w:pPr>
                    <w:jc w:val="center"/>
                    <w:rPr>
                      <w:rFonts w:hint="default" w:eastAsia="宋体"/>
                      <w:color w:val="auto"/>
                      <w:lang w:val="en-US" w:eastAsia="zh-CN"/>
                    </w:rPr>
                  </w:pPr>
                  <w:r>
                    <w:rPr>
                      <w:rFonts w:hint="eastAsia"/>
                      <w:color w:val="auto"/>
                      <w:lang w:val="en-US" w:eastAsia="zh-CN"/>
                    </w:rPr>
                    <w:t>60</w:t>
                  </w:r>
                </w:p>
              </w:tc>
              <w:tc>
                <w:tcPr>
                  <w:tcW w:w="1757" w:type="pct"/>
                  <w:noWrap w:val="0"/>
                  <w:vAlign w:val="center"/>
                </w:tcPr>
                <w:p w14:paraId="09A32AC2">
                  <w:pPr>
                    <w:jc w:val="center"/>
                    <w:rPr>
                      <w:rFonts w:hint="default" w:eastAsia="宋体"/>
                      <w:color w:val="auto"/>
                      <w:lang w:val="en-US" w:eastAsia="zh-CN"/>
                    </w:rPr>
                  </w:pPr>
                  <w:r>
                    <w:rPr>
                      <w:rFonts w:hint="eastAsia"/>
                      <w:color w:val="auto"/>
                      <w:lang w:val="en-US" w:eastAsia="zh-CN"/>
                    </w:rPr>
                    <w:t>50</w:t>
                  </w:r>
                </w:p>
              </w:tc>
            </w:tr>
          </w:tbl>
          <w:p w14:paraId="0B53D31B">
            <w:pPr>
              <w:spacing w:beforeLines="50" w:line="360" w:lineRule="auto"/>
              <w:ind w:firstLine="482" w:firstLineChars="200"/>
              <w:rPr>
                <w:color w:val="auto"/>
                <w:sz w:val="24"/>
              </w:rPr>
            </w:pPr>
            <w:r>
              <w:rPr>
                <w:b/>
                <w:color w:val="auto"/>
                <w:sz w:val="24"/>
              </w:rPr>
              <w:t>4、固体废物</w:t>
            </w:r>
          </w:p>
          <w:p w14:paraId="12800628">
            <w:pPr>
              <w:pStyle w:val="55"/>
              <w:spacing w:line="360" w:lineRule="auto"/>
              <w:ind w:firstLine="480" w:firstLineChars="200"/>
              <w:jc w:val="both"/>
              <w:rPr>
                <w:rFonts w:ascii="宋体" w:hAnsi="宋体" w:cs="宋体"/>
                <w:color w:val="auto"/>
                <w:kern w:val="0"/>
                <w:szCs w:val="21"/>
              </w:rPr>
            </w:pPr>
            <w:r>
              <w:rPr>
                <w:color w:val="auto"/>
                <w:sz w:val="24"/>
              </w:rPr>
              <w:t>一般固废执行《一般工业固体废物贮存和填埋污染控制标准》（GB18599-2020）中的有关规定</w:t>
            </w:r>
            <w:r>
              <w:rPr>
                <w:rFonts w:hint="eastAsia"/>
                <w:color w:val="auto"/>
                <w:sz w:val="24"/>
              </w:rPr>
              <w:t>；</w:t>
            </w:r>
            <w:r>
              <w:rPr>
                <w:color w:val="auto"/>
                <w:sz w:val="24"/>
              </w:rPr>
              <w:t>危险废物执行《危险废物贮存污染控制标准》（GB18597-2023）中的有关规定。</w:t>
            </w:r>
          </w:p>
        </w:tc>
      </w:tr>
      <w:tr w14:paraId="3E4185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69" w:hRule="atLeast"/>
          <w:jc w:val="center"/>
        </w:trPr>
        <w:tc>
          <w:tcPr>
            <w:tcW w:w="800" w:type="dxa"/>
            <w:noWrap w:val="0"/>
            <w:vAlign w:val="center"/>
          </w:tcPr>
          <w:p w14:paraId="2634E883">
            <w:pPr>
              <w:adjustRightInd w:val="0"/>
              <w:snapToGrid w:val="0"/>
              <w:jc w:val="center"/>
              <w:rPr>
                <w:rFonts w:ascii="宋体" w:hAnsi="宋体" w:cs="宋体"/>
                <w:color w:val="auto"/>
                <w:kern w:val="0"/>
                <w:sz w:val="24"/>
              </w:rPr>
            </w:pPr>
            <w:r>
              <w:rPr>
                <w:rFonts w:hint="eastAsia" w:ascii="宋体" w:hAnsi="宋体" w:cs="宋体"/>
                <w:color w:val="auto"/>
                <w:kern w:val="0"/>
                <w:sz w:val="24"/>
              </w:rPr>
              <w:t>总量</w:t>
            </w:r>
          </w:p>
          <w:p w14:paraId="242CF38B">
            <w:pPr>
              <w:adjustRightInd w:val="0"/>
              <w:snapToGrid w:val="0"/>
              <w:jc w:val="center"/>
              <w:rPr>
                <w:rFonts w:ascii="宋体" w:hAnsi="宋体" w:cs="宋体"/>
                <w:color w:val="auto"/>
                <w:kern w:val="0"/>
                <w:sz w:val="24"/>
              </w:rPr>
            </w:pPr>
            <w:r>
              <w:rPr>
                <w:rFonts w:hint="eastAsia" w:ascii="宋体" w:hAnsi="宋体" w:cs="宋体"/>
                <w:color w:val="auto"/>
                <w:kern w:val="0"/>
                <w:sz w:val="24"/>
              </w:rPr>
              <w:t>控制</w:t>
            </w:r>
          </w:p>
          <w:p w14:paraId="6A3F1A0A">
            <w:pPr>
              <w:adjustRightInd w:val="0"/>
              <w:snapToGrid w:val="0"/>
              <w:jc w:val="center"/>
              <w:rPr>
                <w:rFonts w:ascii="宋体" w:hAnsi="宋体" w:cs="宋体"/>
                <w:color w:val="auto"/>
                <w:kern w:val="0"/>
                <w:sz w:val="24"/>
              </w:rPr>
            </w:pPr>
            <w:r>
              <w:rPr>
                <w:rFonts w:hint="eastAsia" w:ascii="宋体" w:hAnsi="宋体" w:cs="宋体"/>
                <w:color w:val="auto"/>
                <w:kern w:val="0"/>
                <w:sz w:val="24"/>
              </w:rPr>
              <w:t>指标</w:t>
            </w:r>
          </w:p>
        </w:tc>
        <w:tc>
          <w:tcPr>
            <w:tcW w:w="8190" w:type="dxa"/>
            <w:noWrap w:val="0"/>
            <w:vAlign w:val="center"/>
          </w:tcPr>
          <w:p w14:paraId="6DA1FD70">
            <w:pPr>
              <w:pStyle w:val="55"/>
              <w:spacing w:line="360" w:lineRule="auto"/>
              <w:ind w:firstLine="480" w:firstLineChars="200"/>
              <w:jc w:val="both"/>
              <w:rPr>
                <w:bCs/>
                <w:color w:val="auto"/>
                <w:sz w:val="24"/>
              </w:rPr>
            </w:pPr>
            <w:r>
              <w:rPr>
                <w:rFonts w:hint="eastAsia"/>
                <w:bCs/>
                <w:color w:val="auto"/>
                <w:sz w:val="24"/>
              </w:rPr>
              <w:t>结合项目排污特征，本项目总量控制因子为：颗粒物，氮氧化物，二氧化硫。</w:t>
            </w:r>
          </w:p>
          <w:p w14:paraId="1059C762">
            <w:pPr>
              <w:spacing w:line="360" w:lineRule="auto"/>
              <w:ind w:firstLine="480" w:firstLineChars="200"/>
              <w:rPr>
                <w:rFonts w:hint="eastAsia" w:ascii="Times New Roman" w:hAnsi="Times New Roman" w:eastAsia="宋体" w:cs="Times New Roman"/>
                <w:color w:val="auto"/>
                <w:sz w:val="24"/>
                <w:lang w:val="en-US" w:eastAsia="zh-CN"/>
              </w:rPr>
            </w:pPr>
            <w:r>
              <w:rPr>
                <w:rFonts w:hint="eastAsia"/>
                <w:bCs/>
                <w:color w:val="auto"/>
                <w:sz w:val="24"/>
              </w:rPr>
              <w:t>根据核算大气污染物排放量为：颗粒物</w:t>
            </w:r>
            <w:r>
              <w:rPr>
                <w:rFonts w:hint="eastAsia"/>
                <w:bCs/>
                <w:color w:val="auto"/>
                <w:sz w:val="24"/>
                <w:lang w:val="en-US" w:eastAsia="zh-CN"/>
              </w:rPr>
              <w:t>2.324</w:t>
            </w:r>
            <w:r>
              <w:rPr>
                <w:bCs/>
                <w:color w:val="auto"/>
                <w:sz w:val="24"/>
              </w:rPr>
              <w:t>t/a</w:t>
            </w:r>
            <w:r>
              <w:rPr>
                <w:rFonts w:hint="eastAsia"/>
                <w:bCs/>
                <w:color w:val="auto"/>
                <w:sz w:val="24"/>
              </w:rPr>
              <w:t>，二氧化硫</w:t>
            </w:r>
            <w:r>
              <w:rPr>
                <w:rFonts w:hint="eastAsia" w:ascii="Times New Roman" w:hAnsi="Times New Roman" w:cs="Times New Roman"/>
                <w:sz w:val="22"/>
                <w:szCs w:val="22"/>
                <w:vertAlign w:val="baseline"/>
                <w:lang w:val="en-US" w:eastAsia="zh-CN"/>
              </w:rPr>
              <w:t>16.265</w:t>
            </w:r>
            <w:r>
              <w:rPr>
                <w:bCs/>
                <w:color w:val="auto"/>
                <w:sz w:val="24"/>
              </w:rPr>
              <w:t>t/a</w:t>
            </w:r>
            <w:r>
              <w:rPr>
                <w:rFonts w:hint="eastAsia"/>
                <w:bCs/>
                <w:color w:val="auto"/>
                <w:sz w:val="24"/>
              </w:rPr>
              <w:t>，氮氧化物</w:t>
            </w:r>
            <w:r>
              <w:rPr>
                <w:rFonts w:hint="eastAsia"/>
                <w:bCs/>
                <w:color w:val="auto"/>
                <w:sz w:val="24"/>
                <w:lang w:val="en-US" w:eastAsia="zh-CN"/>
              </w:rPr>
              <w:t>23.235</w:t>
            </w:r>
            <w:r>
              <w:rPr>
                <w:bCs/>
                <w:color w:val="auto"/>
                <w:sz w:val="24"/>
              </w:rPr>
              <w:t>t/a</w:t>
            </w:r>
            <w:r>
              <w:rPr>
                <w:rFonts w:hint="eastAsia"/>
                <w:bCs/>
                <w:color w:val="auto"/>
                <w:sz w:val="24"/>
                <w:lang w:eastAsia="zh-CN"/>
              </w:rPr>
              <w:t>。</w:t>
            </w:r>
          </w:p>
          <w:p w14:paraId="011733D1">
            <w:pPr>
              <w:pStyle w:val="55"/>
              <w:spacing w:line="360" w:lineRule="auto"/>
              <w:ind w:firstLine="480" w:firstLineChars="200"/>
              <w:jc w:val="both"/>
              <w:rPr>
                <w:rFonts w:hint="eastAsia"/>
                <w:bCs/>
                <w:color w:val="auto"/>
                <w:sz w:val="24"/>
                <w:lang w:val="en-US" w:eastAsia="zh-CN"/>
              </w:rPr>
            </w:pPr>
            <w:r>
              <w:rPr>
                <w:rFonts w:hint="eastAsia"/>
                <w:bCs/>
                <w:color w:val="auto"/>
                <w:sz w:val="24"/>
                <w:lang w:val="en-US" w:eastAsia="zh-CN"/>
              </w:rPr>
              <w:t>2026年7月29日，长治市生态环境局壶关分局下发《关于金烨钢铁集团有限公司15MW余气综合利用发电项目主要污染物排放总量指标的核定意见》（壶环函</w:t>
            </w:r>
            <w:r>
              <w:rPr>
                <w:rFonts w:hint="default" w:ascii="Times New Roman" w:hAnsi="Times New Roman" w:eastAsia="宋体" w:cs="Times New Roman"/>
                <w:kern w:val="0"/>
                <w:sz w:val="24"/>
                <w:highlight w:val="none"/>
                <w:lang w:val="en-US" w:eastAsia="zh-CN"/>
              </w:rPr>
              <w:t>〔20</w:t>
            </w:r>
            <w:r>
              <w:rPr>
                <w:rFonts w:hint="eastAsia" w:cs="Times New Roman"/>
                <w:kern w:val="0"/>
                <w:sz w:val="24"/>
                <w:highlight w:val="none"/>
                <w:lang w:val="en-US" w:eastAsia="zh-CN"/>
              </w:rPr>
              <w:t>2</w:t>
            </w:r>
            <w:r>
              <w:rPr>
                <w:rFonts w:hint="default" w:ascii="Times New Roman" w:hAnsi="Times New Roman" w:eastAsia="宋体" w:cs="Times New Roman"/>
                <w:kern w:val="0"/>
                <w:sz w:val="24"/>
                <w:highlight w:val="none"/>
                <w:lang w:val="en-US" w:eastAsia="zh-CN"/>
              </w:rPr>
              <w:t>6〕</w:t>
            </w:r>
            <w:r>
              <w:rPr>
                <w:rFonts w:hint="eastAsia"/>
                <w:bCs/>
                <w:color w:val="auto"/>
                <w:sz w:val="24"/>
                <w:lang w:val="en-US" w:eastAsia="zh-CN"/>
              </w:rPr>
              <w:t>28号），对本项目污染物排放量进行了核定，其中：本项目直接核定颗粒物2.324吨/年，1:1置换二氧化硫16.265吨/年、氮氧化物23.235吨/年。</w:t>
            </w:r>
          </w:p>
          <w:p w14:paraId="30968360">
            <w:pPr>
              <w:pStyle w:val="55"/>
              <w:spacing w:line="360" w:lineRule="auto"/>
              <w:ind w:firstLine="480" w:firstLineChars="200"/>
              <w:jc w:val="both"/>
              <w:rPr>
                <w:bCs/>
                <w:color w:val="auto"/>
                <w:sz w:val="24"/>
              </w:rPr>
            </w:pPr>
            <w:r>
              <w:rPr>
                <w:rFonts w:hint="eastAsia"/>
                <w:bCs/>
                <w:color w:val="auto"/>
                <w:sz w:val="24"/>
                <w:lang w:val="en-US" w:eastAsia="zh-CN"/>
              </w:rPr>
              <w:t>置换来源为：金烨钢铁集团有限公司原高炉煤气自备电厂许可排放量氮氧化物14.8478吨/年，金烨钢铁集团铸造有限公司关停8m</w:t>
            </w:r>
            <w:r>
              <w:rPr>
                <w:rFonts w:hint="eastAsia"/>
                <w:bCs/>
                <w:color w:val="auto"/>
                <w:sz w:val="24"/>
                <w:vertAlign w:val="superscript"/>
                <w:lang w:val="en-US" w:eastAsia="zh-CN"/>
              </w:rPr>
              <w:t>2</w:t>
            </w:r>
            <w:r>
              <w:rPr>
                <w:rFonts w:hint="eastAsia"/>
                <w:bCs/>
                <w:color w:val="auto"/>
                <w:sz w:val="24"/>
                <w:lang w:val="en-US" w:eastAsia="zh-CN"/>
              </w:rPr>
              <w:t>球团竖炉，污染物排放量颗粒物55.29吨/年(粉尘34.62吨/年、烟尘20.67吨/年)，二氧化硫165.42吨/年，氮氧化物58.75吨/年，置换给高活性溶剂生产线技改项目粉尘30.24吨/年、烟尘6.12吨/年，二氧化硫19.28吨/年，氮氧化物48.96吨/年，剩余颗粒物18.93吨/年，二氧化硫146.14吨/年，氮氧化物9.79吨/年，其中二氧化硫16.265吨/年，氮氧化物8.3872吨/年用于本项目置换。</w:t>
            </w:r>
          </w:p>
        </w:tc>
      </w:tr>
    </w:tbl>
    <w:p w14:paraId="4C3D52D1">
      <w:pPr>
        <w:pStyle w:val="22"/>
        <w:jc w:val="center"/>
        <w:outlineLvl w:val="0"/>
        <w:rPr>
          <w:rFonts w:ascii="黑体" w:hAnsi="黑体" w:eastAsia="黑体"/>
          <w:snapToGrid w:val="0"/>
          <w:color w:val="auto"/>
          <w:sz w:val="30"/>
          <w:szCs w:val="30"/>
        </w:rPr>
      </w:pPr>
      <w:r>
        <w:rPr>
          <w:rFonts w:ascii="黑体" w:hAnsi="黑体" w:eastAsia="黑体"/>
          <w:snapToGrid w:val="0"/>
          <w:color w:val="auto"/>
          <w:sz w:val="36"/>
          <w:szCs w:val="36"/>
        </w:rPr>
        <w:br w:type="page"/>
      </w:r>
      <w:r>
        <w:rPr>
          <w:rFonts w:hint="eastAsia" w:ascii="黑体" w:hAnsi="黑体" w:eastAsia="黑体"/>
          <w:snapToGrid w:val="0"/>
          <w:color w:val="auto"/>
          <w:sz w:val="30"/>
          <w:szCs w:val="30"/>
        </w:rPr>
        <w:t>四、主要环境影响和保护措施</w:t>
      </w:r>
    </w:p>
    <w:tbl>
      <w:tblPr>
        <w:tblStyle w:val="26"/>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96"/>
        <w:gridCol w:w="8685"/>
      </w:tblGrid>
      <w:tr w14:paraId="30858D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64" w:hRule="atLeast"/>
          <w:jc w:val="center"/>
        </w:trPr>
        <w:tc>
          <w:tcPr>
            <w:tcW w:w="292" w:type="dxa"/>
            <w:noWrap w:val="0"/>
            <w:tcMar>
              <w:left w:w="28" w:type="dxa"/>
              <w:right w:w="28" w:type="dxa"/>
            </w:tcMar>
            <w:vAlign w:val="center"/>
          </w:tcPr>
          <w:p w14:paraId="60E521FC">
            <w:pPr>
              <w:pStyle w:val="22"/>
              <w:adjustRightInd w:val="0"/>
              <w:snapToGrid w:val="0"/>
              <w:spacing w:before="0" w:beforeAutospacing="0" w:after="0" w:afterAutospacing="0"/>
              <w:jc w:val="center"/>
              <w:rPr>
                <w:rFonts w:cs="宋体"/>
                <w:color w:val="auto"/>
                <w:kern w:val="2"/>
                <w:szCs w:val="24"/>
              </w:rPr>
            </w:pPr>
            <w:r>
              <w:rPr>
                <w:rFonts w:hint="eastAsia" w:cs="宋体"/>
                <w:color w:val="auto"/>
                <w:kern w:val="2"/>
                <w:szCs w:val="24"/>
              </w:rPr>
              <w:t>施工</w:t>
            </w:r>
          </w:p>
          <w:p w14:paraId="4AE466CD">
            <w:pPr>
              <w:pStyle w:val="22"/>
              <w:adjustRightInd w:val="0"/>
              <w:snapToGrid w:val="0"/>
              <w:spacing w:before="0" w:beforeAutospacing="0" w:after="0" w:afterAutospacing="0"/>
              <w:jc w:val="center"/>
              <w:rPr>
                <w:rFonts w:cs="宋体"/>
                <w:color w:val="auto"/>
                <w:kern w:val="2"/>
                <w:szCs w:val="24"/>
              </w:rPr>
            </w:pPr>
            <w:r>
              <w:rPr>
                <w:rFonts w:hint="eastAsia" w:cs="宋体"/>
                <w:color w:val="auto"/>
                <w:kern w:val="2"/>
                <w:szCs w:val="24"/>
              </w:rPr>
              <w:t>期环</w:t>
            </w:r>
          </w:p>
          <w:p w14:paraId="3F1ABBEA">
            <w:pPr>
              <w:pStyle w:val="22"/>
              <w:adjustRightInd w:val="0"/>
              <w:snapToGrid w:val="0"/>
              <w:spacing w:before="0" w:beforeAutospacing="0" w:after="0" w:afterAutospacing="0"/>
              <w:jc w:val="center"/>
              <w:rPr>
                <w:rFonts w:cs="宋体"/>
                <w:color w:val="auto"/>
                <w:kern w:val="2"/>
                <w:szCs w:val="24"/>
              </w:rPr>
            </w:pPr>
            <w:r>
              <w:rPr>
                <w:rFonts w:hint="eastAsia" w:cs="宋体"/>
                <w:color w:val="auto"/>
                <w:kern w:val="2"/>
                <w:szCs w:val="24"/>
              </w:rPr>
              <w:t>境保</w:t>
            </w:r>
          </w:p>
          <w:p w14:paraId="34DE6C95">
            <w:pPr>
              <w:pStyle w:val="22"/>
              <w:adjustRightInd w:val="0"/>
              <w:snapToGrid w:val="0"/>
              <w:spacing w:before="0" w:beforeAutospacing="0" w:after="0" w:afterAutospacing="0"/>
              <w:jc w:val="center"/>
              <w:rPr>
                <w:rFonts w:cs="宋体"/>
                <w:color w:val="auto"/>
                <w:kern w:val="2"/>
                <w:szCs w:val="24"/>
              </w:rPr>
            </w:pPr>
            <w:r>
              <w:rPr>
                <w:rFonts w:hint="eastAsia" w:cs="宋体"/>
                <w:color w:val="auto"/>
                <w:kern w:val="2"/>
                <w:szCs w:val="24"/>
              </w:rPr>
              <w:t>护措</w:t>
            </w:r>
          </w:p>
          <w:p w14:paraId="43580617">
            <w:pPr>
              <w:pStyle w:val="22"/>
              <w:adjustRightInd w:val="0"/>
              <w:snapToGrid w:val="0"/>
              <w:spacing w:before="0" w:beforeAutospacing="0" w:after="0" w:afterAutospacing="0"/>
              <w:jc w:val="center"/>
              <w:rPr>
                <w:rFonts w:cs="宋体"/>
                <w:bCs/>
                <w:color w:val="auto"/>
                <w:kern w:val="2"/>
                <w:szCs w:val="24"/>
              </w:rPr>
            </w:pPr>
            <w:r>
              <w:rPr>
                <w:rFonts w:hint="eastAsia" w:cs="宋体"/>
                <w:color w:val="auto"/>
                <w:kern w:val="2"/>
                <w:szCs w:val="24"/>
              </w:rPr>
              <w:t>施</w:t>
            </w:r>
          </w:p>
        </w:tc>
        <w:tc>
          <w:tcPr>
            <w:tcW w:w="8689" w:type="dxa"/>
            <w:noWrap w:val="0"/>
            <w:vAlign w:val="center"/>
          </w:tcPr>
          <w:p w14:paraId="4DA32C4C">
            <w:pPr>
              <w:spacing w:line="360" w:lineRule="auto"/>
              <w:ind w:firstLine="482" w:firstLineChars="200"/>
              <w:rPr>
                <w:rFonts w:hint="eastAsia"/>
                <w:b/>
                <w:bCs/>
                <w:color w:val="auto"/>
                <w:sz w:val="24"/>
              </w:rPr>
            </w:pPr>
            <w:r>
              <w:rPr>
                <w:rFonts w:hint="eastAsia"/>
                <w:b/>
                <w:bCs/>
                <w:color w:val="auto"/>
                <w:sz w:val="24"/>
                <w:lang w:val="en-US" w:eastAsia="zh-CN"/>
              </w:rPr>
              <w:t>1、</w:t>
            </w:r>
            <w:r>
              <w:rPr>
                <w:rFonts w:hint="eastAsia"/>
                <w:b/>
                <w:bCs/>
                <w:color w:val="auto"/>
                <w:sz w:val="24"/>
              </w:rPr>
              <w:t>施工期环境空气污染防治措施</w:t>
            </w:r>
          </w:p>
          <w:p w14:paraId="1AB5A090">
            <w:pPr>
              <w:spacing w:line="360" w:lineRule="auto"/>
              <w:ind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施工期间大气污染源来自施工土方扬尘、材料运输产生的道路扬尘以及施工机械及运输车辆排放的尾气。</w:t>
            </w:r>
          </w:p>
          <w:p w14:paraId="26417534">
            <w:pPr>
              <w:spacing w:line="360" w:lineRule="auto"/>
              <w:ind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（1）施工土方扬尘控制措施</w:t>
            </w:r>
          </w:p>
          <w:p w14:paraId="25225871">
            <w:pPr>
              <w:spacing w:line="360" w:lineRule="auto"/>
              <w:ind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①施工现场堆放使用水泥、石灰、砂石、涂料、铺装材料等易产生扬尘的建筑材料应入库贮存装卸，搬运时轻拿轻放，避免包装破裂产生扬尘；</w:t>
            </w:r>
          </w:p>
          <w:p w14:paraId="4AB55A17">
            <w:pPr>
              <w:spacing w:line="360" w:lineRule="auto"/>
              <w:ind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②对现场存放的土方洒水，保持其表面潮湿，以避免扬尘；</w:t>
            </w:r>
          </w:p>
          <w:p w14:paraId="0F6BF6C0">
            <w:pPr>
              <w:spacing w:line="360" w:lineRule="auto"/>
              <w:ind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③施工内部工地裸露地面应覆盖防尘布或防尘网、定时水雾喷洒降低施工场地扬尘、配置文明施工等措施防止扬尘造成影响；</w:t>
            </w:r>
          </w:p>
          <w:p w14:paraId="6874C611">
            <w:pPr>
              <w:spacing w:line="360" w:lineRule="auto"/>
              <w:ind w:firstLine="480" w:firstLineChars="200"/>
              <w:rPr>
                <w:rFonts w:hint="eastAsia" w:ascii="Times New Roman" w:hAnsi="Times New Roman" w:eastAsia="宋体" w:cs="Times New Roman"/>
                <w:sz w:val="24"/>
                <w:highlight w:val="none"/>
                <w:lang w:val="en-US" w:eastAsia="zh-CN"/>
              </w:rPr>
            </w:pPr>
            <w:r>
              <w:rPr>
                <w:rFonts w:hint="eastAsia" w:ascii="Times New Roman" w:hAnsi="Times New Roman" w:eastAsia="宋体" w:cs="Times New Roman"/>
                <w:color w:val="auto"/>
                <w:sz w:val="24"/>
                <w:lang w:val="en-US" w:eastAsia="zh-CN"/>
              </w:rPr>
              <w:t>④施工过程中产生的弃料及其他建筑垃圾，应及时清运；完善排水设施，防止进出车</w:t>
            </w:r>
            <w:r>
              <w:rPr>
                <w:rFonts w:hint="eastAsia" w:ascii="Times New Roman" w:hAnsi="Times New Roman" w:eastAsia="宋体" w:cs="Times New Roman"/>
                <w:sz w:val="24"/>
                <w:highlight w:val="none"/>
                <w:lang w:val="en-US" w:eastAsia="zh-CN"/>
              </w:rPr>
              <w:t>辆泥土粘带。</w:t>
            </w:r>
          </w:p>
          <w:p w14:paraId="4765B725">
            <w:pPr>
              <w:spacing w:line="360" w:lineRule="auto"/>
              <w:ind w:firstLine="480" w:firstLineChars="200"/>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lang w:val="en-US" w:eastAsia="zh-CN"/>
              </w:rPr>
              <w:t>建设单位施工期间要确保建筑工地扬尘污染控制达到“七个百分百”，即：现场封闭管理100%、现场湿法作业100%、场区路面硬化100%、渣土物料覆盖100%、物料密闭运输100%、出入车辆清洗100%、工地内非道路移动机械100%达标，可以有效减少扬尘量，降低施工期扬尘对环境的影响。</w:t>
            </w:r>
          </w:p>
          <w:p w14:paraId="2689513E">
            <w:pPr>
              <w:spacing w:line="360" w:lineRule="auto"/>
              <w:ind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（2）道路扬尘控制措施</w:t>
            </w:r>
          </w:p>
          <w:p w14:paraId="66C6DF23">
            <w:pPr>
              <w:spacing w:line="360" w:lineRule="auto"/>
              <w:ind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①物料运输应使用帆布覆盖，防止运输过程中的飞扬和和洒落；</w:t>
            </w:r>
          </w:p>
          <w:p w14:paraId="7E53C4A3">
            <w:pPr>
              <w:spacing w:line="360" w:lineRule="auto"/>
              <w:ind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②运输车辆不得超载，被运物料不得含水太多，造成沿途泥浆滴漏，从而影响道路整洁，建筑固废必须及时清运并按照指定的运输线路行驶，送往指定的倾倒地点；</w:t>
            </w:r>
          </w:p>
          <w:p w14:paraId="5E2A4BE3">
            <w:pPr>
              <w:spacing w:line="360" w:lineRule="auto"/>
              <w:ind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③驶离建筑工地的车辆必须经过清洗，以避免工地泥浆带入城镇道路环境；</w:t>
            </w:r>
          </w:p>
          <w:p w14:paraId="7494571A">
            <w:pPr>
              <w:spacing w:line="360" w:lineRule="auto"/>
              <w:ind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④妥善合理地安排工地建筑材料及其它物料的运输时间，控制车辆行驶速度；</w:t>
            </w:r>
          </w:p>
          <w:p w14:paraId="172C127B">
            <w:pPr>
              <w:spacing w:line="360" w:lineRule="auto"/>
              <w:ind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⑤施工现场道路要做到坚实路面，经常清扫路面，定时适当洒水，保持路面湿润。</w:t>
            </w:r>
          </w:p>
          <w:p w14:paraId="303C4053">
            <w:pPr>
              <w:spacing w:line="360" w:lineRule="auto"/>
              <w:ind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（3）施工机械及车辆尾气环境影响分析</w:t>
            </w:r>
          </w:p>
          <w:p w14:paraId="149EF37A">
            <w:pPr>
              <w:spacing w:line="360" w:lineRule="auto"/>
              <w:ind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施工建设期间，车辆尾气中主要污染物为CO、NOx及碳氢化合物等，间断运行，要求建设单位采用高品质柴油，加强施工车辆运行管理，定期维护保养，增加新能源机械设备比例，可减少尾气排放对环境的污染，对环境影响小。</w:t>
            </w:r>
          </w:p>
          <w:p w14:paraId="4EA2262B">
            <w:pPr>
              <w:spacing w:line="360" w:lineRule="auto"/>
              <w:ind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综上所述，本项目施工期对环境空气影响较小。</w:t>
            </w:r>
          </w:p>
          <w:p w14:paraId="3F66A386">
            <w:pPr>
              <w:spacing w:line="360" w:lineRule="auto"/>
              <w:ind w:firstLine="482" w:firstLineChars="200"/>
              <w:rPr>
                <w:b/>
                <w:bCs/>
                <w:color w:val="auto"/>
                <w:sz w:val="24"/>
              </w:rPr>
            </w:pPr>
            <w:r>
              <w:rPr>
                <w:rFonts w:hint="eastAsia"/>
                <w:b/>
                <w:bCs/>
                <w:color w:val="auto"/>
                <w:sz w:val="24"/>
                <w:lang w:val="en-US" w:eastAsia="zh-CN"/>
              </w:rPr>
              <w:t>2、</w:t>
            </w:r>
            <w:r>
              <w:rPr>
                <w:rFonts w:hint="eastAsia"/>
                <w:b/>
                <w:bCs/>
                <w:color w:val="auto"/>
                <w:sz w:val="24"/>
              </w:rPr>
              <w:t>施工期地表水环境保护措施</w:t>
            </w:r>
          </w:p>
          <w:p w14:paraId="6EEF21A2">
            <w:pPr>
              <w:spacing w:line="360" w:lineRule="auto"/>
              <w:ind w:firstLine="480" w:firstLineChars="200"/>
              <w:rPr>
                <w:rFonts w:hint="eastAsia"/>
                <w:sz w:val="24"/>
                <w:highlight w:val="none"/>
                <w:lang w:val="en-US" w:eastAsia="zh-CN"/>
              </w:rPr>
            </w:pPr>
            <w:r>
              <w:rPr>
                <w:sz w:val="24"/>
                <w:highlight w:val="none"/>
              </w:rPr>
              <w:t>本项目施工</w:t>
            </w:r>
            <w:r>
              <w:rPr>
                <w:rFonts w:hint="eastAsia"/>
                <w:sz w:val="24"/>
                <w:highlight w:val="none"/>
              </w:rPr>
              <w:t>期</w:t>
            </w:r>
            <w:r>
              <w:rPr>
                <w:rFonts w:hint="eastAsia"/>
                <w:sz w:val="24"/>
                <w:highlight w:val="none"/>
                <w:lang w:eastAsia="zh-CN"/>
              </w:rPr>
              <w:t>会产生</w:t>
            </w:r>
            <w:r>
              <w:rPr>
                <w:rFonts w:hint="eastAsia"/>
                <w:sz w:val="24"/>
                <w:highlight w:val="none"/>
                <w:lang w:val="en-US" w:eastAsia="zh-CN"/>
              </w:rPr>
              <w:t>生活污水及施工废水。</w:t>
            </w:r>
          </w:p>
          <w:p w14:paraId="2DE8C07B">
            <w:pPr>
              <w:spacing w:line="360" w:lineRule="auto"/>
              <w:ind w:firstLine="480" w:firstLineChars="200"/>
              <w:rPr>
                <w:rFonts w:hint="default"/>
                <w:sz w:val="24"/>
                <w:highlight w:val="none"/>
                <w:lang w:val="en-US" w:eastAsia="zh-CN"/>
              </w:rPr>
            </w:pPr>
            <w:r>
              <w:rPr>
                <w:rFonts w:hint="eastAsia"/>
                <w:sz w:val="24"/>
                <w:highlight w:val="none"/>
                <w:lang w:val="en-US" w:eastAsia="zh-CN"/>
              </w:rPr>
              <w:t>（1）生活污水</w:t>
            </w:r>
          </w:p>
          <w:p w14:paraId="1A79AB25">
            <w:pPr>
              <w:spacing w:line="360" w:lineRule="auto"/>
              <w:ind w:firstLine="480" w:firstLineChars="200"/>
              <w:rPr>
                <w:rFonts w:ascii="Times New Roman" w:hAnsi="Times New Roman" w:eastAsia="宋体" w:cs="Times New Roman"/>
                <w:sz w:val="24"/>
                <w:highlight w:val="none"/>
              </w:rPr>
            </w:pPr>
            <w:r>
              <w:rPr>
                <w:rFonts w:hint="eastAsia"/>
                <w:sz w:val="24"/>
                <w:highlight w:val="none"/>
                <w:lang w:val="en-US" w:eastAsia="zh-CN"/>
              </w:rPr>
              <w:t>生活污</w:t>
            </w:r>
            <w:r>
              <w:rPr>
                <w:rFonts w:hint="eastAsia"/>
                <w:sz w:val="24"/>
                <w:highlight w:val="none"/>
              </w:rPr>
              <w:t>水主要为施工人员的洗漱废水，洗漱废水用于施工场</w:t>
            </w:r>
            <w:r>
              <w:rPr>
                <w:rFonts w:hint="eastAsia" w:ascii="Times New Roman" w:hAnsi="Times New Roman" w:eastAsia="宋体" w:cs="Times New Roman"/>
                <w:sz w:val="24"/>
                <w:highlight w:val="none"/>
              </w:rPr>
              <w:t>地泼洒抑尘</w:t>
            </w:r>
            <w:r>
              <w:rPr>
                <w:rFonts w:ascii="Times New Roman" w:hAnsi="Times New Roman" w:eastAsia="宋体" w:cs="Times New Roman"/>
                <w:sz w:val="24"/>
                <w:highlight w:val="none"/>
              </w:rPr>
              <w:t>。</w:t>
            </w:r>
          </w:p>
          <w:p w14:paraId="73BAC93D">
            <w:pPr>
              <w:spacing w:line="360" w:lineRule="auto"/>
              <w:ind w:firstLine="480" w:firstLineChars="200"/>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sz w:val="24"/>
                <w:highlight w:val="none"/>
                <w:lang w:eastAsia="zh-CN"/>
              </w:rPr>
              <w:t>（</w:t>
            </w:r>
            <w:r>
              <w:rPr>
                <w:rFonts w:hint="eastAsia" w:ascii="Times New Roman" w:hAnsi="Times New Roman" w:eastAsia="宋体" w:cs="Times New Roman"/>
                <w:sz w:val="24"/>
                <w:highlight w:val="none"/>
                <w:lang w:val="en-US" w:eastAsia="zh-CN"/>
              </w:rPr>
              <w:t>2）施工废水</w:t>
            </w:r>
          </w:p>
          <w:p w14:paraId="2A6DF895">
            <w:pPr>
              <w:spacing w:line="360" w:lineRule="auto"/>
              <w:ind w:firstLine="480" w:firstLineChars="200"/>
            </w:pPr>
            <w:r>
              <w:rPr>
                <w:rFonts w:hint="eastAsia" w:ascii="Times New Roman" w:hAnsi="Times New Roman" w:eastAsia="宋体" w:cs="Times New Roman"/>
                <w:sz w:val="24"/>
                <w:highlight w:val="none"/>
              </w:rPr>
              <w:t>在项目区设置1座2×2×1m的沉淀池，施工机械和运输车辆清洗废水经沉淀池处理后，全部用作施工物料混合用水、降尘、喷洒，不外排。</w:t>
            </w:r>
          </w:p>
          <w:p w14:paraId="17B24469">
            <w:pPr>
              <w:spacing w:line="360" w:lineRule="auto"/>
              <w:ind w:firstLine="482" w:firstLineChars="200"/>
              <w:rPr>
                <w:b/>
                <w:bCs/>
                <w:color w:val="auto"/>
                <w:sz w:val="24"/>
              </w:rPr>
            </w:pPr>
            <w:r>
              <w:rPr>
                <w:rFonts w:hint="eastAsia"/>
                <w:b/>
                <w:bCs/>
                <w:color w:val="auto"/>
                <w:sz w:val="24"/>
                <w:lang w:val="en-US" w:eastAsia="zh-CN"/>
              </w:rPr>
              <w:t>3、施工期声环境保护措施</w:t>
            </w:r>
          </w:p>
          <w:p w14:paraId="5C71B505">
            <w:pPr>
              <w:spacing w:line="360" w:lineRule="auto"/>
              <w:ind w:firstLine="480" w:firstLineChars="200"/>
              <w:rPr>
                <w:sz w:val="24"/>
                <w:highlight w:val="none"/>
              </w:rPr>
            </w:pPr>
            <w:r>
              <w:rPr>
                <w:sz w:val="24"/>
                <w:highlight w:val="none"/>
              </w:rPr>
              <w:t>噪声污染是施工期的主要环境污染，污染集中在</w:t>
            </w:r>
            <w:r>
              <w:rPr>
                <w:rFonts w:hint="eastAsia"/>
                <w:sz w:val="24"/>
                <w:highlight w:val="none"/>
              </w:rPr>
              <w:t>设备安装</w:t>
            </w:r>
            <w:r>
              <w:rPr>
                <w:sz w:val="24"/>
                <w:highlight w:val="none"/>
              </w:rPr>
              <w:t>阶段。</w:t>
            </w:r>
          </w:p>
          <w:p w14:paraId="7951DC99">
            <w:pPr>
              <w:spacing w:line="360" w:lineRule="auto"/>
              <w:ind w:firstLine="480" w:firstLineChars="200"/>
              <w:rPr>
                <w:sz w:val="24"/>
                <w:highlight w:val="none"/>
              </w:rPr>
            </w:pPr>
            <w:r>
              <w:rPr>
                <w:sz w:val="24"/>
                <w:highlight w:val="none"/>
              </w:rPr>
              <w:t>施工结</w:t>
            </w:r>
            <w:r>
              <w:rPr>
                <w:rFonts w:hint="eastAsia"/>
                <w:sz w:val="24"/>
                <w:highlight w:val="none"/>
                <w:lang w:eastAsia="zh-CN"/>
              </w:rPr>
              <w:t>束后</w:t>
            </w:r>
            <w:r>
              <w:rPr>
                <w:sz w:val="24"/>
                <w:highlight w:val="none"/>
              </w:rPr>
              <w:t>，施工噪声即随之消失。</w:t>
            </w:r>
            <w:r>
              <w:rPr>
                <w:rFonts w:hint="eastAsia"/>
                <w:sz w:val="24"/>
                <w:highlight w:val="none"/>
              </w:rPr>
              <w:t>本次评价要求建设单位采取以下防治措施来减轻噪声对周围环境的影响。</w:t>
            </w:r>
          </w:p>
          <w:p w14:paraId="1ECEFD2D">
            <w:pPr>
              <w:spacing w:line="360" w:lineRule="auto"/>
              <w:ind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（1）噪声控制措施</w:t>
            </w:r>
          </w:p>
          <w:p w14:paraId="787E9EEC">
            <w:pPr>
              <w:spacing w:line="360" w:lineRule="auto"/>
              <w:ind w:firstLine="480" w:firstLineChars="200"/>
              <w:rPr>
                <w:color w:val="auto"/>
                <w:sz w:val="24"/>
              </w:rPr>
            </w:pPr>
            <w:r>
              <w:rPr>
                <w:rFonts w:hint="eastAsia"/>
                <w:color w:val="auto"/>
                <w:sz w:val="24"/>
                <w:lang w:val="en-US" w:eastAsia="zh-CN"/>
              </w:rPr>
              <w:t>①施工单位要合理安排施工作业时间，夜间严禁高噪设备施工。有高产噪设备的施工时间应尽量安排在日间；</w:t>
            </w:r>
          </w:p>
          <w:p w14:paraId="2C57A717">
            <w:pPr>
              <w:spacing w:line="360" w:lineRule="auto"/>
              <w:ind w:firstLine="480" w:firstLineChars="200"/>
              <w:rPr>
                <w:color w:val="auto"/>
                <w:sz w:val="24"/>
              </w:rPr>
            </w:pPr>
            <w:r>
              <w:rPr>
                <w:rFonts w:hint="eastAsia"/>
                <w:color w:val="auto"/>
                <w:sz w:val="24"/>
                <w:lang w:val="en-US" w:eastAsia="zh-CN"/>
              </w:rPr>
              <w:t>②施工设备选型上应尽量采用低噪声设备，如振捣器采用变频振捣器等；</w:t>
            </w:r>
          </w:p>
          <w:p w14:paraId="1E13AD98">
            <w:pPr>
              <w:spacing w:line="360" w:lineRule="auto"/>
              <w:ind w:firstLine="480" w:firstLineChars="200"/>
              <w:rPr>
                <w:color w:val="auto"/>
                <w:sz w:val="24"/>
              </w:rPr>
            </w:pPr>
            <w:r>
              <w:rPr>
                <w:rFonts w:hint="eastAsia"/>
                <w:color w:val="auto"/>
                <w:sz w:val="24"/>
                <w:lang w:val="en-US" w:eastAsia="zh-CN"/>
              </w:rPr>
              <w:t>③在模板、支架的拆卸过程中应遵守作业规定，减少碰撞噪声；</w:t>
            </w:r>
          </w:p>
          <w:p w14:paraId="7888DCE1">
            <w:pPr>
              <w:spacing w:line="360" w:lineRule="auto"/>
              <w:ind w:firstLine="480" w:firstLineChars="200"/>
              <w:rPr>
                <w:color w:val="auto"/>
                <w:sz w:val="24"/>
              </w:rPr>
            </w:pPr>
            <w:r>
              <w:rPr>
                <w:rFonts w:hint="eastAsia"/>
                <w:color w:val="auto"/>
                <w:sz w:val="24"/>
                <w:lang w:val="en-US" w:eastAsia="zh-CN"/>
              </w:rPr>
              <w:t>由于建设期较短，土建内容少，这些影响相对运营期较小。采取措施后噪声对区域环境产生的影响不大。</w:t>
            </w:r>
          </w:p>
          <w:p w14:paraId="5A74B2E1">
            <w:pPr>
              <w:spacing w:line="360" w:lineRule="auto"/>
              <w:ind w:firstLine="482" w:firstLineChars="200"/>
              <w:rPr>
                <w:color w:val="auto"/>
                <w:sz w:val="24"/>
              </w:rPr>
            </w:pPr>
            <w:r>
              <w:rPr>
                <w:rFonts w:hint="eastAsia"/>
                <w:b/>
                <w:bCs/>
                <w:color w:val="auto"/>
                <w:sz w:val="24"/>
                <w:lang w:val="en-US" w:eastAsia="zh-CN"/>
              </w:rPr>
              <w:t>4、施工期固体废物环境保护措施</w:t>
            </w:r>
          </w:p>
          <w:p w14:paraId="39F40AD1">
            <w:pPr>
              <w:spacing w:line="360" w:lineRule="auto"/>
              <w:ind w:firstLine="480" w:firstLineChars="200"/>
              <w:rPr>
                <w:color w:val="auto"/>
                <w:sz w:val="24"/>
              </w:rPr>
            </w:pPr>
            <w:r>
              <w:rPr>
                <w:rFonts w:hint="eastAsia"/>
                <w:color w:val="auto"/>
                <w:sz w:val="24"/>
                <w:lang w:val="en-US" w:eastAsia="zh-CN"/>
              </w:rPr>
              <w:t>（1）生活垃圾</w:t>
            </w:r>
          </w:p>
          <w:p w14:paraId="51AA9829">
            <w:pPr>
              <w:spacing w:line="360" w:lineRule="auto"/>
              <w:ind w:firstLine="480" w:firstLineChars="200"/>
              <w:rPr>
                <w:color w:val="auto"/>
                <w:sz w:val="24"/>
              </w:rPr>
            </w:pPr>
            <w:r>
              <w:rPr>
                <w:rFonts w:hint="eastAsia"/>
                <w:color w:val="auto"/>
                <w:sz w:val="24"/>
                <w:lang w:val="en-US" w:eastAsia="zh-CN"/>
              </w:rPr>
              <w:t>本项目施工期施工人员主要为专业施工队，在厂区内设置垃圾桶收集生活垃圾，委托环卫部门统一处理，对环境影响较小。</w:t>
            </w:r>
          </w:p>
          <w:p w14:paraId="15C29A6C">
            <w:pPr>
              <w:spacing w:line="360" w:lineRule="auto"/>
              <w:ind w:firstLine="480" w:firstLineChars="200"/>
              <w:rPr>
                <w:color w:val="auto"/>
                <w:sz w:val="24"/>
              </w:rPr>
            </w:pPr>
            <w:r>
              <w:rPr>
                <w:rFonts w:hint="eastAsia"/>
                <w:color w:val="auto"/>
                <w:sz w:val="24"/>
                <w:lang w:val="en-US" w:eastAsia="zh-CN"/>
              </w:rPr>
              <w:t>（2）建筑垃圾</w:t>
            </w:r>
          </w:p>
          <w:p w14:paraId="21921F99">
            <w:pPr>
              <w:spacing w:line="360" w:lineRule="auto"/>
              <w:ind w:firstLine="480" w:firstLineChars="200"/>
              <w:rPr>
                <w:rFonts w:hint="eastAsia"/>
                <w:color w:val="auto"/>
                <w:sz w:val="24"/>
                <w:lang w:val="en-US" w:eastAsia="zh-CN"/>
              </w:rPr>
            </w:pPr>
            <w:r>
              <w:rPr>
                <w:rFonts w:hint="eastAsia"/>
                <w:color w:val="auto"/>
                <w:sz w:val="24"/>
                <w:lang w:val="en-US" w:eastAsia="zh-CN"/>
              </w:rPr>
              <w:t>建筑垃圾主要包括建筑施工垃圾。</w:t>
            </w:r>
          </w:p>
          <w:p w14:paraId="24E00459">
            <w:pPr>
              <w:spacing w:line="360" w:lineRule="auto"/>
              <w:ind w:firstLine="480" w:firstLineChars="200"/>
              <w:rPr>
                <w:color w:val="auto"/>
                <w:sz w:val="24"/>
              </w:rPr>
            </w:pPr>
            <w:r>
              <w:rPr>
                <w:rFonts w:hint="eastAsia"/>
                <w:color w:val="auto"/>
                <w:sz w:val="24"/>
                <w:lang w:val="en-US" w:eastAsia="zh-CN"/>
              </w:rPr>
              <w:t>本项目施工过程主要包括钢筋、混凝土工程、钢木工程、砌体工程等。产生的建筑垃圾主要有混凝土碎块、废弃钢筋、施工下脚料、废弃瓷砖、废弃石块、废弃建筑包装材料等。建筑垃圾优先考虑建筑材料的回用，如废钢筋等。</w:t>
            </w:r>
          </w:p>
          <w:p w14:paraId="0982DB84">
            <w:pPr>
              <w:spacing w:line="360" w:lineRule="auto"/>
              <w:ind w:firstLine="480" w:firstLineChars="200"/>
              <w:rPr>
                <w:color w:val="auto"/>
                <w:sz w:val="24"/>
              </w:rPr>
            </w:pPr>
            <w:r>
              <w:rPr>
                <w:rFonts w:hint="eastAsia"/>
                <w:color w:val="auto"/>
                <w:sz w:val="24"/>
                <w:lang w:val="en-US" w:eastAsia="zh-CN"/>
              </w:rPr>
              <w:t>无法利用的应由各施工队妥善处理，应分类堆置并送往管理部门指定地点，及时清运。</w:t>
            </w:r>
          </w:p>
          <w:p w14:paraId="73B4F925">
            <w:pPr>
              <w:spacing w:line="360" w:lineRule="auto"/>
              <w:ind w:firstLine="480" w:firstLineChars="200"/>
              <w:rPr>
                <w:rFonts w:hint="eastAsia"/>
                <w:color w:val="auto"/>
                <w:sz w:val="24"/>
                <w:lang w:val="en-US" w:eastAsia="zh-CN"/>
              </w:rPr>
            </w:pPr>
            <w:r>
              <w:rPr>
                <w:rFonts w:hint="eastAsia"/>
                <w:color w:val="auto"/>
                <w:sz w:val="24"/>
                <w:lang w:val="en-US" w:eastAsia="zh-CN"/>
              </w:rPr>
              <w:t>综上所述，经采取防治措施后，可大大减小施工期对环境的影响，且施工过程中产生的污染都是暂时的，随着施工结束，污染也将消失。</w:t>
            </w:r>
          </w:p>
          <w:p w14:paraId="63927B61">
            <w:pPr>
              <w:pStyle w:val="2"/>
              <w:rPr>
                <w:rFonts w:hint="eastAsia"/>
                <w:color w:val="auto"/>
                <w:sz w:val="24"/>
                <w:lang w:val="en-US" w:eastAsia="zh-CN"/>
              </w:rPr>
            </w:pPr>
          </w:p>
          <w:p w14:paraId="3404FA3B">
            <w:pPr>
              <w:pStyle w:val="4"/>
              <w:rPr>
                <w:rFonts w:hint="eastAsia"/>
                <w:color w:val="auto"/>
                <w:sz w:val="24"/>
                <w:lang w:val="en-US" w:eastAsia="zh-CN"/>
              </w:rPr>
            </w:pPr>
          </w:p>
          <w:p w14:paraId="3D480819">
            <w:pPr>
              <w:rPr>
                <w:rFonts w:hint="eastAsia"/>
                <w:color w:val="auto"/>
                <w:sz w:val="24"/>
                <w:lang w:val="en-US" w:eastAsia="zh-CN"/>
              </w:rPr>
            </w:pPr>
          </w:p>
          <w:p w14:paraId="1915AEE8">
            <w:pPr>
              <w:pStyle w:val="2"/>
              <w:rPr>
                <w:rFonts w:hint="eastAsia"/>
                <w:color w:val="auto"/>
                <w:sz w:val="24"/>
                <w:lang w:val="en-US" w:eastAsia="zh-CN"/>
              </w:rPr>
            </w:pPr>
          </w:p>
          <w:p w14:paraId="45EBEA62">
            <w:pPr>
              <w:pStyle w:val="4"/>
              <w:rPr>
                <w:rFonts w:hint="eastAsia"/>
                <w:color w:val="auto"/>
                <w:sz w:val="24"/>
                <w:lang w:val="en-US" w:eastAsia="zh-CN"/>
              </w:rPr>
            </w:pPr>
          </w:p>
          <w:p w14:paraId="28A64B9E">
            <w:pPr>
              <w:rPr>
                <w:rFonts w:hint="eastAsia"/>
                <w:color w:val="auto"/>
                <w:sz w:val="24"/>
                <w:lang w:val="en-US" w:eastAsia="zh-CN"/>
              </w:rPr>
            </w:pPr>
          </w:p>
          <w:p w14:paraId="7EFEFC41">
            <w:pPr>
              <w:pStyle w:val="2"/>
              <w:rPr>
                <w:rFonts w:hint="eastAsia"/>
                <w:color w:val="auto"/>
                <w:sz w:val="24"/>
                <w:lang w:val="en-US" w:eastAsia="zh-CN"/>
              </w:rPr>
            </w:pPr>
          </w:p>
          <w:p w14:paraId="44745F2B">
            <w:pPr>
              <w:pStyle w:val="4"/>
              <w:rPr>
                <w:rFonts w:hint="eastAsia"/>
                <w:color w:val="auto"/>
                <w:sz w:val="24"/>
                <w:lang w:val="en-US" w:eastAsia="zh-CN"/>
              </w:rPr>
            </w:pPr>
          </w:p>
          <w:p w14:paraId="1EA5E3D8">
            <w:pPr>
              <w:rPr>
                <w:rFonts w:hint="eastAsia"/>
                <w:color w:val="auto"/>
                <w:sz w:val="24"/>
                <w:lang w:val="en-US" w:eastAsia="zh-CN"/>
              </w:rPr>
            </w:pPr>
          </w:p>
          <w:p w14:paraId="6B502061">
            <w:pPr>
              <w:pStyle w:val="2"/>
              <w:rPr>
                <w:rFonts w:hint="eastAsia"/>
                <w:color w:val="auto"/>
                <w:sz w:val="24"/>
                <w:lang w:val="en-US" w:eastAsia="zh-CN"/>
              </w:rPr>
            </w:pPr>
          </w:p>
          <w:p w14:paraId="2BC45C90">
            <w:pPr>
              <w:pStyle w:val="4"/>
              <w:rPr>
                <w:rFonts w:hint="eastAsia"/>
                <w:color w:val="auto"/>
                <w:sz w:val="24"/>
                <w:lang w:val="en-US" w:eastAsia="zh-CN"/>
              </w:rPr>
            </w:pPr>
          </w:p>
          <w:p w14:paraId="14B3F6F0">
            <w:pPr>
              <w:rPr>
                <w:rFonts w:hint="eastAsia"/>
                <w:color w:val="auto"/>
                <w:sz w:val="24"/>
                <w:lang w:val="en-US" w:eastAsia="zh-CN"/>
              </w:rPr>
            </w:pPr>
          </w:p>
          <w:p w14:paraId="7E7A2227">
            <w:pPr>
              <w:pStyle w:val="2"/>
              <w:rPr>
                <w:rFonts w:hint="eastAsia"/>
                <w:color w:val="auto"/>
                <w:sz w:val="24"/>
                <w:lang w:val="en-US" w:eastAsia="zh-CN"/>
              </w:rPr>
            </w:pPr>
          </w:p>
          <w:p w14:paraId="2C86929B">
            <w:pPr>
              <w:pStyle w:val="4"/>
              <w:rPr>
                <w:rFonts w:hint="eastAsia"/>
                <w:color w:val="auto"/>
                <w:sz w:val="24"/>
                <w:lang w:val="en-US" w:eastAsia="zh-CN"/>
              </w:rPr>
            </w:pPr>
          </w:p>
          <w:p w14:paraId="0ECA4401">
            <w:pPr>
              <w:rPr>
                <w:rFonts w:hint="eastAsia"/>
                <w:color w:val="auto"/>
                <w:sz w:val="24"/>
                <w:lang w:val="en-US" w:eastAsia="zh-CN"/>
              </w:rPr>
            </w:pPr>
          </w:p>
          <w:p w14:paraId="356E5938">
            <w:pPr>
              <w:pStyle w:val="2"/>
              <w:rPr>
                <w:rFonts w:hint="eastAsia"/>
                <w:color w:val="auto"/>
                <w:sz w:val="24"/>
                <w:lang w:val="en-US" w:eastAsia="zh-CN"/>
              </w:rPr>
            </w:pPr>
          </w:p>
          <w:p w14:paraId="48040F37">
            <w:pPr>
              <w:pStyle w:val="4"/>
              <w:rPr>
                <w:rFonts w:hint="eastAsia"/>
                <w:color w:val="auto"/>
                <w:sz w:val="24"/>
                <w:lang w:val="en-US" w:eastAsia="zh-CN"/>
              </w:rPr>
            </w:pPr>
          </w:p>
          <w:p w14:paraId="49CCCCB9">
            <w:pPr>
              <w:rPr>
                <w:rFonts w:hint="eastAsia"/>
                <w:color w:val="auto"/>
                <w:sz w:val="24"/>
                <w:lang w:val="en-US" w:eastAsia="zh-CN"/>
              </w:rPr>
            </w:pPr>
          </w:p>
          <w:p w14:paraId="72336167">
            <w:pPr>
              <w:pStyle w:val="2"/>
              <w:rPr>
                <w:rFonts w:hint="eastAsia"/>
                <w:color w:val="auto"/>
                <w:sz w:val="24"/>
                <w:lang w:val="en-US" w:eastAsia="zh-CN"/>
              </w:rPr>
            </w:pPr>
          </w:p>
          <w:p w14:paraId="7E1C13BD">
            <w:pPr>
              <w:pStyle w:val="4"/>
              <w:rPr>
                <w:rFonts w:hint="eastAsia"/>
                <w:color w:val="auto"/>
                <w:sz w:val="24"/>
                <w:lang w:val="en-US" w:eastAsia="zh-CN"/>
              </w:rPr>
            </w:pPr>
          </w:p>
          <w:p w14:paraId="32DB8A06">
            <w:pPr>
              <w:rPr>
                <w:rFonts w:hint="eastAsia"/>
                <w:color w:val="auto"/>
                <w:sz w:val="24"/>
                <w:lang w:val="en-US" w:eastAsia="zh-CN"/>
              </w:rPr>
            </w:pPr>
          </w:p>
          <w:p w14:paraId="61810D0C">
            <w:pPr>
              <w:pStyle w:val="2"/>
            </w:pPr>
          </w:p>
          <w:p w14:paraId="1CC895D0">
            <w:pPr>
              <w:spacing w:line="360" w:lineRule="auto"/>
              <w:ind w:firstLine="480" w:firstLineChars="200"/>
              <w:rPr>
                <w:color w:val="auto"/>
                <w:sz w:val="24"/>
              </w:rPr>
            </w:pPr>
          </w:p>
          <w:p w14:paraId="4F58F3C6">
            <w:pPr>
              <w:spacing w:line="360" w:lineRule="auto"/>
              <w:ind w:firstLine="480" w:firstLineChars="200"/>
              <w:rPr>
                <w:color w:val="auto"/>
                <w:sz w:val="24"/>
              </w:rPr>
            </w:pPr>
          </w:p>
          <w:p w14:paraId="18E162BD">
            <w:pPr>
              <w:spacing w:line="360" w:lineRule="auto"/>
              <w:ind w:firstLine="480" w:firstLineChars="200"/>
              <w:rPr>
                <w:color w:val="auto"/>
                <w:sz w:val="24"/>
              </w:rPr>
            </w:pPr>
          </w:p>
          <w:p w14:paraId="6F55E64A">
            <w:pPr>
              <w:spacing w:line="360" w:lineRule="auto"/>
              <w:ind w:firstLine="480" w:firstLineChars="200"/>
              <w:rPr>
                <w:color w:val="auto"/>
                <w:sz w:val="24"/>
              </w:rPr>
            </w:pPr>
          </w:p>
          <w:p w14:paraId="42F912B4">
            <w:pPr>
              <w:spacing w:line="360" w:lineRule="auto"/>
              <w:ind w:firstLine="480" w:firstLineChars="200"/>
              <w:rPr>
                <w:color w:val="auto"/>
                <w:sz w:val="24"/>
              </w:rPr>
            </w:pPr>
          </w:p>
        </w:tc>
      </w:tr>
    </w:tbl>
    <w:p w14:paraId="4F261C1E">
      <w:pPr>
        <w:adjustRightInd w:val="0"/>
        <w:snapToGrid w:val="0"/>
        <w:jc w:val="center"/>
        <w:rPr>
          <w:rFonts w:ascii="宋体" w:hAnsi="宋体" w:cs="宋体"/>
          <w:bCs/>
          <w:color w:val="auto"/>
          <w:sz w:val="24"/>
        </w:rPr>
        <w:sectPr>
          <w:pgSz w:w="11907" w:h="16840"/>
          <w:pgMar w:top="1701" w:right="1531" w:bottom="2127" w:left="1531" w:header="851" w:footer="851" w:gutter="0"/>
          <w:cols w:space="720" w:num="1"/>
          <w:docGrid w:linePitch="312" w:charSpace="0"/>
        </w:sectPr>
      </w:pPr>
    </w:p>
    <w:tbl>
      <w:tblPr>
        <w:tblStyle w:val="26"/>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96"/>
        <w:gridCol w:w="8683"/>
      </w:tblGrid>
      <w:tr w14:paraId="586320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162" w:type="pct"/>
            <w:noWrap w:val="0"/>
            <w:tcMar>
              <w:left w:w="28" w:type="dxa"/>
              <w:right w:w="28" w:type="dxa"/>
            </w:tcMar>
            <w:vAlign w:val="center"/>
          </w:tcPr>
          <w:p w14:paraId="0F4B4650">
            <w:pPr>
              <w:adjustRightInd w:val="0"/>
              <w:snapToGrid w:val="0"/>
              <w:jc w:val="center"/>
              <w:rPr>
                <w:rFonts w:ascii="宋体" w:hAnsi="宋体" w:cs="宋体"/>
                <w:bCs/>
                <w:color w:val="auto"/>
                <w:sz w:val="24"/>
              </w:rPr>
            </w:pPr>
            <w:r>
              <w:rPr>
                <w:rFonts w:hint="eastAsia" w:ascii="宋体" w:hAnsi="宋体" w:cs="宋体"/>
                <w:bCs/>
                <w:color w:val="auto"/>
                <w:sz w:val="24"/>
              </w:rPr>
              <w:t>运营</w:t>
            </w:r>
          </w:p>
          <w:p w14:paraId="078AD160">
            <w:pPr>
              <w:adjustRightInd w:val="0"/>
              <w:snapToGrid w:val="0"/>
              <w:jc w:val="center"/>
              <w:rPr>
                <w:rFonts w:ascii="宋体" w:hAnsi="宋体" w:cs="宋体"/>
                <w:bCs/>
                <w:color w:val="auto"/>
                <w:sz w:val="24"/>
              </w:rPr>
            </w:pPr>
            <w:r>
              <w:rPr>
                <w:rFonts w:hint="eastAsia" w:ascii="宋体" w:hAnsi="宋体" w:cs="宋体"/>
                <w:bCs/>
                <w:color w:val="auto"/>
                <w:sz w:val="24"/>
              </w:rPr>
              <w:t>期环</w:t>
            </w:r>
          </w:p>
          <w:p w14:paraId="06B10D99">
            <w:pPr>
              <w:adjustRightInd w:val="0"/>
              <w:snapToGrid w:val="0"/>
              <w:jc w:val="center"/>
              <w:rPr>
                <w:rFonts w:ascii="宋体" w:hAnsi="宋体" w:cs="宋体"/>
                <w:bCs/>
                <w:color w:val="auto"/>
                <w:sz w:val="24"/>
              </w:rPr>
            </w:pPr>
            <w:r>
              <w:rPr>
                <w:rFonts w:hint="eastAsia" w:ascii="宋体" w:hAnsi="宋体" w:cs="宋体"/>
                <w:bCs/>
                <w:color w:val="auto"/>
                <w:sz w:val="24"/>
              </w:rPr>
              <w:t>境影</w:t>
            </w:r>
          </w:p>
          <w:p w14:paraId="094B34EE">
            <w:pPr>
              <w:adjustRightInd w:val="0"/>
              <w:snapToGrid w:val="0"/>
              <w:jc w:val="center"/>
              <w:rPr>
                <w:rFonts w:ascii="宋体" w:hAnsi="宋体" w:cs="宋体"/>
                <w:bCs/>
                <w:color w:val="auto"/>
                <w:sz w:val="24"/>
              </w:rPr>
            </w:pPr>
            <w:r>
              <w:rPr>
                <w:rFonts w:hint="eastAsia" w:ascii="宋体" w:hAnsi="宋体" w:cs="宋体"/>
                <w:bCs/>
                <w:color w:val="auto"/>
                <w:sz w:val="24"/>
              </w:rPr>
              <w:t>响和</w:t>
            </w:r>
          </w:p>
          <w:p w14:paraId="0E7C39F5">
            <w:pPr>
              <w:adjustRightInd w:val="0"/>
              <w:snapToGrid w:val="0"/>
              <w:jc w:val="center"/>
              <w:rPr>
                <w:rFonts w:ascii="宋体" w:hAnsi="宋体" w:cs="宋体"/>
                <w:bCs/>
                <w:color w:val="auto"/>
                <w:sz w:val="24"/>
              </w:rPr>
            </w:pPr>
            <w:r>
              <w:rPr>
                <w:rFonts w:hint="eastAsia" w:ascii="宋体" w:hAnsi="宋体" w:cs="宋体"/>
                <w:bCs/>
                <w:color w:val="auto"/>
                <w:sz w:val="24"/>
              </w:rPr>
              <w:t>保护</w:t>
            </w:r>
          </w:p>
          <w:p w14:paraId="70600B20">
            <w:pPr>
              <w:adjustRightInd w:val="0"/>
              <w:snapToGrid w:val="0"/>
              <w:jc w:val="center"/>
              <w:rPr>
                <w:rFonts w:ascii="宋体" w:hAnsi="宋体" w:cs="宋体"/>
                <w:bCs/>
                <w:color w:val="auto"/>
                <w:sz w:val="24"/>
              </w:rPr>
            </w:pPr>
            <w:r>
              <w:rPr>
                <w:rFonts w:hint="eastAsia" w:ascii="宋体" w:hAnsi="宋体" w:cs="宋体"/>
                <w:bCs/>
                <w:color w:val="auto"/>
                <w:sz w:val="24"/>
              </w:rPr>
              <w:t>措施</w:t>
            </w:r>
          </w:p>
        </w:tc>
        <w:tc>
          <w:tcPr>
            <w:tcW w:w="4837" w:type="pct"/>
            <w:noWrap w:val="0"/>
            <w:vAlign w:val="center"/>
          </w:tcPr>
          <w:p w14:paraId="6832D223">
            <w:pPr>
              <w:spacing w:line="360" w:lineRule="auto"/>
              <w:rPr>
                <w:b/>
                <w:bCs/>
                <w:color w:val="auto"/>
                <w:sz w:val="24"/>
              </w:rPr>
            </w:pPr>
            <w:r>
              <w:rPr>
                <w:b/>
                <w:bCs/>
                <w:color w:val="auto"/>
                <w:sz w:val="24"/>
              </w:rPr>
              <w:t>1、废气</w:t>
            </w:r>
            <w:r>
              <w:rPr>
                <w:rFonts w:hint="eastAsia"/>
                <w:b/>
                <w:bCs/>
                <w:color w:val="auto"/>
                <w:sz w:val="24"/>
              </w:rPr>
              <w:t>环境影响和保护措施</w:t>
            </w:r>
          </w:p>
          <w:p w14:paraId="44A1C9F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sz w:val="24"/>
              </w:rPr>
            </w:pPr>
            <w:r>
              <w:rPr>
                <w:color w:val="auto"/>
                <w:sz w:val="24"/>
              </w:rPr>
              <w:t>1.1废气污染物排放源</w:t>
            </w:r>
          </w:p>
          <w:p w14:paraId="0AD4552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eastAsia="宋体"/>
                <w:color w:val="auto"/>
                <w:sz w:val="24"/>
                <w:lang w:eastAsia="zh-CN"/>
              </w:rPr>
            </w:pPr>
            <w:r>
              <w:rPr>
                <w:color w:val="auto"/>
                <w:sz w:val="24"/>
              </w:rPr>
              <w:t>本项目产生的废气主要为</w:t>
            </w:r>
            <w:r>
              <w:rPr>
                <w:rFonts w:hint="eastAsia"/>
                <w:color w:val="auto"/>
                <w:sz w:val="24"/>
              </w:rPr>
              <w:t>锅炉烟气</w:t>
            </w:r>
            <w:r>
              <w:rPr>
                <w:rFonts w:hint="eastAsia"/>
                <w:color w:val="auto"/>
                <w:sz w:val="24"/>
                <w:lang w:eastAsia="zh-CN"/>
              </w:rPr>
              <w:t>，</w:t>
            </w:r>
            <w:r>
              <w:rPr>
                <w:rFonts w:hint="eastAsia"/>
                <w:color w:val="auto"/>
                <w:sz w:val="24"/>
                <w:lang w:val="en-US" w:eastAsia="zh-CN"/>
              </w:rPr>
              <w:t>烟气中</w:t>
            </w:r>
            <w:r>
              <w:rPr>
                <w:color w:val="auto"/>
                <w:sz w:val="24"/>
              </w:rPr>
              <w:t>污染物包含烟尘、SO</w:t>
            </w:r>
            <w:r>
              <w:rPr>
                <w:color w:val="auto"/>
                <w:sz w:val="24"/>
                <w:vertAlign w:val="subscript"/>
              </w:rPr>
              <w:t>2</w:t>
            </w:r>
            <w:r>
              <w:rPr>
                <w:color w:val="auto"/>
                <w:sz w:val="24"/>
              </w:rPr>
              <w:t>和NO</w:t>
            </w:r>
            <w:r>
              <w:rPr>
                <w:color w:val="auto"/>
                <w:sz w:val="24"/>
                <w:vertAlign w:val="subscript"/>
              </w:rPr>
              <w:t>X</w:t>
            </w:r>
            <w:r>
              <w:rPr>
                <w:rFonts w:hint="eastAsia"/>
                <w:color w:val="auto"/>
                <w:sz w:val="24"/>
                <w:vertAlign w:val="subscript"/>
                <w:lang w:eastAsia="zh-CN"/>
              </w:rPr>
              <w:t>。</w:t>
            </w:r>
          </w:p>
          <w:p w14:paraId="5932A7E4">
            <w:pPr>
              <w:keepNext w:val="0"/>
              <w:keepLines w:val="0"/>
              <w:pageBreakBefore w:val="0"/>
              <w:widowControl w:val="0"/>
              <w:kinsoku/>
              <w:wordWrap/>
              <w:overflowPunct/>
              <w:topLinePunct w:val="0"/>
              <w:autoSpaceDE/>
              <w:autoSpaceDN/>
              <w:bidi w:val="0"/>
              <w:adjustRightInd/>
              <w:snapToGrid/>
              <w:spacing w:line="440" w:lineRule="exact"/>
              <w:ind w:firstLine="504" w:firstLineChars="200"/>
              <w:textAlignment w:val="auto"/>
              <w:rPr>
                <w:color w:val="auto"/>
                <w:sz w:val="24"/>
              </w:rPr>
            </w:pPr>
            <w:r>
              <w:rPr>
                <w:color w:val="auto"/>
                <w:spacing w:val="6"/>
                <w:sz w:val="24"/>
              </w:rPr>
              <w:t>本项目安装有一台</w:t>
            </w:r>
            <w:r>
              <w:rPr>
                <w:rFonts w:hint="eastAsia"/>
                <w:color w:val="auto"/>
                <w:spacing w:val="6"/>
                <w:sz w:val="24"/>
                <w:lang w:val="en-US" w:eastAsia="zh-CN"/>
              </w:rPr>
              <w:t>60</w:t>
            </w:r>
            <w:r>
              <w:rPr>
                <w:color w:val="auto"/>
                <w:spacing w:val="6"/>
                <w:sz w:val="24"/>
              </w:rPr>
              <w:t>t/h燃气锅炉，以</w:t>
            </w:r>
            <w:r>
              <w:rPr>
                <w:rFonts w:hint="eastAsia"/>
                <w:color w:val="auto"/>
                <w:spacing w:val="6"/>
                <w:sz w:val="24"/>
                <w:lang w:eastAsia="zh-CN"/>
              </w:rPr>
              <w:t>金烨钢铁</w:t>
            </w:r>
            <w:r>
              <w:rPr>
                <w:color w:val="auto"/>
                <w:spacing w:val="6"/>
                <w:sz w:val="24"/>
              </w:rPr>
              <w:t>集团有限公司副产物富余高炉煤气为燃料</w:t>
            </w:r>
            <w:r>
              <w:rPr>
                <w:color w:val="auto"/>
                <w:sz w:val="24"/>
              </w:rPr>
              <w:t>。</w:t>
            </w:r>
            <w:r>
              <w:rPr>
                <w:rFonts w:hint="eastAsia" w:cs="Times New Roman"/>
                <w:color w:val="auto"/>
                <w:sz w:val="24"/>
                <w:szCs w:val="24"/>
                <w:highlight w:val="none"/>
                <w:lang w:val="en-US" w:eastAsia="zh-CN"/>
              </w:rPr>
              <w:t>锅炉安装低氮燃烧器，燃烧废气经干法脱硫+布袋除尘后，通过高50m、出口内径2m的烟囱排放</w:t>
            </w:r>
            <w:r>
              <w:rPr>
                <w:color w:val="auto"/>
                <w:sz w:val="24"/>
              </w:rPr>
              <w:t>。锅炉最大运行时间为</w:t>
            </w:r>
            <w:r>
              <w:rPr>
                <w:rFonts w:hint="eastAsia"/>
                <w:color w:val="auto"/>
                <w:sz w:val="24"/>
                <w:lang w:val="en-US" w:eastAsia="zh-CN"/>
              </w:rPr>
              <w:t>60</w:t>
            </w:r>
            <w:r>
              <w:rPr>
                <w:color w:val="auto"/>
                <w:sz w:val="24"/>
              </w:rPr>
              <w:t>00h/a。</w:t>
            </w:r>
          </w:p>
          <w:p w14:paraId="56515C9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s="Times New Roman"/>
                <w:color w:val="auto"/>
                <w:sz w:val="24"/>
                <w:szCs w:val="24"/>
                <w:lang w:val="en-US" w:eastAsia="zh-CN"/>
              </w:rPr>
            </w:pPr>
            <w:r>
              <w:rPr>
                <w:rFonts w:hint="eastAsia" w:cs="Times New Roman"/>
                <w:color w:val="auto"/>
                <w:sz w:val="24"/>
                <w:szCs w:val="24"/>
                <w:highlight w:val="none"/>
                <w:lang w:val="en-US" w:eastAsia="zh-CN"/>
              </w:rPr>
              <w:t>根据《污染源源强核算技术指南 火电》（HJ 888-2018）附录C火电厂烟气排放量及《污染源源强核算技术指南 锅炉》（HJ 991-2018）附录C烟气量的计算。计算公式</w:t>
            </w:r>
            <w:r>
              <w:rPr>
                <w:rFonts w:hint="eastAsia" w:cs="Times New Roman"/>
                <w:color w:val="auto"/>
                <w:sz w:val="24"/>
                <w:szCs w:val="24"/>
                <w:lang w:val="en-US" w:eastAsia="zh-CN"/>
              </w:rPr>
              <w:t>：</w:t>
            </w:r>
          </w:p>
          <w:p w14:paraId="6003987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rPr>
              <w:t>V</w:t>
            </w:r>
            <w:r>
              <w:rPr>
                <w:rFonts w:hint="eastAsia" w:cs="Times New Roman"/>
                <w:color w:val="auto"/>
                <w:sz w:val="24"/>
                <w:szCs w:val="24"/>
                <w:vertAlign w:val="subscript"/>
                <w:lang w:val="en-US" w:eastAsia="zh-CN"/>
              </w:rPr>
              <w:t>0=</w:t>
            </w:r>
            <w:r>
              <w:rPr>
                <w:rFonts w:hint="default" w:ascii="Times New Roman" w:hAnsi="Times New Roman" w:eastAsia="宋体" w:cs="Times New Roman"/>
                <w:color w:val="auto"/>
                <w:sz w:val="24"/>
                <w:szCs w:val="24"/>
              </w:rPr>
              <w:t>0.0</w:t>
            </w:r>
            <w:r>
              <w:rPr>
                <w:rFonts w:hint="eastAsia" w:cs="Times New Roman"/>
                <w:color w:val="auto"/>
                <w:sz w:val="24"/>
                <w:szCs w:val="24"/>
                <w:lang w:val="en-US" w:eastAsia="zh-CN"/>
              </w:rPr>
              <w:t>476</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0.5×</w:t>
            </w:r>
            <w:r>
              <w:rPr>
                <w:rFonts w:hint="default" w:ascii="Times New Roman" w:hAnsi="Times New Roman" w:eastAsia="宋体" w:cs="Times New Roman"/>
                <w:color w:val="auto"/>
                <w:sz w:val="24"/>
                <w:szCs w:val="24"/>
              </w:rPr>
              <w:t>φ(</w:t>
            </w:r>
            <w:r>
              <w:rPr>
                <w:rFonts w:hint="eastAsia" w:cs="Times New Roman"/>
                <w:color w:val="auto"/>
                <w:sz w:val="24"/>
                <w:szCs w:val="24"/>
                <w:lang w:val="en-US" w:eastAsia="zh-CN"/>
              </w:rPr>
              <w:t>CO)</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0.5×</w:t>
            </w:r>
            <w:r>
              <w:rPr>
                <w:rFonts w:hint="default" w:ascii="Times New Roman" w:hAnsi="Times New Roman" w:eastAsia="宋体" w:cs="Times New Roman"/>
                <w:color w:val="auto"/>
                <w:sz w:val="24"/>
                <w:szCs w:val="24"/>
              </w:rPr>
              <w:t>φ(H₂)+</w:t>
            </w:r>
            <w:r>
              <w:rPr>
                <w:rFonts w:hint="eastAsia" w:cs="Times New Roman"/>
                <w:color w:val="auto"/>
                <w:sz w:val="24"/>
                <w:szCs w:val="24"/>
                <w:lang w:val="en-US" w:eastAsia="zh-CN"/>
              </w:rPr>
              <w:t>1.5×</w:t>
            </w:r>
            <w:r>
              <w:rPr>
                <w:rFonts w:hint="default" w:ascii="Times New Roman" w:hAnsi="Times New Roman" w:eastAsia="宋体" w:cs="Times New Roman"/>
                <w:color w:val="auto"/>
                <w:sz w:val="24"/>
                <w:szCs w:val="24"/>
              </w:rPr>
              <w:t>φ(H₂S)+∑</w:t>
            </w:r>
            <w:r>
              <w:rPr>
                <w:rFonts w:hint="eastAsia" w:cs="Times New Roman"/>
                <w:color w:val="auto"/>
                <w:sz w:val="24"/>
                <w:szCs w:val="24"/>
                <w:lang w:val="en-US" w:eastAsia="zh-CN"/>
              </w:rPr>
              <w:t>(m+n/4)</w:t>
            </w:r>
            <w:r>
              <w:rPr>
                <w:rFonts w:hint="default" w:ascii="Times New Roman" w:hAnsi="Times New Roman" w:eastAsia="宋体" w:cs="Times New Roman"/>
                <w:color w:val="auto"/>
                <w:sz w:val="24"/>
                <w:szCs w:val="24"/>
              </w:rPr>
              <w:t>φ(C</w:t>
            </w:r>
            <w:r>
              <w:rPr>
                <w:rFonts w:hint="eastAsia" w:cs="Times New Roman"/>
                <w:color w:val="auto"/>
                <w:sz w:val="24"/>
                <w:szCs w:val="24"/>
                <w:vertAlign w:val="subscript"/>
                <w:lang w:val="en-US" w:eastAsia="zh-CN"/>
              </w:rPr>
              <w:t>m</w:t>
            </w:r>
            <w:r>
              <w:rPr>
                <w:rFonts w:hint="eastAsia" w:cs="Times New Roman"/>
                <w:color w:val="auto"/>
                <w:sz w:val="24"/>
                <w:szCs w:val="24"/>
                <w:lang w:val="en-US" w:eastAsia="zh-CN"/>
              </w:rPr>
              <w:t>H</w:t>
            </w:r>
            <w:r>
              <w:rPr>
                <w:rFonts w:hint="eastAsia" w:cs="Times New Roman"/>
                <w:color w:val="auto"/>
                <w:sz w:val="24"/>
                <w:szCs w:val="24"/>
                <w:vertAlign w:val="subscript"/>
                <w:lang w:val="en-US" w:eastAsia="zh-CN"/>
              </w:rPr>
              <w:t>n</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w:t>
            </w:r>
            <w:r>
              <w:rPr>
                <w:rFonts w:hint="default" w:ascii="Times New Roman" w:hAnsi="Times New Roman" w:eastAsia="宋体" w:cs="Times New Roman"/>
                <w:color w:val="auto"/>
                <w:sz w:val="24"/>
                <w:szCs w:val="24"/>
              </w:rPr>
              <w:t>φ(O₂)</w:t>
            </w:r>
            <w:r>
              <w:rPr>
                <w:rFonts w:hint="eastAsia" w:cs="Times New Roman"/>
                <w:color w:val="auto"/>
                <w:sz w:val="24"/>
                <w:szCs w:val="24"/>
                <w:lang w:val="en-US" w:eastAsia="zh-CN"/>
              </w:rPr>
              <w:t>]</w:t>
            </w:r>
          </w:p>
          <w:p w14:paraId="1E2FD54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s="Times New Roman"/>
                <w:color w:val="auto"/>
                <w:sz w:val="24"/>
                <w:szCs w:val="24"/>
                <w:lang w:val="en-US" w:eastAsia="zh-CN"/>
              </w:rPr>
            </w:pPr>
            <w:r>
              <w:rPr>
                <w:rFonts w:hint="default" w:ascii="Times New Roman" w:hAnsi="Times New Roman" w:eastAsia="宋体" w:cs="Times New Roman"/>
                <w:color w:val="auto"/>
                <w:sz w:val="24"/>
                <w:szCs w:val="24"/>
              </w:rPr>
              <w:t>V</w:t>
            </w:r>
            <w:r>
              <w:rPr>
                <w:rFonts w:hint="default" w:ascii="Times New Roman" w:hAnsi="Times New Roman" w:eastAsia="宋体" w:cs="Times New Roman"/>
                <w:color w:val="auto"/>
                <w:sz w:val="24"/>
                <w:szCs w:val="24"/>
                <w:vertAlign w:val="subscript"/>
              </w:rPr>
              <w:t>R</w:t>
            </w:r>
            <w:r>
              <w:rPr>
                <w:rFonts w:hint="eastAsia" w:cs="Times New Roman"/>
                <w:color w:val="auto"/>
                <w:sz w:val="24"/>
                <w:szCs w:val="24"/>
                <w:vertAlign w:val="subscript"/>
                <w:lang w:val="en-US" w:eastAsia="zh-CN"/>
              </w:rPr>
              <w:t>O2</w:t>
            </w:r>
            <w:r>
              <w:rPr>
                <w:rFonts w:hint="default" w:ascii="Times New Roman" w:hAnsi="Times New Roman" w:eastAsia="宋体" w:cs="Times New Roman"/>
                <w:color w:val="auto"/>
                <w:sz w:val="24"/>
                <w:szCs w:val="24"/>
              </w:rPr>
              <w:t>=0.01×[φ(CO₂)+φ(CO)+φ(H₂S)+∑mφ(C</w:t>
            </w:r>
            <w:r>
              <w:rPr>
                <w:rFonts w:hint="eastAsia" w:cs="Times New Roman"/>
                <w:color w:val="auto"/>
                <w:sz w:val="24"/>
                <w:szCs w:val="24"/>
                <w:vertAlign w:val="subscript"/>
                <w:lang w:val="en-US" w:eastAsia="zh-CN"/>
              </w:rPr>
              <w:t>m</w:t>
            </w:r>
            <w:r>
              <w:rPr>
                <w:rFonts w:hint="eastAsia" w:cs="Times New Roman"/>
                <w:color w:val="auto"/>
                <w:sz w:val="24"/>
                <w:szCs w:val="24"/>
                <w:lang w:val="en-US" w:eastAsia="zh-CN"/>
              </w:rPr>
              <w:t>H</w:t>
            </w:r>
            <w:r>
              <w:rPr>
                <w:rFonts w:hint="eastAsia" w:cs="Times New Roman"/>
                <w:color w:val="auto"/>
                <w:sz w:val="24"/>
                <w:szCs w:val="24"/>
                <w:vertAlign w:val="subscript"/>
                <w:lang w:val="en-US" w:eastAsia="zh-CN"/>
              </w:rPr>
              <w:t>n</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w:t>
            </w:r>
          </w:p>
          <w:p w14:paraId="24F4CF6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s="Times New Roman"/>
                <w:color w:val="auto"/>
                <w:sz w:val="24"/>
                <w:szCs w:val="24"/>
                <w:lang w:val="en-US" w:eastAsia="zh-CN"/>
              </w:rPr>
            </w:pPr>
            <w:r>
              <w:rPr>
                <w:rFonts w:hint="default" w:ascii="Times New Roman" w:hAnsi="Times New Roman" w:eastAsia="宋体" w:cs="Times New Roman"/>
                <w:color w:val="auto"/>
                <w:sz w:val="24"/>
                <w:szCs w:val="24"/>
              </w:rPr>
              <w:t>V</w:t>
            </w:r>
            <w:r>
              <w:rPr>
                <w:rFonts w:hint="eastAsia" w:cs="Times New Roman"/>
                <w:color w:val="auto"/>
                <w:sz w:val="24"/>
                <w:szCs w:val="24"/>
                <w:vertAlign w:val="subscript"/>
                <w:lang w:val="en-US" w:eastAsia="zh-CN"/>
              </w:rPr>
              <w:t>N2</w:t>
            </w:r>
            <w:r>
              <w:rPr>
                <w:rFonts w:hint="eastAsia" w:cs="Times New Roman"/>
                <w:color w:val="auto"/>
                <w:sz w:val="24"/>
                <w:szCs w:val="24"/>
                <w:lang w:val="en-US" w:eastAsia="zh-CN"/>
              </w:rPr>
              <w:t>=0.79</w:t>
            </w:r>
            <w:r>
              <w:rPr>
                <w:rFonts w:hint="default" w:ascii="Times New Roman" w:hAnsi="Times New Roman" w:eastAsia="宋体" w:cs="Times New Roman"/>
                <w:color w:val="auto"/>
                <w:sz w:val="24"/>
                <w:szCs w:val="24"/>
              </w:rPr>
              <w:t>×V</w:t>
            </w:r>
            <w:r>
              <w:rPr>
                <w:rFonts w:hint="eastAsia" w:cs="Times New Roman"/>
                <w:color w:val="auto"/>
                <w:sz w:val="24"/>
                <w:szCs w:val="24"/>
                <w:vertAlign w:val="subscript"/>
                <w:lang w:val="en-US" w:eastAsia="zh-CN"/>
              </w:rPr>
              <w:t>0</w:t>
            </w:r>
            <w:r>
              <w:rPr>
                <w:rFonts w:hint="eastAsia" w:cs="Times New Roman"/>
                <w:color w:val="auto"/>
                <w:sz w:val="24"/>
                <w:szCs w:val="24"/>
                <w:lang w:val="en-US" w:eastAsia="zh-CN"/>
              </w:rPr>
              <w:t>+</w:t>
            </w:r>
            <w:r>
              <w:rPr>
                <w:rFonts w:hint="default" w:ascii="Times New Roman" w:hAnsi="Times New Roman" w:eastAsia="宋体" w:cs="Times New Roman"/>
                <w:color w:val="auto"/>
                <w:sz w:val="24"/>
                <w:szCs w:val="24"/>
              </w:rPr>
              <w:t>φ(</w:t>
            </w:r>
            <w:r>
              <w:rPr>
                <w:rFonts w:hint="eastAsia" w:cs="Times New Roman"/>
                <w:color w:val="auto"/>
                <w:sz w:val="24"/>
                <w:szCs w:val="24"/>
                <w:lang w:val="en-US" w:eastAsia="zh-CN"/>
              </w:rPr>
              <w:t>N</w:t>
            </w:r>
            <w:r>
              <w:rPr>
                <w:rFonts w:hint="eastAsia" w:cs="Times New Roman"/>
                <w:color w:val="auto"/>
                <w:sz w:val="24"/>
                <w:szCs w:val="24"/>
                <w:vertAlign w:val="subscript"/>
                <w:lang w:val="en-US" w:eastAsia="zh-CN"/>
              </w:rPr>
              <w:t>2</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/100</w:t>
            </w:r>
          </w:p>
          <w:p w14:paraId="6FCDD06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s="Times New Roman"/>
                <w:color w:val="auto"/>
                <w:sz w:val="24"/>
                <w:szCs w:val="24"/>
                <w:vertAlign w:val="subscript"/>
                <w:lang w:val="en-US" w:eastAsia="zh-CN"/>
              </w:rPr>
            </w:pPr>
            <w:r>
              <w:rPr>
                <w:rFonts w:hint="default" w:ascii="Times New Roman" w:hAnsi="Times New Roman" w:eastAsia="宋体" w:cs="Times New Roman"/>
                <w:color w:val="auto"/>
                <w:sz w:val="24"/>
                <w:szCs w:val="24"/>
              </w:rPr>
              <w:t>V</w:t>
            </w:r>
            <w:r>
              <w:rPr>
                <w:rFonts w:hint="eastAsia" w:cs="Times New Roman"/>
                <w:color w:val="auto"/>
                <w:sz w:val="24"/>
                <w:szCs w:val="24"/>
                <w:vertAlign w:val="subscript"/>
                <w:lang w:val="en-US" w:eastAsia="zh-CN"/>
              </w:rPr>
              <w:t>g</w:t>
            </w:r>
            <w:r>
              <w:rPr>
                <w:rFonts w:hint="default" w:ascii="Times New Roman" w:hAnsi="Times New Roman" w:eastAsia="宋体" w:cs="Times New Roman"/>
                <w:color w:val="auto"/>
                <w:sz w:val="24"/>
                <w:szCs w:val="24"/>
              </w:rPr>
              <w:t>=V</w:t>
            </w:r>
            <w:r>
              <w:rPr>
                <w:rFonts w:hint="default" w:ascii="Times New Roman" w:hAnsi="Times New Roman" w:eastAsia="宋体" w:cs="Times New Roman"/>
                <w:color w:val="auto"/>
                <w:sz w:val="24"/>
                <w:szCs w:val="24"/>
                <w:vertAlign w:val="subscript"/>
              </w:rPr>
              <w:t>R</w:t>
            </w:r>
            <w:r>
              <w:rPr>
                <w:rFonts w:hint="eastAsia" w:cs="Times New Roman"/>
                <w:color w:val="auto"/>
                <w:sz w:val="24"/>
                <w:szCs w:val="24"/>
                <w:vertAlign w:val="subscript"/>
                <w:lang w:val="en-US" w:eastAsia="zh-CN"/>
              </w:rPr>
              <w:t>O2</w:t>
            </w:r>
            <w:r>
              <w:rPr>
                <w:rFonts w:hint="default" w:ascii="Times New Roman" w:hAnsi="Times New Roman" w:eastAsia="宋体" w:cs="Times New Roman"/>
                <w:color w:val="auto"/>
                <w:sz w:val="24"/>
                <w:szCs w:val="24"/>
              </w:rPr>
              <w:t>+V</w:t>
            </w:r>
            <w:r>
              <w:rPr>
                <w:rFonts w:hint="eastAsia" w:cs="Times New Roman"/>
                <w:color w:val="auto"/>
                <w:sz w:val="24"/>
                <w:szCs w:val="24"/>
                <w:vertAlign w:val="subscript"/>
                <w:lang w:val="en-US" w:eastAsia="zh-CN"/>
              </w:rPr>
              <w:t>N2</w:t>
            </w:r>
            <w:r>
              <w:rPr>
                <w:rFonts w:hint="default" w:ascii="Times New Roman" w:hAnsi="Times New Roman" w:eastAsia="宋体" w:cs="Times New Roman"/>
                <w:color w:val="auto"/>
                <w:sz w:val="24"/>
                <w:szCs w:val="24"/>
              </w:rPr>
              <w:t>+(α-1)×V</w:t>
            </w:r>
            <w:r>
              <w:rPr>
                <w:rFonts w:hint="eastAsia" w:cs="Times New Roman"/>
                <w:color w:val="auto"/>
                <w:sz w:val="24"/>
                <w:szCs w:val="24"/>
                <w:vertAlign w:val="subscript"/>
                <w:lang w:val="en-US" w:eastAsia="zh-CN"/>
              </w:rPr>
              <w:t>0</w:t>
            </w:r>
          </w:p>
          <w:p w14:paraId="4054062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V</w:t>
            </w:r>
            <w:r>
              <w:rPr>
                <w:rFonts w:hint="default" w:ascii="Times New Roman" w:hAnsi="Times New Roman" w:eastAsia="宋体" w:cs="Times New Roman"/>
                <w:color w:val="auto"/>
                <w:sz w:val="24"/>
                <w:szCs w:val="24"/>
                <w:vertAlign w:val="subscript"/>
              </w:rPr>
              <w:t>H₂</w:t>
            </w:r>
            <w:r>
              <w:rPr>
                <w:rFonts w:hint="eastAsia" w:cs="Times New Roman"/>
                <w:color w:val="auto"/>
                <w:sz w:val="24"/>
                <w:szCs w:val="24"/>
                <w:vertAlign w:val="subscript"/>
                <w:lang w:val="en-US" w:eastAsia="zh-CN"/>
              </w:rPr>
              <w:t>O</w:t>
            </w:r>
            <w:r>
              <w:rPr>
                <w:rFonts w:hint="default" w:ascii="Times New Roman" w:hAnsi="Times New Roman" w:eastAsia="宋体" w:cs="Times New Roman"/>
                <w:color w:val="auto"/>
                <w:sz w:val="24"/>
                <w:szCs w:val="24"/>
              </w:rPr>
              <w:t>=0.01×[φ(H₂S)+φ(H₂)+φ(H₂S)+∑</w:t>
            </w:r>
            <w:r>
              <w:rPr>
                <w:rFonts w:hint="eastAsia" w:cs="Times New Roman"/>
                <w:color w:val="auto"/>
                <w:sz w:val="24"/>
                <w:szCs w:val="24"/>
                <w:lang w:val="en-US" w:eastAsia="zh-CN"/>
              </w:rPr>
              <w:t>(n/2)</w:t>
            </w:r>
            <w:r>
              <w:rPr>
                <w:rFonts w:hint="default" w:ascii="Times New Roman" w:hAnsi="Times New Roman" w:eastAsia="宋体" w:cs="Times New Roman"/>
                <w:color w:val="auto"/>
                <w:sz w:val="24"/>
                <w:szCs w:val="24"/>
              </w:rPr>
              <w:t>φ(C</w:t>
            </w:r>
            <w:r>
              <w:rPr>
                <w:rFonts w:hint="eastAsia" w:cs="Times New Roman"/>
                <w:color w:val="auto"/>
                <w:sz w:val="24"/>
                <w:szCs w:val="24"/>
                <w:vertAlign w:val="subscript"/>
                <w:lang w:val="en-US" w:eastAsia="zh-CN"/>
              </w:rPr>
              <w:t>m</w:t>
            </w:r>
            <w:r>
              <w:rPr>
                <w:rFonts w:hint="eastAsia" w:cs="Times New Roman"/>
                <w:color w:val="auto"/>
                <w:sz w:val="24"/>
                <w:szCs w:val="24"/>
                <w:lang w:val="en-US" w:eastAsia="zh-CN"/>
              </w:rPr>
              <w:t>H</w:t>
            </w:r>
            <w:r>
              <w:rPr>
                <w:rFonts w:hint="eastAsia" w:cs="Times New Roman"/>
                <w:color w:val="auto"/>
                <w:sz w:val="24"/>
                <w:szCs w:val="24"/>
                <w:vertAlign w:val="subscript"/>
                <w:lang w:val="en-US" w:eastAsia="zh-CN"/>
              </w:rPr>
              <w:t>n</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+0.124×d]+0.0161×</w:t>
            </w:r>
            <w:r>
              <w:rPr>
                <w:rFonts w:hint="default" w:ascii="Times New Roman" w:hAnsi="Times New Roman" w:eastAsia="宋体" w:cs="Times New Roman"/>
                <w:color w:val="auto"/>
                <w:sz w:val="24"/>
                <w:szCs w:val="24"/>
              </w:rPr>
              <w:t>V</w:t>
            </w:r>
            <w:r>
              <w:rPr>
                <w:rFonts w:hint="eastAsia" w:cs="Times New Roman"/>
                <w:color w:val="auto"/>
                <w:sz w:val="24"/>
                <w:szCs w:val="24"/>
                <w:vertAlign w:val="subscript"/>
                <w:lang w:val="en-US" w:eastAsia="zh-CN"/>
              </w:rPr>
              <w:t>0</w:t>
            </w:r>
          </w:p>
          <w:p w14:paraId="795FEB7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V</w:t>
            </w:r>
            <w:r>
              <w:rPr>
                <w:rFonts w:hint="eastAsia" w:cs="Times New Roman"/>
                <w:color w:val="auto"/>
                <w:sz w:val="24"/>
                <w:szCs w:val="24"/>
                <w:vertAlign w:val="subscript"/>
                <w:lang w:val="en-US" w:eastAsia="zh-CN"/>
              </w:rPr>
              <w:t>S</w:t>
            </w:r>
            <w:r>
              <w:rPr>
                <w:rFonts w:hint="default" w:ascii="Times New Roman" w:hAnsi="Times New Roman" w:eastAsia="宋体" w:cs="Times New Roman"/>
                <w:color w:val="auto"/>
                <w:sz w:val="24"/>
                <w:szCs w:val="24"/>
              </w:rPr>
              <w:t>=V</w:t>
            </w:r>
            <w:r>
              <w:rPr>
                <w:rFonts w:hint="eastAsia" w:cs="Times New Roman"/>
                <w:color w:val="auto"/>
                <w:sz w:val="24"/>
                <w:szCs w:val="24"/>
                <w:vertAlign w:val="subscript"/>
                <w:lang w:val="en-US" w:eastAsia="zh-CN"/>
              </w:rPr>
              <w:t>g</w:t>
            </w:r>
            <w:r>
              <w:rPr>
                <w:rFonts w:hint="default" w:ascii="Times New Roman" w:hAnsi="Times New Roman" w:eastAsia="宋体" w:cs="Times New Roman"/>
                <w:color w:val="auto"/>
                <w:sz w:val="24"/>
                <w:szCs w:val="24"/>
              </w:rPr>
              <w:t>+V</w:t>
            </w:r>
            <w:r>
              <w:rPr>
                <w:rFonts w:hint="eastAsia" w:cs="Times New Roman"/>
                <w:color w:val="auto"/>
                <w:sz w:val="24"/>
                <w:szCs w:val="24"/>
                <w:vertAlign w:val="subscript"/>
                <w:lang w:val="en-US" w:eastAsia="zh-CN"/>
              </w:rPr>
              <w:t>H2O</w:t>
            </w:r>
            <w:r>
              <w:rPr>
                <w:rFonts w:hint="default" w:ascii="Times New Roman" w:hAnsi="Times New Roman" w:eastAsia="宋体" w:cs="Times New Roman"/>
                <w:color w:val="auto"/>
                <w:sz w:val="24"/>
                <w:szCs w:val="24"/>
              </w:rPr>
              <w:t>+0.0161</w:t>
            </w:r>
            <w:r>
              <w:rPr>
                <w:rFonts w:hint="eastAsia" w:cs="Times New Roman"/>
                <w:color w:val="auto"/>
                <w:sz w:val="24"/>
                <w:szCs w:val="24"/>
                <w:lang w:val="en-US" w:eastAsia="zh-CN"/>
              </w:rPr>
              <w:t>×</w:t>
            </w:r>
            <w:r>
              <w:rPr>
                <w:rFonts w:hint="default" w:ascii="Times New Roman" w:hAnsi="Times New Roman" w:eastAsia="宋体" w:cs="Times New Roman"/>
                <w:color w:val="auto"/>
                <w:sz w:val="24"/>
                <w:szCs w:val="24"/>
              </w:rPr>
              <w:t>(α-1)×V</w:t>
            </w:r>
            <w:r>
              <w:rPr>
                <w:rFonts w:hint="eastAsia" w:cs="Times New Roman"/>
                <w:color w:val="auto"/>
                <w:sz w:val="24"/>
                <w:szCs w:val="24"/>
                <w:vertAlign w:val="subscript"/>
                <w:lang w:val="en-US" w:eastAsia="zh-CN"/>
              </w:rPr>
              <w:t>0</w:t>
            </w:r>
          </w:p>
          <w:p w14:paraId="152D251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式中：</w:t>
            </w:r>
          </w:p>
          <w:p w14:paraId="1AB07BA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V</w:t>
            </w:r>
            <w:r>
              <w:rPr>
                <w:rFonts w:hint="default" w:ascii="Times New Roman" w:hAnsi="Times New Roman" w:eastAsia="宋体" w:cs="Times New Roman"/>
                <w:color w:val="auto"/>
                <w:sz w:val="24"/>
                <w:szCs w:val="24"/>
                <w:vertAlign w:val="subscript"/>
              </w:rPr>
              <w:t>R</w:t>
            </w:r>
            <w:r>
              <w:rPr>
                <w:rFonts w:hint="eastAsia" w:cs="Times New Roman"/>
                <w:color w:val="auto"/>
                <w:sz w:val="24"/>
                <w:szCs w:val="24"/>
                <w:vertAlign w:val="subscript"/>
                <w:lang w:val="en-US" w:eastAsia="zh-CN"/>
              </w:rPr>
              <w:t>O2</w:t>
            </w:r>
            <w:r>
              <w:rPr>
                <w:rFonts w:hint="default" w:ascii="Times New Roman" w:hAnsi="Times New Roman" w:eastAsia="宋体" w:cs="Times New Roman"/>
                <w:color w:val="auto"/>
                <w:sz w:val="24"/>
                <w:szCs w:val="24"/>
              </w:rPr>
              <w:t>——烟气中二氧化碳和二氧化硫容积之和，m³/m³</w:t>
            </w:r>
            <w:r>
              <w:rPr>
                <w:rFonts w:hint="eastAsia" w:cs="Times New Roman"/>
                <w:color w:val="auto"/>
                <w:sz w:val="24"/>
                <w:szCs w:val="24"/>
                <w:lang w:eastAsia="zh-CN"/>
              </w:rPr>
              <w:t>；</w:t>
            </w:r>
          </w:p>
          <w:p w14:paraId="30BB823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s="Times New Roman"/>
                <w:color w:val="auto"/>
                <w:sz w:val="24"/>
                <w:szCs w:val="24"/>
                <w:lang w:eastAsia="zh-CN"/>
              </w:rPr>
            </w:pPr>
            <w:r>
              <w:rPr>
                <w:rFonts w:hint="default" w:ascii="Times New Roman" w:hAnsi="Times New Roman" w:eastAsia="宋体" w:cs="Times New Roman"/>
                <w:color w:val="auto"/>
                <w:sz w:val="24"/>
                <w:szCs w:val="24"/>
              </w:rPr>
              <w:t>φ(CO₂)——二氧化碳体积分数，%</w:t>
            </w:r>
            <w:r>
              <w:rPr>
                <w:rFonts w:hint="eastAsia" w:cs="Times New Roman"/>
                <w:color w:val="auto"/>
                <w:sz w:val="24"/>
                <w:szCs w:val="24"/>
                <w:lang w:eastAsia="zh-CN"/>
              </w:rPr>
              <w:t>；</w:t>
            </w:r>
          </w:p>
          <w:p w14:paraId="2A57B05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s="Times New Roman"/>
                <w:color w:val="auto"/>
                <w:sz w:val="24"/>
                <w:szCs w:val="24"/>
                <w:lang w:eastAsia="zh-CN"/>
              </w:rPr>
            </w:pPr>
            <w:r>
              <w:rPr>
                <w:rFonts w:hint="default" w:ascii="Times New Roman" w:hAnsi="Times New Roman" w:eastAsia="宋体" w:cs="Times New Roman"/>
                <w:color w:val="auto"/>
                <w:sz w:val="24"/>
                <w:szCs w:val="24"/>
              </w:rPr>
              <w:t>φ(CO)——一氧化碳体积分数，%</w:t>
            </w:r>
            <w:r>
              <w:rPr>
                <w:rFonts w:hint="eastAsia" w:cs="Times New Roman"/>
                <w:color w:val="auto"/>
                <w:sz w:val="24"/>
                <w:szCs w:val="24"/>
                <w:lang w:eastAsia="zh-CN"/>
              </w:rPr>
              <w:t>；</w:t>
            </w:r>
          </w:p>
          <w:p w14:paraId="5FE6D1F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s="Times New Roman"/>
                <w:color w:val="auto"/>
                <w:sz w:val="24"/>
                <w:szCs w:val="24"/>
                <w:lang w:eastAsia="zh-CN"/>
              </w:rPr>
            </w:pPr>
            <w:r>
              <w:rPr>
                <w:rFonts w:hint="default" w:ascii="Times New Roman" w:hAnsi="Times New Roman" w:eastAsia="宋体" w:cs="Times New Roman"/>
                <w:color w:val="auto"/>
                <w:sz w:val="24"/>
                <w:szCs w:val="24"/>
              </w:rPr>
              <w:t>φ(H₂S)——硫化氢体积分数，%</w:t>
            </w:r>
            <w:r>
              <w:rPr>
                <w:rFonts w:hint="eastAsia" w:cs="Times New Roman"/>
                <w:color w:val="auto"/>
                <w:sz w:val="24"/>
                <w:szCs w:val="24"/>
                <w:lang w:eastAsia="zh-CN"/>
              </w:rPr>
              <w:t>；</w:t>
            </w:r>
          </w:p>
          <w:p w14:paraId="2341F5B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φ(CmHm)——烃类体积分数，%</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m为碳原子数，n为氢原子数；</w:t>
            </w:r>
          </w:p>
          <w:p w14:paraId="3E7EC4D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s="Times New Roman"/>
                <w:color w:val="auto"/>
                <w:sz w:val="24"/>
                <w:szCs w:val="24"/>
                <w:lang w:eastAsia="zh-CN"/>
              </w:rPr>
            </w:pPr>
            <w:r>
              <w:rPr>
                <w:rFonts w:hint="default" w:ascii="Times New Roman" w:hAnsi="Times New Roman" w:eastAsia="宋体" w:cs="Times New Roman"/>
                <w:color w:val="auto"/>
                <w:sz w:val="24"/>
                <w:szCs w:val="24"/>
              </w:rPr>
              <w:t>V</w:t>
            </w:r>
            <w:r>
              <w:rPr>
                <w:rFonts w:hint="eastAsia" w:cs="Times New Roman"/>
                <w:color w:val="auto"/>
                <w:sz w:val="24"/>
                <w:szCs w:val="24"/>
                <w:vertAlign w:val="subscript"/>
                <w:lang w:val="en-US" w:eastAsia="zh-CN"/>
              </w:rPr>
              <w:t>N2</w:t>
            </w:r>
            <w:r>
              <w:rPr>
                <w:rFonts w:hint="default" w:ascii="Times New Roman" w:hAnsi="Times New Roman" w:eastAsia="宋体" w:cs="Times New Roman"/>
                <w:color w:val="auto"/>
                <w:sz w:val="24"/>
                <w:szCs w:val="24"/>
              </w:rPr>
              <w:t>——烟气中氮气，m³/m³</w:t>
            </w:r>
            <w:r>
              <w:rPr>
                <w:rFonts w:hint="eastAsia" w:cs="Times New Roman"/>
                <w:color w:val="auto"/>
                <w:sz w:val="24"/>
                <w:szCs w:val="24"/>
                <w:lang w:eastAsia="zh-CN"/>
              </w:rPr>
              <w:t>；</w:t>
            </w:r>
          </w:p>
          <w:p w14:paraId="717093A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s="Times New Roman"/>
                <w:color w:val="auto"/>
                <w:sz w:val="24"/>
                <w:szCs w:val="24"/>
                <w:lang w:eastAsia="zh-CN"/>
              </w:rPr>
            </w:pPr>
            <w:r>
              <w:rPr>
                <w:rFonts w:hint="default" w:ascii="Times New Roman" w:hAnsi="Times New Roman" w:eastAsia="宋体" w:cs="Times New Roman"/>
                <w:color w:val="auto"/>
                <w:sz w:val="24"/>
                <w:szCs w:val="24"/>
              </w:rPr>
              <w:t>V</w:t>
            </w:r>
            <w:r>
              <w:rPr>
                <w:rFonts w:hint="eastAsia" w:cs="Times New Roman"/>
                <w:color w:val="auto"/>
                <w:sz w:val="24"/>
                <w:szCs w:val="24"/>
                <w:vertAlign w:val="subscript"/>
                <w:lang w:val="en-US" w:eastAsia="zh-CN"/>
              </w:rPr>
              <w:t>0</w:t>
            </w:r>
            <w:r>
              <w:rPr>
                <w:rFonts w:hint="default" w:ascii="Times New Roman" w:hAnsi="Times New Roman" w:eastAsia="宋体" w:cs="Times New Roman"/>
                <w:color w:val="auto"/>
                <w:sz w:val="24"/>
                <w:szCs w:val="24"/>
              </w:rPr>
              <w:t>——理论空气量，m³/m³</w:t>
            </w:r>
            <w:r>
              <w:rPr>
                <w:rFonts w:hint="eastAsia" w:cs="Times New Roman"/>
                <w:color w:val="auto"/>
                <w:sz w:val="24"/>
                <w:szCs w:val="24"/>
                <w:lang w:eastAsia="zh-CN"/>
              </w:rPr>
              <w:t>；</w:t>
            </w:r>
          </w:p>
          <w:p w14:paraId="63FA97E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s="Times New Roman"/>
                <w:color w:val="auto"/>
                <w:sz w:val="24"/>
                <w:szCs w:val="24"/>
                <w:lang w:eastAsia="zh-CN"/>
              </w:rPr>
            </w:pPr>
            <w:r>
              <w:rPr>
                <w:rFonts w:hint="default" w:ascii="Times New Roman" w:hAnsi="Times New Roman" w:eastAsia="宋体" w:cs="Times New Roman"/>
                <w:color w:val="auto"/>
                <w:sz w:val="24"/>
                <w:szCs w:val="24"/>
              </w:rPr>
              <w:t>φ(N₂)——氮体积分数，%</w:t>
            </w:r>
            <w:r>
              <w:rPr>
                <w:rFonts w:hint="eastAsia" w:cs="Times New Roman"/>
                <w:color w:val="auto"/>
                <w:sz w:val="24"/>
                <w:szCs w:val="24"/>
                <w:lang w:eastAsia="zh-CN"/>
              </w:rPr>
              <w:t>；</w:t>
            </w:r>
          </w:p>
          <w:p w14:paraId="531F1E8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s="Times New Roman"/>
                <w:color w:val="auto"/>
                <w:sz w:val="24"/>
                <w:szCs w:val="24"/>
                <w:lang w:eastAsia="zh-CN"/>
              </w:rPr>
            </w:pPr>
            <w:r>
              <w:rPr>
                <w:rFonts w:hint="default" w:ascii="Times New Roman" w:hAnsi="Times New Roman" w:eastAsia="宋体" w:cs="Times New Roman"/>
                <w:color w:val="auto"/>
                <w:sz w:val="24"/>
                <w:szCs w:val="24"/>
              </w:rPr>
              <w:t>V</w:t>
            </w:r>
            <w:r>
              <w:rPr>
                <w:rFonts w:hint="eastAsia" w:cs="Times New Roman"/>
                <w:color w:val="auto"/>
                <w:sz w:val="24"/>
                <w:szCs w:val="24"/>
                <w:vertAlign w:val="subscript"/>
                <w:lang w:val="en-US" w:eastAsia="zh-CN"/>
              </w:rPr>
              <w:t>H2O</w:t>
            </w:r>
            <w:r>
              <w:rPr>
                <w:rFonts w:hint="default" w:ascii="Times New Roman" w:hAnsi="Times New Roman" w:eastAsia="宋体" w:cs="Times New Roman"/>
                <w:color w:val="auto"/>
                <w:sz w:val="24"/>
                <w:szCs w:val="24"/>
              </w:rPr>
              <w:t>——烟气中水蒸气量，m³/m³</w:t>
            </w:r>
            <w:r>
              <w:rPr>
                <w:rFonts w:hint="eastAsia" w:cs="Times New Roman"/>
                <w:color w:val="auto"/>
                <w:sz w:val="24"/>
                <w:szCs w:val="24"/>
                <w:lang w:eastAsia="zh-CN"/>
              </w:rPr>
              <w:t>；</w:t>
            </w:r>
          </w:p>
          <w:p w14:paraId="56FAD38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s="Times New Roman"/>
                <w:color w:val="auto"/>
                <w:sz w:val="24"/>
                <w:szCs w:val="24"/>
                <w:lang w:eastAsia="zh-CN"/>
              </w:rPr>
            </w:pPr>
            <w:r>
              <w:rPr>
                <w:rFonts w:hint="default" w:ascii="Times New Roman" w:hAnsi="Times New Roman" w:eastAsia="宋体" w:cs="Times New Roman"/>
                <w:color w:val="auto"/>
                <w:sz w:val="24"/>
                <w:szCs w:val="24"/>
              </w:rPr>
              <w:t>φ(H₂)——氢体积分数，%</w:t>
            </w:r>
            <w:r>
              <w:rPr>
                <w:rFonts w:hint="eastAsia" w:cs="Times New Roman"/>
                <w:color w:val="auto"/>
                <w:sz w:val="24"/>
                <w:szCs w:val="24"/>
                <w:lang w:eastAsia="zh-CN"/>
              </w:rPr>
              <w:t>；</w:t>
            </w:r>
          </w:p>
          <w:p w14:paraId="0145779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d——气体燃料中含有的水分，一般取10g/kg(干空气)。</w:t>
            </w:r>
          </w:p>
          <w:p w14:paraId="3973F5D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V</w:t>
            </w:r>
            <w:r>
              <w:rPr>
                <w:rFonts w:hint="eastAsia" w:cs="Times New Roman"/>
                <w:color w:val="auto"/>
                <w:sz w:val="24"/>
                <w:szCs w:val="24"/>
                <w:vertAlign w:val="subscript"/>
                <w:lang w:val="en-US" w:eastAsia="zh-CN"/>
              </w:rPr>
              <w:t>g</w:t>
            </w:r>
            <w:r>
              <w:rPr>
                <w:rFonts w:hint="default" w:ascii="Times New Roman" w:hAnsi="Times New Roman" w:eastAsia="宋体" w:cs="Times New Roman"/>
                <w:color w:val="auto"/>
                <w:sz w:val="24"/>
                <w:szCs w:val="24"/>
              </w:rPr>
              <w:t>——干烟气排放量，m³/m³</w:t>
            </w:r>
            <w:r>
              <w:rPr>
                <w:rFonts w:hint="eastAsia" w:cs="Times New Roman"/>
                <w:color w:val="auto"/>
                <w:sz w:val="24"/>
                <w:szCs w:val="24"/>
                <w:lang w:eastAsia="zh-CN"/>
              </w:rPr>
              <w:t>；</w:t>
            </w:r>
          </w:p>
          <w:p w14:paraId="24AF30B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α——过量空气系数，燃料燃烧时实际空气供给量与理论空气需要量之比值，燃煤锅炉、燃油锅炉及燃气锅炉、燃气轮机组的规定过量空气系数分别为1.4、1.2、3.5</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对应基准氧含量分别为6%、3%、15%</w:t>
            </w:r>
            <w:r>
              <w:rPr>
                <w:rFonts w:hint="eastAsia" w:cs="Times New Roman"/>
                <w:color w:val="auto"/>
                <w:sz w:val="24"/>
                <w:szCs w:val="24"/>
                <w:lang w:eastAsia="zh-CN"/>
              </w:rPr>
              <w:t>；</w:t>
            </w:r>
          </w:p>
          <w:p w14:paraId="0D58261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V</w:t>
            </w:r>
            <w:r>
              <w:rPr>
                <w:rFonts w:hint="eastAsia" w:cs="Times New Roman"/>
                <w:color w:val="auto"/>
                <w:sz w:val="24"/>
                <w:szCs w:val="24"/>
                <w:vertAlign w:val="subscript"/>
                <w:lang w:val="en-US" w:eastAsia="zh-CN"/>
              </w:rPr>
              <w:t>S</w:t>
            </w:r>
            <w:r>
              <w:rPr>
                <w:rFonts w:hint="default" w:ascii="Times New Roman" w:hAnsi="Times New Roman" w:eastAsia="宋体" w:cs="Times New Roman"/>
                <w:color w:val="auto"/>
                <w:sz w:val="24"/>
                <w:szCs w:val="24"/>
              </w:rPr>
              <w:t>——湿烟气排放量，m³/m³。</w:t>
            </w:r>
          </w:p>
          <w:p w14:paraId="109D1D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宋体" w:hAnsi="宋体"/>
                <w:b/>
                <w:bCs/>
                <w:snapToGrid w:val="0"/>
                <w:color w:val="auto"/>
                <w:kern w:val="0"/>
                <w:sz w:val="24"/>
              </w:rPr>
            </w:pPr>
            <w:r>
              <w:rPr>
                <w:rFonts w:hint="eastAsia" w:ascii="宋体" w:hAnsi="宋体"/>
                <w:b/>
                <w:bCs/>
                <w:snapToGrid w:val="0"/>
                <w:color w:val="auto"/>
                <w:kern w:val="0"/>
                <w:sz w:val="24"/>
              </w:rPr>
              <w:t>表</w:t>
            </w:r>
            <w:r>
              <w:rPr>
                <w:rFonts w:hint="eastAsia" w:ascii="宋体" w:hAnsi="宋体"/>
                <w:b/>
                <w:bCs/>
                <w:snapToGrid w:val="0"/>
                <w:color w:val="auto"/>
                <w:kern w:val="0"/>
                <w:sz w:val="24"/>
                <w:lang w:val="en-US" w:eastAsia="zh-CN"/>
              </w:rPr>
              <w:t>4-</w:t>
            </w:r>
            <w:r>
              <w:rPr>
                <w:rFonts w:hint="eastAsia" w:ascii="宋体" w:hAnsi="宋体"/>
                <w:b/>
                <w:bCs/>
                <w:snapToGrid w:val="0"/>
                <w:color w:val="auto"/>
                <w:kern w:val="0"/>
                <w:sz w:val="24"/>
              </w:rPr>
              <w:t>1煤气燃料成分表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4"/>
              <w:gridCol w:w="4017"/>
              <w:gridCol w:w="2826"/>
            </w:tblGrid>
            <w:tr w14:paraId="2C72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noWrap w:val="0"/>
                  <w:vAlign w:val="center"/>
                </w:tcPr>
                <w:p w14:paraId="21D482F2">
                  <w:pPr>
                    <w:adjustRightInd w:val="0"/>
                    <w:snapToGrid w:val="0"/>
                    <w:spacing w:line="360" w:lineRule="exact"/>
                    <w:jc w:val="center"/>
                    <w:rPr>
                      <w:rFonts w:hint="default" w:ascii="Times New Roman" w:hAnsi="Times New Roman" w:eastAsia="宋体" w:cs="Times New Roman"/>
                      <w:snapToGrid w:val="0"/>
                      <w:kern w:val="0"/>
                      <w:sz w:val="21"/>
                      <w:szCs w:val="21"/>
                      <w:lang w:val="en-US" w:eastAsia="zh-CN" w:bidi="ar-SA"/>
                    </w:rPr>
                  </w:pPr>
                  <w:r>
                    <w:rPr>
                      <w:rFonts w:hint="default" w:ascii="Times New Roman" w:hAnsi="Times New Roman" w:eastAsia="宋体" w:cs="Times New Roman"/>
                      <w:snapToGrid w:val="0"/>
                      <w:kern w:val="0"/>
                      <w:sz w:val="21"/>
                      <w:szCs w:val="21"/>
                      <w:lang w:val="en-US" w:eastAsia="zh-CN" w:bidi="ar-SA"/>
                    </w:rPr>
                    <w:t>高炉煤气成分</w:t>
                  </w:r>
                </w:p>
              </w:tc>
            </w:tr>
            <w:tr w14:paraId="7875F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4" w:type="pct"/>
                  <w:noWrap w:val="0"/>
                  <w:vAlign w:val="center"/>
                </w:tcPr>
                <w:p w14:paraId="368559CF">
                  <w:pPr>
                    <w:adjustRightInd w:val="0"/>
                    <w:snapToGrid w:val="0"/>
                    <w:spacing w:line="360" w:lineRule="exact"/>
                    <w:jc w:val="center"/>
                    <w:rPr>
                      <w:rFonts w:hint="default" w:ascii="Times New Roman" w:hAnsi="Times New Roman" w:eastAsia="宋体" w:cs="Times New Roman"/>
                      <w:snapToGrid w:val="0"/>
                      <w:kern w:val="0"/>
                      <w:sz w:val="21"/>
                      <w:szCs w:val="21"/>
                      <w:lang w:val="en-US" w:eastAsia="zh-CN" w:bidi="ar-SA"/>
                    </w:rPr>
                  </w:pPr>
                  <w:r>
                    <w:rPr>
                      <w:rFonts w:hint="default" w:ascii="Times New Roman" w:hAnsi="Times New Roman" w:eastAsia="宋体" w:cs="Times New Roman"/>
                      <w:snapToGrid w:val="0"/>
                      <w:kern w:val="0"/>
                      <w:sz w:val="21"/>
                      <w:szCs w:val="21"/>
                      <w:lang w:val="en-US" w:eastAsia="zh-CN" w:bidi="ar-SA"/>
                    </w:rPr>
                    <w:t>序号</w:t>
                  </w:r>
                </w:p>
              </w:tc>
              <w:tc>
                <w:tcPr>
                  <w:tcW w:w="2375" w:type="pct"/>
                  <w:noWrap w:val="0"/>
                  <w:vAlign w:val="center"/>
                </w:tcPr>
                <w:p w14:paraId="63D0C8EE">
                  <w:pPr>
                    <w:adjustRightInd w:val="0"/>
                    <w:snapToGrid w:val="0"/>
                    <w:spacing w:line="360" w:lineRule="exact"/>
                    <w:jc w:val="center"/>
                    <w:rPr>
                      <w:rFonts w:hint="default" w:ascii="Times New Roman" w:hAnsi="Times New Roman" w:eastAsia="宋体" w:cs="Times New Roman"/>
                      <w:snapToGrid w:val="0"/>
                      <w:kern w:val="0"/>
                      <w:sz w:val="21"/>
                      <w:szCs w:val="21"/>
                      <w:lang w:val="en-US" w:eastAsia="zh-CN" w:bidi="ar-SA"/>
                    </w:rPr>
                  </w:pPr>
                  <w:r>
                    <w:rPr>
                      <w:rFonts w:hint="default" w:ascii="Times New Roman" w:hAnsi="Times New Roman" w:eastAsia="宋体" w:cs="Times New Roman"/>
                      <w:snapToGrid w:val="0"/>
                      <w:kern w:val="0"/>
                      <w:sz w:val="21"/>
                      <w:szCs w:val="21"/>
                      <w:lang w:val="en-US" w:eastAsia="zh-CN" w:bidi="ar-SA"/>
                    </w:rPr>
                    <w:t>成分</w:t>
                  </w:r>
                </w:p>
              </w:tc>
              <w:tc>
                <w:tcPr>
                  <w:tcW w:w="1670" w:type="pct"/>
                  <w:noWrap w:val="0"/>
                  <w:vAlign w:val="center"/>
                </w:tcPr>
                <w:p w14:paraId="4535EAA4">
                  <w:pPr>
                    <w:adjustRightInd w:val="0"/>
                    <w:snapToGrid w:val="0"/>
                    <w:spacing w:line="360" w:lineRule="exact"/>
                    <w:jc w:val="center"/>
                    <w:rPr>
                      <w:rFonts w:hint="default" w:ascii="Times New Roman" w:hAnsi="Times New Roman" w:eastAsia="宋体" w:cs="Times New Roman"/>
                      <w:snapToGrid w:val="0"/>
                      <w:kern w:val="0"/>
                      <w:sz w:val="21"/>
                      <w:szCs w:val="21"/>
                      <w:lang w:val="en-US" w:eastAsia="zh-CN" w:bidi="ar-SA"/>
                    </w:rPr>
                  </w:pPr>
                  <w:r>
                    <w:rPr>
                      <w:rFonts w:hint="default" w:ascii="Times New Roman" w:hAnsi="Times New Roman" w:eastAsia="宋体" w:cs="Times New Roman"/>
                      <w:snapToGrid w:val="0"/>
                      <w:kern w:val="0"/>
                      <w:sz w:val="21"/>
                      <w:szCs w:val="21"/>
                      <w:lang w:val="en-US" w:eastAsia="zh-CN" w:bidi="ar-SA"/>
                    </w:rPr>
                    <w:t>百分含量</w:t>
                  </w:r>
                </w:p>
              </w:tc>
            </w:tr>
            <w:tr w14:paraId="0967E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4" w:type="pct"/>
                  <w:noWrap w:val="0"/>
                  <w:vAlign w:val="center"/>
                </w:tcPr>
                <w:p w14:paraId="1473B11C">
                  <w:pPr>
                    <w:adjustRightInd w:val="0"/>
                    <w:snapToGrid w:val="0"/>
                    <w:spacing w:line="360" w:lineRule="exact"/>
                    <w:jc w:val="center"/>
                    <w:rPr>
                      <w:rFonts w:hint="default" w:ascii="Times New Roman" w:hAnsi="Times New Roman" w:eastAsia="宋体" w:cs="Times New Roman"/>
                      <w:snapToGrid w:val="0"/>
                      <w:kern w:val="0"/>
                      <w:sz w:val="21"/>
                      <w:szCs w:val="21"/>
                      <w:lang w:val="en-US" w:eastAsia="zh-CN" w:bidi="ar-SA"/>
                    </w:rPr>
                  </w:pPr>
                  <w:r>
                    <w:rPr>
                      <w:rFonts w:hint="default" w:ascii="Times New Roman" w:hAnsi="Times New Roman" w:eastAsia="宋体" w:cs="Times New Roman"/>
                      <w:snapToGrid w:val="0"/>
                      <w:kern w:val="0"/>
                      <w:sz w:val="21"/>
                      <w:szCs w:val="21"/>
                      <w:lang w:val="en-US" w:eastAsia="zh-CN" w:bidi="ar-SA"/>
                    </w:rPr>
                    <w:t>1</w:t>
                  </w:r>
                </w:p>
              </w:tc>
              <w:tc>
                <w:tcPr>
                  <w:tcW w:w="2375" w:type="pct"/>
                  <w:noWrap w:val="0"/>
                  <w:vAlign w:val="center"/>
                </w:tcPr>
                <w:p w14:paraId="0FDF2D1A">
                  <w:pPr>
                    <w:adjustRightInd w:val="0"/>
                    <w:snapToGrid w:val="0"/>
                    <w:spacing w:line="360" w:lineRule="exact"/>
                    <w:jc w:val="center"/>
                    <w:rPr>
                      <w:rFonts w:hint="default" w:ascii="Times New Roman" w:hAnsi="Times New Roman" w:eastAsia="宋体" w:cs="Times New Roman"/>
                      <w:snapToGrid w:val="0"/>
                      <w:kern w:val="0"/>
                      <w:sz w:val="21"/>
                      <w:szCs w:val="21"/>
                      <w:lang w:val="en-US" w:eastAsia="zh-CN" w:bidi="ar-SA"/>
                    </w:rPr>
                  </w:pPr>
                  <w:r>
                    <w:rPr>
                      <w:rFonts w:hint="eastAsia" w:ascii="Times New Roman" w:hAnsi="Times New Roman" w:eastAsia="宋体" w:cs="Times New Roman"/>
                      <w:snapToGrid w:val="0"/>
                      <w:kern w:val="0"/>
                      <w:sz w:val="21"/>
                      <w:szCs w:val="21"/>
                      <w:lang w:val="en-US" w:eastAsia="zh-CN" w:bidi="ar-SA"/>
                    </w:rPr>
                    <w:t>N</w:t>
                  </w:r>
                  <w:r>
                    <w:rPr>
                      <w:rFonts w:hint="eastAsia" w:ascii="Times New Roman" w:hAnsi="Times New Roman" w:eastAsia="宋体" w:cs="Times New Roman"/>
                      <w:snapToGrid w:val="0"/>
                      <w:kern w:val="0"/>
                      <w:sz w:val="21"/>
                      <w:szCs w:val="21"/>
                      <w:vertAlign w:val="subscript"/>
                      <w:lang w:val="en-US" w:eastAsia="zh-CN" w:bidi="ar-SA"/>
                    </w:rPr>
                    <w:t>2</w:t>
                  </w:r>
                </w:p>
              </w:tc>
              <w:tc>
                <w:tcPr>
                  <w:tcW w:w="1670" w:type="pct"/>
                  <w:noWrap w:val="0"/>
                  <w:vAlign w:val="center"/>
                </w:tcPr>
                <w:p w14:paraId="0E83A604">
                  <w:pPr>
                    <w:adjustRightInd w:val="0"/>
                    <w:snapToGrid w:val="0"/>
                    <w:spacing w:line="360" w:lineRule="exact"/>
                    <w:jc w:val="center"/>
                    <w:rPr>
                      <w:rFonts w:hint="default" w:ascii="Times New Roman" w:hAnsi="Times New Roman" w:eastAsia="宋体" w:cs="Times New Roman"/>
                      <w:snapToGrid w:val="0"/>
                      <w:kern w:val="0"/>
                      <w:sz w:val="21"/>
                      <w:szCs w:val="21"/>
                      <w:lang w:val="en-US" w:eastAsia="en-US" w:bidi="ar-SA"/>
                    </w:rPr>
                  </w:pPr>
                  <w:r>
                    <w:rPr>
                      <w:rFonts w:hint="eastAsia" w:ascii="Times New Roman" w:hAnsi="Times New Roman" w:eastAsia="宋体" w:cs="Times New Roman"/>
                      <w:snapToGrid w:val="0"/>
                      <w:kern w:val="0"/>
                      <w:sz w:val="21"/>
                      <w:szCs w:val="21"/>
                      <w:lang w:val="en-US" w:eastAsia="zh-CN" w:bidi="ar-SA"/>
                    </w:rPr>
                    <w:t>53.99</w:t>
                  </w:r>
                </w:p>
              </w:tc>
            </w:tr>
            <w:tr w14:paraId="5F559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4" w:type="pct"/>
                  <w:noWrap w:val="0"/>
                  <w:vAlign w:val="center"/>
                </w:tcPr>
                <w:p w14:paraId="6D249E02">
                  <w:pPr>
                    <w:adjustRightInd w:val="0"/>
                    <w:snapToGrid w:val="0"/>
                    <w:spacing w:line="360" w:lineRule="exact"/>
                    <w:jc w:val="center"/>
                    <w:rPr>
                      <w:rFonts w:hint="default" w:ascii="Times New Roman" w:hAnsi="Times New Roman" w:eastAsia="宋体" w:cs="Times New Roman"/>
                      <w:snapToGrid w:val="0"/>
                      <w:kern w:val="0"/>
                      <w:sz w:val="21"/>
                      <w:szCs w:val="21"/>
                      <w:lang w:val="en-US" w:eastAsia="zh-CN" w:bidi="ar-SA"/>
                    </w:rPr>
                  </w:pPr>
                  <w:r>
                    <w:rPr>
                      <w:rFonts w:hint="default" w:ascii="Times New Roman" w:hAnsi="Times New Roman" w:eastAsia="宋体" w:cs="Times New Roman"/>
                      <w:snapToGrid w:val="0"/>
                      <w:kern w:val="0"/>
                      <w:sz w:val="21"/>
                      <w:szCs w:val="21"/>
                      <w:lang w:val="en-US" w:eastAsia="zh-CN" w:bidi="ar-SA"/>
                    </w:rPr>
                    <w:t>2</w:t>
                  </w:r>
                </w:p>
              </w:tc>
              <w:tc>
                <w:tcPr>
                  <w:tcW w:w="2375" w:type="pct"/>
                  <w:noWrap w:val="0"/>
                  <w:vAlign w:val="center"/>
                </w:tcPr>
                <w:p w14:paraId="48C47FC8">
                  <w:pPr>
                    <w:adjustRightInd w:val="0"/>
                    <w:snapToGrid w:val="0"/>
                    <w:spacing w:line="360" w:lineRule="exact"/>
                    <w:jc w:val="center"/>
                    <w:rPr>
                      <w:rFonts w:hint="default" w:ascii="Times New Roman" w:hAnsi="Times New Roman" w:eastAsia="宋体" w:cs="Times New Roman"/>
                      <w:snapToGrid w:val="0"/>
                      <w:kern w:val="0"/>
                      <w:sz w:val="21"/>
                      <w:szCs w:val="21"/>
                      <w:lang w:val="en-US" w:eastAsia="zh-CN" w:bidi="ar-SA"/>
                    </w:rPr>
                  </w:pPr>
                  <w:r>
                    <w:rPr>
                      <w:rFonts w:hint="eastAsia" w:ascii="Times New Roman" w:hAnsi="Times New Roman" w:eastAsia="宋体" w:cs="Times New Roman"/>
                      <w:snapToGrid w:val="0"/>
                      <w:kern w:val="0"/>
                      <w:sz w:val="21"/>
                      <w:szCs w:val="21"/>
                      <w:lang w:val="en-US" w:eastAsia="zh-CN" w:bidi="ar-SA"/>
                    </w:rPr>
                    <w:t>H</w:t>
                  </w:r>
                  <w:r>
                    <w:rPr>
                      <w:rFonts w:hint="eastAsia" w:ascii="Times New Roman" w:hAnsi="Times New Roman" w:eastAsia="宋体" w:cs="Times New Roman"/>
                      <w:snapToGrid w:val="0"/>
                      <w:kern w:val="0"/>
                      <w:sz w:val="21"/>
                      <w:szCs w:val="21"/>
                      <w:vertAlign w:val="subscript"/>
                      <w:lang w:val="en-US" w:eastAsia="zh-CN" w:bidi="ar-SA"/>
                    </w:rPr>
                    <w:t>2</w:t>
                  </w:r>
                </w:p>
              </w:tc>
              <w:tc>
                <w:tcPr>
                  <w:tcW w:w="1670" w:type="pct"/>
                  <w:noWrap w:val="0"/>
                  <w:vAlign w:val="center"/>
                </w:tcPr>
                <w:p w14:paraId="131193AD">
                  <w:pPr>
                    <w:adjustRightInd w:val="0"/>
                    <w:snapToGrid w:val="0"/>
                    <w:spacing w:line="360" w:lineRule="exact"/>
                    <w:jc w:val="center"/>
                    <w:rPr>
                      <w:rFonts w:hint="default" w:ascii="Times New Roman" w:hAnsi="Times New Roman" w:eastAsia="宋体" w:cs="Times New Roman"/>
                      <w:snapToGrid w:val="0"/>
                      <w:kern w:val="0"/>
                      <w:sz w:val="21"/>
                      <w:szCs w:val="21"/>
                      <w:lang w:val="en-US" w:eastAsia="en-US" w:bidi="ar-SA"/>
                    </w:rPr>
                  </w:pPr>
                  <w:r>
                    <w:rPr>
                      <w:rFonts w:hint="eastAsia" w:ascii="Times New Roman" w:hAnsi="Times New Roman" w:eastAsia="宋体" w:cs="Times New Roman"/>
                      <w:snapToGrid w:val="0"/>
                      <w:kern w:val="0"/>
                      <w:sz w:val="21"/>
                      <w:szCs w:val="21"/>
                      <w:lang w:val="en-US" w:eastAsia="zh-CN" w:bidi="ar-SA"/>
                    </w:rPr>
                    <w:t>3.97</w:t>
                  </w:r>
                </w:p>
              </w:tc>
            </w:tr>
            <w:tr w14:paraId="51273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4" w:type="pct"/>
                  <w:noWrap w:val="0"/>
                  <w:vAlign w:val="center"/>
                </w:tcPr>
                <w:p w14:paraId="4CCFE400">
                  <w:pPr>
                    <w:adjustRightInd w:val="0"/>
                    <w:snapToGrid w:val="0"/>
                    <w:spacing w:line="360" w:lineRule="exact"/>
                    <w:jc w:val="center"/>
                    <w:rPr>
                      <w:rFonts w:hint="default" w:ascii="Times New Roman" w:hAnsi="Times New Roman" w:eastAsia="宋体" w:cs="Times New Roman"/>
                      <w:snapToGrid w:val="0"/>
                      <w:kern w:val="0"/>
                      <w:sz w:val="21"/>
                      <w:szCs w:val="21"/>
                      <w:lang w:val="en-US" w:eastAsia="zh-CN" w:bidi="ar-SA"/>
                    </w:rPr>
                  </w:pPr>
                  <w:r>
                    <w:rPr>
                      <w:rFonts w:hint="default" w:ascii="Times New Roman" w:hAnsi="Times New Roman" w:eastAsia="宋体" w:cs="Times New Roman"/>
                      <w:snapToGrid w:val="0"/>
                      <w:kern w:val="0"/>
                      <w:sz w:val="21"/>
                      <w:szCs w:val="21"/>
                      <w:lang w:val="en-US" w:eastAsia="zh-CN" w:bidi="ar-SA"/>
                    </w:rPr>
                    <w:t>3</w:t>
                  </w:r>
                </w:p>
              </w:tc>
              <w:tc>
                <w:tcPr>
                  <w:tcW w:w="2375" w:type="pct"/>
                  <w:noWrap w:val="0"/>
                  <w:vAlign w:val="center"/>
                </w:tcPr>
                <w:p w14:paraId="21769443">
                  <w:pPr>
                    <w:adjustRightInd w:val="0"/>
                    <w:snapToGrid w:val="0"/>
                    <w:spacing w:line="360" w:lineRule="exact"/>
                    <w:jc w:val="center"/>
                    <w:rPr>
                      <w:rFonts w:hint="default" w:ascii="Times New Roman" w:hAnsi="Times New Roman" w:eastAsia="宋体" w:cs="Times New Roman"/>
                      <w:snapToGrid w:val="0"/>
                      <w:kern w:val="0"/>
                      <w:sz w:val="21"/>
                      <w:szCs w:val="21"/>
                      <w:lang w:val="en-US" w:eastAsia="zh-CN" w:bidi="ar-SA"/>
                    </w:rPr>
                  </w:pPr>
                  <w:r>
                    <w:rPr>
                      <w:rFonts w:hint="eastAsia" w:ascii="Times New Roman" w:hAnsi="Times New Roman" w:eastAsia="宋体" w:cs="Times New Roman"/>
                      <w:snapToGrid w:val="0"/>
                      <w:kern w:val="0"/>
                      <w:sz w:val="21"/>
                      <w:szCs w:val="21"/>
                      <w:lang w:val="en-US" w:eastAsia="zh-CN" w:bidi="ar-SA"/>
                    </w:rPr>
                    <w:t>CO</w:t>
                  </w:r>
                  <w:r>
                    <w:rPr>
                      <w:rFonts w:hint="eastAsia" w:ascii="Times New Roman" w:hAnsi="Times New Roman" w:eastAsia="宋体" w:cs="Times New Roman"/>
                      <w:snapToGrid w:val="0"/>
                      <w:kern w:val="0"/>
                      <w:sz w:val="21"/>
                      <w:szCs w:val="21"/>
                      <w:vertAlign w:val="subscript"/>
                      <w:lang w:val="en-US" w:eastAsia="zh-CN" w:bidi="ar-SA"/>
                    </w:rPr>
                    <w:t>2</w:t>
                  </w:r>
                </w:p>
              </w:tc>
              <w:tc>
                <w:tcPr>
                  <w:tcW w:w="1670" w:type="pct"/>
                  <w:noWrap w:val="0"/>
                  <w:vAlign w:val="center"/>
                </w:tcPr>
                <w:p w14:paraId="4BF35E89">
                  <w:pPr>
                    <w:adjustRightInd w:val="0"/>
                    <w:snapToGrid w:val="0"/>
                    <w:spacing w:line="360" w:lineRule="exact"/>
                    <w:jc w:val="center"/>
                    <w:rPr>
                      <w:rFonts w:hint="default" w:ascii="Times New Roman" w:hAnsi="Times New Roman" w:eastAsia="宋体" w:cs="Times New Roman"/>
                      <w:snapToGrid w:val="0"/>
                      <w:kern w:val="0"/>
                      <w:sz w:val="21"/>
                      <w:szCs w:val="21"/>
                      <w:lang w:val="en-US" w:eastAsia="en-US" w:bidi="ar-SA"/>
                    </w:rPr>
                  </w:pPr>
                  <w:r>
                    <w:rPr>
                      <w:rFonts w:hint="eastAsia" w:ascii="Times New Roman" w:hAnsi="Times New Roman" w:eastAsia="宋体" w:cs="Times New Roman"/>
                      <w:snapToGrid w:val="0"/>
                      <w:kern w:val="0"/>
                      <w:sz w:val="21"/>
                      <w:szCs w:val="21"/>
                      <w:lang w:val="en-US" w:eastAsia="zh-CN" w:bidi="ar-SA"/>
                    </w:rPr>
                    <w:t>19.8</w:t>
                  </w:r>
                </w:p>
              </w:tc>
            </w:tr>
            <w:tr w14:paraId="6CEF5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4" w:type="pct"/>
                  <w:noWrap w:val="0"/>
                  <w:vAlign w:val="center"/>
                </w:tcPr>
                <w:p w14:paraId="3791662A">
                  <w:pPr>
                    <w:adjustRightInd w:val="0"/>
                    <w:snapToGrid w:val="0"/>
                    <w:spacing w:line="360" w:lineRule="exact"/>
                    <w:jc w:val="center"/>
                    <w:rPr>
                      <w:rFonts w:hint="default" w:ascii="Times New Roman" w:hAnsi="Times New Roman" w:eastAsia="宋体" w:cs="Times New Roman"/>
                      <w:snapToGrid w:val="0"/>
                      <w:kern w:val="0"/>
                      <w:sz w:val="21"/>
                      <w:szCs w:val="21"/>
                      <w:lang w:val="en-US" w:eastAsia="zh-CN" w:bidi="ar-SA"/>
                    </w:rPr>
                  </w:pPr>
                  <w:r>
                    <w:rPr>
                      <w:rFonts w:hint="default" w:ascii="Times New Roman" w:hAnsi="Times New Roman" w:eastAsia="宋体" w:cs="Times New Roman"/>
                      <w:snapToGrid w:val="0"/>
                      <w:kern w:val="0"/>
                      <w:sz w:val="21"/>
                      <w:szCs w:val="21"/>
                      <w:lang w:val="en-US" w:eastAsia="zh-CN" w:bidi="ar-SA"/>
                    </w:rPr>
                    <w:t>4</w:t>
                  </w:r>
                </w:p>
              </w:tc>
              <w:tc>
                <w:tcPr>
                  <w:tcW w:w="2375" w:type="pct"/>
                  <w:noWrap w:val="0"/>
                  <w:vAlign w:val="center"/>
                </w:tcPr>
                <w:p w14:paraId="3EF1740C">
                  <w:pPr>
                    <w:adjustRightInd w:val="0"/>
                    <w:snapToGrid w:val="0"/>
                    <w:spacing w:line="360" w:lineRule="exact"/>
                    <w:jc w:val="center"/>
                    <w:rPr>
                      <w:rFonts w:hint="default" w:ascii="Times New Roman" w:hAnsi="Times New Roman" w:eastAsia="宋体" w:cs="Times New Roman"/>
                      <w:snapToGrid w:val="0"/>
                      <w:kern w:val="0"/>
                      <w:sz w:val="21"/>
                      <w:szCs w:val="21"/>
                      <w:lang w:val="en-US" w:eastAsia="zh-CN" w:bidi="ar-SA"/>
                    </w:rPr>
                  </w:pPr>
                  <w:r>
                    <w:rPr>
                      <w:rFonts w:hint="eastAsia" w:ascii="Times New Roman" w:hAnsi="Times New Roman" w:eastAsia="宋体" w:cs="Times New Roman"/>
                      <w:snapToGrid w:val="0"/>
                      <w:kern w:val="0"/>
                      <w:sz w:val="21"/>
                      <w:szCs w:val="21"/>
                      <w:lang w:val="en-US" w:eastAsia="zh-CN" w:bidi="ar-SA"/>
                    </w:rPr>
                    <w:t>CO</w:t>
                  </w:r>
                </w:p>
              </w:tc>
              <w:tc>
                <w:tcPr>
                  <w:tcW w:w="1670" w:type="pct"/>
                  <w:noWrap w:val="0"/>
                  <w:vAlign w:val="center"/>
                </w:tcPr>
                <w:p w14:paraId="581879C1">
                  <w:pPr>
                    <w:adjustRightInd w:val="0"/>
                    <w:snapToGrid w:val="0"/>
                    <w:spacing w:line="360" w:lineRule="exact"/>
                    <w:jc w:val="center"/>
                    <w:rPr>
                      <w:rFonts w:hint="default" w:ascii="Times New Roman" w:hAnsi="Times New Roman" w:eastAsia="宋体" w:cs="Times New Roman"/>
                      <w:snapToGrid w:val="0"/>
                      <w:kern w:val="0"/>
                      <w:sz w:val="21"/>
                      <w:szCs w:val="21"/>
                      <w:lang w:val="en-US" w:eastAsia="en-US" w:bidi="ar-SA"/>
                    </w:rPr>
                  </w:pPr>
                  <w:r>
                    <w:rPr>
                      <w:rFonts w:hint="eastAsia" w:ascii="Times New Roman" w:hAnsi="Times New Roman" w:eastAsia="宋体" w:cs="Times New Roman"/>
                      <w:snapToGrid w:val="0"/>
                      <w:kern w:val="0"/>
                      <w:sz w:val="21"/>
                      <w:szCs w:val="21"/>
                      <w:lang w:val="en-US" w:eastAsia="zh-CN" w:bidi="ar-SA"/>
                    </w:rPr>
                    <w:t>20.37</w:t>
                  </w:r>
                </w:p>
              </w:tc>
            </w:tr>
            <w:tr w14:paraId="2AC4B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4" w:type="pct"/>
                  <w:noWrap w:val="0"/>
                  <w:vAlign w:val="center"/>
                </w:tcPr>
                <w:p w14:paraId="083C1AFB">
                  <w:pPr>
                    <w:adjustRightInd w:val="0"/>
                    <w:snapToGrid w:val="0"/>
                    <w:spacing w:line="360" w:lineRule="exact"/>
                    <w:jc w:val="center"/>
                    <w:rPr>
                      <w:rFonts w:hint="default" w:ascii="Times New Roman" w:hAnsi="Times New Roman" w:eastAsia="宋体" w:cs="Times New Roman"/>
                      <w:snapToGrid w:val="0"/>
                      <w:kern w:val="0"/>
                      <w:sz w:val="21"/>
                      <w:szCs w:val="21"/>
                      <w:lang w:val="en-US" w:eastAsia="zh-CN" w:bidi="ar-SA"/>
                    </w:rPr>
                  </w:pPr>
                  <w:r>
                    <w:rPr>
                      <w:rFonts w:hint="default" w:ascii="Times New Roman" w:hAnsi="Times New Roman" w:eastAsia="宋体" w:cs="Times New Roman"/>
                      <w:snapToGrid w:val="0"/>
                      <w:kern w:val="0"/>
                      <w:sz w:val="21"/>
                      <w:szCs w:val="21"/>
                      <w:lang w:val="en-US" w:eastAsia="zh-CN" w:bidi="ar-SA"/>
                    </w:rPr>
                    <w:t>5</w:t>
                  </w:r>
                </w:p>
              </w:tc>
              <w:tc>
                <w:tcPr>
                  <w:tcW w:w="2375" w:type="pct"/>
                  <w:noWrap w:val="0"/>
                  <w:vAlign w:val="center"/>
                </w:tcPr>
                <w:p w14:paraId="35251F6C">
                  <w:pPr>
                    <w:adjustRightInd w:val="0"/>
                    <w:snapToGrid w:val="0"/>
                    <w:spacing w:line="360" w:lineRule="exact"/>
                    <w:jc w:val="center"/>
                    <w:rPr>
                      <w:rFonts w:hint="default" w:ascii="Times New Roman" w:hAnsi="Times New Roman" w:eastAsia="宋体" w:cs="Times New Roman"/>
                      <w:snapToGrid w:val="0"/>
                      <w:kern w:val="0"/>
                      <w:sz w:val="21"/>
                      <w:szCs w:val="21"/>
                      <w:lang w:val="en-US" w:eastAsia="zh-CN" w:bidi="ar-SA"/>
                    </w:rPr>
                  </w:pPr>
                  <w:r>
                    <w:rPr>
                      <w:rFonts w:hint="eastAsia" w:ascii="Times New Roman" w:hAnsi="Times New Roman" w:eastAsia="宋体" w:cs="Times New Roman"/>
                      <w:snapToGrid w:val="0"/>
                      <w:kern w:val="0"/>
                      <w:sz w:val="21"/>
                      <w:szCs w:val="21"/>
                      <w:lang w:val="en-US" w:eastAsia="zh-CN" w:bidi="ar-SA"/>
                    </w:rPr>
                    <w:t>CH</w:t>
                  </w:r>
                  <w:r>
                    <w:rPr>
                      <w:rFonts w:hint="eastAsia" w:ascii="Times New Roman" w:hAnsi="Times New Roman" w:eastAsia="宋体" w:cs="Times New Roman"/>
                      <w:snapToGrid w:val="0"/>
                      <w:kern w:val="0"/>
                      <w:sz w:val="21"/>
                      <w:szCs w:val="21"/>
                      <w:vertAlign w:val="subscript"/>
                      <w:lang w:val="en-US" w:eastAsia="zh-CN" w:bidi="ar-SA"/>
                    </w:rPr>
                    <w:t>4</w:t>
                  </w:r>
                </w:p>
              </w:tc>
              <w:tc>
                <w:tcPr>
                  <w:tcW w:w="1670" w:type="pct"/>
                  <w:noWrap w:val="0"/>
                  <w:vAlign w:val="center"/>
                </w:tcPr>
                <w:p w14:paraId="4E74CAED">
                  <w:pPr>
                    <w:adjustRightInd w:val="0"/>
                    <w:snapToGrid w:val="0"/>
                    <w:spacing w:line="360" w:lineRule="exact"/>
                    <w:jc w:val="center"/>
                    <w:rPr>
                      <w:rFonts w:hint="default" w:ascii="Times New Roman" w:hAnsi="Times New Roman" w:eastAsia="宋体" w:cs="Times New Roman"/>
                      <w:snapToGrid w:val="0"/>
                      <w:kern w:val="0"/>
                      <w:sz w:val="21"/>
                      <w:szCs w:val="21"/>
                      <w:lang w:val="en-US" w:eastAsia="en-US" w:bidi="ar-SA"/>
                    </w:rPr>
                  </w:pPr>
                  <w:r>
                    <w:rPr>
                      <w:rFonts w:hint="eastAsia" w:ascii="Times New Roman" w:hAnsi="Times New Roman" w:eastAsia="宋体" w:cs="Times New Roman"/>
                      <w:snapToGrid w:val="0"/>
                      <w:kern w:val="0"/>
                      <w:sz w:val="21"/>
                      <w:szCs w:val="21"/>
                      <w:lang w:val="en-US" w:eastAsia="zh-CN" w:bidi="ar-SA"/>
                    </w:rPr>
                    <w:t>1.07</w:t>
                  </w:r>
                </w:p>
              </w:tc>
            </w:tr>
            <w:tr w14:paraId="7F584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4" w:type="pct"/>
                  <w:noWrap w:val="0"/>
                  <w:vAlign w:val="center"/>
                </w:tcPr>
                <w:p w14:paraId="07C27ECC">
                  <w:pPr>
                    <w:adjustRightInd w:val="0"/>
                    <w:snapToGrid w:val="0"/>
                    <w:spacing w:line="360" w:lineRule="exact"/>
                    <w:jc w:val="center"/>
                    <w:rPr>
                      <w:rFonts w:hint="default" w:ascii="Times New Roman" w:hAnsi="Times New Roman" w:eastAsia="宋体" w:cs="Times New Roman"/>
                      <w:snapToGrid w:val="0"/>
                      <w:kern w:val="0"/>
                      <w:sz w:val="21"/>
                      <w:szCs w:val="21"/>
                      <w:lang w:val="en-US" w:eastAsia="zh-CN" w:bidi="ar-SA"/>
                    </w:rPr>
                  </w:pPr>
                  <w:r>
                    <w:rPr>
                      <w:rFonts w:hint="default" w:ascii="Times New Roman" w:hAnsi="Times New Roman" w:eastAsia="宋体" w:cs="Times New Roman"/>
                      <w:snapToGrid w:val="0"/>
                      <w:kern w:val="0"/>
                      <w:sz w:val="21"/>
                      <w:szCs w:val="21"/>
                      <w:lang w:val="en-US" w:eastAsia="zh-CN" w:bidi="ar-SA"/>
                    </w:rPr>
                    <w:t>6</w:t>
                  </w:r>
                </w:p>
              </w:tc>
              <w:tc>
                <w:tcPr>
                  <w:tcW w:w="2375" w:type="pct"/>
                  <w:noWrap w:val="0"/>
                  <w:vAlign w:val="center"/>
                </w:tcPr>
                <w:p w14:paraId="70EDD4F2">
                  <w:pPr>
                    <w:adjustRightInd w:val="0"/>
                    <w:snapToGrid w:val="0"/>
                    <w:spacing w:line="360" w:lineRule="exact"/>
                    <w:jc w:val="center"/>
                    <w:rPr>
                      <w:rFonts w:hint="default" w:ascii="Times New Roman" w:hAnsi="Times New Roman" w:eastAsia="宋体" w:cs="Times New Roman"/>
                      <w:snapToGrid w:val="0"/>
                      <w:kern w:val="0"/>
                      <w:sz w:val="21"/>
                      <w:szCs w:val="21"/>
                      <w:lang w:val="en-US" w:eastAsia="zh-CN" w:bidi="ar-SA"/>
                    </w:rPr>
                  </w:pPr>
                  <w:r>
                    <w:rPr>
                      <w:rFonts w:hint="eastAsia" w:ascii="Times New Roman" w:hAnsi="Times New Roman" w:eastAsia="宋体" w:cs="Times New Roman"/>
                      <w:snapToGrid w:val="0"/>
                      <w:kern w:val="0"/>
                      <w:sz w:val="21"/>
                      <w:szCs w:val="21"/>
                      <w:lang w:val="en-US" w:eastAsia="zh-CN" w:bidi="ar-SA"/>
                    </w:rPr>
                    <w:t>CnHm</w:t>
                  </w:r>
                </w:p>
              </w:tc>
              <w:tc>
                <w:tcPr>
                  <w:tcW w:w="1670" w:type="pct"/>
                  <w:noWrap w:val="0"/>
                  <w:vAlign w:val="center"/>
                </w:tcPr>
                <w:p w14:paraId="207F26ED">
                  <w:pPr>
                    <w:adjustRightInd w:val="0"/>
                    <w:snapToGrid w:val="0"/>
                    <w:spacing w:line="360" w:lineRule="exact"/>
                    <w:jc w:val="center"/>
                    <w:rPr>
                      <w:rFonts w:hint="default" w:ascii="Times New Roman" w:hAnsi="Times New Roman" w:eastAsia="宋体" w:cs="Times New Roman"/>
                      <w:snapToGrid w:val="0"/>
                      <w:kern w:val="0"/>
                      <w:sz w:val="21"/>
                      <w:szCs w:val="21"/>
                      <w:lang w:val="en-US" w:eastAsia="en-US" w:bidi="ar-SA"/>
                    </w:rPr>
                  </w:pPr>
                  <w:r>
                    <w:rPr>
                      <w:rFonts w:hint="eastAsia" w:ascii="Times New Roman" w:hAnsi="Times New Roman" w:eastAsia="宋体" w:cs="Times New Roman"/>
                      <w:snapToGrid w:val="0"/>
                      <w:kern w:val="0"/>
                      <w:sz w:val="21"/>
                      <w:szCs w:val="21"/>
                      <w:lang w:val="en-US" w:eastAsia="zh-CN" w:bidi="ar-SA"/>
                    </w:rPr>
                    <w:t>--</w:t>
                  </w:r>
                </w:p>
              </w:tc>
            </w:tr>
            <w:tr w14:paraId="09FF6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4" w:type="pct"/>
                  <w:noWrap w:val="0"/>
                  <w:vAlign w:val="center"/>
                </w:tcPr>
                <w:p w14:paraId="0036887C">
                  <w:pPr>
                    <w:adjustRightInd w:val="0"/>
                    <w:snapToGrid w:val="0"/>
                    <w:spacing w:line="360" w:lineRule="exact"/>
                    <w:jc w:val="center"/>
                    <w:rPr>
                      <w:rFonts w:hint="default" w:ascii="Times New Roman" w:hAnsi="Times New Roman" w:eastAsia="宋体" w:cs="Times New Roman"/>
                      <w:snapToGrid w:val="0"/>
                      <w:kern w:val="0"/>
                      <w:sz w:val="21"/>
                      <w:szCs w:val="21"/>
                      <w:lang w:val="en-US" w:eastAsia="zh-CN" w:bidi="ar-SA"/>
                    </w:rPr>
                  </w:pPr>
                  <w:r>
                    <w:rPr>
                      <w:rFonts w:hint="default" w:ascii="Times New Roman" w:hAnsi="Times New Roman" w:eastAsia="宋体" w:cs="Times New Roman"/>
                      <w:snapToGrid w:val="0"/>
                      <w:kern w:val="0"/>
                      <w:sz w:val="21"/>
                      <w:szCs w:val="21"/>
                      <w:lang w:val="en-US" w:eastAsia="zh-CN" w:bidi="ar-SA"/>
                    </w:rPr>
                    <w:t>7</w:t>
                  </w:r>
                </w:p>
              </w:tc>
              <w:tc>
                <w:tcPr>
                  <w:tcW w:w="2375" w:type="pct"/>
                  <w:noWrap w:val="0"/>
                  <w:vAlign w:val="center"/>
                </w:tcPr>
                <w:p w14:paraId="63807FE0">
                  <w:pPr>
                    <w:adjustRightInd w:val="0"/>
                    <w:snapToGrid w:val="0"/>
                    <w:spacing w:line="360" w:lineRule="exact"/>
                    <w:jc w:val="center"/>
                    <w:rPr>
                      <w:rFonts w:hint="default" w:ascii="Times New Roman" w:hAnsi="Times New Roman" w:eastAsia="宋体" w:cs="Times New Roman"/>
                      <w:snapToGrid w:val="0"/>
                      <w:kern w:val="0"/>
                      <w:sz w:val="21"/>
                      <w:szCs w:val="21"/>
                      <w:lang w:val="en-US" w:eastAsia="zh-CN" w:bidi="ar-SA"/>
                    </w:rPr>
                  </w:pPr>
                  <w:r>
                    <w:rPr>
                      <w:rFonts w:hint="eastAsia" w:ascii="Times New Roman" w:hAnsi="Times New Roman" w:eastAsia="宋体" w:cs="Times New Roman"/>
                      <w:snapToGrid w:val="0"/>
                      <w:kern w:val="0"/>
                      <w:sz w:val="21"/>
                      <w:szCs w:val="21"/>
                      <w:lang w:val="en-US" w:eastAsia="zh-CN" w:bidi="ar-SA"/>
                    </w:rPr>
                    <w:t>O</w:t>
                  </w:r>
                  <w:r>
                    <w:rPr>
                      <w:rFonts w:hint="eastAsia" w:ascii="Times New Roman" w:hAnsi="Times New Roman" w:eastAsia="宋体" w:cs="Times New Roman"/>
                      <w:snapToGrid w:val="0"/>
                      <w:kern w:val="0"/>
                      <w:sz w:val="21"/>
                      <w:szCs w:val="21"/>
                      <w:vertAlign w:val="subscript"/>
                      <w:lang w:val="en-US" w:eastAsia="zh-CN" w:bidi="ar-SA"/>
                    </w:rPr>
                    <w:t>2</w:t>
                  </w:r>
                </w:p>
              </w:tc>
              <w:tc>
                <w:tcPr>
                  <w:tcW w:w="1670" w:type="pct"/>
                  <w:noWrap w:val="0"/>
                  <w:vAlign w:val="center"/>
                </w:tcPr>
                <w:p w14:paraId="608D9950">
                  <w:pPr>
                    <w:adjustRightInd w:val="0"/>
                    <w:snapToGrid w:val="0"/>
                    <w:spacing w:line="360" w:lineRule="exact"/>
                    <w:jc w:val="center"/>
                    <w:rPr>
                      <w:rFonts w:hint="default" w:ascii="Times New Roman" w:hAnsi="Times New Roman" w:eastAsia="宋体" w:cs="Times New Roman"/>
                      <w:snapToGrid w:val="0"/>
                      <w:kern w:val="0"/>
                      <w:sz w:val="21"/>
                      <w:szCs w:val="21"/>
                      <w:lang w:val="en-US" w:eastAsia="en-US" w:bidi="ar-SA"/>
                    </w:rPr>
                  </w:pPr>
                  <w:r>
                    <w:rPr>
                      <w:rFonts w:hint="eastAsia" w:ascii="Times New Roman" w:hAnsi="Times New Roman" w:eastAsia="宋体" w:cs="Times New Roman"/>
                      <w:snapToGrid w:val="0"/>
                      <w:kern w:val="0"/>
                      <w:sz w:val="21"/>
                      <w:szCs w:val="21"/>
                      <w:lang w:val="en-US" w:eastAsia="zh-CN" w:bidi="ar-SA"/>
                    </w:rPr>
                    <w:t>0.8</w:t>
                  </w:r>
                </w:p>
              </w:tc>
            </w:tr>
            <w:tr w14:paraId="4F6B4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4" w:type="pct"/>
                  <w:shd w:val="clear" w:color="auto" w:fill="auto"/>
                  <w:noWrap w:val="0"/>
                  <w:vAlign w:val="center"/>
                </w:tcPr>
                <w:p w14:paraId="79FFACC4">
                  <w:pPr>
                    <w:adjustRightInd w:val="0"/>
                    <w:snapToGrid w:val="0"/>
                    <w:jc w:val="center"/>
                    <w:rPr>
                      <w:rFonts w:hint="default" w:ascii="Times New Roman" w:hAnsi="Times New Roman" w:eastAsia="宋体" w:cs="Times New Roman"/>
                      <w:bCs/>
                      <w:color w:val="auto"/>
                      <w:kern w:val="2"/>
                      <w:sz w:val="24"/>
                      <w:szCs w:val="24"/>
                      <w:lang w:val="en-US" w:eastAsia="zh-CN" w:bidi="ar-SA"/>
                    </w:rPr>
                  </w:pPr>
                  <w:r>
                    <w:rPr>
                      <w:rFonts w:hint="eastAsia" w:ascii="Times New Roman" w:hAnsi="Times New Roman" w:eastAsia="宋体" w:cs="Times New Roman"/>
                      <w:bCs/>
                      <w:color w:val="auto"/>
                      <w:sz w:val="24"/>
                      <w:lang w:val="en-US" w:eastAsia="zh-CN"/>
                    </w:rPr>
                    <w:t>8</w:t>
                  </w:r>
                </w:p>
              </w:tc>
              <w:tc>
                <w:tcPr>
                  <w:tcW w:w="2375" w:type="pct"/>
                  <w:shd w:val="clear" w:color="auto" w:fill="auto"/>
                  <w:noWrap w:val="0"/>
                  <w:vAlign w:val="center"/>
                </w:tcPr>
                <w:p w14:paraId="6F59A9B7">
                  <w:pPr>
                    <w:adjustRightInd w:val="0"/>
                    <w:snapToGrid w:val="0"/>
                    <w:jc w:val="center"/>
                    <w:rPr>
                      <w:rFonts w:hint="eastAsia" w:ascii="Times New Roman" w:hAnsi="Times New Roman" w:eastAsia="宋体" w:cs="Times New Roman"/>
                      <w:bCs/>
                      <w:color w:val="auto"/>
                      <w:kern w:val="2"/>
                      <w:sz w:val="24"/>
                      <w:szCs w:val="24"/>
                      <w:lang w:val="en-US" w:eastAsia="zh-CN" w:bidi="ar-SA"/>
                    </w:rPr>
                  </w:pPr>
                  <w:r>
                    <w:rPr>
                      <w:rFonts w:hint="eastAsia" w:ascii="Times New Roman" w:hAnsi="Times New Roman" w:eastAsia="宋体" w:cs="Times New Roman"/>
                      <w:bCs/>
                      <w:color w:val="auto"/>
                      <w:sz w:val="24"/>
                      <w:lang w:val="en-US" w:eastAsia="zh-CN"/>
                    </w:rPr>
                    <w:t>COS（mg/m</w:t>
                  </w:r>
                  <w:r>
                    <w:rPr>
                      <w:rFonts w:hint="eastAsia" w:ascii="Times New Roman" w:hAnsi="Times New Roman" w:eastAsia="宋体" w:cs="Times New Roman"/>
                      <w:bCs/>
                      <w:color w:val="auto"/>
                      <w:sz w:val="24"/>
                      <w:vertAlign w:val="superscript"/>
                      <w:lang w:val="en-US" w:eastAsia="zh-CN"/>
                    </w:rPr>
                    <w:t>3</w:t>
                  </w:r>
                  <w:r>
                    <w:rPr>
                      <w:rFonts w:hint="eastAsia" w:ascii="Times New Roman" w:hAnsi="Times New Roman" w:eastAsia="宋体" w:cs="Times New Roman"/>
                      <w:bCs/>
                      <w:color w:val="auto"/>
                      <w:sz w:val="24"/>
                      <w:lang w:val="en-US" w:eastAsia="zh-CN"/>
                    </w:rPr>
                    <w:t>）</w:t>
                  </w:r>
                </w:p>
              </w:tc>
              <w:tc>
                <w:tcPr>
                  <w:tcW w:w="1670" w:type="pct"/>
                  <w:shd w:val="clear" w:color="auto" w:fill="auto"/>
                  <w:noWrap w:val="0"/>
                  <w:vAlign w:val="center"/>
                </w:tcPr>
                <w:p w14:paraId="4490D687">
                  <w:pPr>
                    <w:adjustRightInd w:val="0"/>
                    <w:snapToGrid w:val="0"/>
                    <w:jc w:val="center"/>
                    <w:rPr>
                      <w:rFonts w:hint="eastAsia" w:ascii="Times New Roman" w:hAnsi="Times New Roman" w:eastAsia="宋体" w:cs="Times New Roman"/>
                      <w:bCs/>
                      <w:color w:val="auto"/>
                      <w:kern w:val="2"/>
                      <w:sz w:val="24"/>
                      <w:szCs w:val="24"/>
                      <w:lang w:val="en-US" w:eastAsia="zh-CN" w:bidi="ar-SA"/>
                    </w:rPr>
                  </w:pPr>
                  <w:r>
                    <w:rPr>
                      <w:rFonts w:hint="eastAsia" w:ascii="Times New Roman" w:hAnsi="Times New Roman" w:eastAsia="宋体" w:cs="Times New Roman"/>
                      <w:bCs/>
                      <w:color w:val="auto"/>
                      <w:sz w:val="24"/>
                      <w:lang w:val="en-US" w:eastAsia="zh-CN"/>
                    </w:rPr>
                    <w:t>67.15-85.87</w:t>
                  </w:r>
                </w:p>
              </w:tc>
            </w:tr>
            <w:tr w14:paraId="1B0C1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4" w:type="pct"/>
                  <w:shd w:val="clear" w:color="auto" w:fill="auto"/>
                  <w:noWrap w:val="0"/>
                  <w:vAlign w:val="center"/>
                </w:tcPr>
                <w:p w14:paraId="1ED42384">
                  <w:pPr>
                    <w:adjustRightInd w:val="0"/>
                    <w:snapToGrid w:val="0"/>
                    <w:jc w:val="center"/>
                    <w:rPr>
                      <w:rFonts w:hint="default" w:ascii="Times New Roman" w:hAnsi="Times New Roman" w:eastAsia="宋体" w:cs="Times New Roman"/>
                      <w:bCs/>
                      <w:color w:val="auto"/>
                      <w:kern w:val="2"/>
                      <w:sz w:val="24"/>
                      <w:szCs w:val="24"/>
                      <w:lang w:val="en-US" w:eastAsia="zh-CN" w:bidi="ar-SA"/>
                    </w:rPr>
                  </w:pPr>
                  <w:r>
                    <w:rPr>
                      <w:rFonts w:hint="eastAsia" w:ascii="Times New Roman" w:hAnsi="Times New Roman" w:eastAsia="宋体" w:cs="Times New Roman"/>
                      <w:bCs/>
                      <w:color w:val="auto"/>
                      <w:sz w:val="24"/>
                      <w:lang w:val="en-US" w:eastAsia="zh-CN"/>
                    </w:rPr>
                    <w:t>9</w:t>
                  </w:r>
                </w:p>
              </w:tc>
              <w:tc>
                <w:tcPr>
                  <w:tcW w:w="2375" w:type="pct"/>
                  <w:shd w:val="clear" w:color="auto" w:fill="auto"/>
                  <w:noWrap w:val="0"/>
                  <w:vAlign w:val="center"/>
                </w:tcPr>
                <w:p w14:paraId="40CED3BF">
                  <w:pPr>
                    <w:adjustRightInd w:val="0"/>
                    <w:snapToGrid w:val="0"/>
                    <w:jc w:val="center"/>
                    <w:rPr>
                      <w:rFonts w:hint="eastAsia" w:ascii="Times New Roman" w:hAnsi="Times New Roman" w:eastAsia="宋体" w:cs="Times New Roman"/>
                      <w:bCs/>
                      <w:color w:val="auto"/>
                      <w:kern w:val="2"/>
                      <w:sz w:val="24"/>
                      <w:szCs w:val="24"/>
                      <w:lang w:val="en-US" w:eastAsia="zh-CN" w:bidi="ar-SA"/>
                    </w:rPr>
                  </w:pPr>
                  <w:r>
                    <w:rPr>
                      <w:rFonts w:hint="eastAsia" w:ascii="Times New Roman" w:hAnsi="Times New Roman" w:eastAsia="宋体" w:cs="Times New Roman"/>
                      <w:bCs/>
                      <w:color w:val="auto"/>
                      <w:sz w:val="24"/>
                      <w:lang w:val="en-US" w:eastAsia="zh-CN"/>
                    </w:rPr>
                    <w:t>H</w:t>
                  </w:r>
                  <w:r>
                    <w:rPr>
                      <w:rFonts w:hint="eastAsia" w:ascii="Times New Roman" w:hAnsi="Times New Roman" w:eastAsia="宋体" w:cs="Times New Roman"/>
                      <w:bCs/>
                      <w:color w:val="auto"/>
                      <w:sz w:val="24"/>
                      <w:vertAlign w:val="subscript"/>
                      <w:lang w:val="en-US" w:eastAsia="zh-CN"/>
                    </w:rPr>
                    <w:t>2</w:t>
                  </w:r>
                  <w:r>
                    <w:rPr>
                      <w:rFonts w:hint="eastAsia" w:ascii="Times New Roman" w:hAnsi="Times New Roman" w:eastAsia="宋体" w:cs="Times New Roman"/>
                      <w:bCs/>
                      <w:color w:val="auto"/>
                      <w:sz w:val="24"/>
                      <w:lang w:val="en-US" w:eastAsia="zh-CN"/>
                    </w:rPr>
                    <w:t>S（mg/m</w:t>
                  </w:r>
                  <w:r>
                    <w:rPr>
                      <w:rFonts w:hint="eastAsia" w:ascii="Times New Roman" w:hAnsi="Times New Roman" w:eastAsia="宋体" w:cs="Times New Roman"/>
                      <w:bCs/>
                      <w:color w:val="auto"/>
                      <w:sz w:val="24"/>
                      <w:vertAlign w:val="superscript"/>
                      <w:lang w:val="en-US" w:eastAsia="zh-CN"/>
                    </w:rPr>
                    <w:t>3</w:t>
                  </w:r>
                  <w:r>
                    <w:rPr>
                      <w:rFonts w:hint="eastAsia" w:ascii="Times New Roman" w:hAnsi="Times New Roman" w:eastAsia="宋体" w:cs="Times New Roman"/>
                      <w:bCs/>
                      <w:color w:val="auto"/>
                      <w:sz w:val="24"/>
                      <w:lang w:val="en-US" w:eastAsia="zh-CN"/>
                    </w:rPr>
                    <w:t>）</w:t>
                  </w:r>
                </w:p>
              </w:tc>
              <w:tc>
                <w:tcPr>
                  <w:tcW w:w="1670" w:type="pct"/>
                  <w:shd w:val="clear" w:color="auto" w:fill="auto"/>
                  <w:noWrap w:val="0"/>
                  <w:vAlign w:val="center"/>
                </w:tcPr>
                <w:p w14:paraId="534A483E">
                  <w:pPr>
                    <w:adjustRightInd w:val="0"/>
                    <w:snapToGrid w:val="0"/>
                    <w:jc w:val="center"/>
                    <w:rPr>
                      <w:rFonts w:hint="eastAsia" w:ascii="Times New Roman" w:hAnsi="Times New Roman" w:eastAsia="宋体" w:cs="Times New Roman"/>
                      <w:bCs/>
                      <w:color w:val="auto"/>
                      <w:kern w:val="2"/>
                      <w:sz w:val="24"/>
                      <w:szCs w:val="24"/>
                      <w:lang w:val="en-US" w:eastAsia="zh-CN" w:bidi="ar-SA"/>
                    </w:rPr>
                  </w:pPr>
                  <w:r>
                    <w:rPr>
                      <w:rFonts w:hint="eastAsia" w:ascii="Times New Roman" w:hAnsi="Times New Roman" w:eastAsia="宋体" w:cs="Times New Roman"/>
                      <w:bCs/>
                      <w:color w:val="auto"/>
                      <w:sz w:val="24"/>
                      <w:lang w:val="en-US" w:eastAsia="zh-CN"/>
                    </w:rPr>
                    <w:t>23.14-25.78</w:t>
                  </w:r>
                </w:p>
              </w:tc>
            </w:tr>
            <w:tr w14:paraId="73D5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9" w:type="pct"/>
                  <w:gridSpan w:val="2"/>
                  <w:noWrap w:val="0"/>
                  <w:vAlign w:val="center"/>
                </w:tcPr>
                <w:p w14:paraId="1E301EDC">
                  <w:pPr>
                    <w:adjustRightInd w:val="0"/>
                    <w:snapToGrid w:val="0"/>
                    <w:spacing w:line="360" w:lineRule="exact"/>
                    <w:jc w:val="center"/>
                    <w:rPr>
                      <w:rFonts w:hint="default" w:ascii="Times New Roman" w:hAnsi="Times New Roman" w:eastAsia="宋体" w:cs="Times New Roman"/>
                      <w:snapToGrid w:val="0"/>
                      <w:kern w:val="0"/>
                      <w:sz w:val="21"/>
                      <w:szCs w:val="21"/>
                      <w:lang w:val="en-US" w:eastAsia="zh-CN" w:bidi="ar-SA"/>
                    </w:rPr>
                  </w:pPr>
                  <w:r>
                    <w:rPr>
                      <w:rFonts w:hint="default" w:ascii="Times New Roman" w:hAnsi="Times New Roman" w:eastAsia="宋体" w:cs="Times New Roman"/>
                      <w:snapToGrid w:val="0"/>
                      <w:kern w:val="0"/>
                      <w:sz w:val="21"/>
                      <w:szCs w:val="21"/>
                      <w:lang w:val="en-US" w:eastAsia="zh-CN" w:bidi="ar-SA"/>
                    </w:rPr>
                    <w:t>合计</w:t>
                  </w:r>
                </w:p>
              </w:tc>
              <w:tc>
                <w:tcPr>
                  <w:tcW w:w="1670" w:type="pct"/>
                  <w:noWrap w:val="0"/>
                  <w:vAlign w:val="center"/>
                </w:tcPr>
                <w:p w14:paraId="2CC8D5D3">
                  <w:pPr>
                    <w:adjustRightInd w:val="0"/>
                    <w:snapToGrid w:val="0"/>
                    <w:spacing w:line="360" w:lineRule="exact"/>
                    <w:jc w:val="center"/>
                    <w:rPr>
                      <w:rFonts w:hint="default" w:ascii="Times New Roman" w:hAnsi="Times New Roman" w:eastAsia="宋体" w:cs="Times New Roman"/>
                      <w:snapToGrid w:val="0"/>
                      <w:kern w:val="0"/>
                      <w:sz w:val="21"/>
                      <w:szCs w:val="21"/>
                      <w:lang w:val="en-US" w:eastAsia="zh-CN" w:bidi="ar-SA"/>
                    </w:rPr>
                  </w:pPr>
                  <w:r>
                    <w:rPr>
                      <w:rFonts w:hint="default" w:ascii="Times New Roman" w:hAnsi="Times New Roman" w:eastAsia="宋体" w:cs="Times New Roman"/>
                      <w:snapToGrid w:val="0"/>
                      <w:kern w:val="0"/>
                      <w:sz w:val="21"/>
                      <w:szCs w:val="21"/>
                      <w:lang w:val="en-US" w:eastAsia="zh-CN" w:bidi="ar-SA"/>
                    </w:rPr>
                    <w:t>100</w:t>
                  </w:r>
                </w:p>
              </w:tc>
            </w:tr>
          </w:tbl>
          <w:p w14:paraId="572DF1D0">
            <w:pPr>
              <w:keepNext w:val="0"/>
              <w:keepLines w:val="0"/>
              <w:pageBreakBefore w:val="0"/>
              <w:widowControl w:val="0"/>
              <w:kinsoku/>
              <w:overflowPunct/>
              <w:topLinePunct w:val="0"/>
              <w:autoSpaceDE/>
              <w:autoSpaceDN/>
              <w:bidi w:val="0"/>
              <w:snapToGrid w:val="0"/>
              <w:spacing w:line="440" w:lineRule="exact"/>
              <w:ind w:firstLine="480" w:firstLineChars="200"/>
              <w:textAlignment w:val="auto"/>
              <w:rPr>
                <w:rStyle w:val="71"/>
                <w:rFonts w:hint="default" w:eastAsia="宋体"/>
                <w:bCs/>
                <w:color w:val="auto"/>
                <w:sz w:val="24"/>
                <w:lang w:val="en-US" w:eastAsia="zh-CN"/>
              </w:rPr>
            </w:pPr>
            <w:r>
              <w:rPr>
                <w:rStyle w:val="71"/>
                <w:rFonts w:hint="eastAsia"/>
                <w:bCs/>
                <w:color w:val="auto"/>
                <w:sz w:val="24"/>
                <w:lang w:val="en-US" w:eastAsia="zh-CN"/>
              </w:rPr>
              <w:t>本项目为</w:t>
            </w:r>
            <w:r>
              <w:rPr>
                <w:rFonts w:hint="default" w:ascii="Times New Roman" w:hAnsi="Times New Roman" w:eastAsia="宋体" w:cs="Times New Roman"/>
                <w:color w:val="auto"/>
                <w:sz w:val="24"/>
                <w:szCs w:val="24"/>
              </w:rPr>
              <w:t>燃气锅炉</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过量空气系数为1.2。</w:t>
            </w:r>
          </w:p>
          <w:p w14:paraId="273723B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cs="Times New Roman"/>
                <w:color w:val="auto"/>
                <w:sz w:val="24"/>
                <w:szCs w:val="24"/>
                <w:highlight w:val="none"/>
                <w:lang w:val="en-US" w:eastAsia="zh-CN"/>
              </w:rPr>
            </w:pPr>
            <w:r>
              <w:rPr>
                <w:rStyle w:val="71"/>
                <w:rFonts w:hint="eastAsia"/>
                <w:bCs/>
                <w:color w:val="auto"/>
                <w:sz w:val="24"/>
                <w:highlight w:val="none"/>
                <w:lang w:val="en-US" w:eastAsia="zh-CN"/>
              </w:rPr>
              <w:t>计算可得：V</w:t>
            </w:r>
            <w:r>
              <w:rPr>
                <w:rStyle w:val="71"/>
                <w:rFonts w:hint="eastAsia"/>
                <w:bCs/>
                <w:color w:val="auto"/>
                <w:sz w:val="24"/>
                <w:highlight w:val="none"/>
                <w:vertAlign w:val="subscript"/>
                <w:lang w:val="en-US" w:eastAsia="zh-CN"/>
              </w:rPr>
              <w:t>0</w:t>
            </w:r>
            <w:r>
              <w:rPr>
                <w:rStyle w:val="71"/>
                <w:rFonts w:hint="eastAsia"/>
                <w:bCs/>
                <w:color w:val="auto"/>
                <w:sz w:val="24"/>
                <w:highlight w:val="none"/>
                <w:lang w:val="en-US" w:eastAsia="zh-CN"/>
              </w:rPr>
              <w:t>=0.541212</w:t>
            </w:r>
            <w:r>
              <w:rPr>
                <w:rFonts w:hint="default" w:ascii="Times New Roman" w:hAnsi="Times New Roman" w:eastAsia="宋体" w:cs="Times New Roman"/>
                <w:color w:val="auto"/>
                <w:sz w:val="24"/>
                <w:szCs w:val="24"/>
                <w:highlight w:val="none"/>
              </w:rPr>
              <w:t>m</w:t>
            </w:r>
            <w:r>
              <w:rPr>
                <w:rFonts w:hint="eastAsia"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/m</w:t>
            </w:r>
            <w:r>
              <w:rPr>
                <w:rFonts w:hint="eastAsia" w:cs="Times New Roman"/>
                <w:color w:val="auto"/>
                <w:sz w:val="24"/>
                <w:szCs w:val="24"/>
                <w:highlight w:val="none"/>
                <w:vertAlign w:val="superscript"/>
                <w:lang w:val="en-US" w:eastAsia="zh-CN"/>
              </w:rPr>
              <w:t>3</w:t>
            </w:r>
            <w:r>
              <w:rPr>
                <w:rStyle w:val="71"/>
                <w:rFonts w:hint="eastAsia"/>
                <w:bCs/>
                <w:color w:val="auto"/>
                <w:sz w:val="24"/>
                <w:highlight w:val="none"/>
                <w:lang w:val="en-US" w:eastAsia="zh-CN"/>
              </w:rPr>
              <w:t>，</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R</w:t>
            </w:r>
            <w:r>
              <w:rPr>
                <w:rFonts w:hint="eastAsia" w:cs="Times New Roman"/>
                <w:color w:val="auto"/>
                <w:sz w:val="24"/>
                <w:szCs w:val="24"/>
                <w:highlight w:val="none"/>
                <w:vertAlign w:val="subscript"/>
                <w:lang w:val="en-US" w:eastAsia="zh-CN"/>
              </w:rPr>
              <w:t>O2</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0.4017</w:t>
            </w:r>
            <w:r>
              <w:rPr>
                <w:rFonts w:hint="default" w:ascii="Times New Roman" w:hAnsi="Times New Roman" w:eastAsia="宋体" w:cs="Times New Roman"/>
                <w:color w:val="auto"/>
                <w:sz w:val="24"/>
                <w:szCs w:val="24"/>
                <w:highlight w:val="none"/>
              </w:rPr>
              <w:t>m</w:t>
            </w:r>
            <w:r>
              <w:rPr>
                <w:rFonts w:hint="eastAsia"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/m</w:t>
            </w:r>
            <w:r>
              <w:rPr>
                <w:rFonts w:hint="eastAsia" w:cs="Times New Roman"/>
                <w:color w:val="auto"/>
                <w:sz w:val="24"/>
                <w:szCs w:val="24"/>
                <w:highlight w:val="none"/>
                <w:vertAlign w:val="superscript"/>
                <w:lang w:val="en-US" w:eastAsia="zh-CN"/>
              </w:rPr>
              <w:t>3</w:t>
            </w:r>
            <w:r>
              <w:rPr>
                <w:rStyle w:val="71"/>
                <w:rFonts w:hint="eastAsia"/>
                <w:bCs/>
                <w:color w:val="auto"/>
                <w:sz w:val="24"/>
                <w:highlight w:val="none"/>
                <w:lang w:val="en-US" w:eastAsia="zh-CN"/>
              </w:rPr>
              <w:t>，</w:t>
            </w:r>
            <w:r>
              <w:rPr>
                <w:rFonts w:hint="default" w:ascii="Times New Roman" w:hAnsi="Times New Roman" w:eastAsia="宋体" w:cs="Times New Roman"/>
                <w:color w:val="auto"/>
                <w:sz w:val="24"/>
                <w:szCs w:val="24"/>
                <w:highlight w:val="none"/>
              </w:rPr>
              <w:t>V</w:t>
            </w:r>
            <w:r>
              <w:rPr>
                <w:rFonts w:hint="eastAsia" w:cs="Times New Roman"/>
                <w:color w:val="auto"/>
                <w:sz w:val="24"/>
                <w:szCs w:val="24"/>
                <w:highlight w:val="none"/>
                <w:vertAlign w:val="subscript"/>
                <w:lang w:val="en-US" w:eastAsia="zh-CN"/>
              </w:rPr>
              <w:t>N2</w:t>
            </w:r>
            <w:r>
              <w:rPr>
                <w:rFonts w:hint="eastAsia" w:cs="Times New Roman"/>
                <w:color w:val="auto"/>
                <w:sz w:val="24"/>
                <w:szCs w:val="24"/>
                <w:highlight w:val="none"/>
                <w:lang w:val="en-US" w:eastAsia="zh-CN"/>
              </w:rPr>
              <w:t>=0.96745748</w:t>
            </w:r>
            <w:r>
              <w:rPr>
                <w:rFonts w:hint="default" w:ascii="Times New Roman" w:hAnsi="Times New Roman" w:eastAsia="宋体" w:cs="Times New Roman"/>
                <w:color w:val="auto"/>
                <w:sz w:val="24"/>
                <w:szCs w:val="24"/>
                <w:highlight w:val="none"/>
              </w:rPr>
              <w:t>m</w:t>
            </w:r>
            <w:r>
              <w:rPr>
                <w:rFonts w:hint="eastAsia"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/m</w:t>
            </w:r>
            <w:r>
              <w:rPr>
                <w:rFonts w:hint="eastAsia" w:cs="Times New Roman"/>
                <w:color w:val="auto"/>
                <w:sz w:val="24"/>
                <w:szCs w:val="24"/>
                <w:highlight w:val="none"/>
                <w:vertAlign w:val="superscript"/>
                <w:lang w:val="en-US" w:eastAsia="zh-CN"/>
              </w:rPr>
              <w:t>3</w:t>
            </w:r>
          </w:p>
          <w:p w14:paraId="0B70EA9F">
            <w:pPr>
              <w:keepNext w:val="0"/>
              <w:keepLines w:val="0"/>
              <w:pageBreakBefore w:val="0"/>
              <w:widowControl w:val="0"/>
              <w:kinsoku/>
              <w:overflowPunct/>
              <w:topLinePunct w:val="0"/>
              <w:autoSpaceDE/>
              <w:autoSpaceDN/>
              <w:bidi w:val="0"/>
              <w:snapToGrid w:val="0"/>
              <w:spacing w:line="440" w:lineRule="exact"/>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V</w:t>
            </w:r>
            <w:r>
              <w:rPr>
                <w:rFonts w:hint="eastAsia" w:cs="Times New Roman"/>
                <w:color w:val="auto"/>
                <w:sz w:val="24"/>
                <w:szCs w:val="24"/>
                <w:highlight w:val="none"/>
                <w:vertAlign w:val="subscript"/>
                <w:lang w:val="en-US" w:eastAsia="zh-CN"/>
              </w:rPr>
              <w:t>g</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1.47739988</w:t>
            </w:r>
            <w:r>
              <w:rPr>
                <w:rFonts w:hint="default" w:ascii="Times New Roman" w:hAnsi="Times New Roman" w:eastAsia="宋体" w:cs="Times New Roman"/>
                <w:color w:val="auto"/>
                <w:sz w:val="24"/>
                <w:szCs w:val="24"/>
                <w:highlight w:val="none"/>
              </w:rPr>
              <w:t>m</w:t>
            </w:r>
            <w:r>
              <w:rPr>
                <w:rFonts w:hint="eastAsia"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/m</w:t>
            </w:r>
            <w:r>
              <w:rPr>
                <w:rFonts w:hint="eastAsia" w:cs="Times New Roman"/>
                <w:color w:val="auto"/>
                <w:sz w:val="24"/>
                <w:szCs w:val="24"/>
                <w:highlight w:val="none"/>
                <w:vertAlign w:val="superscript"/>
                <w:lang w:val="en-US" w:eastAsia="zh-CN"/>
              </w:rPr>
              <w:t>3</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H₂</w:t>
            </w:r>
            <w:r>
              <w:rPr>
                <w:rFonts w:hint="eastAsia" w:cs="Times New Roman"/>
                <w:color w:val="auto"/>
                <w:sz w:val="24"/>
                <w:szCs w:val="24"/>
                <w:highlight w:val="none"/>
                <w:vertAlign w:val="subscript"/>
                <w:lang w:val="en-US" w:eastAsia="zh-CN"/>
              </w:rPr>
              <w:t>O</w:t>
            </w:r>
            <w:r>
              <w:rPr>
                <w:rFonts w:hint="default" w:ascii="Times New Roman" w:hAnsi="Times New Roman" w:eastAsia="宋体" w:cs="Times New Roman"/>
                <w:color w:val="auto"/>
                <w:sz w:val="24"/>
                <w:szCs w:val="24"/>
                <w:highlight w:val="none"/>
              </w:rPr>
              <w:t>=0.069813513m</w:t>
            </w:r>
            <w:r>
              <w:rPr>
                <w:rFonts w:hint="eastAsia"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/m</w:t>
            </w:r>
            <w:r>
              <w:rPr>
                <w:rFonts w:hint="eastAsia" w:ascii="Times New Roman" w:hAnsi="Times New Roman" w:eastAsia="宋体" w:cs="Times New Roman"/>
                <w:color w:val="auto"/>
                <w:sz w:val="24"/>
                <w:szCs w:val="24"/>
                <w:highlight w:val="none"/>
                <w:lang w:eastAsia="zh-CN"/>
              </w:rPr>
              <w:t>。</w:t>
            </w:r>
          </w:p>
          <w:p w14:paraId="4A29A096">
            <w:pPr>
              <w:keepNext w:val="0"/>
              <w:keepLines w:val="0"/>
              <w:pageBreakBefore w:val="0"/>
              <w:widowControl w:val="0"/>
              <w:kinsoku/>
              <w:overflowPunct/>
              <w:topLinePunct w:val="0"/>
              <w:autoSpaceDE/>
              <w:autoSpaceDN/>
              <w:bidi w:val="0"/>
              <w:snapToGrid w:val="0"/>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Style w:val="71"/>
                <w:rFonts w:hint="eastAsia"/>
                <w:bCs/>
                <w:color w:val="auto"/>
                <w:sz w:val="24"/>
                <w:highlight w:val="none"/>
                <w:lang w:val="en-US" w:eastAsia="zh-CN"/>
              </w:rPr>
              <w:t>高炉煤气V</w:t>
            </w:r>
            <w:r>
              <w:rPr>
                <w:rStyle w:val="71"/>
                <w:rFonts w:hint="default" w:ascii="Times New Roman" w:hAnsi="Times New Roman" w:cs="Times New Roman"/>
                <w:bCs/>
                <w:color w:val="auto"/>
                <w:sz w:val="24"/>
                <w:highlight w:val="none"/>
                <w:lang w:val="en-US" w:eastAsia="zh-CN"/>
              </w:rPr>
              <w:t>s</w:t>
            </w:r>
            <w:r>
              <w:rPr>
                <w:rStyle w:val="71"/>
                <w:rFonts w:hint="default" w:ascii="Times New Roman" w:hAnsi="Times New Roman" w:cs="Times New Roman"/>
                <w:bCs/>
                <w:color w:val="auto"/>
                <w:sz w:val="24"/>
                <w:szCs w:val="24"/>
                <w:highlight w:val="none"/>
                <w:lang w:val="en-US" w:eastAsia="zh-CN"/>
              </w:rPr>
              <w:t>=</w:t>
            </w:r>
            <w:r>
              <w:rPr>
                <w:rFonts w:hint="eastAsia" w:cs="Times New Roman"/>
                <w:color w:val="auto"/>
                <w:sz w:val="24"/>
                <w:szCs w:val="24"/>
                <w:highlight w:val="none"/>
                <w:vertAlign w:val="baseline"/>
                <w:lang w:val="en-US" w:eastAsia="zh-CN"/>
              </w:rPr>
              <w:t>1.549</w:t>
            </w:r>
            <w:r>
              <w:rPr>
                <w:rFonts w:hint="default" w:ascii="Times New Roman" w:hAnsi="Times New Roman" w:eastAsia="宋体" w:cs="Times New Roman"/>
                <w:color w:val="auto"/>
                <w:sz w:val="24"/>
                <w:szCs w:val="24"/>
                <w:highlight w:val="none"/>
              </w:rPr>
              <w:t>m</w:t>
            </w:r>
            <w:r>
              <w:rPr>
                <w:rFonts w:hint="eastAsia"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/m</w:t>
            </w:r>
            <w:r>
              <w:rPr>
                <w:rFonts w:hint="eastAsia"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w:t>
            </w:r>
          </w:p>
          <w:p w14:paraId="6ADFC6D1">
            <w:pPr>
              <w:keepNext w:val="0"/>
              <w:keepLines w:val="0"/>
              <w:pageBreakBefore w:val="0"/>
              <w:widowControl w:val="0"/>
              <w:kinsoku/>
              <w:overflowPunct/>
              <w:topLinePunct w:val="0"/>
              <w:autoSpaceDE/>
              <w:autoSpaceDN/>
              <w:bidi w:val="0"/>
              <w:snapToGrid w:val="0"/>
              <w:spacing w:line="44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烟气量为1</w:t>
            </w:r>
            <w:r>
              <w:rPr>
                <w:rFonts w:hint="eastAsia" w:eastAsia="宋体" w:cs="Times New Roman"/>
                <w:color w:val="auto"/>
                <w:sz w:val="24"/>
                <w:szCs w:val="24"/>
                <w:highlight w:val="none"/>
                <w:lang w:val="en-US" w:eastAsia="zh-CN"/>
              </w:rPr>
              <w:t>.549</w:t>
            </w:r>
            <w:r>
              <w:rPr>
                <w:rFonts w:hint="default" w:ascii="Times New Roman" w:hAnsi="Times New Roman" w:eastAsia="宋体" w:cs="Times New Roman"/>
                <w:color w:val="auto"/>
                <w:sz w:val="24"/>
                <w:szCs w:val="24"/>
                <w:highlight w:val="none"/>
              </w:rPr>
              <w:t>m</w:t>
            </w:r>
            <w:r>
              <w:rPr>
                <w:rFonts w:hint="eastAsia"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/m</w:t>
            </w:r>
            <w:r>
              <w:rPr>
                <w:rFonts w:hint="eastAsia"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w:t>
            </w:r>
            <w:r>
              <w:rPr>
                <w:rFonts w:hint="eastAsia" w:eastAsia="宋体" w:cs="Times New Roman"/>
                <w:color w:val="auto"/>
                <w:sz w:val="24"/>
                <w:szCs w:val="24"/>
                <w:highlight w:val="none"/>
                <w:lang w:val="en-US" w:eastAsia="zh-CN"/>
              </w:rPr>
              <w:t>50000</w:t>
            </w:r>
            <w:r>
              <w:rPr>
                <w:rStyle w:val="71"/>
                <w:bCs/>
                <w:color w:val="auto"/>
                <w:sz w:val="24"/>
                <w:highlight w:val="none"/>
              </w:rPr>
              <w:t>m</w:t>
            </w:r>
            <w:r>
              <w:rPr>
                <w:rStyle w:val="71"/>
                <w:bCs/>
                <w:color w:val="auto"/>
                <w:sz w:val="24"/>
                <w:highlight w:val="none"/>
                <w:vertAlign w:val="superscript"/>
              </w:rPr>
              <w:t>3</w:t>
            </w:r>
            <w:r>
              <w:rPr>
                <w:rFonts w:hint="default" w:ascii="Times New Roman" w:hAnsi="Times New Roman" w:eastAsia="宋体" w:cs="Times New Roman"/>
                <w:color w:val="auto"/>
                <w:sz w:val="24"/>
                <w:szCs w:val="24"/>
                <w:highlight w:val="none"/>
                <w:lang w:val="en-US" w:eastAsia="zh-CN"/>
              </w:rPr>
              <w:t>/h=</w:t>
            </w:r>
            <w:r>
              <w:rPr>
                <w:rFonts w:hint="eastAsia" w:eastAsia="宋体" w:cs="Times New Roman"/>
                <w:color w:val="auto"/>
                <w:sz w:val="24"/>
                <w:szCs w:val="24"/>
                <w:highlight w:val="none"/>
                <w:lang w:val="en-US" w:eastAsia="zh-CN"/>
              </w:rPr>
              <w:t>77450</w:t>
            </w:r>
            <w:r>
              <w:rPr>
                <w:rStyle w:val="71"/>
                <w:bCs/>
                <w:color w:val="auto"/>
                <w:sz w:val="24"/>
                <w:highlight w:val="none"/>
              </w:rPr>
              <w:t>m</w:t>
            </w:r>
            <w:r>
              <w:rPr>
                <w:rStyle w:val="71"/>
                <w:bCs/>
                <w:color w:val="auto"/>
                <w:sz w:val="24"/>
                <w:highlight w:val="none"/>
                <w:vertAlign w:val="superscript"/>
              </w:rPr>
              <w:t>3</w:t>
            </w:r>
            <w:r>
              <w:rPr>
                <w:rFonts w:hint="default" w:ascii="Times New Roman" w:hAnsi="Times New Roman" w:eastAsia="宋体" w:cs="Times New Roman"/>
                <w:color w:val="auto"/>
                <w:sz w:val="24"/>
                <w:szCs w:val="24"/>
                <w:highlight w:val="none"/>
                <w:lang w:val="en-US" w:eastAsia="zh-CN"/>
              </w:rPr>
              <w:t>/h。</w:t>
            </w:r>
          </w:p>
          <w:p w14:paraId="554EC77D">
            <w:pPr>
              <w:keepNext w:val="0"/>
              <w:keepLines w:val="0"/>
              <w:pageBreakBefore w:val="0"/>
              <w:widowControl w:val="0"/>
              <w:kinsoku/>
              <w:overflowPunct/>
              <w:topLinePunct w:val="0"/>
              <w:autoSpaceDE/>
              <w:autoSpaceDN/>
              <w:bidi w:val="0"/>
              <w:snapToGrid w:val="0"/>
              <w:spacing w:line="440" w:lineRule="exact"/>
              <w:ind w:firstLine="480" w:firstLineChars="200"/>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eastAsia="宋体" w:cs="Times New Roman"/>
                <w:color w:val="auto"/>
                <w:sz w:val="24"/>
                <w:szCs w:val="24"/>
                <w:highlight w:val="none"/>
                <w:lang w:val="en-US" w:eastAsia="zh-CN"/>
              </w:rPr>
              <w:t>其中硫以最大值计算的</w:t>
            </w:r>
            <w:r>
              <w:rPr>
                <w:rFonts w:hint="default" w:ascii="Times New Roman" w:hAnsi="Times New Roman" w:eastAsia="宋体" w:cs="Times New Roman"/>
                <w:color w:val="auto"/>
                <w:sz w:val="24"/>
                <w:szCs w:val="24"/>
                <w:highlight w:val="none"/>
                <w:lang w:val="en-US" w:eastAsia="zh-CN"/>
              </w:rPr>
              <w:t>COS</w:t>
            </w:r>
            <w:r>
              <w:rPr>
                <w:rFonts w:hint="eastAsia" w:eastAsia="宋体" w:cs="Times New Roman"/>
                <w:color w:val="auto"/>
                <w:sz w:val="24"/>
                <w:szCs w:val="24"/>
                <w:highlight w:val="none"/>
                <w:lang w:val="en-US" w:eastAsia="zh-CN"/>
              </w:rPr>
              <w:t>取</w:t>
            </w:r>
            <w:r>
              <w:rPr>
                <w:rFonts w:hint="default" w:ascii="Times New Roman" w:hAnsi="Times New Roman" w:eastAsia="宋体" w:cs="Times New Roman"/>
                <w:color w:val="auto"/>
                <w:sz w:val="24"/>
                <w:szCs w:val="24"/>
                <w:highlight w:val="none"/>
                <w:lang w:val="en-US" w:eastAsia="zh-CN"/>
              </w:rPr>
              <w:t>85.87mg/m</w:t>
            </w:r>
            <w:r>
              <w:rPr>
                <w:rFonts w:hint="default" w:ascii="Times New Roman" w:hAnsi="Times New Roman" w:eastAsia="宋体" w:cs="Times New Roman"/>
                <w:color w:val="auto"/>
                <w:sz w:val="24"/>
                <w:szCs w:val="24"/>
                <w:highlight w:val="none"/>
                <w:vertAlign w:val="superscript"/>
                <w:lang w:val="en-US" w:eastAsia="zh-CN"/>
              </w:rPr>
              <w:t>3</w:t>
            </w:r>
            <w:r>
              <w:rPr>
                <w:rFonts w:hint="eastAsia" w:eastAsia="宋体" w:cs="Times New Roman"/>
                <w:color w:val="auto"/>
                <w:sz w:val="24"/>
                <w:szCs w:val="24"/>
                <w:highlight w:val="none"/>
                <w:lang w:val="en-US" w:eastAsia="zh-CN"/>
              </w:rPr>
              <w:t>，换算为</w:t>
            </w:r>
            <w:r>
              <w:rPr>
                <w:color w:val="auto"/>
                <w:sz w:val="24"/>
                <w:highlight w:val="none"/>
              </w:rPr>
              <w:t>SO</w:t>
            </w:r>
            <w:r>
              <w:rPr>
                <w:color w:val="auto"/>
                <w:sz w:val="24"/>
                <w:highlight w:val="none"/>
                <w:vertAlign w:val="subscript"/>
              </w:rPr>
              <w:t>2</w:t>
            </w:r>
            <w:r>
              <w:rPr>
                <w:rFonts w:hint="eastAsia"/>
                <w:color w:val="auto"/>
                <w:sz w:val="24"/>
                <w:highlight w:val="none"/>
                <w:vertAlign w:val="baseline"/>
                <w:lang w:val="en-US" w:eastAsia="zh-CN"/>
              </w:rPr>
              <w:t>为91.60</w:t>
            </w:r>
            <w:r>
              <w:rPr>
                <w:rFonts w:hint="default" w:ascii="Times New Roman" w:hAnsi="Times New Roman" w:eastAsia="宋体" w:cs="Times New Roman"/>
                <w:color w:val="auto"/>
                <w:sz w:val="24"/>
                <w:szCs w:val="24"/>
                <w:highlight w:val="none"/>
                <w:lang w:val="en-US" w:eastAsia="zh-CN"/>
              </w:rPr>
              <w:t>mg/m</w:t>
            </w:r>
            <w:r>
              <w:rPr>
                <w:rFonts w:hint="default" w:ascii="Times New Roman" w:hAnsi="Times New Roman" w:eastAsia="宋体" w:cs="Times New Roman"/>
                <w:color w:val="auto"/>
                <w:sz w:val="24"/>
                <w:szCs w:val="24"/>
                <w:highlight w:val="none"/>
                <w:vertAlign w:val="superscript"/>
                <w:lang w:val="en-US" w:eastAsia="zh-CN"/>
              </w:rPr>
              <w:t>3</w:t>
            </w:r>
            <w:r>
              <w:rPr>
                <w:rFonts w:hint="eastAsia"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H</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S</w:t>
            </w:r>
            <w:r>
              <w:rPr>
                <w:rFonts w:hint="eastAsia" w:eastAsia="宋体" w:cs="Times New Roman"/>
                <w:color w:val="auto"/>
                <w:sz w:val="24"/>
                <w:szCs w:val="24"/>
                <w:highlight w:val="none"/>
                <w:lang w:val="en-US" w:eastAsia="zh-CN"/>
              </w:rPr>
              <w:t>取</w:t>
            </w:r>
            <w:r>
              <w:rPr>
                <w:rFonts w:hint="default" w:ascii="Times New Roman" w:hAnsi="Times New Roman" w:eastAsia="宋体" w:cs="Times New Roman"/>
                <w:color w:val="auto"/>
                <w:sz w:val="24"/>
                <w:szCs w:val="24"/>
                <w:highlight w:val="none"/>
                <w:lang w:val="en-US" w:eastAsia="zh-CN"/>
              </w:rPr>
              <w:t>25.78mg/m</w:t>
            </w:r>
            <w:r>
              <w:rPr>
                <w:rFonts w:hint="default" w:ascii="Times New Roman" w:hAnsi="Times New Roman" w:eastAsia="宋体" w:cs="Times New Roman"/>
                <w:color w:val="auto"/>
                <w:sz w:val="24"/>
                <w:szCs w:val="24"/>
                <w:highlight w:val="none"/>
                <w:vertAlign w:val="superscript"/>
                <w:lang w:val="en-US" w:eastAsia="zh-CN"/>
              </w:rPr>
              <w:t>3</w:t>
            </w:r>
            <w:r>
              <w:rPr>
                <w:rFonts w:hint="eastAsia" w:ascii="Times New Roman" w:hAnsi="Times New Roman" w:eastAsia="宋体" w:cs="Times New Roman"/>
                <w:color w:val="auto"/>
                <w:sz w:val="24"/>
                <w:szCs w:val="24"/>
                <w:highlight w:val="none"/>
                <w:lang w:val="en-US" w:eastAsia="zh-CN"/>
              </w:rPr>
              <w:t>，</w:t>
            </w:r>
            <w:r>
              <w:rPr>
                <w:rFonts w:hint="eastAsia" w:eastAsia="宋体" w:cs="Times New Roman"/>
                <w:color w:val="auto"/>
                <w:sz w:val="24"/>
                <w:szCs w:val="24"/>
                <w:highlight w:val="none"/>
                <w:lang w:val="en-US" w:eastAsia="zh-CN"/>
              </w:rPr>
              <w:t>换算为</w:t>
            </w:r>
            <w:r>
              <w:rPr>
                <w:color w:val="auto"/>
                <w:sz w:val="24"/>
                <w:highlight w:val="none"/>
              </w:rPr>
              <w:t>SO</w:t>
            </w:r>
            <w:r>
              <w:rPr>
                <w:color w:val="auto"/>
                <w:sz w:val="24"/>
                <w:highlight w:val="none"/>
                <w:vertAlign w:val="subscript"/>
              </w:rPr>
              <w:t>2</w:t>
            </w:r>
            <w:r>
              <w:rPr>
                <w:rFonts w:hint="eastAsia"/>
                <w:color w:val="auto"/>
                <w:sz w:val="24"/>
                <w:highlight w:val="none"/>
                <w:vertAlign w:val="baseline"/>
                <w:lang w:val="en-US" w:eastAsia="zh-CN"/>
              </w:rPr>
              <w:t>为48.53</w:t>
            </w:r>
            <w:r>
              <w:rPr>
                <w:rFonts w:hint="default" w:ascii="Times New Roman" w:hAnsi="Times New Roman" w:eastAsia="宋体" w:cs="Times New Roman"/>
                <w:color w:val="auto"/>
                <w:sz w:val="24"/>
                <w:szCs w:val="24"/>
                <w:highlight w:val="none"/>
                <w:lang w:val="en-US" w:eastAsia="zh-CN"/>
              </w:rPr>
              <w:t>mg/m</w:t>
            </w:r>
            <w:r>
              <w:rPr>
                <w:rFonts w:hint="default" w:ascii="Times New Roman" w:hAnsi="Times New Roman" w:eastAsia="宋体" w:cs="Times New Roman"/>
                <w:color w:val="auto"/>
                <w:sz w:val="24"/>
                <w:szCs w:val="24"/>
                <w:highlight w:val="none"/>
                <w:vertAlign w:val="superscript"/>
                <w:lang w:val="en-US" w:eastAsia="zh-CN"/>
              </w:rPr>
              <w:t>3</w:t>
            </w:r>
            <w:r>
              <w:rPr>
                <w:rFonts w:hint="eastAsia" w:ascii="Times New Roman" w:hAnsi="Times New Roman" w:eastAsia="宋体" w:cs="Times New Roman"/>
                <w:color w:val="auto"/>
                <w:sz w:val="24"/>
                <w:szCs w:val="24"/>
                <w:highlight w:val="none"/>
                <w:vertAlign w:val="baseline"/>
                <w:lang w:val="en-US" w:eastAsia="zh-CN"/>
              </w:rPr>
              <w:t>。高炉煤气折算的</w:t>
            </w:r>
            <w:r>
              <w:rPr>
                <w:color w:val="auto"/>
                <w:sz w:val="24"/>
                <w:highlight w:val="none"/>
              </w:rPr>
              <w:t>SO</w:t>
            </w:r>
            <w:r>
              <w:rPr>
                <w:color w:val="auto"/>
                <w:sz w:val="24"/>
                <w:highlight w:val="none"/>
                <w:vertAlign w:val="subscript"/>
              </w:rPr>
              <w:t>2</w:t>
            </w:r>
            <w:r>
              <w:rPr>
                <w:rFonts w:hint="eastAsia" w:ascii="Times New Roman" w:hAnsi="Times New Roman" w:eastAsia="宋体" w:cs="Times New Roman"/>
                <w:color w:val="auto"/>
                <w:sz w:val="24"/>
                <w:szCs w:val="24"/>
                <w:highlight w:val="none"/>
                <w:vertAlign w:val="baseline"/>
                <w:lang w:val="en-US" w:eastAsia="zh-CN"/>
              </w:rPr>
              <w:t>的浓度为140.13</w:t>
            </w:r>
            <w:r>
              <w:rPr>
                <w:rFonts w:hint="default" w:ascii="Times New Roman" w:hAnsi="Times New Roman" w:eastAsia="宋体" w:cs="Times New Roman"/>
                <w:color w:val="auto"/>
                <w:sz w:val="24"/>
                <w:szCs w:val="24"/>
                <w:highlight w:val="none"/>
                <w:lang w:val="en-US" w:eastAsia="zh-CN"/>
              </w:rPr>
              <w:t>mg/m</w:t>
            </w:r>
            <w:r>
              <w:rPr>
                <w:rFonts w:hint="default" w:ascii="Times New Roman" w:hAnsi="Times New Roman" w:eastAsia="宋体" w:cs="Times New Roman"/>
                <w:color w:val="auto"/>
                <w:sz w:val="24"/>
                <w:szCs w:val="24"/>
                <w:highlight w:val="none"/>
                <w:vertAlign w:val="superscript"/>
                <w:lang w:val="en-US" w:eastAsia="zh-CN"/>
              </w:rPr>
              <w:t>3</w:t>
            </w:r>
            <w:r>
              <w:rPr>
                <w:rFonts w:hint="eastAsia" w:ascii="Times New Roman" w:hAnsi="Times New Roman" w:eastAsia="宋体" w:cs="Times New Roman"/>
                <w:color w:val="auto"/>
                <w:sz w:val="24"/>
                <w:szCs w:val="24"/>
                <w:highlight w:val="none"/>
                <w:vertAlign w:val="baseline"/>
                <w:lang w:val="en-US" w:eastAsia="zh-CN"/>
              </w:rPr>
              <w:t>，折算为烟气中</w:t>
            </w:r>
            <w:r>
              <w:rPr>
                <w:color w:val="auto"/>
                <w:sz w:val="24"/>
                <w:highlight w:val="none"/>
              </w:rPr>
              <w:t>SO</w:t>
            </w:r>
            <w:r>
              <w:rPr>
                <w:color w:val="auto"/>
                <w:sz w:val="24"/>
                <w:highlight w:val="none"/>
                <w:vertAlign w:val="subscript"/>
              </w:rPr>
              <w:t>2</w:t>
            </w:r>
            <w:r>
              <w:rPr>
                <w:rFonts w:hint="eastAsia" w:ascii="Times New Roman" w:hAnsi="Times New Roman" w:eastAsia="宋体" w:cs="Times New Roman"/>
                <w:color w:val="auto"/>
                <w:sz w:val="24"/>
                <w:szCs w:val="24"/>
                <w:highlight w:val="none"/>
                <w:vertAlign w:val="baseline"/>
                <w:lang w:val="en-US" w:eastAsia="zh-CN"/>
              </w:rPr>
              <w:t>的浓度为140.13</w:t>
            </w:r>
            <w:r>
              <w:rPr>
                <w:rFonts w:hint="default" w:ascii="Times New Roman" w:hAnsi="Times New Roman" w:eastAsia="宋体" w:cs="Times New Roman"/>
                <w:color w:val="auto"/>
                <w:sz w:val="24"/>
                <w:szCs w:val="24"/>
                <w:highlight w:val="none"/>
                <w:lang w:val="en-US" w:eastAsia="zh-CN"/>
              </w:rPr>
              <w:t>mg/m</w:t>
            </w:r>
            <w:r>
              <w:rPr>
                <w:rFonts w:hint="default" w:ascii="Times New Roman" w:hAnsi="Times New Roman" w:eastAsia="宋体" w:cs="Times New Roman"/>
                <w:color w:val="auto"/>
                <w:sz w:val="24"/>
                <w:szCs w:val="24"/>
                <w:highlight w:val="none"/>
                <w:vertAlign w:val="superscript"/>
                <w:lang w:val="en-US" w:eastAsia="zh-CN"/>
              </w:rPr>
              <w:t>3</w:t>
            </w:r>
            <w:r>
              <w:rPr>
                <w:rFonts w:hint="eastAsia" w:ascii="Times New Roman" w:hAnsi="Times New Roman" w:eastAsia="宋体" w:cs="Times New Roman"/>
                <w:color w:val="auto"/>
                <w:sz w:val="24"/>
                <w:szCs w:val="24"/>
                <w:highlight w:val="none"/>
                <w:vertAlign w:val="baseline"/>
                <w:lang w:val="en-US" w:eastAsia="zh-CN"/>
              </w:rPr>
              <w:t>×50000÷77450=90.47</w:t>
            </w:r>
            <w:r>
              <w:rPr>
                <w:rFonts w:hint="default" w:ascii="Times New Roman" w:hAnsi="Times New Roman" w:eastAsia="宋体" w:cs="Times New Roman"/>
                <w:color w:val="auto"/>
                <w:sz w:val="24"/>
                <w:szCs w:val="24"/>
                <w:highlight w:val="none"/>
                <w:lang w:val="en-US" w:eastAsia="zh-CN"/>
              </w:rPr>
              <w:t>mg/m</w:t>
            </w:r>
            <w:r>
              <w:rPr>
                <w:rFonts w:hint="default" w:ascii="Times New Roman" w:hAnsi="Times New Roman" w:eastAsia="宋体" w:cs="Times New Roman"/>
                <w:color w:val="auto"/>
                <w:sz w:val="24"/>
                <w:szCs w:val="24"/>
                <w:highlight w:val="none"/>
                <w:vertAlign w:val="superscript"/>
                <w:lang w:val="en-US" w:eastAsia="zh-CN"/>
              </w:rPr>
              <w:t>3</w:t>
            </w:r>
            <w:r>
              <w:rPr>
                <w:rFonts w:hint="eastAsia" w:ascii="Times New Roman" w:hAnsi="Times New Roman" w:eastAsia="宋体" w:cs="Times New Roman"/>
                <w:color w:val="auto"/>
                <w:sz w:val="24"/>
                <w:szCs w:val="24"/>
                <w:highlight w:val="none"/>
                <w:vertAlign w:val="baseline"/>
                <w:lang w:val="en-US" w:eastAsia="zh-CN"/>
              </w:rPr>
              <w:t>。采用高效钙基干法脱硫，脱硫效率≥90%，计算后的排放浓度=（1-90%）×90.47</w:t>
            </w:r>
            <w:r>
              <w:rPr>
                <w:rFonts w:hint="default" w:ascii="Times New Roman" w:hAnsi="Times New Roman" w:eastAsia="宋体" w:cs="Times New Roman"/>
                <w:color w:val="auto"/>
                <w:sz w:val="24"/>
                <w:szCs w:val="24"/>
                <w:highlight w:val="none"/>
                <w:lang w:val="en-US" w:eastAsia="zh-CN"/>
              </w:rPr>
              <w:t>mg/m</w:t>
            </w:r>
            <w:r>
              <w:rPr>
                <w:rFonts w:hint="default" w:ascii="Times New Roman" w:hAnsi="Times New Roman" w:eastAsia="宋体" w:cs="Times New Roman"/>
                <w:color w:val="auto"/>
                <w:sz w:val="24"/>
                <w:szCs w:val="24"/>
                <w:highlight w:val="none"/>
                <w:vertAlign w:val="superscript"/>
                <w:lang w:val="en-US" w:eastAsia="zh-CN"/>
              </w:rPr>
              <w:t>3</w:t>
            </w:r>
            <w:r>
              <w:rPr>
                <w:rFonts w:hint="eastAsia" w:ascii="Times New Roman" w:hAnsi="Times New Roman" w:eastAsia="宋体" w:cs="Times New Roman"/>
                <w:color w:val="auto"/>
                <w:sz w:val="24"/>
                <w:szCs w:val="24"/>
                <w:highlight w:val="none"/>
                <w:vertAlign w:val="baseline"/>
                <w:lang w:val="en-US" w:eastAsia="zh-CN"/>
              </w:rPr>
              <w:t>=9.047</w:t>
            </w:r>
            <w:r>
              <w:rPr>
                <w:rFonts w:hint="default" w:ascii="Times New Roman" w:hAnsi="Times New Roman" w:eastAsia="宋体" w:cs="Times New Roman"/>
                <w:color w:val="auto"/>
                <w:sz w:val="24"/>
                <w:szCs w:val="24"/>
                <w:highlight w:val="none"/>
                <w:lang w:val="en-US" w:eastAsia="zh-CN"/>
              </w:rPr>
              <w:t>mg/m</w:t>
            </w:r>
            <w:r>
              <w:rPr>
                <w:rFonts w:hint="default" w:ascii="Times New Roman" w:hAnsi="Times New Roman" w:eastAsia="宋体" w:cs="Times New Roman"/>
                <w:color w:val="auto"/>
                <w:sz w:val="24"/>
                <w:szCs w:val="24"/>
                <w:highlight w:val="none"/>
                <w:vertAlign w:val="superscript"/>
                <w:lang w:val="en-US" w:eastAsia="zh-CN"/>
              </w:rPr>
              <w:t>3</w:t>
            </w:r>
            <w:r>
              <w:rPr>
                <w:rFonts w:hint="eastAsia" w:ascii="Times New Roman" w:hAnsi="Times New Roman" w:eastAsia="宋体" w:cs="Times New Roman"/>
                <w:color w:val="auto"/>
                <w:sz w:val="24"/>
                <w:szCs w:val="24"/>
                <w:highlight w:val="none"/>
                <w:vertAlign w:val="baseline"/>
                <w:lang w:val="en-US" w:eastAsia="zh-CN"/>
              </w:rPr>
              <w:t>，满足</w:t>
            </w:r>
            <w:r>
              <w:rPr>
                <w:rStyle w:val="71"/>
                <w:bCs/>
                <w:color w:val="auto"/>
                <w:sz w:val="24"/>
                <w:highlight w:val="none"/>
              </w:rPr>
              <w:t>二氧化硫排放浓度35mg/m</w:t>
            </w:r>
            <w:r>
              <w:rPr>
                <w:rStyle w:val="71"/>
                <w:bCs/>
                <w:color w:val="auto"/>
                <w:sz w:val="24"/>
                <w:highlight w:val="none"/>
                <w:vertAlign w:val="superscript"/>
              </w:rPr>
              <w:t>3</w:t>
            </w:r>
            <w:r>
              <w:rPr>
                <w:rStyle w:val="71"/>
                <w:rFonts w:hint="eastAsia"/>
                <w:bCs/>
                <w:color w:val="auto"/>
                <w:sz w:val="24"/>
                <w:highlight w:val="none"/>
                <w:vertAlign w:val="baseline"/>
                <w:lang w:eastAsia="zh-CN"/>
              </w:rPr>
              <w:t>的</w:t>
            </w:r>
            <w:r>
              <w:rPr>
                <w:rStyle w:val="71"/>
                <w:rFonts w:hint="eastAsia"/>
                <w:bCs/>
                <w:color w:val="auto"/>
                <w:sz w:val="24"/>
                <w:highlight w:val="none"/>
                <w:vertAlign w:val="baseline"/>
                <w:lang w:val="en-US" w:eastAsia="zh-CN"/>
              </w:rPr>
              <w:t>要求。</w:t>
            </w:r>
          </w:p>
          <w:p w14:paraId="428E4A46">
            <w:pPr>
              <w:keepNext w:val="0"/>
              <w:keepLines w:val="0"/>
              <w:pageBreakBefore w:val="0"/>
              <w:widowControl w:val="0"/>
              <w:kinsoku/>
              <w:overflowPunct/>
              <w:topLinePunct w:val="0"/>
              <w:autoSpaceDE/>
              <w:autoSpaceDN/>
              <w:bidi w:val="0"/>
              <w:snapToGrid w:val="0"/>
              <w:spacing w:line="440" w:lineRule="exact"/>
              <w:ind w:firstLine="480" w:firstLineChars="200"/>
              <w:textAlignment w:val="auto"/>
              <w:rPr>
                <w:rStyle w:val="71"/>
                <w:rFonts w:hint="default" w:eastAsia="宋体"/>
                <w:bCs/>
                <w:color w:val="auto"/>
                <w:sz w:val="24"/>
                <w:highlight w:val="none"/>
                <w:lang w:val="en-US" w:eastAsia="zh-CN"/>
              </w:rPr>
            </w:pPr>
            <w:r>
              <w:rPr>
                <w:rStyle w:val="71"/>
                <w:rFonts w:hint="eastAsia"/>
                <w:bCs/>
                <w:color w:val="auto"/>
                <w:sz w:val="24"/>
                <w:highlight w:val="none"/>
                <w:lang w:val="en-US" w:eastAsia="zh-CN"/>
              </w:rPr>
              <w:t>根据前文表2-11中数据，1#高炉热风炉排放浓度（颗粒物、二氧化硫、氮氧化物的排放浓度最大值分别为4.155</w:t>
            </w:r>
            <w:r>
              <w:rPr>
                <w:rStyle w:val="71"/>
                <w:bCs/>
                <w:color w:val="auto"/>
                <w:sz w:val="24"/>
                <w:highlight w:val="none"/>
              </w:rPr>
              <w:t>mg/m</w:t>
            </w:r>
            <w:r>
              <w:rPr>
                <w:rStyle w:val="71"/>
                <w:bCs/>
                <w:color w:val="auto"/>
                <w:sz w:val="24"/>
                <w:highlight w:val="none"/>
                <w:vertAlign w:val="superscript"/>
              </w:rPr>
              <w:t>3</w:t>
            </w:r>
            <w:r>
              <w:rPr>
                <w:rStyle w:val="71"/>
                <w:rFonts w:hint="eastAsia"/>
                <w:bCs/>
                <w:color w:val="auto"/>
                <w:sz w:val="24"/>
                <w:highlight w:val="none"/>
                <w:lang w:val="en-US" w:eastAsia="zh-CN"/>
              </w:rPr>
              <w:t>、8.471</w:t>
            </w:r>
            <w:r>
              <w:rPr>
                <w:rStyle w:val="71"/>
                <w:bCs/>
                <w:color w:val="auto"/>
                <w:sz w:val="24"/>
                <w:highlight w:val="none"/>
              </w:rPr>
              <w:t>mg/m</w:t>
            </w:r>
            <w:r>
              <w:rPr>
                <w:rStyle w:val="71"/>
                <w:bCs/>
                <w:color w:val="auto"/>
                <w:sz w:val="24"/>
                <w:highlight w:val="none"/>
                <w:vertAlign w:val="superscript"/>
              </w:rPr>
              <w:t>3</w:t>
            </w:r>
            <w:r>
              <w:rPr>
                <w:rStyle w:val="71"/>
                <w:rFonts w:hint="eastAsia"/>
                <w:bCs/>
                <w:color w:val="auto"/>
                <w:sz w:val="24"/>
                <w:highlight w:val="none"/>
                <w:lang w:val="en-US" w:eastAsia="zh-CN"/>
              </w:rPr>
              <w:t>、8.353</w:t>
            </w:r>
            <w:r>
              <w:rPr>
                <w:rStyle w:val="71"/>
                <w:bCs/>
                <w:color w:val="auto"/>
                <w:sz w:val="24"/>
                <w:highlight w:val="none"/>
              </w:rPr>
              <w:t>mg/m</w:t>
            </w:r>
            <w:r>
              <w:rPr>
                <w:rStyle w:val="71"/>
                <w:bCs/>
                <w:color w:val="auto"/>
                <w:sz w:val="24"/>
                <w:highlight w:val="none"/>
                <w:vertAlign w:val="superscript"/>
              </w:rPr>
              <w:t>3</w:t>
            </w:r>
            <w:r>
              <w:rPr>
                <w:rStyle w:val="71"/>
                <w:rFonts w:hint="eastAsia"/>
                <w:bCs/>
                <w:color w:val="auto"/>
                <w:sz w:val="24"/>
                <w:highlight w:val="none"/>
                <w:lang w:val="en-US" w:eastAsia="zh-CN"/>
              </w:rPr>
              <w:t>）、2#高炉热风炉排放浓度（颗粒物、二氧化硫、氮氧化物的排放浓度最大值分别为1.844</w:t>
            </w:r>
            <w:r>
              <w:rPr>
                <w:rStyle w:val="71"/>
                <w:bCs/>
                <w:color w:val="auto"/>
                <w:sz w:val="24"/>
                <w:highlight w:val="none"/>
              </w:rPr>
              <w:t>mg/m</w:t>
            </w:r>
            <w:r>
              <w:rPr>
                <w:rStyle w:val="71"/>
                <w:bCs/>
                <w:color w:val="auto"/>
                <w:sz w:val="24"/>
                <w:highlight w:val="none"/>
                <w:vertAlign w:val="superscript"/>
              </w:rPr>
              <w:t>3</w:t>
            </w:r>
            <w:r>
              <w:rPr>
                <w:rStyle w:val="71"/>
                <w:rFonts w:hint="eastAsia"/>
                <w:bCs/>
                <w:color w:val="auto"/>
                <w:sz w:val="24"/>
                <w:highlight w:val="none"/>
                <w:vertAlign w:val="baseline"/>
                <w:lang w:eastAsia="zh-CN"/>
              </w:rPr>
              <w:t>、</w:t>
            </w:r>
            <w:r>
              <w:rPr>
                <w:rStyle w:val="71"/>
                <w:rFonts w:hint="eastAsia"/>
                <w:bCs/>
                <w:color w:val="auto"/>
                <w:sz w:val="24"/>
                <w:highlight w:val="none"/>
                <w:lang w:val="en-US" w:eastAsia="zh-CN"/>
              </w:rPr>
              <w:t>6.798</w:t>
            </w:r>
            <w:r>
              <w:rPr>
                <w:rStyle w:val="71"/>
                <w:bCs/>
                <w:color w:val="auto"/>
                <w:sz w:val="24"/>
                <w:highlight w:val="none"/>
              </w:rPr>
              <w:t>mg/m</w:t>
            </w:r>
            <w:r>
              <w:rPr>
                <w:rStyle w:val="71"/>
                <w:bCs/>
                <w:color w:val="auto"/>
                <w:sz w:val="24"/>
                <w:highlight w:val="none"/>
                <w:vertAlign w:val="superscript"/>
              </w:rPr>
              <w:t>3</w:t>
            </w:r>
            <w:r>
              <w:rPr>
                <w:rStyle w:val="71"/>
                <w:rFonts w:hint="eastAsia"/>
                <w:bCs/>
                <w:color w:val="auto"/>
                <w:sz w:val="24"/>
                <w:highlight w:val="none"/>
                <w:lang w:val="en-US" w:eastAsia="zh-CN"/>
              </w:rPr>
              <w:t>、19.037</w:t>
            </w:r>
            <w:r>
              <w:rPr>
                <w:rStyle w:val="71"/>
                <w:bCs/>
                <w:color w:val="auto"/>
                <w:sz w:val="24"/>
                <w:highlight w:val="none"/>
              </w:rPr>
              <w:t>mg/m</w:t>
            </w:r>
            <w:r>
              <w:rPr>
                <w:rStyle w:val="71"/>
                <w:bCs/>
                <w:color w:val="auto"/>
                <w:sz w:val="24"/>
                <w:highlight w:val="none"/>
                <w:vertAlign w:val="superscript"/>
              </w:rPr>
              <w:t>3</w:t>
            </w:r>
            <w:r>
              <w:rPr>
                <w:rStyle w:val="71"/>
                <w:rFonts w:hint="eastAsia"/>
                <w:bCs/>
                <w:color w:val="auto"/>
                <w:sz w:val="24"/>
                <w:highlight w:val="none"/>
                <w:lang w:val="en-US" w:eastAsia="zh-CN"/>
              </w:rPr>
              <w:t>）</w:t>
            </w:r>
            <w:r>
              <w:rPr>
                <w:rStyle w:val="71"/>
                <w:bCs/>
                <w:color w:val="auto"/>
                <w:sz w:val="24"/>
                <w:highlight w:val="none"/>
              </w:rPr>
              <w:t>可满足山西省《锅炉大气污染物排放标准》（DB14/1929-2019）中相应限值，即颗粒物排放浓度5mg/m</w:t>
            </w:r>
            <w:r>
              <w:rPr>
                <w:rStyle w:val="71"/>
                <w:bCs/>
                <w:color w:val="auto"/>
                <w:sz w:val="24"/>
                <w:highlight w:val="none"/>
                <w:vertAlign w:val="superscript"/>
              </w:rPr>
              <w:t>3</w:t>
            </w:r>
            <w:r>
              <w:rPr>
                <w:rStyle w:val="71"/>
                <w:bCs/>
                <w:color w:val="auto"/>
                <w:sz w:val="24"/>
                <w:highlight w:val="none"/>
              </w:rPr>
              <w:t>，二氧化硫排放浓度35mg/m</w:t>
            </w:r>
            <w:r>
              <w:rPr>
                <w:rStyle w:val="71"/>
                <w:bCs/>
                <w:color w:val="auto"/>
                <w:sz w:val="24"/>
                <w:highlight w:val="none"/>
                <w:vertAlign w:val="superscript"/>
              </w:rPr>
              <w:t>3</w:t>
            </w:r>
            <w:r>
              <w:rPr>
                <w:rStyle w:val="71"/>
                <w:bCs/>
                <w:color w:val="auto"/>
                <w:sz w:val="24"/>
                <w:highlight w:val="none"/>
              </w:rPr>
              <w:t>，氮氧化物排放浓度50mg/m</w:t>
            </w:r>
            <w:r>
              <w:rPr>
                <w:rStyle w:val="71"/>
                <w:bCs/>
                <w:color w:val="auto"/>
                <w:sz w:val="24"/>
                <w:highlight w:val="none"/>
                <w:vertAlign w:val="superscript"/>
              </w:rPr>
              <w:t>3</w:t>
            </w:r>
            <w:r>
              <w:rPr>
                <w:rStyle w:val="71"/>
                <w:bCs/>
                <w:color w:val="auto"/>
                <w:sz w:val="24"/>
                <w:highlight w:val="none"/>
              </w:rPr>
              <w:t>。</w:t>
            </w:r>
            <w:r>
              <w:rPr>
                <w:rStyle w:val="71"/>
                <w:rFonts w:hint="eastAsia"/>
                <w:bCs/>
                <w:color w:val="auto"/>
                <w:sz w:val="24"/>
                <w:highlight w:val="none"/>
                <w:lang w:val="en-US" w:eastAsia="zh-CN"/>
              </w:rPr>
              <w:t>根据企业提供数据，颗粒物、二氧化硫、氮氧化物2025年在线监测均达标。</w:t>
            </w:r>
          </w:p>
          <w:p w14:paraId="31114925">
            <w:pPr>
              <w:keepNext w:val="0"/>
              <w:keepLines w:val="0"/>
              <w:pageBreakBefore w:val="0"/>
              <w:widowControl w:val="0"/>
              <w:kinsoku/>
              <w:overflowPunct/>
              <w:topLinePunct w:val="0"/>
              <w:autoSpaceDE/>
              <w:autoSpaceDN/>
              <w:bidi w:val="0"/>
              <w:snapToGrid w:val="0"/>
              <w:spacing w:line="440" w:lineRule="exact"/>
              <w:ind w:firstLine="480" w:firstLineChars="200"/>
              <w:textAlignment w:val="auto"/>
              <w:rPr>
                <w:rStyle w:val="71"/>
                <w:rFonts w:hint="eastAsia"/>
                <w:bCs/>
                <w:color w:val="auto"/>
                <w:sz w:val="24"/>
                <w:highlight w:val="none"/>
                <w:lang w:val="en-US" w:eastAsia="zh-CN"/>
              </w:rPr>
            </w:pPr>
            <w:r>
              <w:rPr>
                <w:rStyle w:val="71"/>
                <w:rFonts w:hint="eastAsia"/>
                <w:bCs/>
                <w:color w:val="auto"/>
                <w:sz w:val="24"/>
                <w:highlight w:val="none"/>
                <w:lang w:val="en-US" w:eastAsia="zh-CN"/>
              </w:rPr>
              <w:t>高炉热风炉及配套电厂均</w:t>
            </w:r>
            <w:r>
              <w:rPr>
                <w:rStyle w:val="71"/>
                <w:bCs/>
                <w:color w:val="auto"/>
                <w:sz w:val="24"/>
                <w:highlight w:val="none"/>
              </w:rPr>
              <w:t>采用低氮燃烧</w:t>
            </w:r>
            <w:r>
              <w:rPr>
                <w:rStyle w:val="71"/>
                <w:rFonts w:hint="eastAsia"/>
                <w:bCs/>
                <w:color w:val="auto"/>
                <w:sz w:val="24"/>
                <w:highlight w:val="none"/>
                <w:lang w:val="en-US" w:eastAsia="zh-CN"/>
              </w:rPr>
              <w:t>+</w:t>
            </w:r>
            <w:r>
              <w:rPr>
                <w:rStyle w:val="71"/>
                <w:bCs/>
                <w:color w:val="auto"/>
                <w:sz w:val="24"/>
                <w:highlight w:val="none"/>
              </w:rPr>
              <w:t>钙基干法脱硫工艺+布袋除尘工艺</w:t>
            </w:r>
            <w:r>
              <w:rPr>
                <w:rStyle w:val="71"/>
                <w:rFonts w:hint="eastAsia"/>
                <w:bCs/>
                <w:color w:val="auto"/>
                <w:sz w:val="24"/>
                <w:highlight w:val="none"/>
                <w:lang w:eastAsia="zh-CN"/>
              </w:rPr>
              <w:t>，</w:t>
            </w:r>
            <w:r>
              <w:rPr>
                <w:rStyle w:val="71"/>
                <w:rFonts w:hint="eastAsia"/>
                <w:bCs/>
                <w:color w:val="auto"/>
                <w:sz w:val="24"/>
                <w:highlight w:val="none"/>
                <w:lang w:val="en-US" w:eastAsia="zh-CN"/>
              </w:rPr>
              <w:t>与本项目烟气净化措施一致，均采用高炉煤气作为燃料，具有可类比性。</w:t>
            </w:r>
          </w:p>
          <w:p w14:paraId="6F11EBB5">
            <w:pPr>
              <w:keepNext w:val="0"/>
              <w:keepLines w:val="0"/>
              <w:pageBreakBefore w:val="0"/>
              <w:widowControl w:val="0"/>
              <w:kinsoku/>
              <w:overflowPunct/>
              <w:topLinePunct w:val="0"/>
              <w:autoSpaceDE/>
              <w:autoSpaceDN/>
              <w:bidi w:val="0"/>
              <w:snapToGrid w:val="0"/>
              <w:spacing w:line="440" w:lineRule="exact"/>
              <w:ind w:firstLine="480" w:firstLineChars="200"/>
              <w:textAlignment w:val="auto"/>
              <w:rPr>
                <w:rStyle w:val="71"/>
                <w:rFonts w:hint="eastAsia"/>
                <w:bCs/>
                <w:color w:val="auto"/>
                <w:sz w:val="24"/>
                <w:highlight w:val="none"/>
                <w:lang w:val="en-US" w:eastAsia="zh-CN"/>
              </w:rPr>
            </w:pPr>
            <w:r>
              <w:rPr>
                <w:rStyle w:val="71"/>
                <w:rFonts w:hint="eastAsia"/>
                <w:bCs/>
                <w:color w:val="auto"/>
                <w:sz w:val="24"/>
                <w:highlight w:val="none"/>
                <w:lang w:val="en-US" w:eastAsia="zh-CN"/>
              </w:rPr>
              <w:t>因此，本项目采用</w:t>
            </w:r>
            <w:r>
              <w:rPr>
                <w:rStyle w:val="71"/>
                <w:bCs/>
                <w:color w:val="auto"/>
                <w:sz w:val="24"/>
                <w:highlight w:val="none"/>
              </w:rPr>
              <w:t>低氮燃烧</w:t>
            </w:r>
            <w:r>
              <w:rPr>
                <w:rStyle w:val="71"/>
                <w:rFonts w:hint="eastAsia"/>
                <w:bCs/>
                <w:color w:val="auto"/>
                <w:sz w:val="24"/>
                <w:highlight w:val="none"/>
                <w:lang w:val="en-US" w:eastAsia="zh-CN"/>
              </w:rPr>
              <w:t>+</w:t>
            </w:r>
            <w:r>
              <w:rPr>
                <w:rStyle w:val="71"/>
                <w:bCs/>
                <w:color w:val="auto"/>
                <w:sz w:val="24"/>
                <w:highlight w:val="none"/>
              </w:rPr>
              <w:t>钙基干法脱硫工艺+布袋除尘工艺</w:t>
            </w:r>
            <w:r>
              <w:rPr>
                <w:rStyle w:val="71"/>
                <w:rFonts w:hint="eastAsia"/>
                <w:bCs/>
                <w:color w:val="auto"/>
                <w:sz w:val="24"/>
                <w:highlight w:val="none"/>
                <w:lang w:eastAsia="zh-CN"/>
              </w:rPr>
              <w:t>，</w:t>
            </w:r>
            <w:r>
              <w:rPr>
                <w:rStyle w:val="71"/>
                <w:rFonts w:hint="eastAsia"/>
                <w:bCs/>
                <w:color w:val="auto"/>
                <w:sz w:val="24"/>
                <w:highlight w:val="none"/>
                <w:lang w:val="en-US" w:eastAsia="zh-CN"/>
              </w:rPr>
              <w:t>在设备正常运行情况下，污染物可达标排放。</w:t>
            </w:r>
          </w:p>
          <w:p w14:paraId="1BAD51C6">
            <w:pPr>
              <w:keepNext w:val="0"/>
              <w:keepLines w:val="0"/>
              <w:pageBreakBefore w:val="0"/>
              <w:widowControl w:val="0"/>
              <w:kinsoku/>
              <w:overflowPunct/>
              <w:topLinePunct w:val="0"/>
              <w:autoSpaceDE/>
              <w:autoSpaceDN/>
              <w:bidi w:val="0"/>
              <w:snapToGrid w:val="0"/>
              <w:spacing w:line="440" w:lineRule="exact"/>
              <w:ind w:firstLine="480" w:firstLineChars="200"/>
              <w:textAlignment w:val="auto"/>
              <w:rPr>
                <w:rStyle w:val="71"/>
                <w:rFonts w:hint="eastAsia" w:eastAsia="宋体"/>
                <w:bCs/>
                <w:color w:val="auto"/>
                <w:sz w:val="24"/>
                <w:highlight w:val="none"/>
                <w:lang w:val="en-US" w:eastAsia="zh-CN"/>
              </w:rPr>
            </w:pPr>
            <w:r>
              <w:rPr>
                <w:rStyle w:val="71"/>
                <w:rFonts w:hint="eastAsia"/>
                <w:bCs/>
                <w:color w:val="auto"/>
                <w:sz w:val="24"/>
                <w:highlight w:val="none"/>
                <w:lang w:val="en-US" w:eastAsia="zh-CN"/>
              </w:rPr>
              <w:t>本次环评排放量以</w:t>
            </w:r>
            <w:r>
              <w:rPr>
                <w:rStyle w:val="71"/>
                <w:bCs/>
                <w:color w:val="auto"/>
                <w:sz w:val="24"/>
                <w:highlight w:val="none"/>
              </w:rPr>
              <w:t>颗粒物5mg/m</w:t>
            </w:r>
            <w:r>
              <w:rPr>
                <w:rStyle w:val="71"/>
                <w:bCs/>
                <w:color w:val="auto"/>
                <w:sz w:val="24"/>
                <w:highlight w:val="none"/>
                <w:vertAlign w:val="superscript"/>
              </w:rPr>
              <w:t>3</w:t>
            </w:r>
            <w:r>
              <w:rPr>
                <w:rStyle w:val="71"/>
                <w:bCs/>
                <w:color w:val="auto"/>
                <w:sz w:val="24"/>
                <w:highlight w:val="none"/>
              </w:rPr>
              <w:t>，二氧化硫35mg/m</w:t>
            </w:r>
            <w:r>
              <w:rPr>
                <w:rStyle w:val="71"/>
                <w:bCs/>
                <w:color w:val="auto"/>
                <w:sz w:val="24"/>
                <w:highlight w:val="none"/>
                <w:vertAlign w:val="superscript"/>
              </w:rPr>
              <w:t>3</w:t>
            </w:r>
            <w:r>
              <w:rPr>
                <w:rStyle w:val="71"/>
                <w:bCs/>
                <w:color w:val="auto"/>
                <w:sz w:val="24"/>
                <w:highlight w:val="none"/>
              </w:rPr>
              <w:t>，氮氧化物50mg/m</w:t>
            </w:r>
            <w:r>
              <w:rPr>
                <w:rStyle w:val="71"/>
                <w:bCs/>
                <w:color w:val="auto"/>
                <w:sz w:val="24"/>
                <w:highlight w:val="none"/>
                <w:vertAlign w:val="superscript"/>
              </w:rPr>
              <w:t>3</w:t>
            </w:r>
            <w:r>
              <w:rPr>
                <w:rStyle w:val="71"/>
                <w:rFonts w:hint="eastAsia"/>
                <w:bCs/>
                <w:color w:val="auto"/>
                <w:sz w:val="24"/>
                <w:highlight w:val="none"/>
                <w:vertAlign w:val="baseline"/>
                <w:lang w:val="en-US" w:eastAsia="zh-CN"/>
              </w:rPr>
              <w:t>计算。</w:t>
            </w:r>
          </w:p>
          <w:p w14:paraId="2009358E">
            <w:pPr>
              <w:keepNext w:val="0"/>
              <w:keepLines w:val="0"/>
              <w:pageBreakBefore w:val="0"/>
              <w:widowControl w:val="0"/>
              <w:kinsoku/>
              <w:wordWrap w:val="0"/>
              <w:overflowPunct/>
              <w:topLinePunct w:val="0"/>
              <w:autoSpaceDE/>
              <w:autoSpaceDN/>
              <w:bidi w:val="0"/>
              <w:spacing w:line="440" w:lineRule="exact"/>
              <w:ind w:firstLine="480" w:firstLineChars="200"/>
              <w:textAlignment w:val="auto"/>
              <w:rPr>
                <w:color w:val="auto"/>
                <w:sz w:val="24"/>
                <w:highlight w:val="none"/>
              </w:rPr>
            </w:pPr>
            <w:r>
              <w:rPr>
                <w:color w:val="auto"/>
                <w:sz w:val="24"/>
                <w:highlight w:val="none"/>
              </w:rPr>
              <w:t>颗粒物排放浓度=5mg/m</w:t>
            </w:r>
            <w:r>
              <w:rPr>
                <w:color w:val="auto"/>
                <w:sz w:val="24"/>
                <w:highlight w:val="none"/>
                <w:vertAlign w:val="superscript"/>
              </w:rPr>
              <w:t>3</w:t>
            </w:r>
            <w:r>
              <w:rPr>
                <w:color w:val="auto"/>
                <w:sz w:val="24"/>
                <w:highlight w:val="none"/>
              </w:rPr>
              <w:t>。</w:t>
            </w:r>
          </w:p>
          <w:p w14:paraId="3809DB54">
            <w:pPr>
              <w:keepNext w:val="0"/>
              <w:keepLines w:val="0"/>
              <w:pageBreakBefore w:val="0"/>
              <w:widowControl w:val="0"/>
              <w:kinsoku/>
              <w:wordWrap w:val="0"/>
              <w:overflowPunct/>
              <w:topLinePunct w:val="0"/>
              <w:autoSpaceDE/>
              <w:autoSpaceDN/>
              <w:bidi w:val="0"/>
              <w:spacing w:line="440" w:lineRule="exact"/>
              <w:ind w:firstLine="480" w:firstLineChars="200"/>
              <w:jc w:val="left"/>
              <w:textAlignment w:val="auto"/>
              <w:rPr>
                <w:rFonts w:hint="eastAsia" w:eastAsia="宋体"/>
                <w:color w:val="auto"/>
                <w:sz w:val="24"/>
                <w:highlight w:val="none"/>
                <w:lang w:eastAsia="zh-CN"/>
              </w:rPr>
            </w:pPr>
            <w:r>
              <w:rPr>
                <w:color w:val="auto"/>
                <w:sz w:val="24"/>
                <w:highlight w:val="none"/>
              </w:rPr>
              <w:t>颗粒物排放量=浓度×烟气量=</w:t>
            </w:r>
            <w:r>
              <w:rPr>
                <w:sz w:val="24"/>
                <w:highlight w:val="none"/>
              </w:rPr>
              <w:t>5mg/m</w:t>
            </w:r>
            <w:r>
              <w:rPr>
                <w:sz w:val="24"/>
                <w:highlight w:val="none"/>
                <w:vertAlign w:val="superscript"/>
              </w:rPr>
              <w:t>3</w:t>
            </w:r>
            <w:r>
              <w:rPr>
                <w:sz w:val="24"/>
                <w:highlight w:val="none"/>
              </w:rPr>
              <w:t>×</w:t>
            </w:r>
            <w:r>
              <w:rPr>
                <w:rFonts w:hint="eastAsia" w:ascii="Times New Roman" w:hAnsi="Times New Roman" w:eastAsia="宋体" w:cs="Times New Roman"/>
                <w:sz w:val="24"/>
                <w:szCs w:val="24"/>
                <w:highlight w:val="none"/>
                <w:lang w:val="en-US" w:eastAsia="zh-CN"/>
              </w:rPr>
              <w:t>77450</w:t>
            </w:r>
            <w:r>
              <w:rPr>
                <w:rFonts w:hint="eastAsia"/>
                <w:sz w:val="24"/>
                <w:highlight w:val="none"/>
                <w:lang w:val="en-US" w:eastAsia="zh-CN"/>
              </w:rPr>
              <w:t>N</w:t>
            </w:r>
            <w:r>
              <w:rPr>
                <w:sz w:val="24"/>
                <w:highlight w:val="none"/>
              </w:rPr>
              <w:t>m</w:t>
            </w:r>
            <w:r>
              <w:rPr>
                <w:sz w:val="24"/>
                <w:highlight w:val="none"/>
                <w:vertAlign w:val="superscript"/>
              </w:rPr>
              <w:t>3</w:t>
            </w:r>
            <w:r>
              <w:rPr>
                <w:sz w:val="24"/>
                <w:highlight w:val="none"/>
              </w:rPr>
              <w:t>/h×</w:t>
            </w:r>
            <w:r>
              <w:rPr>
                <w:rFonts w:hint="eastAsia"/>
                <w:sz w:val="24"/>
                <w:highlight w:val="none"/>
                <w:lang w:val="en-US" w:eastAsia="zh-CN"/>
              </w:rPr>
              <w:t>60</w:t>
            </w:r>
            <w:r>
              <w:rPr>
                <w:sz w:val="24"/>
                <w:highlight w:val="none"/>
              </w:rPr>
              <w:t>00h/a×10</w:t>
            </w:r>
            <w:r>
              <w:rPr>
                <w:sz w:val="24"/>
                <w:highlight w:val="none"/>
                <w:vertAlign w:val="superscript"/>
              </w:rPr>
              <w:t>-9</w:t>
            </w:r>
            <w:r>
              <w:rPr>
                <w:sz w:val="24"/>
                <w:highlight w:val="none"/>
              </w:rPr>
              <w:t>=</w:t>
            </w:r>
            <w:r>
              <w:rPr>
                <w:rFonts w:hint="eastAsia"/>
                <w:sz w:val="24"/>
                <w:highlight w:val="none"/>
                <w:lang w:val="en-US" w:eastAsia="zh-CN"/>
              </w:rPr>
              <w:t>2.3235</w:t>
            </w:r>
            <w:r>
              <w:rPr>
                <w:sz w:val="24"/>
                <w:highlight w:val="none"/>
              </w:rPr>
              <w:t>t/a</w:t>
            </w:r>
            <w:r>
              <w:rPr>
                <w:rFonts w:hint="eastAsia"/>
                <w:color w:val="auto"/>
                <w:sz w:val="24"/>
                <w:highlight w:val="none"/>
                <w:lang w:eastAsia="zh-CN"/>
              </w:rPr>
              <w:t>；</w:t>
            </w:r>
          </w:p>
          <w:p w14:paraId="3F29092B">
            <w:pPr>
              <w:keepNext w:val="0"/>
              <w:keepLines w:val="0"/>
              <w:pageBreakBefore w:val="0"/>
              <w:widowControl w:val="0"/>
              <w:kinsoku/>
              <w:wordWrap w:val="0"/>
              <w:overflowPunct/>
              <w:topLinePunct w:val="0"/>
              <w:autoSpaceDE/>
              <w:autoSpaceDN/>
              <w:bidi w:val="0"/>
              <w:spacing w:line="440" w:lineRule="exact"/>
              <w:ind w:firstLine="480" w:firstLineChars="200"/>
              <w:jc w:val="left"/>
              <w:textAlignment w:val="auto"/>
              <w:rPr>
                <w:rFonts w:hint="eastAsia" w:eastAsia="宋体"/>
                <w:color w:val="auto"/>
                <w:sz w:val="24"/>
                <w:highlight w:val="none"/>
                <w:lang w:eastAsia="zh-CN"/>
              </w:rPr>
            </w:pPr>
            <w:r>
              <w:rPr>
                <w:color w:val="auto"/>
                <w:sz w:val="24"/>
                <w:highlight w:val="none"/>
              </w:rPr>
              <w:t>颗粒物排放速率=排放量÷年运行小时数=</w:t>
            </w:r>
            <w:r>
              <w:rPr>
                <w:rFonts w:hint="eastAsia"/>
                <w:color w:val="auto"/>
                <w:sz w:val="24"/>
                <w:highlight w:val="none"/>
                <w:lang w:val="en-US" w:eastAsia="zh-CN"/>
              </w:rPr>
              <w:t>2.324</w:t>
            </w:r>
            <w:r>
              <w:rPr>
                <w:color w:val="auto"/>
                <w:sz w:val="24"/>
                <w:highlight w:val="none"/>
              </w:rPr>
              <w:t>t/a÷</w:t>
            </w:r>
            <w:r>
              <w:rPr>
                <w:rFonts w:hint="eastAsia"/>
                <w:color w:val="auto"/>
                <w:sz w:val="24"/>
                <w:highlight w:val="none"/>
                <w:lang w:val="en-US" w:eastAsia="zh-CN"/>
              </w:rPr>
              <w:t>6000</w:t>
            </w:r>
            <w:r>
              <w:rPr>
                <w:color w:val="auto"/>
                <w:sz w:val="24"/>
                <w:highlight w:val="none"/>
              </w:rPr>
              <w:t>h/a×10</w:t>
            </w:r>
            <w:r>
              <w:rPr>
                <w:color w:val="auto"/>
                <w:sz w:val="24"/>
                <w:highlight w:val="none"/>
                <w:vertAlign w:val="superscript"/>
              </w:rPr>
              <w:t>3</w:t>
            </w:r>
            <w:r>
              <w:rPr>
                <w:color w:val="auto"/>
                <w:sz w:val="24"/>
                <w:highlight w:val="none"/>
              </w:rPr>
              <w:t>=</w:t>
            </w:r>
            <w:r>
              <w:rPr>
                <w:rFonts w:hint="eastAsia"/>
                <w:color w:val="auto"/>
                <w:sz w:val="24"/>
                <w:highlight w:val="none"/>
                <w:lang w:val="en-US" w:eastAsia="zh-CN"/>
              </w:rPr>
              <w:t>0.3873</w:t>
            </w:r>
            <w:r>
              <w:rPr>
                <w:color w:val="auto"/>
                <w:sz w:val="24"/>
                <w:highlight w:val="none"/>
              </w:rPr>
              <w:t>kg/h</w:t>
            </w:r>
            <w:r>
              <w:rPr>
                <w:rFonts w:hint="eastAsia"/>
                <w:color w:val="auto"/>
                <w:sz w:val="24"/>
                <w:highlight w:val="none"/>
                <w:lang w:eastAsia="zh-CN"/>
              </w:rPr>
              <w:t>；</w:t>
            </w:r>
          </w:p>
          <w:p w14:paraId="716DC5A9">
            <w:pPr>
              <w:keepNext w:val="0"/>
              <w:keepLines w:val="0"/>
              <w:pageBreakBefore w:val="0"/>
              <w:widowControl w:val="0"/>
              <w:kinsoku/>
              <w:wordWrap w:val="0"/>
              <w:overflowPunct/>
              <w:topLinePunct w:val="0"/>
              <w:autoSpaceDE/>
              <w:autoSpaceDN/>
              <w:bidi w:val="0"/>
              <w:spacing w:line="440" w:lineRule="exact"/>
              <w:ind w:firstLine="480" w:firstLineChars="200"/>
              <w:textAlignment w:val="auto"/>
              <w:rPr>
                <w:color w:val="auto"/>
                <w:sz w:val="24"/>
                <w:highlight w:val="none"/>
              </w:rPr>
            </w:pPr>
            <w:r>
              <w:rPr>
                <w:color w:val="auto"/>
                <w:sz w:val="24"/>
                <w:highlight w:val="none"/>
              </w:rPr>
              <w:t>SO</w:t>
            </w:r>
            <w:r>
              <w:rPr>
                <w:color w:val="auto"/>
                <w:sz w:val="24"/>
                <w:highlight w:val="none"/>
                <w:vertAlign w:val="subscript"/>
              </w:rPr>
              <w:t>2</w:t>
            </w:r>
            <w:r>
              <w:rPr>
                <w:color w:val="auto"/>
                <w:sz w:val="24"/>
                <w:highlight w:val="none"/>
              </w:rPr>
              <w:t>排放浓度=35mg/m</w:t>
            </w:r>
            <w:r>
              <w:rPr>
                <w:color w:val="auto"/>
                <w:sz w:val="24"/>
                <w:highlight w:val="none"/>
                <w:vertAlign w:val="superscript"/>
              </w:rPr>
              <w:t>3</w:t>
            </w:r>
            <w:r>
              <w:rPr>
                <w:color w:val="auto"/>
                <w:sz w:val="24"/>
                <w:highlight w:val="none"/>
              </w:rPr>
              <w:t>。</w:t>
            </w:r>
          </w:p>
          <w:p w14:paraId="0E7AE965">
            <w:pPr>
              <w:keepNext w:val="0"/>
              <w:keepLines w:val="0"/>
              <w:pageBreakBefore w:val="0"/>
              <w:widowControl w:val="0"/>
              <w:kinsoku/>
              <w:wordWrap w:val="0"/>
              <w:overflowPunct/>
              <w:topLinePunct w:val="0"/>
              <w:autoSpaceDE/>
              <w:autoSpaceDN/>
              <w:bidi w:val="0"/>
              <w:spacing w:line="440" w:lineRule="exact"/>
              <w:ind w:firstLine="480" w:firstLineChars="200"/>
              <w:jc w:val="left"/>
              <w:textAlignment w:val="auto"/>
              <w:rPr>
                <w:rFonts w:hint="eastAsia" w:eastAsia="宋体"/>
                <w:color w:val="auto"/>
                <w:sz w:val="24"/>
                <w:highlight w:val="none"/>
                <w:lang w:eastAsia="zh-CN"/>
              </w:rPr>
            </w:pPr>
            <w:r>
              <w:rPr>
                <w:color w:val="auto"/>
                <w:sz w:val="24"/>
                <w:highlight w:val="none"/>
              </w:rPr>
              <w:t>SO</w:t>
            </w:r>
            <w:r>
              <w:rPr>
                <w:color w:val="auto"/>
                <w:sz w:val="24"/>
                <w:highlight w:val="none"/>
                <w:vertAlign w:val="subscript"/>
              </w:rPr>
              <w:t>2</w:t>
            </w:r>
            <w:r>
              <w:rPr>
                <w:color w:val="auto"/>
                <w:sz w:val="24"/>
                <w:highlight w:val="none"/>
              </w:rPr>
              <w:t>排放量=浓度×烟气量=</w:t>
            </w:r>
            <w:r>
              <w:rPr>
                <w:sz w:val="24"/>
                <w:highlight w:val="none"/>
              </w:rPr>
              <w:t>35mg/m</w:t>
            </w:r>
            <w:r>
              <w:rPr>
                <w:sz w:val="24"/>
                <w:highlight w:val="none"/>
                <w:vertAlign w:val="superscript"/>
              </w:rPr>
              <w:t>3</w:t>
            </w:r>
            <w:r>
              <w:rPr>
                <w:sz w:val="24"/>
                <w:highlight w:val="none"/>
              </w:rPr>
              <w:t>×</w:t>
            </w:r>
            <w:r>
              <w:rPr>
                <w:rFonts w:hint="eastAsia" w:ascii="Times New Roman" w:hAnsi="Times New Roman" w:eastAsia="宋体" w:cs="Times New Roman"/>
                <w:sz w:val="24"/>
                <w:szCs w:val="24"/>
                <w:highlight w:val="none"/>
                <w:lang w:val="en-US" w:eastAsia="zh-CN"/>
              </w:rPr>
              <w:t>77450</w:t>
            </w:r>
            <w:r>
              <w:rPr>
                <w:sz w:val="24"/>
                <w:highlight w:val="none"/>
              </w:rPr>
              <w:t>m</w:t>
            </w:r>
            <w:r>
              <w:rPr>
                <w:sz w:val="24"/>
                <w:highlight w:val="none"/>
                <w:vertAlign w:val="superscript"/>
              </w:rPr>
              <w:t>3</w:t>
            </w:r>
            <w:r>
              <w:rPr>
                <w:sz w:val="24"/>
                <w:highlight w:val="none"/>
              </w:rPr>
              <w:t>/h×</w:t>
            </w:r>
            <w:r>
              <w:rPr>
                <w:rFonts w:hint="eastAsia"/>
                <w:sz w:val="24"/>
                <w:highlight w:val="none"/>
                <w:lang w:val="en-US" w:eastAsia="zh-CN"/>
              </w:rPr>
              <w:t>60</w:t>
            </w:r>
            <w:r>
              <w:rPr>
                <w:sz w:val="24"/>
                <w:highlight w:val="none"/>
              </w:rPr>
              <w:t>00h/a×10</w:t>
            </w:r>
            <w:r>
              <w:rPr>
                <w:sz w:val="24"/>
                <w:highlight w:val="none"/>
                <w:vertAlign w:val="superscript"/>
              </w:rPr>
              <w:t>-9</w:t>
            </w:r>
            <w:r>
              <w:rPr>
                <w:sz w:val="24"/>
                <w:highlight w:val="none"/>
              </w:rPr>
              <w:t>=</w:t>
            </w:r>
            <w:r>
              <w:rPr>
                <w:rFonts w:hint="eastAsia"/>
                <w:sz w:val="24"/>
                <w:highlight w:val="none"/>
                <w:lang w:val="en-US" w:eastAsia="zh-CN"/>
              </w:rPr>
              <w:t>16.265</w:t>
            </w:r>
            <w:r>
              <w:rPr>
                <w:sz w:val="24"/>
                <w:highlight w:val="none"/>
              </w:rPr>
              <w:t>t/a</w:t>
            </w:r>
            <w:r>
              <w:rPr>
                <w:rFonts w:hint="eastAsia"/>
                <w:color w:val="auto"/>
                <w:sz w:val="24"/>
                <w:highlight w:val="none"/>
                <w:lang w:eastAsia="zh-CN"/>
              </w:rPr>
              <w:t>；</w:t>
            </w:r>
          </w:p>
          <w:p w14:paraId="12D8168F">
            <w:pPr>
              <w:keepNext w:val="0"/>
              <w:keepLines w:val="0"/>
              <w:pageBreakBefore w:val="0"/>
              <w:widowControl w:val="0"/>
              <w:kinsoku/>
              <w:wordWrap w:val="0"/>
              <w:overflowPunct/>
              <w:topLinePunct w:val="0"/>
              <w:autoSpaceDE/>
              <w:autoSpaceDN/>
              <w:bidi w:val="0"/>
              <w:spacing w:line="440" w:lineRule="exact"/>
              <w:ind w:firstLine="480" w:firstLineChars="200"/>
              <w:jc w:val="left"/>
              <w:textAlignment w:val="auto"/>
              <w:rPr>
                <w:color w:val="auto"/>
                <w:sz w:val="24"/>
                <w:highlight w:val="none"/>
              </w:rPr>
            </w:pPr>
            <w:r>
              <w:rPr>
                <w:color w:val="auto"/>
                <w:sz w:val="24"/>
                <w:highlight w:val="none"/>
              </w:rPr>
              <w:t>SO</w:t>
            </w:r>
            <w:r>
              <w:rPr>
                <w:color w:val="auto"/>
                <w:sz w:val="24"/>
                <w:highlight w:val="none"/>
                <w:vertAlign w:val="subscript"/>
              </w:rPr>
              <w:t>2</w:t>
            </w:r>
            <w:r>
              <w:rPr>
                <w:color w:val="auto"/>
                <w:sz w:val="24"/>
                <w:highlight w:val="none"/>
              </w:rPr>
              <w:t>排放速率=排放量÷年运行小时数=</w:t>
            </w:r>
            <w:r>
              <w:rPr>
                <w:rFonts w:hint="eastAsia"/>
                <w:sz w:val="24"/>
                <w:highlight w:val="none"/>
                <w:lang w:val="en-US" w:eastAsia="zh-CN"/>
              </w:rPr>
              <w:t>16.265</w:t>
            </w:r>
            <w:r>
              <w:rPr>
                <w:color w:val="auto"/>
                <w:sz w:val="24"/>
                <w:highlight w:val="none"/>
              </w:rPr>
              <w:t>t/a÷</w:t>
            </w:r>
            <w:r>
              <w:rPr>
                <w:rFonts w:hint="eastAsia"/>
                <w:color w:val="auto"/>
                <w:sz w:val="24"/>
                <w:highlight w:val="none"/>
                <w:lang w:val="en-US" w:eastAsia="zh-CN"/>
              </w:rPr>
              <w:t>60</w:t>
            </w:r>
            <w:r>
              <w:rPr>
                <w:color w:val="auto"/>
                <w:sz w:val="24"/>
                <w:highlight w:val="none"/>
              </w:rPr>
              <w:t>00h/a×10</w:t>
            </w:r>
            <w:r>
              <w:rPr>
                <w:color w:val="auto"/>
                <w:sz w:val="24"/>
                <w:highlight w:val="none"/>
                <w:vertAlign w:val="superscript"/>
              </w:rPr>
              <w:t>3</w:t>
            </w:r>
            <w:r>
              <w:rPr>
                <w:color w:val="auto"/>
                <w:sz w:val="24"/>
                <w:highlight w:val="none"/>
              </w:rPr>
              <w:t>=</w:t>
            </w:r>
            <w:r>
              <w:rPr>
                <w:rFonts w:hint="eastAsia"/>
                <w:color w:val="auto"/>
                <w:sz w:val="24"/>
                <w:highlight w:val="none"/>
                <w:lang w:val="en-US" w:eastAsia="zh-CN"/>
              </w:rPr>
              <w:t>2.711</w:t>
            </w:r>
            <w:r>
              <w:rPr>
                <w:color w:val="auto"/>
                <w:sz w:val="24"/>
                <w:highlight w:val="none"/>
              </w:rPr>
              <w:t>kg/h；</w:t>
            </w:r>
          </w:p>
          <w:p w14:paraId="1446B77A">
            <w:pPr>
              <w:keepNext w:val="0"/>
              <w:keepLines w:val="0"/>
              <w:pageBreakBefore w:val="0"/>
              <w:widowControl w:val="0"/>
              <w:kinsoku/>
              <w:wordWrap w:val="0"/>
              <w:overflowPunct/>
              <w:topLinePunct w:val="0"/>
              <w:autoSpaceDE/>
              <w:autoSpaceDN/>
              <w:bidi w:val="0"/>
              <w:spacing w:line="440" w:lineRule="exact"/>
              <w:ind w:firstLine="480" w:firstLineChars="200"/>
              <w:textAlignment w:val="auto"/>
              <w:rPr>
                <w:color w:val="auto"/>
                <w:sz w:val="24"/>
                <w:highlight w:val="none"/>
              </w:rPr>
            </w:pPr>
            <w:r>
              <w:rPr>
                <w:color w:val="auto"/>
                <w:sz w:val="24"/>
                <w:highlight w:val="none"/>
              </w:rPr>
              <w:t>NO</w:t>
            </w:r>
            <w:r>
              <w:rPr>
                <w:color w:val="auto"/>
                <w:sz w:val="24"/>
                <w:highlight w:val="none"/>
                <w:vertAlign w:val="subscript"/>
              </w:rPr>
              <w:t>x</w:t>
            </w:r>
            <w:r>
              <w:rPr>
                <w:color w:val="auto"/>
                <w:sz w:val="24"/>
                <w:highlight w:val="none"/>
              </w:rPr>
              <w:t>排放浓度=50mg/m</w:t>
            </w:r>
            <w:r>
              <w:rPr>
                <w:color w:val="auto"/>
                <w:sz w:val="24"/>
                <w:highlight w:val="none"/>
                <w:vertAlign w:val="superscript"/>
              </w:rPr>
              <w:t>3</w:t>
            </w:r>
            <w:r>
              <w:rPr>
                <w:color w:val="auto"/>
                <w:sz w:val="24"/>
                <w:highlight w:val="none"/>
              </w:rPr>
              <w:t>。</w:t>
            </w:r>
          </w:p>
          <w:p w14:paraId="0870458C">
            <w:pPr>
              <w:keepNext w:val="0"/>
              <w:keepLines w:val="0"/>
              <w:pageBreakBefore w:val="0"/>
              <w:widowControl w:val="0"/>
              <w:kinsoku/>
              <w:wordWrap w:val="0"/>
              <w:overflowPunct/>
              <w:topLinePunct w:val="0"/>
              <w:autoSpaceDE/>
              <w:autoSpaceDN/>
              <w:bidi w:val="0"/>
              <w:spacing w:line="440" w:lineRule="exact"/>
              <w:ind w:firstLine="480" w:firstLineChars="200"/>
              <w:jc w:val="left"/>
              <w:textAlignment w:val="auto"/>
              <w:rPr>
                <w:color w:val="auto"/>
                <w:sz w:val="24"/>
                <w:highlight w:val="none"/>
              </w:rPr>
            </w:pPr>
            <w:r>
              <w:rPr>
                <w:color w:val="auto"/>
                <w:sz w:val="24"/>
                <w:highlight w:val="none"/>
              </w:rPr>
              <w:t>NO</w:t>
            </w:r>
            <w:r>
              <w:rPr>
                <w:color w:val="auto"/>
                <w:sz w:val="24"/>
                <w:highlight w:val="none"/>
                <w:vertAlign w:val="subscript"/>
              </w:rPr>
              <w:t>x</w:t>
            </w:r>
            <w:r>
              <w:rPr>
                <w:color w:val="auto"/>
                <w:sz w:val="24"/>
                <w:highlight w:val="none"/>
              </w:rPr>
              <w:t>排放量=浓度×烟气量=</w:t>
            </w:r>
            <w:r>
              <w:rPr>
                <w:sz w:val="24"/>
                <w:highlight w:val="none"/>
              </w:rPr>
              <w:t>50mg/m</w:t>
            </w:r>
            <w:r>
              <w:rPr>
                <w:sz w:val="24"/>
                <w:highlight w:val="none"/>
                <w:vertAlign w:val="superscript"/>
              </w:rPr>
              <w:t>3</w:t>
            </w:r>
            <w:r>
              <w:rPr>
                <w:sz w:val="24"/>
                <w:highlight w:val="none"/>
              </w:rPr>
              <w:t>×</w:t>
            </w:r>
            <w:r>
              <w:rPr>
                <w:rFonts w:hint="eastAsia" w:ascii="Times New Roman" w:hAnsi="Times New Roman" w:eastAsia="宋体" w:cs="Times New Roman"/>
                <w:sz w:val="24"/>
                <w:szCs w:val="24"/>
                <w:highlight w:val="none"/>
                <w:lang w:val="en-US" w:eastAsia="zh-CN"/>
              </w:rPr>
              <w:t>77450</w:t>
            </w:r>
            <w:r>
              <w:rPr>
                <w:sz w:val="24"/>
                <w:highlight w:val="none"/>
              </w:rPr>
              <w:t>m</w:t>
            </w:r>
            <w:r>
              <w:rPr>
                <w:sz w:val="24"/>
                <w:highlight w:val="none"/>
                <w:vertAlign w:val="superscript"/>
              </w:rPr>
              <w:t>3</w:t>
            </w:r>
            <w:r>
              <w:rPr>
                <w:sz w:val="24"/>
                <w:highlight w:val="none"/>
              </w:rPr>
              <w:t>/h×</w:t>
            </w:r>
            <w:r>
              <w:rPr>
                <w:rFonts w:hint="eastAsia"/>
                <w:sz w:val="24"/>
                <w:highlight w:val="none"/>
                <w:lang w:val="en-US" w:eastAsia="zh-CN"/>
              </w:rPr>
              <w:t>60</w:t>
            </w:r>
            <w:r>
              <w:rPr>
                <w:sz w:val="24"/>
                <w:highlight w:val="none"/>
              </w:rPr>
              <w:t>00h/a×10</w:t>
            </w:r>
            <w:r>
              <w:rPr>
                <w:sz w:val="24"/>
                <w:highlight w:val="none"/>
                <w:vertAlign w:val="superscript"/>
              </w:rPr>
              <w:t>-9</w:t>
            </w:r>
            <w:r>
              <w:rPr>
                <w:sz w:val="24"/>
                <w:highlight w:val="none"/>
              </w:rPr>
              <w:t>=</w:t>
            </w:r>
            <w:r>
              <w:rPr>
                <w:rFonts w:hint="eastAsia"/>
                <w:sz w:val="24"/>
                <w:highlight w:val="none"/>
                <w:lang w:val="en-US" w:eastAsia="zh-CN"/>
              </w:rPr>
              <w:t>23.235</w:t>
            </w:r>
            <w:r>
              <w:rPr>
                <w:sz w:val="24"/>
                <w:highlight w:val="none"/>
              </w:rPr>
              <w:t>t/a</w:t>
            </w:r>
            <w:r>
              <w:rPr>
                <w:color w:val="auto"/>
                <w:sz w:val="24"/>
                <w:highlight w:val="none"/>
              </w:rPr>
              <w:t>；</w:t>
            </w:r>
          </w:p>
          <w:p w14:paraId="3B922BF5">
            <w:pPr>
              <w:keepNext w:val="0"/>
              <w:keepLines w:val="0"/>
              <w:pageBreakBefore w:val="0"/>
              <w:widowControl w:val="0"/>
              <w:kinsoku/>
              <w:overflowPunct/>
              <w:topLinePunct w:val="0"/>
              <w:autoSpaceDE/>
              <w:autoSpaceDN/>
              <w:bidi w:val="0"/>
              <w:adjustRightInd w:val="0"/>
              <w:snapToGrid w:val="0"/>
              <w:spacing w:line="440" w:lineRule="exact"/>
              <w:ind w:firstLine="480" w:firstLineChars="200"/>
              <w:textAlignment w:val="auto"/>
              <w:rPr>
                <w:color w:val="auto"/>
                <w:sz w:val="24"/>
                <w:szCs w:val="22"/>
                <w:highlight w:val="none"/>
              </w:rPr>
            </w:pPr>
            <w:r>
              <w:rPr>
                <w:color w:val="auto"/>
                <w:sz w:val="24"/>
                <w:highlight w:val="none"/>
              </w:rPr>
              <w:t>NO</w:t>
            </w:r>
            <w:r>
              <w:rPr>
                <w:color w:val="auto"/>
                <w:sz w:val="24"/>
                <w:highlight w:val="none"/>
                <w:vertAlign w:val="subscript"/>
              </w:rPr>
              <w:t>x</w:t>
            </w:r>
            <w:r>
              <w:rPr>
                <w:color w:val="auto"/>
                <w:sz w:val="24"/>
                <w:highlight w:val="none"/>
              </w:rPr>
              <w:t>排放速率=排放量÷年运行小时数=</w:t>
            </w:r>
            <w:r>
              <w:rPr>
                <w:rFonts w:hint="eastAsia"/>
                <w:color w:val="auto"/>
                <w:sz w:val="24"/>
                <w:highlight w:val="none"/>
                <w:lang w:val="en-US" w:eastAsia="zh-CN"/>
              </w:rPr>
              <w:t>23.235</w:t>
            </w:r>
            <w:r>
              <w:rPr>
                <w:color w:val="auto"/>
                <w:sz w:val="24"/>
                <w:highlight w:val="none"/>
              </w:rPr>
              <w:t>/a÷</w:t>
            </w:r>
            <w:r>
              <w:rPr>
                <w:rFonts w:hint="eastAsia"/>
                <w:color w:val="auto"/>
                <w:sz w:val="24"/>
                <w:highlight w:val="none"/>
                <w:lang w:val="en-US" w:eastAsia="zh-CN"/>
              </w:rPr>
              <w:t>60</w:t>
            </w:r>
            <w:r>
              <w:rPr>
                <w:color w:val="auto"/>
                <w:sz w:val="24"/>
                <w:highlight w:val="none"/>
              </w:rPr>
              <w:t>00h/a×10</w:t>
            </w:r>
            <w:r>
              <w:rPr>
                <w:color w:val="auto"/>
                <w:sz w:val="24"/>
                <w:highlight w:val="none"/>
                <w:vertAlign w:val="superscript"/>
              </w:rPr>
              <w:t>3</w:t>
            </w:r>
            <w:r>
              <w:rPr>
                <w:color w:val="auto"/>
                <w:sz w:val="24"/>
                <w:highlight w:val="none"/>
              </w:rPr>
              <w:t>=</w:t>
            </w:r>
            <w:r>
              <w:rPr>
                <w:rFonts w:hint="eastAsia"/>
                <w:color w:val="auto"/>
                <w:sz w:val="24"/>
                <w:highlight w:val="none"/>
                <w:lang w:val="en-US" w:eastAsia="zh-CN"/>
              </w:rPr>
              <w:t>3.8725</w:t>
            </w:r>
            <w:r>
              <w:rPr>
                <w:color w:val="auto"/>
                <w:sz w:val="24"/>
                <w:highlight w:val="none"/>
              </w:rPr>
              <w:t>kg/h</w:t>
            </w:r>
            <w:r>
              <w:rPr>
                <w:rFonts w:hint="eastAsia"/>
                <w:color w:val="auto"/>
                <w:sz w:val="24"/>
                <w:highlight w:val="none"/>
              </w:rPr>
              <w:t>。</w:t>
            </w:r>
          </w:p>
          <w:p w14:paraId="042A24A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s="Times New Roman"/>
                <w:color w:val="auto"/>
                <w:kern w:val="2"/>
                <w:sz w:val="24"/>
                <w:szCs w:val="24"/>
                <w:highlight w:val="none"/>
                <w:lang w:val="en-US" w:eastAsia="zh-CN" w:bidi="ar-SA"/>
              </w:rPr>
            </w:pPr>
            <w:r>
              <w:rPr>
                <w:rFonts w:ascii="宋体" w:hAnsi="宋体" w:eastAsia="宋体" w:cs="宋体"/>
                <w:sz w:val="24"/>
                <w:szCs w:val="24"/>
              </w:rPr>
              <w:t>脱硫剂仓会产生一定量的</w:t>
            </w:r>
            <w:r>
              <w:rPr>
                <w:rFonts w:hint="eastAsia" w:ascii="宋体" w:hAnsi="宋体" w:eastAsia="宋体" w:cs="宋体"/>
                <w:sz w:val="24"/>
                <w:szCs w:val="24"/>
                <w:lang w:val="en-US" w:eastAsia="zh-CN"/>
              </w:rPr>
              <w:t>颗粒物</w:t>
            </w:r>
            <w:r>
              <w:rPr>
                <w:rFonts w:ascii="宋体" w:hAnsi="宋体" w:eastAsia="宋体" w:cs="宋体"/>
                <w:sz w:val="24"/>
                <w:szCs w:val="24"/>
              </w:rPr>
              <w:t>，</w:t>
            </w:r>
            <w:r>
              <w:rPr>
                <w:rFonts w:hint="eastAsia" w:ascii="宋体" w:hAnsi="宋体" w:eastAsia="宋体" w:cs="宋体"/>
                <w:sz w:val="24"/>
                <w:szCs w:val="24"/>
                <w:lang w:val="en-US" w:eastAsia="zh-CN"/>
              </w:rPr>
              <w:t>仓</w:t>
            </w:r>
            <w:r>
              <w:rPr>
                <w:rFonts w:hint="default" w:ascii="Times New Roman" w:hAnsi="Times New Roman" w:eastAsia="宋体" w:cs="Times New Roman"/>
                <w:sz w:val="24"/>
                <w:szCs w:val="24"/>
                <w:lang w:val="en-US" w:eastAsia="zh-CN"/>
              </w:rPr>
              <w:t>顶有配套脉冲布袋除尘器</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风机</w:t>
            </w:r>
            <w:r>
              <w:rPr>
                <w:rFonts w:hint="eastAsia" w:ascii="Times New Roman" w:hAnsi="Times New Roman" w:eastAsia="宋体" w:cs="Times New Roman"/>
                <w:sz w:val="24"/>
                <w:szCs w:val="24"/>
                <w:lang w:val="en-US" w:eastAsia="zh-CN"/>
              </w:rPr>
              <w:t>风量</w:t>
            </w:r>
            <w:r>
              <w:rPr>
                <w:rFonts w:hint="default" w:ascii="Times New Roman" w:hAnsi="Times New Roman" w:eastAsia="宋体" w:cs="Times New Roman"/>
                <w:sz w:val="24"/>
                <w:szCs w:val="24"/>
              </w:rPr>
              <w:t>为2000m</w:t>
            </w:r>
            <w:r>
              <w:rPr>
                <w:rFonts w:hint="default" w:ascii="Times New Roman" w:hAnsi="Times New Roman" w:eastAsia="宋体" w:cs="Times New Roman"/>
                <w:sz w:val="24"/>
                <w:szCs w:val="24"/>
                <w:vertAlign w:val="superscript"/>
              </w:rPr>
              <w:t>3</w:t>
            </w:r>
            <w:r>
              <w:rPr>
                <w:rFonts w:hint="default" w:ascii="Times New Roman" w:hAnsi="Times New Roman" w:eastAsia="宋体" w:cs="Times New Roman"/>
                <w:sz w:val="24"/>
                <w:szCs w:val="24"/>
              </w:rPr>
              <w:t>/h</w:t>
            </w:r>
            <w:r>
              <w:rPr>
                <w:rFonts w:hint="eastAsia" w:cs="Times New Roman"/>
                <w:color w:val="auto"/>
                <w:sz w:val="24"/>
                <w:szCs w:val="24"/>
                <w:highlight w:val="none"/>
                <w:lang w:val="en-US" w:eastAsia="zh-CN"/>
              </w:rPr>
              <w:t>，经处理后送至燃气锅炉烟气脉冲袋式除尘器前，通过50m高烟囱排放。项目</w:t>
            </w:r>
            <w:r>
              <w:rPr>
                <w:rFonts w:hint="eastAsia" w:ascii="Times New Roman" w:hAnsi="Times New Roman" w:eastAsia="宋体" w:cs="Times New Roman"/>
                <w:sz w:val="24"/>
                <w:szCs w:val="24"/>
                <w:lang w:val="en-US" w:eastAsia="zh-CN"/>
              </w:rPr>
              <w:t>年使</w:t>
            </w:r>
            <w:r>
              <w:rPr>
                <w:rFonts w:hint="eastAsia" w:ascii="Times New Roman" w:hAnsi="Times New Roman" w:eastAsia="宋体" w:cs="Times New Roman"/>
                <w:sz w:val="24"/>
                <w:szCs w:val="24"/>
                <w:highlight w:val="none"/>
                <w:lang w:val="en-US" w:eastAsia="zh-CN"/>
              </w:rPr>
              <w:t>用</w:t>
            </w:r>
            <w:r>
              <w:rPr>
                <w:rFonts w:hint="eastAsia" w:ascii="Times New Roman" w:hAnsi="Times New Roman" w:eastAsia="宋体" w:cs="Times New Roman"/>
                <w:color w:val="auto"/>
                <w:kern w:val="2"/>
                <w:sz w:val="24"/>
                <w:szCs w:val="24"/>
                <w:highlight w:val="none"/>
                <w:lang w:val="en-US" w:eastAsia="zh-CN" w:bidi="ar-SA"/>
              </w:rPr>
              <w:t>钙基脱硫粉剂</w:t>
            </w:r>
            <w:r>
              <w:rPr>
                <w:rFonts w:hint="eastAsia" w:cs="Times New Roman"/>
                <w:color w:val="auto"/>
                <w:kern w:val="2"/>
                <w:sz w:val="24"/>
                <w:szCs w:val="24"/>
                <w:highlight w:val="none"/>
                <w:lang w:val="en-US" w:eastAsia="zh-CN" w:bidi="ar-SA"/>
              </w:rPr>
              <w:t>720t/a，其中散装罐车气力输送物料的速率为40t/h（粉料），上料总时间为18h。</w:t>
            </w:r>
            <w:r>
              <w:rPr>
                <w:color w:val="auto"/>
                <w:sz w:val="24"/>
                <w:highlight w:val="none"/>
              </w:rPr>
              <w:t>颗粒物排放量=浓度×烟气量</w:t>
            </w:r>
            <w:r>
              <w:rPr>
                <w:rFonts w:hint="eastAsia"/>
                <w:color w:val="auto"/>
                <w:sz w:val="24"/>
                <w:highlight w:val="none"/>
                <w:lang w:val="en-US" w:eastAsia="zh-CN"/>
              </w:rPr>
              <w:t>=</w:t>
            </w:r>
            <w:r>
              <w:rPr>
                <w:sz w:val="24"/>
                <w:highlight w:val="none"/>
              </w:rPr>
              <w:t>5mg/m</w:t>
            </w:r>
            <w:r>
              <w:rPr>
                <w:sz w:val="24"/>
                <w:highlight w:val="none"/>
                <w:vertAlign w:val="superscript"/>
              </w:rPr>
              <w:t>3</w:t>
            </w:r>
            <w:r>
              <w:rPr>
                <w:sz w:val="24"/>
                <w:highlight w:val="none"/>
              </w:rPr>
              <w:t>×</w:t>
            </w:r>
            <w:r>
              <w:rPr>
                <w:rFonts w:hint="eastAsia" w:ascii="Times New Roman" w:hAnsi="Times New Roman" w:eastAsia="宋体" w:cs="Times New Roman"/>
                <w:sz w:val="24"/>
                <w:szCs w:val="24"/>
                <w:highlight w:val="none"/>
                <w:lang w:val="en-US" w:eastAsia="zh-CN"/>
              </w:rPr>
              <w:t>2000</w:t>
            </w:r>
            <w:r>
              <w:rPr>
                <w:rFonts w:hint="eastAsia"/>
                <w:sz w:val="24"/>
                <w:highlight w:val="none"/>
                <w:lang w:val="en-US" w:eastAsia="zh-CN"/>
              </w:rPr>
              <w:t>N</w:t>
            </w:r>
            <w:r>
              <w:rPr>
                <w:sz w:val="24"/>
                <w:highlight w:val="none"/>
              </w:rPr>
              <w:t>m</w:t>
            </w:r>
            <w:r>
              <w:rPr>
                <w:sz w:val="24"/>
                <w:highlight w:val="none"/>
                <w:vertAlign w:val="superscript"/>
              </w:rPr>
              <w:t>3</w:t>
            </w:r>
            <w:r>
              <w:rPr>
                <w:sz w:val="24"/>
                <w:highlight w:val="none"/>
              </w:rPr>
              <w:t>/h×</w:t>
            </w:r>
            <w:r>
              <w:rPr>
                <w:rFonts w:hint="eastAsia"/>
                <w:sz w:val="24"/>
                <w:highlight w:val="none"/>
                <w:lang w:val="en-US" w:eastAsia="zh-CN"/>
              </w:rPr>
              <w:t>18</w:t>
            </w:r>
            <w:r>
              <w:rPr>
                <w:sz w:val="24"/>
                <w:highlight w:val="none"/>
              </w:rPr>
              <w:t>h/a×10</w:t>
            </w:r>
            <w:r>
              <w:rPr>
                <w:sz w:val="24"/>
                <w:highlight w:val="none"/>
                <w:vertAlign w:val="superscript"/>
              </w:rPr>
              <w:t>-9</w:t>
            </w:r>
            <w:r>
              <w:rPr>
                <w:sz w:val="24"/>
                <w:highlight w:val="none"/>
              </w:rPr>
              <w:t>=</w:t>
            </w:r>
            <w:r>
              <w:rPr>
                <w:rFonts w:hint="eastAsia"/>
                <w:sz w:val="24"/>
                <w:highlight w:val="none"/>
                <w:lang w:val="en-US" w:eastAsia="zh-CN"/>
              </w:rPr>
              <w:t>0.00036</w:t>
            </w:r>
            <w:r>
              <w:rPr>
                <w:sz w:val="24"/>
                <w:highlight w:val="none"/>
              </w:rPr>
              <w:t>t/a</w:t>
            </w:r>
            <w:r>
              <w:rPr>
                <w:rFonts w:hint="eastAsia" w:cs="Times New Roman"/>
                <w:color w:val="auto"/>
                <w:kern w:val="2"/>
                <w:sz w:val="24"/>
                <w:szCs w:val="24"/>
                <w:highlight w:val="none"/>
                <w:lang w:val="en-US" w:eastAsia="zh-CN" w:bidi="ar-SA"/>
              </w:rPr>
              <w:t>。</w:t>
            </w:r>
          </w:p>
          <w:p w14:paraId="4766702D">
            <w:pPr>
              <w:keepNext w:val="0"/>
              <w:keepLines w:val="0"/>
              <w:pageBreakBefore w:val="0"/>
              <w:widowControl w:val="0"/>
              <w:kinsoku/>
              <w:overflowPunct/>
              <w:topLinePunct w:val="0"/>
              <w:autoSpaceDE/>
              <w:autoSpaceDN/>
              <w:bidi w:val="0"/>
              <w:spacing w:line="440" w:lineRule="exact"/>
              <w:ind w:firstLine="480" w:firstLineChars="200"/>
              <w:textAlignment w:val="auto"/>
              <w:rPr>
                <w:rFonts w:hint="default" w:eastAsia="宋体"/>
                <w:sz w:val="24"/>
                <w:highlight w:val="none"/>
                <w:lang w:val="en-US" w:eastAsia="zh-CN"/>
              </w:rPr>
            </w:pPr>
            <w:r>
              <w:rPr>
                <w:rFonts w:hint="eastAsia" w:cs="Times New Roman"/>
                <w:color w:val="auto"/>
                <w:kern w:val="2"/>
                <w:sz w:val="24"/>
                <w:szCs w:val="24"/>
                <w:highlight w:val="none"/>
                <w:lang w:val="en-US" w:eastAsia="zh-CN" w:bidi="ar-SA"/>
              </w:rPr>
              <w:t>颗粒物总排放量=</w:t>
            </w:r>
            <w:r>
              <w:rPr>
                <w:rFonts w:hint="eastAsia"/>
                <w:sz w:val="24"/>
                <w:highlight w:val="none"/>
                <w:lang w:val="en-US" w:eastAsia="zh-CN"/>
              </w:rPr>
              <w:t>2.3235</w:t>
            </w:r>
            <w:r>
              <w:rPr>
                <w:sz w:val="24"/>
                <w:highlight w:val="none"/>
              </w:rPr>
              <w:t>t/a</w:t>
            </w:r>
            <w:r>
              <w:rPr>
                <w:rFonts w:hint="eastAsia"/>
                <w:sz w:val="24"/>
                <w:highlight w:val="none"/>
                <w:lang w:val="en-US" w:eastAsia="zh-CN"/>
              </w:rPr>
              <w:t>+0.00036</w:t>
            </w:r>
            <w:r>
              <w:rPr>
                <w:sz w:val="24"/>
                <w:highlight w:val="none"/>
              </w:rPr>
              <w:t>t/a</w:t>
            </w:r>
            <w:r>
              <w:rPr>
                <w:rFonts w:hint="eastAsia"/>
                <w:sz w:val="24"/>
                <w:highlight w:val="none"/>
                <w:lang w:val="en-US" w:eastAsia="zh-CN"/>
              </w:rPr>
              <w:t>=2.32386</w:t>
            </w:r>
            <w:r>
              <w:rPr>
                <w:sz w:val="24"/>
                <w:highlight w:val="none"/>
              </w:rPr>
              <w:t>t/a</w:t>
            </w:r>
            <w:r>
              <w:rPr>
                <w:rFonts w:hint="eastAsia"/>
                <w:sz w:val="24"/>
                <w:highlight w:val="none"/>
                <w:lang w:val="en-US" w:eastAsia="zh-CN"/>
              </w:rPr>
              <w:t>=</w:t>
            </w:r>
            <w:r>
              <w:rPr>
                <w:rFonts w:hint="eastAsia" w:ascii="Times New Roman" w:hAnsi="Times New Roman" w:eastAsia="宋体" w:cs="Times New Roman"/>
                <w:color w:val="auto"/>
                <w:sz w:val="24"/>
                <w:highlight w:val="none"/>
                <w:lang w:val="en-US" w:eastAsia="zh-CN"/>
              </w:rPr>
              <w:t>2.324t/a（保留三位小数）。</w:t>
            </w:r>
          </w:p>
          <w:p w14:paraId="194F6260">
            <w:pPr>
              <w:keepNext w:val="0"/>
              <w:keepLines w:val="0"/>
              <w:pageBreakBefore w:val="0"/>
              <w:widowControl w:val="0"/>
              <w:kinsoku/>
              <w:overflowPunct/>
              <w:topLinePunct w:val="0"/>
              <w:autoSpaceDE/>
              <w:autoSpaceDN/>
              <w:bidi w:val="0"/>
              <w:spacing w:line="44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综上，项目颗粒物排放量为2.324t/a，</w:t>
            </w:r>
            <w:r>
              <w:rPr>
                <w:color w:val="auto"/>
                <w:sz w:val="24"/>
                <w:highlight w:val="none"/>
              </w:rPr>
              <w:t>SO</w:t>
            </w:r>
            <w:r>
              <w:rPr>
                <w:color w:val="auto"/>
                <w:sz w:val="24"/>
                <w:highlight w:val="none"/>
                <w:vertAlign w:val="subscript"/>
              </w:rPr>
              <w:t>2</w:t>
            </w:r>
            <w:r>
              <w:rPr>
                <w:rFonts w:hint="eastAsia"/>
                <w:color w:val="auto"/>
                <w:sz w:val="24"/>
                <w:highlight w:val="none"/>
                <w:vertAlign w:val="baseline"/>
                <w:lang w:val="en-US" w:eastAsia="zh-CN"/>
              </w:rPr>
              <w:t>排放量为</w:t>
            </w:r>
            <w:r>
              <w:rPr>
                <w:rFonts w:hint="eastAsia"/>
                <w:sz w:val="24"/>
                <w:highlight w:val="none"/>
                <w:lang w:val="en-US" w:eastAsia="zh-CN"/>
              </w:rPr>
              <w:t>16.265</w:t>
            </w:r>
            <w:r>
              <w:rPr>
                <w:sz w:val="24"/>
                <w:highlight w:val="none"/>
              </w:rPr>
              <w:t>t/a</w:t>
            </w:r>
            <w:r>
              <w:rPr>
                <w:rFonts w:hint="eastAsia"/>
                <w:sz w:val="24"/>
                <w:highlight w:val="none"/>
                <w:lang w:eastAsia="zh-CN"/>
              </w:rPr>
              <w:t>，</w:t>
            </w:r>
            <w:r>
              <w:rPr>
                <w:rFonts w:hint="eastAsia"/>
                <w:sz w:val="24"/>
                <w:highlight w:val="none"/>
                <w:lang w:val="en-US" w:eastAsia="zh-CN"/>
              </w:rPr>
              <w:t>NOx排放量为23.235t/a。</w:t>
            </w:r>
          </w:p>
          <w:p w14:paraId="0A911326">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color w:val="auto"/>
                <w:sz w:val="24"/>
                <w:highlight w:val="none"/>
              </w:rPr>
            </w:pPr>
            <w:r>
              <w:rPr>
                <w:rFonts w:hint="default" w:ascii="Times New Roman" w:hAnsi="Times New Roman" w:cs="Times New Roman"/>
                <w:color w:val="auto"/>
                <w:sz w:val="24"/>
                <w:highlight w:val="none"/>
              </w:rPr>
              <w:t>1.</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rPr>
              <w:t>废气治理措施及可行性分析</w:t>
            </w:r>
          </w:p>
          <w:p w14:paraId="1B1904E4">
            <w:pPr>
              <w:spacing w:line="360" w:lineRule="auto"/>
              <w:ind w:firstLine="480" w:firstLineChars="200"/>
              <w:rPr>
                <w:rFonts w:hint="default" w:eastAsia="宋体"/>
                <w:color w:val="auto"/>
                <w:sz w:val="24"/>
                <w:highlight w:val="none"/>
                <w:lang w:val="en-US" w:eastAsia="zh-CN"/>
              </w:rPr>
            </w:pPr>
            <w:r>
              <w:rPr>
                <w:rFonts w:hint="eastAsia"/>
                <w:color w:val="auto"/>
                <w:sz w:val="24"/>
                <w:highlight w:val="none"/>
                <w:lang w:val="en-US" w:eastAsia="zh-CN"/>
              </w:rPr>
              <w:t>根据《</w:t>
            </w:r>
            <w:r>
              <w:rPr>
                <w:color w:val="auto"/>
                <w:sz w:val="24"/>
                <w:highlight w:val="none"/>
              </w:rPr>
              <w:fldChar w:fldCharType="begin"/>
            </w:r>
            <w:r>
              <w:rPr>
                <w:color w:val="auto"/>
                <w:sz w:val="24"/>
                <w:highlight w:val="none"/>
              </w:rPr>
              <w:instrText xml:space="preserve"> HYPERLINK "https://www.mee.gov.cn/ywgz/fgbz/bz/bzwb/kxxjszn/202106/W020210809526088806708.pdf" </w:instrText>
            </w:r>
            <w:r>
              <w:rPr>
                <w:color w:val="auto"/>
                <w:sz w:val="24"/>
                <w:highlight w:val="none"/>
              </w:rPr>
              <w:fldChar w:fldCharType="separate"/>
            </w:r>
            <w:r>
              <w:rPr>
                <w:rFonts w:hint="eastAsia"/>
                <w:color w:val="auto"/>
                <w:sz w:val="24"/>
                <w:highlight w:val="none"/>
              </w:rPr>
              <w:t>工业锅炉污染防治可行技术指南</w:t>
            </w:r>
            <w:r>
              <w:rPr>
                <w:rFonts w:hint="eastAsia"/>
                <w:color w:val="auto"/>
                <w:sz w:val="24"/>
                <w:highlight w:val="none"/>
                <w:lang w:eastAsia="zh-CN"/>
              </w:rPr>
              <w:t>》</w:t>
            </w:r>
            <w:r>
              <w:rPr>
                <w:rFonts w:hint="eastAsia"/>
                <w:color w:val="auto"/>
                <w:sz w:val="24"/>
                <w:highlight w:val="none"/>
              </w:rPr>
              <w:t>（HJ 1178—2021）</w:t>
            </w:r>
            <w:r>
              <w:rPr>
                <w:rFonts w:hint="eastAsia"/>
                <w:color w:val="auto"/>
                <w:sz w:val="24"/>
                <w:highlight w:val="none"/>
              </w:rPr>
              <w:fldChar w:fldCharType="end"/>
            </w:r>
            <w:r>
              <w:rPr>
                <w:rFonts w:hint="eastAsia"/>
                <w:color w:val="auto"/>
                <w:sz w:val="24"/>
                <w:highlight w:val="none"/>
                <w:lang w:eastAsia="zh-CN"/>
              </w:rPr>
              <w:t>，</w:t>
            </w:r>
            <w:r>
              <w:rPr>
                <w:rFonts w:hint="eastAsia"/>
                <w:color w:val="auto"/>
                <w:sz w:val="24"/>
                <w:highlight w:val="none"/>
                <w:lang w:val="en-US" w:eastAsia="zh-CN"/>
              </w:rPr>
              <w:t>颗粒物采用了推荐的“</w:t>
            </w:r>
            <w:r>
              <w:rPr>
                <w:rFonts w:ascii="宋体" w:hAnsi="宋体" w:eastAsia="宋体" w:cs="宋体"/>
                <w:sz w:val="24"/>
                <w:szCs w:val="24"/>
                <w:highlight w:val="none"/>
              </w:rPr>
              <w:t>袋式除尘技术</w:t>
            </w:r>
            <w:r>
              <w:rPr>
                <w:rFonts w:hint="eastAsia" w:ascii="宋体" w:hAnsi="宋体" w:cs="宋体"/>
                <w:sz w:val="24"/>
                <w:szCs w:val="24"/>
                <w:highlight w:val="none"/>
                <w:lang w:eastAsia="zh-CN"/>
              </w:rPr>
              <w:t>”；</w:t>
            </w:r>
            <w:r>
              <w:rPr>
                <w:rFonts w:hint="eastAsia"/>
                <w:color w:val="auto"/>
                <w:sz w:val="24"/>
                <w:highlight w:val="none"/>
                <w:lang w:eastAsia="zh-CN"/>
              </w:rPr>
              <w:t>SO</w:t>
            </w:r>
            <w:r>
              <w:rPr>
                <w:rFonts w:hint="eastAsia"/>
                <w:color w:val="auto"/>
                <w:sz w:val="24"/>
                <w:highlight w:val="none"/>
                <w:vertAlign w:val="subscript"/>
                <w:lang w:eastAsia="zh-CN"/>
              </w:rPr>
              <w:t>2</w:t>
            </w:r>
            <w:r>
              <w:rPr>
                <w:rFonts w:hint="eastAsia"/>
                <w:color w:val="auto"/>
                <w:sz w:val="24"/>
                <w:highlight w:val="none"/>
                <w:vertAlign w:val="baseline"/>
                <w:lang w:val="en-US" w:eastAsia="zh-CN"/>
              </w:rPr>
              <w:t>采用了钙基干式喷射脱硫净化技术，根据山西煤炭化学研究所数据，高活性氢氧化钙的脱硫效率可达98%（本次环评以90%计算）以上，</w:t>
            </w:r>
            <w:r>
              <w:rPr>
                <w:rFonts w:hint="eastAsia"/>
                <w:color w:val="auto"/>
                <w:sz w:val="24"/>
                <w:highlight w:val="none"/>
                <w:vertAlign w:val="baseline"/>
                <w:lang w:val="en-US" w:eastAsia="zh-CN"/>
              </w:rPr>
              <w:fldChar w:fldCharType="begin"/>
            </w:r>
            <w:r>
              <w:rPr>
                <w:rFonts w:hint="eastAsia"/>
                <w:color w:val="auto"/>
                <w:sz w:val="24"/>
                <w:highlight w:val="none"/>
                <w:vertAlign w:val="baseline"/>
                <w:lang w:val="en-US" w:eastAsia="zh-CN"/>
              </w:rPr>
              <w:instrText xml:space="preserve"> HYPERLINK "http://sxicc.cas.cn/news/jlhz/202505/t20250528_7793162.html" \t "https://chat.deepseek.com/a/chat/s/_blank" </w:instrText>
            </w:r>
            <w:r>
              <w:rPr>
                <w:rFonts w:hint="eastAsia"/>
                <w:color w:val="auto"/>
                <w:sz w:val="24"/>
                <w:highlight w:val="none"/>
                <w:vertAlign w:val="baseline"/>
                <w:lang w:val="en-US" w:eastAsia="zh-CN"/>
              </w:rPr>
              <w:fldChar w:fldCharType="separate"/>
            </w:r>
            <w:r>
              <w:rPr>
                <w:rFonts w:hint="eastAsia"/>
                <w:color w:val="auto"/>
                <w:sz w:val="24"/>
                <w:highlight w:val="none"/>
                <w:vertAlign w:val="baseline"/>
                <w:lang w:val="en-US" w:eastAsia="zh-CN"/>
              </w:rPr>
              <w:fldChar w:fldCharType="end"/>
            </w:r>
            <w:r>
              <w:rPr>
                <w:rFonts w:hint="eastAsia"/>
                <w:color w:val="auto"/>
                <w:sz w:val="24"/>
                <w:highlight w:val="none"/>
                <w:vertAlign w:val="baseline"/>
                <w:lang w:val="en-US" w:eastAsia="zh-CN"/>
              </w:rPr>
              <w:t>脱硫剂利用率达85%~90%，高于推荐的“炉内脱硫技术”；NOx采用了推荐的低氮燃烧技术“扩散式燃烧器”。根据《排污许可证申请与核发技术规范，钢铁工业》(HJ 846</w:t>
            </w:r>
            <w:r>
              <w:rPr>
                <w:rFonts w:hint="eastAsia"/>
                <w:color w:val="auto"/>
                <w:sz w:val="24"/>
                <w:highlight w:val="none"/>
              </w:rPr>
              <w:t>—</w:t>
            </w:r>
            <w:r>
              <w:rPr>
                <w:rFonts w:hint="eastAsia"/>
                <w:color w:val="auto"/>
                <w:sz w:val="24"/>
                <w:highlight w:val="none"/>
                <w:vertAlign w:val="baseline"/>
                <w:lang w:val="en-US" w:eastAsia="zh-CN"/>
              </w:rPr>
              <w:t>2017)，采取“低氮燃烧”为可行技术。</w:t>
            </w:r>
          </w:p>
          <w:p w14:paraId="69237D97">
            <w:pPr>
              <w:numPr>
                <w:ilvl w:val="0"/>
                <w:numId w:val="2"/>
              </w:numPr>
              <w:spacing w:line="360" w:lineRule="auto"/>
              <w:ind w:firstLine="480" w:firstLineChars="200"/>
              <w:rPr>
                <w:color w:val="auto"/>
                <w:sz w:val="24"/>
                <w:highlight w:val="none"/>
              </w:rPr>
            </w:pPr>
            <w:r>
              <w:rPr>
                <w:color w:val="auto"/>
                <w:sz w:val="24"/>
                <w:highlight w:val="none"/>
              </w:rPr>
              <w:t>布袋除尘器：</w:t>
            </w:r>
            <w:r>
              <w:rPr>
                <w:rFonts w:hint="eastAsia"/>
                <w:color w:val="auto"/>
                <w:sz w:val="24"/>
                <w:highlight w:val="none"/>
                <w:lang w:val="en-US" w:eastAsia="zh-CN"/>
              </w:rPr>
              <w:t>本项目采用的布袋除尘器，处理烟气温度130-150℃，最大处理风量100000m</w:t>
            </w:r>
            <w:r>
              <w:rPr>
                <w:rFonts w:hint="eastAsia"/>
                <w:color w:val="auto"/>
                <w:sz w:val="24"/>
                <w:highlight w:val="none"/>
                <w:vertAlign w:val="superscript"/>
                <w:lang w:val="en-US" w:eastAsia="zh-CN"/>
              </w:rPr>
              <w:t>3</w:t>
            </w:r>
            <w:r>
              <w:rPr>
                <w:rFonts w:hint="eastAsia"/>
                <w:color w:val="auto"/>
                <w:sz w:val="24"/>
                <w:highlight w:val="none"/>
                <w:lang w:val="en-US" w:eastAsia="zh-CN"/>
              </w:rPr>
              <w:t>/h（满足本项目70500m</w:t>
            </w:r>
            <w:r>
              <w:rPr>
                <w:rFonts w:hint="eastAsia"/>
                <w:color w:val="auto"/>
                <w:sz w:val="24"/>
                <w:highlight w:val="none"/>
                <w:vertAlign w:val="superscript"/>
                <w:lang w:val="en-US" w:eastAsia="zh-CN"/>
              </w:rPr>
              <w:t>3</w:t>
            </w:r>
            <w:r>
              <w:rPr>
                <w:rFonts w:hint="eastAsia"/>
                <w:color w:val="auto"/>
                <w:sz w:val="24"/>
                <w:highlight w:val="none"/>
                <w:lang w:val="en-US" w:eastAsia="zh-CN"/>
              </w:rPr>
              <w:t>/h需求），进口烟尘浓度30mg/m</w:t>
            </w:r>
            <w:r>
              <w:rPr>
                <w:rFonts w:hint="eastAsia"/>
                <w:color w:val="auto"/>
                <w:sz w:val="24"/>
                <w:highlight w:val="none"/>
                <w:vertAlign w:val="superscript"/>
                <w:lang w:val="en-US" w:eastAsia="zh-CN"/>
              </w:rPr>
              <w:t>3</w:t>
            </w:r>
            <w:r>
              <w:rPr>
                <w:rFonts w:hint="eastAsia"/>
                <w:color w:val="auto"/>
                <w:sz w:val="24"/>
                <w:highlight w:val="none"/>
                <w:lang w:val="en-US" w:eastAsia="zh-CN"/>
              </w:rPr>
              <w:t>，出口气体含尘浓度&lt;5mg/m</w:t>
            </w:r>
            <w:r>
              <w:rPr>
                <w:rFonts w:hint="eastAsia"/>
                <w:color w:val="auto"/>
                <w:sz w:val="24"/>
                <w:highlight w:val="none"/>
                <w:vertAlign w:val="superscript"/>
                <w:lang w:val="en-US" w:eastAsia="zh-CN"/>
              </w:rPr>
              <w:t>3</w:t>
            </w:r>
            <w:r>
              <w:rPr>
                <w:rFonts w:hint="eastAsia"/>
                <w:color w:val="auto"/>
                <w:sz w:val="24"/>
                <w:highlight w:val="none"/>
                <w:vertAlign w:val="baseline"/>
                <w:lang w:val="en-US" w:eastAsia="zh-CN"/>
              </w:rPr>
              <w:t>,布袋采用氟美斯耐高温针刺滤料（FMS），过滤风速0.7m/min，过滤面积2380m</w:t>
            </w:r>
            <w:r>
              <w:rPr>
                <w:rFonts w:hint="eastAsia"/>
                <w:color w:val="auto"/>
                <w:sz w:val="24"/>
                <w:highlight w:val="none"/>
                <w:vertAlign w:val="superscript"/>
                <w:lang w:val="en-US" w:eastAsia="zh-CN"/>
              </w:rPr>
              <w:t>2</w:t>
            </w:r>
            <w:r>
              <w:rPr>
                <w:rFonts w:hint="eastAsia"/>
                <w:color w:val="auto"/>
                <w:sz w:val="24"/>
                <w:highlight w:val="none"/>
                <w:vertAlign w:val="baseline"/>
                <w:lang w:val="en-US" w:eastAsia="zh-CN"/>
              </w:rPr>
              <w:t>，除尘效率不小于99%，</w:t>
            </w:r>
            <w:r>
              <w:rPr>
                <w:color w:val="auto"/>
                <w:sz w:val="24"/>
                <w:highlight w:val="none"/>
              </w:rPr>
              <w:t>适宜于要求除尘效率较高、排气量变化较大的场合，最适宜处理有回收价值的、粒径比较细小的颗粒物。布袋除尘器主要有以下优点：</w:t>
            </w:r>
          </w:p>
          <w:p w14:paraId="28F88758">
            <w:pPr>
              <w:spacing w:line="360" w:lineRule="auto"/>
              <w:ind w:firstLine="480" w:firstLineChars="200"/>
              <w:rPr>
                <w:color w:val="auto"/>
                <w:sz w:val="24"/>
                <w:highlight w:val="none"/>
              </w:rPr>
            </w:pPr>
            <w:r>
              <w:rPr>
                <w:rFonts w:hint="eastAsia"/>
                <w:color w:val="auto"/>
                <w:sz w:val="24"/>
                <w:highlight w:val="none"/>
              </w:rPr>
              <w:t>①</w:t>
            </w:r>
            <w:r>
              <w:rPr>
                <w:color w:val="auto"/>
                <w:sz w:val="24"/>
                <w:highlight w:val="none"/>
              </w:rPr>
              <w:t>对净化含微米或亚微米数量级的粉尘粒子的气体效率较高，一般可达99%以上。</w:t>
            </w:r>
            <w:r>
              <w:rPr>
                <w:rFonts w:hint="eastAsia"/>
                <w:color w:val="auto"/>
                <w:sz w:val="24"/>
                <w:highlight w:val="none"/>
              </w:rPr>
              <w:t>②</w:t>
            </w:r>
            <w:r>
              <w:rPr>
                <w:color w:val="auto"/>
                <w:sz w:val="24"/>
                <w:highlight w:val="none"/>
              </w:rPr>
              <w:t>可以捕集多种干式粉尘，特别是高比电阻粉尘，采用布袋除尘器净化要比用</w:t>
            </w:r>
            <w:r>
              <w:rPr>
                <w:rFonts w:hint="eastAsia"/>
                <w:color w:val="auto"/>
                <w:sz w:val="24"/>
                <w:highlight w:val="none"/>
              </w:rPr>
              <w:t>静电</w:t>
            </w:r>
            <w:r>
              <w:rPr>
                <w:color w:val="auto"/>
                <w:sz w:val="24"/>
                <w:highlight w:val="none"/>
              </w:rPr>
              <w:t>除尘器的净化效率高很多。</w:t>
            </w:r>
            <w:r>
              <w:rPr>
                <w:rFonts w:hint="eastAsia"/>
                <w:color w:val="auto"/>
                <w:sz w:val="24"/>
                <w:highlight w:val="none"/>
              </w:rPr>
              <w:t>③</w:t>
            </w:r>
            <w:r>
              <w:rPr>
                <w:color w:val="auto"/>
                <w:sz w:val="24"/>
                <w:highlight w:val="none"/>
              </w:rPr>
              <w:t>含尘气体浓度在相当大的范围内变化对布袋除尘器的除尘效率和阻力影响不大。</w:t>
            </w:r>
            <w:r>
              <w:rPr>
                <w:rFonts w:hint="eastAsia"/>
                <w:color w:val="auto"/>
                <w:sz w:val="24"/>
                <w:highlight w:val="none"/>
              </w:rPr>
              <w:t>④</w:t>
            </w:r>
            <w:r>
              <w:rPr>
                <w:color w:val="auto"/>
                <w:sz w:val="24"/>
                <w:highlight w:val="none"/>
              </w:rPr>
              <w:t>布袋除尘器运行性能稳定可靠，没有污泥处理和腐蚀等问题，操作维护简单</w:t>
            </w:r>
            <w:r>
              <w:rPr>
                <w:rFonts w:hint="eastAsia"/>
                <w:color w:val="auto"/>
                <w:sz w:val="24"/>
                <w:highlight w:val="none"/>
              </w:rPr>
              <w:t>。</w:t>
            </w:r>
          </w:p>
          <w:p w14:paraId="7712A2B8">
            <w:pPr>
              <w:numPr>
                <w:ilvl w:val="0"/>
                <w:numId w:val="0"/>
              </w:numPr>
              <w:spacing w:line="360" w:lineRule="auto"/>
              <w:ind w:firstLine="480" w:firstLineChars="200"/>
              <w:rPr>
                <w:rFonts w:hint="eastAsia"/>
                <w:color w:val="auto"/>
                <w:sz w:val="24"/>
                <w:highlight w:val="none"/>
              </w:rPr>
            </w:pPr>
            <w:r>
              <w:rPr>
                <w:rFonts w:hint="eastAsia" w:ascii="Times New Roman" w:hAnsi="Times New Roman" w:eastAsia="宋体" w:cs="Times New Roman"/>
                <w:color w:val="auto"/>
                <w:kern w:val="2"/>
                <w:sz w:val="24"/>
                <w:szCs w:val="24"/>
                <w:highlight w:val="none"/>
                <w:lang w:val="en-US" w:eastAsia="zh-CN" w:bidi="ar-SA"/>
              </w:rPr>
              <w:t>（2）</w:t>
            </w:r>
            <w:r>
              <w:rPr>
                <w:rFonts w:hint="eastAsia"/>
                <w:color w:val="auto"/>
                <w:sz w:val="24"/>
                <w:highlight w:val="none"/>
              </w:rPr>
              <w:t>低氮燃烧器：低氮燃烧器采用</w:t>
            </w:r>
            <w:r>
              <w:rPr>
                <w:rFonts w:hint="eastAsia"/>
                <w:color w:val="auto"/>
                <w:sz w:val="24"/>
                <w:highlight w:val="none"/>
                <w:lang w:eastAsia="zh-CN"/>
              </w:rPr>
              <w:t>了</w:t>
            </w:r>
            <w:r>
              <w:rPr>
                <w:rFonts w:hint="eastAsia"/>
                <w:color w:val="auto"/>
                <w:sz w:val="24"/>
                <w:highlight w:val="none"/>
                <w:lang w:val="en-US" w:eastAsia="zh-CN"/>
              </w:rPr>
              <w:t>扩散式燃烧器，利用</w:t>
            </w:r>
            <w:r>
              <w:rPr>
                <w:rFonts w:hint="eastAsia"/>
                <w:color w:val="auto"/>
                <w:sz w:val="24"/>
                <w:highlight w:val="none"/>
              </w:rPr>
              <w:t>空气分级技术，使空气和煤气处于湍流逐步掺混状态，而形成扩散火焰，扩散火焰可以降低火焰的温度，在结构上保证了燃烧空气、燃料分布的均匀性，使燃气与主燃空气充分混合，避免局部高温，可有效抑制热力型NOx的产生，</w:t>
            </w:r>
            <w:r>
              <w:rPr>
                <w:rFonts w:hint="eastAsia"/>
                <w:color w:val="auto"/>
                <w:sz w:val="24"/>
                <w:highlight w:val="none"/>
                <w:lang w:eastAsia="zh-CN"/>
              </w:rPr>
              <w:t>达到</w:t>
            </w:r>
            <w:r>
              <w:rPr>
                <w:rFonts w:hint="eastAsia"/>
                <w:color w:val="auto"/>
                <w:sz w:val="24"/>
                <w:highlight w:val="none"/>
              </w:rPr>
              <w:t>减少热力型NOx的排放量的目的，同时不会发生脱火和回火现象，延长燃烧器使用寿命。在实际应用过程中具有设备初投资成本小、运行费用低的特点</w:t>
            </w:r>
            <w:r>
              <w:rPr>
                <w:rFonts w:hint="eastAsia"/>
                <w:color w:val="auto"/>
                <w:sz w:val="24"/>
                <w:highlight w:val="none"/>
                <w:lang w:eastAsia="zh-CN"/>
              </w:rPr>
              <w:t>，</w:t>
            </w:r>
            <w:r>
              <w:rPr>
                <w:rFonts w:hint="eastAsia"/>
                <w:color w:val="auto"/>
                <w:sz w:val="24"/>
                <w:highlight w:val="none"/>
                <w:lang w:val="en-US" w:eastAsia="zh-CN"/>
              </w:rPr>
              <w:t>NOx降低率20~50%</w:t>
            </w:r>
            <w:r>
              <w:rPr>
                <w:rFonts w:hint="eastAsia"/>
                <w:color w:val="auto"/>
                <w:sz w:val="24"/>
                <w:highlight w:val="none"/>
              </w:rPr>
              <w:t>。</w:t>
            </w:r>
          </w:p>
          <w:p w14:paraId="46754E64">
            <w:pPr>
              <w:numPr>
                <w:ilvl w:val="0"/>
                <w:numId w:val="0"/>
              </w:numPr>
              <w:spacing w:line="360" w:lineRule="auto"/>
              <w:ind w:firstLine="480" w:firstLineChars="200"/>
              <w:rPr>
                <w:rFonts w:hint="eastAsia"/>
                <w:color w:val="auto"/>
                <w:sz w:val="24"/>
                <w:highlight w:val="none"/>
              </w:rPr>
            </w:pP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SO</w:t>
            </w:r>
            <w:r>
              <w:rPr>
                <w:rFonts w:hint="eastAsia" w:cs="Times New Roman"/>
                <w:color w:val="auto"/>
                <w:kern w:val="2"/>
                <w:sz w:val="24"/>
                <w:szCs w:val="24"/>
                <w:highlight w:val="none"/>
                <w:vertAlign w:val="subscript"/>
                <w:lang w:val="en-US" w:eastAsia="zh-CN" w:bidi="ar-SA"/>
              </w:rPr>
              <w:t>2</w:t>
            </w:r>
            <w:r>
              <w:rPr>
                <w:rFonts w:hint="eastAsia"/>
                <w:color w:val="auto"/>
                <w:sz w:val="24"/>
                <w:highlight w:val="none"/>
              </w:rPr>
              <w:t>采用钙基干法脱硫工艺+布袋除尘工艺，锅炉引烟气换热器后烟道→脱硫反应器→布袋除尘器→引风机→烟囱。</w:t>
            </w:r>
          </w:p>
          <w:p w14:paraId="503C1783">
            <w:pPr>
              <w:numPr>
                <w:ilvl w:val="0"/>
                <w:numId w:val="0"/>
              </w:numPr>
              <w:spacing w:line="360" w:lineRule="auto"/>
              <w:ind w:firstLine="480" w:firstLineChars="200"/>
              <w:rPr>
                <w:rFonts w:hint="eastAsia"/>
                <w:color w:val="auto"/>
                <w:sz w:val="24"/>
                <w:highlight w:val="none"/>
                <w:lang w:eastAsia="zh-CN"/>
              </w:rPr>
            </w:pPr>
            <w:r>
              <w:rPr>
                <w:rFonts w:hint="eastAsia"/>
                <w:color w:val="auto"/>
                <w:sz w:val="24"/>
                <w:highlight w:val="none"/>
              </w:rPr>
              <w:t>燃气发电机组主引风机出口的烟气进入脱硫系统，将高活性氢氧化钙超细粉</w:t>
            </w:r>
            <w:r>
              <w:rPr>
                <w:rFonts w:hint="eastAsia"/>
                <w:color w:val="auto"/>
                <w:sz w:val="24"/>
                <w:highlight w:val="none"/>
                <w:lang w:eastAsia="zh-CN"/>
              </w:rPr>
              <w:t>（</w:t>
            </w:r>
            <w:r>
              <w:rPr>
                <w:rFonts w:hint="eastAsia"/>
                <w:color w:val="auto"/>
                <w:sz w:val="24"/>
                <w:highlight w:val="none"/>
                <w:lang w:val="en-US" w:eastAsia="zh-CN"/>
              </w:rPr>
              <w:t>B</w:t>
            </w:r>
            <w:r>
              <w:rPr>
                <w:rFonts w:hint="eastAsia"/>
                <w:color w:val="auto"/>
                <w:sz w:val="24"/>
                <w:highlight w:val="none"/>
              </w:rPr>
              <w:t>ET比表面</w:t>
            </w:r>
            <w:r>
              <w:rPr>
                <w:rFonts w:hint="default" w:ascii="Times New Roman" w:hAnsi="Times New Roman" w:cs="Times New Roman"/>
                <w:color w:val="auto"/>
                <w:sz w:val="24"/>
                <w:highlight w:val="none"/>
              </w:rPr>
              <w:t>积≥40</w:t>
            </w:r>
            <w:r>
              <w:rPr>
                <w:rFonts w:hint="eastAsia"/>
                <w:color w:val="auto"/>
                <w:sz w:val="24"/>
                <w:highlight w:val="none"/>
              </w:rPr>
              <w:t>.00m</w:t>
            </w:r>
            <w:r>
              <w:rPr>
                <w:rFonts w:hint="eastAsia"/>
                <w:color w:val="auto"/>
                <w:sz w:val="24"/>
                <w:highlight w:val="none"/>
                <w:vertAlign w:val="superscript"/>
              </w:rPr>
              <w:t>2</w:t>
            </w:r>
            <w:r>
              <w:rPr>
                <w:rFonts w:hint="eastAsia"/>
                <w:color w:val="auto"/>
                <w:sz w:val="24"/>
                <w:highlight w:val="none"/>
              </w:rPr>
              <w:t>/g</w:t>
            </w:r>
            <w:r>
              <w:rPr>
                <w:rFonts w:hint="eastAsia"/>
                <w:color w:val="auto"/>
                <w:sz w:val="24"/>
                <w:highlight w:val="none"/>
                <w:lang w:eastAsia="zh-CN"/>
              </w:rPr>
              <w:t>，</w:t>
            </w:r>
            <w:r>
              <w:rPr>
                <w:rFonts w:hint="eastAsia"/>
                <w:color w:val="auto"/>
                <w:sz w:val="24"/>
                <w:highlight w:val="none"/>
              </w:rPr>
              <w:t>孔容0.2cm</w:t>
            </w:r>
            <w:r>
              <w:rPr>
                <w:rFonts w:hint="eastAsia"/>
                <w:color w:val="auto"/>
                <w:sz w:val="24"/>
                <w:highlight w:val="none"/>
                <w:vertAlign w:val="superscript"/>
              </w:rPr>
              <w:t>3</w:t>
            </w:r>
            <w:r>
              <w:rPr>
                <w:rFonts w:hint="eastAsia"/>
                <w:color w:val="auto"/>
                <w:sz w:val="24"/>
                <w:highlight w:val="none"/>
              </w:rPr>
              <w:t>/g</w:t>
            </w:r>
            <w:r>
              <w:rPr>
                <w:rFonts w:hint="eastAsia"/>
                <w:color w:val="auto"/>
                <w:sz w:val="24"/>
                <w:highlight w:val="none"/>
                <w:lang w:eastAsia="zh-CN"/>
              </w:rPr>
              <w:t>）</w:t>
            </w:r>
            <w:r>
              <w:rPr>
                <w:rFonts w:hint="eastAsia"/>
                <w:color w:val="auto"/>
                <w:sz w:val="24"/>
                <w:highlight w:val="none"/>
              </w:rPr>
              <w:t>喷入反应烟道，脱硫剂与烟道内烟气中的SO</w:t>
            </w:r>
            <w:r>
              <w:rPr>
                <w:rFonts w:hint="eastAsia"/>
                <w:color w:val="auto"/>
                <w:sz w:val="24"/>
                <w:highlight w:val="none"/>
                <w:vertAlign w:val="subscript"/>
              </w:rPr>
              <w:t>2</w:t>
            </w:r>
            <w:r>
              <w:rPr>
                <w:rFonts w:hint="eastAsia"/>
                <w:color w:val="auto"/>
                <w:sz w:val="24"/>
                <w:highlight w:val="none"/>
              </w:rPr>
              <w:t>及其他酸性介质充分接触发生化学反应，被吸收净化；钙基完成的主要化学反应为</w:t>
            </w:r>
            <w:r>
              <w:rPr>
                <w:rFonts w:hint="eastAsia"/>
                <w:color w:val="auto"/>
                <w:sz w:val="24"/>
                <w:highlight w:val="none"/>
                <w:lang w:eastAsia="zh-CN"/>
              </w:rPr>
              <w:t>：</w:t>
            </w:r>
          </w:p>
          <w:p w14:paraId="4C58FB0E">
            <w:pPr>
              <w:numPr>
                <w:ilvl w:val="0"/>
                <w:numId w:val="0"/>
              </w:numPr>
              <w:spacing w:line="360" w:lineRule="auto"/>
              <w:ind w:firstLine="480" w:firstLineChars="200"/>
              <w:rPr>
                <w:rFonts w:hint="eastAsia"/>
                <w:color w:val="auto"/>
                <w:sz w:val="24"/>
                <w:highlight w:val="none"/>
              </w:rPr>
            </w:pPr>
            <w:r>
              <w:rPr>
                <w:rFonts w:hint="eastAsia"/>
                <w:color w:val="auto"/>
                <w:sz w:val="24"/>
                <w:highlight w:val="none"/>
              </w:rPr>
              <w:t>Ca(OH)</w:t>
            </w:r>
            <w:r>
              <w:rPr>
                <w:rFonts w:hint="eastAsia"/>
                <w:color w:val="auto"/>
                <w:sz w:val="24"/>
                <w:highlight w:val="none"/>
                <w:vertAlign w:val="subscript"/>
                <w:lang w:val="en-US" w:eastAsia="zh-CN"/>
              </w:rPr>
              <w:t>2</w:t>
            </w:r>
            <w:r>
              <w:rPr>
                <w:rFonts w:hint="eastAsia"/>
                <w:color w:val="auto"/>
                <w:sz w:val="24"/>
                <w:highlight w:val="none"/>
              </w:rPr>
              <w:t>+SO</w:t>
            </w:r>
            <w:r>
              <w:rPr>
                <w:rFonts w:hint="eastAsia"/>
                <w:color w:val="auto"/>
                <w:sz w:val="24"/>
                <w:highlight w:val="none"/>
                <w:vertAlign w:val="subscript"/>
                <w:lang w:val="en-US" w:eastAsia="zh-CN"/>
              </w:rPr>
              <w:t>2</w:t>
            </w:r>
            <w:r>
              <w:rPr>
                <w:rFonts w:hint="eastAsia"/>
                <w:color w:val="auto"/>
                <w:sz w:val="24"/>
                <w:highlight w:val="none"/>
              </w:rPr>
              <w:t>=CaSO</w:t>
            </w:r>
            <w:r>
              <w:rPr>
                <w:rFonts w:hint="eastAsia"/>
                <w:color w:val="auto"/>
                <w:sz w:val="24"/>
                <w:highlight w:val="none"/>
                <w:vertAlign w:val="subscript"/>
                <w:lang w:val="en-US" w:eastAsia="zh-CN"/>
              </w:rPr>
              <w:t>3</w:t>
            </w:r>
            <w:r>
              <w:rPr>
                <w:rFonts w:hint="eastAsia"/>
                <w:color w:val="auto"/>
                <w:sz w:val="24"/>
                <w:highlight w:val="none"/>
              </w:rPr>
              <w:t>·1/2H</w:t>
            </w:r>
            <w:r>
              <w:rPr>
                <w:rFonts w:hint="eastAsia"/>
                <w:color w:val="auto"/>
                <w:sz w:val="24"/>
                <w:highlight w:val="none"/>
                <w:vertAlign w:val="subscript"/>
                <w:lang w:val="en-US" w:eastAsia="zh-CN"/>
              </w:rPr>
              <w:t>2</w:t>
            </w:r>
            <w:r>
              <w:rPr>
                <w:rFonts w:hint="eastAsia"/>
                <w:color w:val="auto"/>
                <w:sz w:val="24"/>
                <w:highlight w:val="none"/>
                <w:lang w:eastAsia="zh-CN"/>
              </w:rPr>
              <w:t>O</w:t>
            </w:r>
            <w:r>
              <w:rPr>
                <w:rFonts w:hint="eastAsia"/>
                <w:color w:val="auto"/>
                <w:sz w:val="24"/>
                <w:highlight w:val="none"/>
              </w:rPr>
              <w:t>+1/2H</w:t>
            </w:r>
            <w:r>
              <w:rPr>
                <w:rFonts w:hint="eastAsia"/>
                <w:color w:val="auto"/>
                <w:sz w:val="24"/>
                <w:highlight w:val="none"/>
                <w:lang w:eastAsia="zh-CN"/>
              </w:rPr>
              <w:t>O</w:t>
            </w:r>
          </w:p>
          <w:p w14:paraId="78A97BF9">
            <w:pPr>
              <w:numPr>
                <w:ilvl w:val="0"/>
                <w:numId w:val="0"/>
              </w:numPr>
              <w:spacing w:line="360" w:lineRule="auto"/>
              <w:ind w:firstLine="480" w:firstLineChars="200"/>
              <w:rPr>
                <w:rFonts w:hint="eastAsia"/>
                <w:color w:val="auto"/>
                <w:sz w:val="24"/>
                <w:highlight w:val="none"/>
              </w:rPr>
            </w:pPr>
            <w:r>
              <w:rPr>
                <w:rFonts w:hint="eastAsia"/>
                <w:color w:val="auto"/>
                <w:sz w:val="24"/>
                <w:highlight w:val="none"/>
              </w:rPr>
              <w:t>Ca(OH)</w:t>
            </w:r>
            <w:r>
              <w:rPr>
                <w:rFonts w:hint="eastAsia"/>
                <w:color w:val="auto"/>
                <w:sz w:val="24"/>
                <w:highlight w:val="none"/>
                <w:vertAlign w:val="subscript"/>
                <w:lang w:val="en-US" w:eastAsia="zh-CN"/>
              </w:rPr>
              <w:t>2</w:t>
            </w:r>
            <w:r>
              <w:rPr>
                <w:rFonts w:hint="eastAsia"/>
                <w:color w:val="auto"/>
                <w:sz w:val="24"/>
                <w:highlight w:val="none"/>
              </w:rPr>
              <w:t>+SO</w:t>
            </w:r>
            <w:r>
              <w:rPr>
                <w:rFonts w:hint="eastAsia"/>
                <w:color w:val="auto"/>
                <w:sz w:val="24"/>
                <w:highlight w:val="none"/>
                <w:vertAlign w:val="subscript"/>
                <w:lang w:val="en-US" w:eastAsia="zh-CN"/>
              </w:rPr>
              <w:t>3</w:t>
            </w:r>
            <w:r>
              <w:rPr>
                <w:rFonts w:hint="eastAsia"/>
                <w:color w:val="auto"/>
                <w:sz w:val="24"/>
                <w:highlight w:val="none"/>
              </w:rPr>
              <w:t>=CaS</w:t>
            </w:r>
            <w:r>
              <w:rPr>
                <w:rFonts w:hint="eastAsia"/>
                <w:color w:val="auto"/>
                <w:sz w:val="24"/>
                <w:highlight w:val="none"/>
                <w:lang w:eastAsia="zh-CN"/>
              </w:rPr>
              <w:t>O</w:t>
            </w:r>
            <w:r>
              <w:rPr>
                <w:rFonts w:hint="eastAsia"/>
                <w:color w:val="auto"/>
                <w:sz w:val="24"/>
                <w:highlight w:val="none"/>
                <w:vertAlign w:val="subscript"/>
              </w:rPr>
              <w:t>4</w:t>
            </w:r>
            <w:r>
              <w:rPr>
                <w:rFonts w:hint="eastAsia"/>
                <w:color w:val="auto"/>
                <w:sz w:val="24"/>
                <w:highlight w:val="none"/>
              </w:rPr>
              <w:t>·1/2H</w:t>
            </w:r>
            <w:r>
              <w:rPr>
                <w:rFonts w:hint="eastAsia"/>
                <w:color w:val="auto"/>
                <w:sz w:val="24"/>
                <w:highlight w:val="none"/>
                <w:vertAlign w:val="subscript"/>
                <w:lang w:val="en-US" w:eastAsia="zh-CN"/>
              </w:rPr>
              <w:t>2</w:t>
            </w:r>
            <w:r>
              <w:rPr>
                <w:rFonts w:hint="eastAsia"/>
                <w:color w:val="auto"/>
                <w:sz w:val="24"/>
                <w:highlight w:val="none"/>
                <w:lang w:eastAsia="zh-CN"/>
              </w:rPr>
              <w:t>O</w:t>
            </w:r>
            <w:r>
              <w:rPr>
                <w:rFonts w:hint="eastAsia"/>
                <w:color w:val="auto"/>
                <w:sz w:val="24"/>
                <w:highlight w:val="none"/>
              </w:rPr>
              <w:t>+1/2H</w:t>
            </w:r>
            <w:r>
              <w:rPr>
                <w:rFonts w:hint="eastAsia"/>
                <w:color w:val="auto"/>
                <w:sz w:val="24"/>
                <w:highlight w:val="none"/>
                <w:vertAlign w:val="subscript"/>
                <w:lang w:val="en-US" w:eastAsia="zh-CN"/>
              </w:rPr>
              <w:t>2</w:t>
            </w:r>
            <w:r>
              <w:rPr>
                <w:rFonts w:hint="eastAsia"/>
                <w:color w:val="auto"/>
                <w:sz w:val="24"/>
                <w:highlight w:val="none"/>
              </w:rPr>
              <w:t>O</w:t>
            </w:r>
          </w:p>
          <w:p w14:paraId="451BD77F">
            <w:pPr>
              <w:numPr>
                <w:ilvl w:val="0"/>
                <w:numId w:val="0"/>
              </w:numPr>
              <w:spacing w:line="360" w:lineRule="auto"/>
              <w:ind w:firstLine="480" w:firstLineChars="200"/>
              <w:rPr>
                <w:rFonts w:hint="eastAsia"/>
                <w:color w:val="auto"/>
                <w:sz w:val="24"/>
                <w:highlight w:val="none"/>
                <w:lang w:eastAsia="zh-CN"/>
              </w:rPr>
            </w:pPr>
            <w:r>
              <w:rPr>
                <w:rFonts w:hint="eastAsia"/>
                <w:color w:val="auto"/>
                <w:sz w:val="24"/>
                <w:highlight w:val="none"/>
              </w:rPr>
              <w:t>CaSO</w:t>
            </w:r>
            <w:r>
              <w:rPr>
                <w:rFonts w:hint="eastAsia"/>
                <w:color w:val="auto"/>
                <w:sz w:val="24"/>
                <w:highlight w:val="none"/>
                <w:vertAlign w:val="subscript"/>
                <w:lang w:val="en-US" w:eastAsia="zh-CN"/>
              </w:rPr>
              <w:t>3</w:t>
            </w:r>
            <w:r>
              <w:rPr>
                <w:rFonts w:hint="eastAsia"/>
                <w:color w:val="auto"/>
                <w:sz w:val="24"/>
                <w:highlight w:val="none"/>
              </w:rPr>
              <w:t>·1/2H</w:t>
            </w:r>
            <w:r>
              <w:rPr>
                <w:rFonts w:hint="eastAsia"/>
                <w:color w:val="auto"/>
                <w:sz w:val="24"/>
                <w:highlight w:val="none"/>
                <w:lang w:eastAsia="zh-CN"/>
              </w:rPr>
              <w:t>O</w:t>
            </w:r>
            <w:r>
              <w:rPr>
                <w:rFonts w:hint="eastAsia"/>
                <w:color w:val="auto"/>
                <w:sz w:val="24"/>
                <w:highlight w:val="none"/>
              </w:rPr>
              <w:t>+1/2</w:t>
            </w:r>
            <w:r>
              <w:rPr>
                <w:rFonts w:hint="eastAsia"/>
                <w:color w:val="auto"/>
                <w:sz w:val="24"/>
                <w:highlight w:val="none"/>
                <w:lang w:eastAsia="zh-CN"/>
              </w:rPr>
              <w:t>O</w:t>
            </w:r>
            <w:r>
              <w:rPr>
                <w:rFonts w:hint="eastAsia"/>
                <w:color w:val="auto"/>
                <w:sz w:val="24"/>
                <w:highlight w:val="none"/>
                <w:vertAlign w:val="subscript"/>
                <w:lang w:val="en-US" w:eastAsia="zh-CN"/>
              </w:rPr>
              <w:t>2</w:t>
            </w:r>
            <w:r>
              <w:rPr>
                <w:rFonts w:hint="eastAsia"/>
                <w:color w:val="auto"/>
                <w:sz w:val="24"/>
                <w:highlight w:val="none"/>
              </w:rPr>
              <w:t>=CaS</w:t>
            </w:r>
            <w:r>
              <w:rPr>
                <w:rFonts w:hint="eastAsia"/>
                <w:color w:val="auto"/>
                <w:sz w:val="24"/>
                <w:highlight w:val="none"/>
                <w:lang w:eastAsia="zh-CN"/>
              </w:rPr>
              <w:t>O</w:t>
            </w:r>
            <w:r>
              <w:rPr>
                <w:rFonts w:hint="eastAsia"/>
                <w:color w:val="auto"/>
                <w:sz w:val="24"/>
                <w:highlight w:val="none"/>
                <w:vertAlign w:val="subscript"/>
              </w:rPr>
              <w:t>4</w:t>
            </w:r>
            <w:r>
              <w:rPr>
                <w:rFonts w:hint="eastAsia"/>
                <w:color w:val="auto"/>
                <w:sz w:val="24"/>
                <w:highlight w:val="none"/>
              </w:rPr>
              <w:t>·1/2H</w:t>
            </w:r>
            <w:r>
              <w:rPr>
                <w:rFonts w:hint="eastAsia"/>
                <w:color w:val="auto"/>
                <w:sz w:val="24"/>
                <w:highlight w:val="none"/>
                <w:vertAlign w:val="subscript"/>
                <w:lang w:val="en-US" w:eastAsia="zh-CN"/>
              </w:rPr>
              <w:t>2</w:t>
            </w:r>
            <w:r>
              <w:rPr>
                <w:rFonts w:hint="eastAsia"/>
                <w:color w:val="auto"/>
                <w:sz w:val="24"/>
                <w:highlight w:val="none"/>
                <w:lang w:eastAsia="zh-CN"/>
              </w:rPr>
              <w:t>O</w:t>
            </w:r>
          </w:p>
          <w:p w14:paraId="5418F6F3">
            <w:pPr>
              <w:numPr>
                <w:ilvl w:val="0"/>
                <w:numId w:val="0"/>
              </w:numPr>
              <w:spacing w:line="360" w:lineRule="auto"/>
              <w:ind w:firstLine="480" w:firstLineChars="200"/>
              <w:rPr>
                <w:rFonts w:hint="eastAsia"/>
                <w:color w:val="auto"/>
                <w:sz w:val="24"/>
                <w:highlight w:val="none"/>
                <w:lang w:eastAsia="zh-CN"/>
              </w:rPr>
            </w:pPr>
            <w:r>
              <w:rPr>
                <w:rFonts w:hint="eastAsia"/>
                <w:color w:val="auto"/>
                <w:sz w:val="24"/>
                <w:highlight w:val="none"/>
              </w:rPr>
              <w:t>脱硫后粉状颗粒产物随气流进入布袋除尘器进一步除尘，脱硫除尘后的净烟气被引风机引出，送入烟囱排放，可实现SO</w:t>
            </w:r>
            <w:r>
              <w:rPr>
                <w:rFonts w:hint="eastAsia"/>
                <w:color w:val="auto"/>
                <w:sz w:val="24"/>
                <w:highlight w:val="none"/>
                <w:vertAlign w:val="subscript"/>
              </w:rPr>
              <w:t>2</w:t>
            </w:r>
            <w:r>
              <w:rPr>
                <w:rFonts w:hint="eastAsia"/>
                <w:color w:val="auto"/>
                <w:sz w:val="24"/>
                <w:highlight w:val="none"/>
              </w:rPr>
              <w:t>排放浓度＜30mg/Nm</w:t>
            </w:r>
            <w:r>
              <w:rPr>
                <w:rFonts w:hint="eastAsia"/>
                <w:color w:val="auto"/>
                <w:sz w:val="24"/>
                <w:highlight w:val="none"/>
                <w:vertAlign w:val="superscript"/>
              </w:rPr>
              <w:t>3</w:t>
            </w:r>
            <w:r>
              <w:rPr>
                <w:rFonts w:hint="eastAsia"/>
                <w:color w:val="auto"/>
                <w:sz w:val="24"/>
                <w:highlight w:val="none"/>
              </w:rPr>
              <w:t>。</w:t>
            </w:r>
          </w:p>
          <w:p w14:paraId="087F9292">
            <w:pPr>
              <w:spacing w:line="360" w:lineRule="auto"/>
              <w:ind w:firstLine="480" w:firstLineChars="200"/>
              <w:rPr>
                <w:color w:val="auto"/>
                <w:sz w:val="24"/>
                <w:highlight w:val="none"/>
              </w:rPr>
            </w:pPr>
            <w:r>
              <w:rPr>
                <w:color w:val="auto"/>
                <w:sz w:val="24"/>
                <w:highlight w:val="none"/>
              </w:rPr>
              <w:t>因此，本项目生产过</w:t>
            </w:r>
            <w:r>
              <w:rPr>
                <w:rFonts w:hint="eastAsia"/>
                <w:color w:val="auto"/>
                <w:sz w:val="24"/>
                <w:highlight w:val="none"/>
                <w:lang w:eastAsia="zh-CN"/>
              </w:rPr>
              <w:t>程中</w:t>
            </w:r>
            <w:r>
              <w:rPr>
                <w:color w:val="auto"/>
                <w:sz w:val="24"/>
                <w:highlight w:val="none"/>
              </w:rPr>
              <w:t>产生的废气处理方案合理可行。</w:t>
            </w:r>
          </w:p>
          <w:p w14:paraId="5FE26185">
            <w:pPr>
              <w:spacing w:line="360" w:lineRule="auto"/>
              <w:ind w:firstLine="480" w:firstLineChars="200"/>
              <w:rPr>
                <w:color w:val="auto"/>
                <w:sz w:val="24"/>
                <w:highlight w:val="none"/>
              </w:rPr>
            </w:pPr>
            <w:r>
              <w:rPr>
                <w:rFonts w:hint="eastAsia"/>
                <w:color w:val="auto"/>
                <w:sz w:val="24"/>
                <w:highlight w:val="none"/>
              </w:rPr>
              <w:t>1.3非正常工况分析</w:t>
            </w:r>
          </w:p>
          <w:p w14:paraId="546C78F1">
            <w:pPr>
              <w:spacing w:line="360" w:lineRule="auto"/>
              <w:ind w:firstLine="480" w:firstLineChars="200"/>
              <w:rPr>
                <w:color w:val="auto"/>
                <w:sz w:val="24"/>
                <w:highlight w:val="none"/>
              </w:rPr>
            </w:pPr>
            <w:r>
              <w:rPr>
                <w:rFonts w:hint="eastAsia"/>
                <w:color w:val="auto"/>
                <w:sz w:val="24"/>
                <w:highlight w:val="none"/>
              </w:rPr>
              <w:t>根据工程经验分析，设备检修、污染物排放控制措施达不到应有效率、工艺设备运转异常等情况下的污染排放归为非正常排放。结合建设单位的生产经验，项目可能发生的非正常工况主要为废气治理措施发生故障，导致废气非正常排放，主要为低氮燃烧器的故障</w:t>
            </w:r>
            <w:r>
              <w:rPr>
                <w:rFonts w:hint="eastAsia"/>
                <w:color w:val="auto"/>
                <w:sz w:val="24"/>
                <w:highlight w:val="none"/>
                <w:lang w:eastAsia="zh-CN"/>
              </w:rPr>
              <w:t>，</w:t>
            </w:r>
            <w:r>
              <w:rPr>
                <w:rFonts w:hint="eastAsia"/>
                <w:color w:val="auto"/>
                <w:sz w:val="24"/>
                <w:highlight w:val="none"/>
                <w:lang w:val="en-US" w:eastAsia="zh-CN"/>
              </w:rPr>
              <w:t>偶尔会发生布袋除尘器故障及脱硫系统故障</w:t>
            </w:r>
            <w:r>
              <w:rPr>
                <w:rFonts w:hint="eastAsia"/>
                <w:color w:val="auto"/>
                <w:sz w:val="24"/>
                <w:highlight w:val="none"/>
              </w:rPr>
              <w:t>。在非正常排放情况下，可通过在线监测装置及时发现，一旦发生故障，锅炉可立即停止运行，污染物非正常排放情况最大持续时间为半小时。项目非正常排放情况如下表4-2。</w:t>
            </w:r>
          </w:p>
          <w:p w14:paraId="2071427A">
            <w:pPr>
              <w:spacing w:line="360" w:lineRule="auto"/>
              <w:ind w:firstLine="422" w:firstLineChars="200"/>
              <w:jc w:val="center"/>
              <w:rPr>
                <w:b/>
                <w:bCs/>
                <w:color w:val="auto"/>
                <w:szCs w:val="21"/>
              </w:rPr>
            </w:pPr>
            <w:r>
              <w:rPr>
                <w:b/>
                <w:bCs/>
                <w:color w:val="auto"/>
                <w:szCs w:val="21"/>
                <w:highlight w:val="none"/>
              </w:rPr>
              <w:t>表4-</w:t>
            </w:r>
            <w:r>
              <w:rPr>
                <w:rFonts w:hint="eastAsia"/>
                <w:b/>
                <w:bCs/>
                <w:color w:val="auto"/>
                <w:szCs w:val="21"/>
                <w:highlight w:val="none"/>
              </w:rPr>
              <w:t>2项目非正常排放情况</w:t>
            </w:r>
            <w:r>
              <w:rPr>
                <w:rFonts w:hint="eastAsia"/>
                <w:b/>
                <w:bCs/>
                <w:color w:val="auto"/>
                <w:szCs w:val="21"/>
              </w:rPr>
              <w:t>一览表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1228"/>
              <w:gridCol w:w="733"/>
              <w:gridCol w:w="1209"/>
              <w:gridCol w:w="1018"/>
              <w:gridCol w:w="834"/>
              <w:gridCol w:w="2579"/>
            </w:tblGrid>
            <w:tr w14:paraId="53606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56" w:type="dxa"/>
                  <w:noWrap w:val="0"/>
                  <w:vAlign w:val="center"/>
                </w:tcPr>
                <w:p w14:paraId="5A70F452">
                  <w:pPr>
                    <w:jc w:val="center"/>
                    <w:rPr>
                      <w:color w:val="auto"/>
                      <w:szCs w:val="21"/>
                    </w:rPr>
                  </w:pPr>
                  <w:r>
                    <w:rPr>
                      <w:rFonts w:hint="eastAsia"/>
                      <w:color w:val="auto"/>
                      <w:szCs w:val="21"/>
                    </w:rPr>
                    <w:t>排气筒编号</w:t>
                  </w:r>
                </w:p>
              </w:tc>
              <w:tc>
                <w:tcPr>
                  <w:tcW w:w="1228" w:type="dxa"/>
                  <w:noWrap w:val="0"/>
                  <w:vAlign w:val="center"/>
                </w:tcPr>
                <w:p w14:paraId="251D7870">
                  <w:pPr>
                    <w:jc w:val="center"/>
                    <w:rPr>
                      <w:color w:val="auto"/>
                      <w:szCs w:val="21"/>
                    </w:rPr>
                  </w:pPr>
                  <w:r>
                    <w:rPr>
                      <w:rFonts w:hint="eastAsia"/>
                      <w:color w:val="auto"/>
                      <w:szCs w:val="21"/>
                    </w:rPr>
                    <w:t>非正常排放原因</w:t>
                  </w:r>
                </w:p>
              </w:tc>
              <w:tc>
                <w:tcPr>
                  <w:tcW w:w="733" w:type="dxa"/>
                  <w:noWrap w:val="0"/>
                  <w:vAlign w:val="center"/>
                </w:tcPr>
                <w:p w14:paraId="256B98D1">
                  <w:pPr>
                    <w:jc w:val="center"/>
                    <w:rPr>
                      <w:color w:val="auto"/>
                      <w:szCs w:val="21"/>
                    </w:rPr>
                  </w:pPr>
                  <w:r>
                    <w:rPr>
                      <w:rFonts w:hint="eastAsia"/>
                      <w:color w:val="auto"/>
                      <w:szCs w:val="21"/>
                    </w:rPr>
                    <w:t>污染物</w:t>
                  </w:r>
                </w:p>
              </w:tc>
              <w:tc>
                <w:tcPr>
                  <w:tcW w:w="1209" w:type="dxa"/>
                  <w:noWrap w:val="0"/>
                  <w:vAlign w:val="center"/>
                </w:tcPr>
                <w:p w14:paraId="7C9CFBEE">
                  <w:pPr>
                    <w:jc w:val="center"/>
                    <w:rPr>
                      <w:color w:val="auto"/>
                      <w:szCs w:val="21"/>
                    </w:rPr>
                  </w:pPr>
                  <w:r>
                    <w:rPr>
                      <w:rFonts w:hint="eastAsia"/>
                      <w:color w:val="auto"/>
                      <w:szCs w:val="21"/>
                    </w:rPr>
                    <w:t>排放浓度</w:t>
                  </w:r>
                  <w:r>
                    <w:rPr>
                      <w:rFonts w:hint="eastAsia"/>
                      <w:color w:val="auto"/>
                    </w:rPr>
                    <w:t>mg/m</w:t>
                  </w:r>
                  <w:r>
                    <w:rPr>
                      <w:rFonts w:hint="eastAsia"/>
                      <w:color w:val="auto"/>
                      <w:vertAlign w:val="superscript"/>
                    </w:rPr>
                    <w:t>3</w:t>
                  </w:r>
                </w:p>
              </w:tc>
              <w:tc>
                <w:tcPr>
                  <w:tcW w:w="1018" w:type="dxa"/>
                  <w:noWrap w:val="0"/>
                  <w:vAlign w:val="center"/>
                </w:tcPr>
                <w:p w14:paraId="51798174">
                  <w:pPr>
                    <w:jc w:val="center"/>
                    <w:rPr>
                      <w:color w:val="auto"/>
                      <w:szCs w:val="21"/>
                    </w:rPr>
                  </w:pPr>
                  <w:r>
                    <w:rPr>
                      <w:rFonts w:hint="eastAsia"/>
                      <w:color w:val="auto"/>
                      <w:szCs w:val="21"/>
                    </w:rPr>
                    <w:t>单次持续时间</w:t>
                  </w:r>
                </w:p>
              </w:tc>
              <w:tc>
                <w:tcPr>
                  <w:tcW w:w="834" w:type="dxa"/>
                  <w:noWrap w:val="0"/>
                  <w:vAlign w:val="center"/>
                </w:tcPr>
                <w:p w14:paraId="18952E88">
                  <w:pPr>
                    <w:jc w:val="center"/>
                    <w:rPr>
                      <w:color w:val="auto"/>
                      <w:szCs w:val="21"/>
                    </w:rPr>
                  </w:pPr>
                  <w:r>
                    <w:rPr>
                      <w:rFonts w:hint="eastAsia"/>
                      <w:color w:val="auto"/>
                      <w:szCs w:val="21"/>
                    </w:rPr>
                    <w:t>年发生频次</w:t>
                  </w:r>
                </w:p>
              </w:tc>
              <w:tc>
                <w:tcPr>
                  <w:tcW w:w="2579" w:type="dxa"/>
                  <w:noWrap w:val="0"/>
                  <w:vAlign w:val="center"/>
                </w:tcPr>
                <w:p w14:paraId="0610A4D9">
                  <w:pPr>
                    <w:jc w:val="center"/>
                    <w:rPr>
                      <w:color w:val="auto"/>
                      <w:szCs w:val="21"/>
                    </w:rPr>
                  </w:pPr>
                  <w:r>
                    <w:rPr>
                      <w:rFonts w:hint="eastAsia"/>
                      <w:color w:val="auto"/>
                      <w:szCs w:val="21"/>
                    </w:rPr>
                    <w:t>应对措施</w:t>
                  </w:r>
                </w:p>
              </w:tc>
            </w:tr>
            <w:tr w14:paraId="4D844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6" w:type="dxa"/>
                  <w:vMerge w:val="restart"/>
                  <w:noWrap w:val="0"/>
                  <w:vAlign w:val="center"/>
                </w:tcPr>
                <w:p w14:paraId="2C6E2B44">
                  <w:pPr>
                    <w:jc w:val="center"/>
                    <w:rPr>
                      <w:color w:val="auto"/>
                      <w:szCs w:val="21"/>
                    </w:rPr>
                  </w:pPr>
                  <w:r>
                    <w:rPr>
                      <w:rFonts w:hint="eastAsia"/>
                      <w:color w:val="auto"/>
                      <w:szCs w:val="21"/>
                    </w:rPr>
                    <w:t>DA001</w:t>
                  </w:r>
                </w:p>
              </w:tc>
              <w:tc>
                <w:tcPr>
                  <w:tcW w:w="1228" w:type="dxa"/>
                  <w:noWrap w:val="0"/>
                  <w:vAlign w:val="center"/>
                </w:tcPr>
                <w:p w14:paraId="49F7BE8F">
                  <w:pPr>
                    <w:jc w:val="center"/>
                    <w:rPr>
                      <w:color w:val="auto"/>
                      <w:szCs w:val="21"/>
                    </w:rPr>
                  </w:pPr>
                  <w:r>
                    <w:rPr>
                      <w:rFonts w:hint="eastAsia"/>
                      <w:color w:val="auto"/>
                      <w:szCs w:val="21"/>
                    </w:rPr>
                    <w:t>低氮燃烧器故障</w:t>
                  </w:r>
                </w:p>
              </w:tc>
              <w:tc>
                <w:tcPr>
                  <w:tcW w:w="733" w:type="dxa"/>
                  <w:noWrap w:val="0"/>
                  <w:vAlign w:val="center"/>
                </w:tcPr>
                <w:p w14:paraId="6AAF476E">
                  <w:pPr>
                    <w:jc w:val="center"/>
                    <w:rPr>
                      <w:color w:val="auto"/>
                      <w:szCs w:val="21"/>
                    </w:rPr>
                  </w:pPr>
                  <w:r>
                    <w:rPr>
                      <w:rFonts w:hint="eastAsia"/>
                      <w:color w:val="auto"/>
                      <w:szCs w:val="21"/>
                    </w:rPr>
                    <w:t>NOx</w:t>
                  </w:r>
                </w:p>
              </w:tc>
              <w:tc>
                <w:tcPr>
                  <w:tcW w:w="1209" w:type="dxa"/>
                  <w:noWrap w:val="0"/>
                  <w:vAlign w:val="center"/>
                </w:tcPr>
                <w:p w14:paraId="626B7D11">
                  <w:pPr>
                    <w:jc w:val="center"/>
                    <w:rPr>
                      <w:rFonts w:hint="default" w:eastAsia="宋体"/>
                      <w:color w:val="auto"/>
                      <w:szCs w:val="21"/>
                      <w:lang w:val="en-US" w:eastAsia="zh-CN"/>
                    </w:rPr>
                  </w:pPr>
                  <w:r>
                    <w:rPr>
                      <w:rFonts w:hint="eastAsia"/>
                      <w:color w:val="auto"/>
                      <w:szCs w:val="21"/>
                      <w:lang w:val="en-US" w:eastAsia="zh-CN"/>
                    </w:rPr>
                    <w:t>86</w:t>
                  </w:r>
                </w:p>
              </w:tc>
              <w:tc>
                <w:tcPr>
                  <w:tcW w:w="1018" w:type="dxa"/>
                  <w:noWrap w:val="0"/>
                  <w:vAlign w:val="center"/>
                </w:tcPr>
                <w:p w14:paraId="6660866E">
                  <w:pPr>
                    <w:jc w:val="center"/>
                    <w:rPr>
                      <w:color w:val="auto"/>
                      <w:szCs w:val="21"/>
                    </w:rPr>
                  </w:pPr>
                  <w:r>
                    <w:rPr>
                      <w:rFonts w:hint="eastAsia"/>
                      <w:color w:val="auto"/>
                      <w:szCs w:val="21"/>
                    </w:rPr>
                    <w:t>0.5h</w:t>
                  </w:r>
                </w:p>
              </w:tc>
              <w:tc>
                <w:tcPr>
                  <w:tcW w:w="834" w:type="dxa"/>
                  <w:noWrap w:val="0"/>
                  <w:vAlign w:val="center"/>
                </w:tcPr>
                <w:p w14:paraId="65637A34">
                  <w:pPr>
                    <w:jc w:val="center"/>
                    <w:rPr>
                      <w:color w:val="auto"/>
                      <w:szCs w:val="21"/>
                    </w:rPr>
                  </w:pPr>
                  <w:r>
                    <w:rPr>
                      <w:rFonts w:hint="eastAsia"/>
                      <w:color w:val="auto"/>
                      <w:szCs w:val="21"/>
                      <w:lang w:val="en-US" w:eastAsia="zh-CN"/>
                    </w:rPr>
                    <w:t>≤2</w:t>
                  </w:r>
                  <w:r>
                    <w:rPr>
                      <w:rFonts w:hint="eastAsia"/>
                      <w:color w:val="auto"/>
                      <w:szCs w:val="21"/>
                    </w:rPr>
                    <w:t>次/年</w:t>
                  </w:r>
                </w:p>
              </w:tc>
              <w:tc>
                <w:tcPr>
                  <w:tcW w:w="2579" w:type="dxa"/>
                  <w:vMerge w:val="restart"/>
                  <w:noWrap w:val="0"/>
                  <w:vAlign w:val="center"/>
                </w:tcPr>
                <w:p w14:paraId="2582297C">
                  <w:pPr>
                    <w:jc w:val="center"/>
                    <w:rPr>
                      <w:rFonts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kern w:val="2"/>
                      <w:sz w:val="21"/>
                      <w:szCs w:val="24"/>
                      <w:lang w:val="en-US" w:eastAsia="zh-CN" w:bidi="ar-SA"/>
                    </w:rPr>
                    <w:t>在发现故障后，如</w:t>
                  </w:r>
                  <w:r>
                    <w:rPr>
                      <w:rFonts w:hint="default" w:ascii="Times New Roman" w:hAnsi="Times New Roman" w:eastAsia="宋体" w:cs="Times New Roman"/>
                      <w:color w:val="auto"/>
                      <w:kern w:val="2"/>
                      <w:sz w:val="21"/>
                      <w:szCs w:val="24"/>
                      <w:lang w:val="en-US" w:eastAsia="zh-CN" w:bidi="ar-SA"/>
                    </w:rPr>
                    <w:t>10分钟内不能排除故障，应立即停止生产进行检修</w:t>
                  </w:r>
                  <w:r>
                    <w:rPr>
                      <w:rFonts w:hint="default" w:ascii="Times New Roman" w:hAnsi="Times New Roman" w:eastAsia="宋体" w:cs="Times New Roman"/>
                      <w:color w:val="auto"/>
                      <w:kern w:val="2"/>
                      <w:sz w:val="21"/>
                      <w:szCs w:val="24"/>
                      <w:lang w:val="en-US" w:eastAsia="zh-CN" w:bidi="ar-SA"/>
                    </w:rPr>
                    <w:fldChar w:fldCharType="begin"/>
                  </w:r>
                  <w:r>
                    <w:rPr>
                      <w:rFonts w:hint="default" w:ascii="Times New Roman" w:hAnsi="Times New Roman" w:eastAsia="宋体" w:cs="Times New Roman"/>
                      <w:color w:val="auto"/>
                      <w:kern w:val="2"/>
                      <w:sz w:val="21"/>
                      <w:szCs w:val="24"/>
                      <w:lang w:val="en-US" w:eastAsia="zh-CN" w:bidi="ar-SA"/>
                    </w:rPr>
                    <w:instrText xml:space="preserve"> HYPERLINK "http://www.dean.gov.cn/zw/03/06/sthjj_183501/fdzdgknr_183504/zxhjggk_183518/xzzf_183519/xzxk_191521/202407/P020240704516296957438.pdf" \l "13#9" \t "https://chat.deepseek.com/a/chat/s/_blank" </w:instrText>
                  </w:r>
                  <w:r>
                    <w:rPr>
                      <w:rFonts w:hint="default" w:ascii="Times New Roman" w:hAnsi="Times New Roman" w:eastAsia="宋体" w:cs="Times New Roman"/>
                      <w:color w:val="auto"/>
                      <w:kern w:val="2"/>
                      <w:sz w:val="21"/>
                      <w:szCs w:val="24"/>
                      <w:lang w:val="en-US" w:eastAsia="zh-CN" w:bidi="ar-SA"/>
                    </w:rPr>
                    <w:fldChar w:fldCharType="separate"/>
                  </w:r>
                  <w:r>
                    <w:rPr>
                      <w:rFonts w:hint="default" w:ascii="Times New Roman" w:hAnsi="Times New Roman" w:eastAsia="宋体" w:cs="Times New Roman"/>
                      <w:color w:val="auto"/>
                      <w:kern w:val="2"/>
                      <w:sz w:val="21"/>
                      <w:szCs w:val="24"/>
                      <w:lang w:val="en-US" w:eastAsia="zh-CN" w:bidi="ar-SA"/>
                    </w:rPr>
                    <w:fldChar w:fldCharType="end"/>
                  </w:r>
                  <w:r>
                    <w:rPr>
                      <w:rFonts w:hint="default" w:ascii="Times New Roman" w:hAnsi="Times New Roman" w:eastAsia="宋体" w:cs="Times New Roman"/>
                      <w:color w:val="auto"/>
                      <w:kern w:val="2"/>
                      <w:sz w:val="21"/>
                      <w:szCs w:val="24"/>
                      <w:lang w:val="en-US" w:eastAsia="zh-CN" w:bidi="ar-SA"/>
                    </w:rPr>
                    <w:t>。要求在24小时内完成故障排除并恢复治理设施正常运行</w:t>
                  </w:r>
                  <w:r>
                    <w:rPr>
                      <w:rFonts w:hint="default" w:ascii="Times New Roman" w:hAnsi="Times New Roman" w:eastAsia="宋体" w:cs="Times New Roman"/>
                      <w:color w:val="auto"/>
                      <w:kern w:val="2"/>
                      <w:sz w:val="21"/>
                      <w:szCs w:val="24"/>
                      <w:lang w:val="en-US" w:eastAsia="zh-CN" w:bidi="ar-SA"/>
                    </w:rPr>
                    <w:fldChar w:fldCharType="begin"/>
                  </w:r>
                  <w:r>
                    <w:rPr>
                      <w:rFonts w:hint="default" w:ascii="Times New Roman" w:hAnsi="Times New Roman" w:eastAsia="宋体" w:cs="Times New Roman"/>
                      <w:color w:val="auto"/>
                      <w:kern w:val="2"/>
                      <w:sz w:val="21"/>
                      <w:szCs w:val="24"/>
                      <w:lang w:val="en-US" w:eastAsia="zh-CN" w:bidi="ar-SA"/>
                    </w:rPr>
                    <w:instrText xml:space="preserve"> HYPERLINK "https://sthjt.sc.gov.cn/sthjt/c103939/2025/10/29/8d20b65845e84b7ba5ff16eb1e592146/files/%e5%85%ac%e7%a4%ba%e6%9c%ac-20251029170430736.pdf" \l "126#27" \t "https://chat.deepseek.com/a/chat/s/_blank" </w:instrText>
                  </w:r>
                  <w:r>
                    <w:rPr>
                      <w:rFonts w:hint="default" w:ascii="Times New Roman" w:hAnsi="Times New Roman" w:eastAsia="宋体" w:cs="Times New Roman"/>
                      <w:color w:val="auto"/>
                      <w:kern w:val="2"/>
                      <w:sz w:val="21"/>
                      <w:szCs w:val="24"/>
                      <w:lang w:val="en-US" w:eastAsia="zh-CN" w:bidi="ar-SA"/>
                    </w:rPr>
                    <w:fldChar w:fldCharType="separate"/>
                  </w:r>
                  <w:r>
                    <w:rPr>
                      <w:rFonts w:hint="default" w:ascii="Times New Roman" w:hAnsi="Times New Roman" w:eastAsia="宋体" w:cs="Times New Roman"/>
                      <w:color w:val="auto"/>
                      <w:kern w:val="2"/>
                      <w:sz w:val="21"/>
                      <w:szCs w:val="24"/>
                      <w:lang w:val="en-US" w:eastAsia="zh-CN" w:bidi="ar-SA"/>
                    </w:rPr>
                    <w:fldChar w:fldCharType="end"/>
                  </w:r>
                  <w:r>
                    <w:rPr>
                      <w:rFonts w:hint="default" w:ascii="Times New Roman" w:hAnsi="Times New Roman" w:eastAsia="宋体" w:cs="Times New Roman"/>
                      <w:color w:val="auto"/>
                      <w:kern w:val="2"/>
                      <w:sz w:val="21"/>
                      <w:szCs w:val="24"/>
                      <w:lang w:val="en-US" w:eastAsia="zh-CN" w:bidi="ar-SA"/>
                    </w:rPr>
                    <w:t>。</w:t>
                  </w:r>
                </w:p>
              </w:tc>
            </w:tr>
            <w:tr w14:paraId="6C600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856" w:type="dxa"/>
                  <w:vMerge w:val="continue"/>
                  <w:noWrap w:val="0"/>
                  <w:vAlign w:val="center"/>
                </w:tcPr>
                <w:p w14:paraId="5B3EDBC7">
                  <w:pPr>
                    <w:jc w:val="center"/>
                    <w:rPr>
                      <w:rFonts w:hint="eastAsia"/>
                      <w:color w:val="auto"/>
                      <w:szCs w:val="21"/>
                    </w:rPr>
                  </w:pPr>
                </w:p>
              </w:tc>
              <w:tc>
                <w:tcPr>
                  <w:tcW w:w="1228" w:type="dxa"/>
                  <w:noWrap w:val="0"/>
                  <w:vAlign w:val="center"/>
                </w:tcPr>
                <w:p w14:paraId="019547D3">
                  <w:pPr>
                    <w:jc w:val="center"/>
                    <w:rPr>
                      <w:rFonts w:hint="default" w:eastAsia="宋体"/>
                      <w:color w:val="auto"/>
                      <w:szCs w:val="21"/>
                      <w:lang w:val="en-US" w:eastAsia="zh-CN"/>
                    </w:rPr>
                  </w:pPr>
                  <w:r>
                    <w:rPr>
                      <w:rFonts w:hint="eastAsia"/>
                      <w:color w:val="auto"/>
                      <w:szCs w:val="21"/>
                      <w:lang w:val="en-US" w:eastAsia="zh-CN"/>
                    </w:rPr>
                    <w:t>布袋除尘器故障</w:t>
                  </w:r>
                </w:p>
              </w:tc>
              <w:tc>
                <w:tcPr>
                  <w:tcW w:w="733" w:type="dxa"/>
                  <w:noWrap w:val="0"/>
                  <w:vAlign w:val="center"/>
                </w:tcPr>
                <w:p w14:paraId="7119BD71">
                  <w:pPr>
                    <w:jc w:val="center"/>
                    <w:rPr>
                      <w:rFonts w:hint="default" w:eastAsia="宋体"/>
                      <w:color w:val="auto"/>
                      <w:szCs w:val="21"/>
                      <w:lang w:val="en-US" w:eastAsia="zh-CN"/>
                    </w:rPr>
                  </w:pPr>
                  <w:r>
                    <w:rPr>
                      <w:rFonts w:hint="eastAsia"/>
                      <w:color w:val="auto"/>
                      <w:szCs w:val="21"/>
                      <w:lang w:val="en-US" w:eastAsia="zh-CN"/>
                    </w:rPr>
                    <w:t>颗粒物</w:t>
                  </w:r>
                </w:p>
              </w:tc>
              <w:tc>
                <w:tcPr>
                  <w:tcW w:w="1209" w:type="dxa"/>
                  <w:noWrap w:val="0"/>
                  <w:vAlign w:val="center"/>
                </w:tcPr>
                <w:p w14:paraId="6F785E95">
                  <w:pPr>
                    <w:jc w:val="center"/>
                    <w:rPr>
                      <w:rFonts w:hint="default" w:eastAsia="宋体"/>
                      <w:color w:val="auto"/>
                      <w:szCs w:val="21"/>
                      <w:lang w:val="en-US" w:eastAsia="zh-CN"/>
                    </w:rPr>
                  </w:pPr>
                  <w:r>
                    <w:rPr>
                      <w:rFonts w:hint="eastAsia"/>
                      <w:color w:val="auto"/>
                      <w:szCs w:val="21"/>
                      <w:lang w:val="en-US" w:eastAsia="zh-CN"/>
                    </w:rPr>
                    <w:t>26.9</w:t>
                  </w:r>
                </w:p>
              </w:tc>
              <w:tc>
                <w:tcPr>
                  <w:tcW w:w="1018" w:type="dxa"/>
                  <w:noWrap w:val="0"/>
                  <w:vAlign w:val="center"/>
                </w:tcPr>
                <w:p w14:paraId="50AE5085">
                  <w:pPr>
                    <w:jc w:val="center"/>
                    <w:rPr>
                      <w:rFonts w:hint="eastAsia"/>
                      <w:color w:val="auto"/>
                      <w:szCs w:val="21"/>
                    </w:rPr>
                  </w:pPr>
                  <w:r>
                    <w:rPr>
                      <w:rFonts w:hint="eastAsia"/>
                      <w:color w:val="auto"/>
                      <w:szCs w:val="21"/>
                    </w:rPr>
                    <w:t>0.5h</w:t>
                  </w:r>
                </w:p>
              </w:tc>
              <w:tc>
                <w:tcPr>
                  <w:tcW w:w="834" w:type="dxa"/>
                  <w:noWrap w:val="0"/>
                  <w:vAlign w:val="center"/>
                </w:tcPr>
                <w:p w14:paraId="545325F1">
                  <w:pPr>
                    <w:jc w:val="center"/>
                    <w:rPr>
                      <w:rFonts w:hint="eastAsia"/>
                      <w:color w:val="auto"/>
                      <w:szCs w:val="21"/>
                    </w:rPr>
                  </w:pPr>
                  <w:r>
                    <w:rPr>
                      <w:rFonts w:hint="eastAsia"/>
                      <w:color w:val="auto"/>
                      <w:szCs w:val="21"/>
                      <w:lang w:val="en-US" w:eastAsia="zh-CN"/>
                    </w:rPr>
                    <w:t>≤2</w:t>
                  </w:r>
                  <w:r>
                    <w:rPr>
                      <w:rFonts w:hint="eastAsia"/>
                      <w:color w:val="auto"/>
                      <w:szCs w:val="21"/>
                    </w:rPr>
                    <w:t>次/年</w:t>
                  </w:r>
                </w:p>
              </w:tc>
              <w:tc>
                <w:tcPr>
                  <w:tcW w:w="2579" w:type="dxa"/>
                  <w:vMerge w:val="continue"/>
                  <w:noWrap w:val="0"/>
                  <w:vAlign w:val="center"/>
                </w:tcPr>
                <w:p w14:paraId="238015FA">
                  <w:pPr>
                    <w:jc w:val="center"/>
                    <w:rPr>
                      <w:color w:val="auto"/>
                    </w:rPr>
                  </w:pPr>
                </w:p>
              </w:tc>
            </w:tr>
            <w:tr w14:paraId="36662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856" w:type="dxa"/>
                  <w:vMerge w:val="continue"/>
                  <w:noWrap w:val="0"/>
                  <w:vAlign w:val="center"/>
                </w:tcPr>
                <w:p w14:paraId="32936431">
                  <w:pPr>
                    <w:jc w:val="center"/>
                    <w:rPr>
                      <w:rFonts w:hint="eastAsia"/>
                      <w:color w:val="auto"/>
                      <w:szCs w:val="21"/>
                    </w:rPr>
                  </w:pPr>
                </w:p>
              </w:tc>
              <w:tc>
                <w:tcPr>
                  <w:tcW w:w="1228" w:type="dxa"/>
                  <w:noWrap w:val="0"/>
                  <w:vAlign w:val="center"/>
                </w:tcPr>
                <w:p w14:paraId="4D66D8AA">
                  <w:pPr>
                    <w:jc w:val="center"/>
                    <w:rPr>
                      <w:rFonts w:hint="default"/>
                      <w:color w:val="auto"/>
                      <w:szCs w:val="21"/>
                      <w:lang w:val="en-US" w:eastAsia="zh-CN"/>
                    </w:rPr>
                  </w:pPr>
                  <w:r>
                    <w:rPr>
                      <w:rFonts w:hint="eastAsia"/>
                      <w:color w:val="auto"/>
                      <w:szCs w:val="21"/>
                      <w:lang w:val="en-US" w:eastAsia="zh-CN"/>
                    </w:rPr>
                    <w:t>脱硫系统故障</w:t>
                  </w:r>
                </w:p>
              </w:tc>
              <w:tc>
                <w:tcPr>
                  <w:tcW w:w="733" w:type="dxa"/>
                  <w:noWrap w:val="0"/>
                  <w:vAlign w:val="center"/>
                </w:tcPr>
                <w:p w14:paraId="6D4658A4">
                  <w:pPr>
                    <w:jc w:val="center"/>
                    <w:rPr>
                      <w:rFonts w:hint="default"/>
                      <w:color w:val="auto"/>
                      <w:szCs w:val="21"/>
                      <w:lang w:val="en-US" w:eastAsia="zh-CN"/>
                    </w:rPr>
                  </w:pPr>
                  <w:r>
                    <w:rPr>
                      <w:rFonts w:hint="eastAsia"/>
                      <w:color w:val="auto"/>
                      <w:szCs w:val="21"/>
                      <w:lang w:val="en-US" w:eastAsia="zh-CN"/>
                    </w:rPr>
                    <w:t>SO</w:t>
                  </w:r>
                  <w:r>
                    <w:rPr>
                      <w:rFonts w:hint="eastAsia"/>
                      <w:color w:val="auto"/>
                      <w:szCs w:val="21"/>
                      <w:vertAlign w:val="subscript"/>
                      <w:lang w:val="en-US" w:eastAsia="zh-CN"/>
                    </w:rPr>
                    <w:t>2</w:t>
                  </w:r>
                </w:p>
              </w:tc>
              <w:tc>
                <w:tcPr>
                  <w:tcW w:w="1209" w:type="dxa"/>
                  <w:noWrap w:val="0"/>
                  <w:vAlign w:val="center"/>
                </w:tcPr>
                <w:p w14:paraId="77845460">
                  <w:pPr>
                    <w:jc w:val="center"/>
                    <w:rPr>
                      <w:rFonts w:hint="default"/>
                      <w:color w:val="auto"/>
                      <w:szCs w:val="21"/>
                      <w:lang w:val="en-US" w:eastAsia="zh-CN"/>
                    </w:rPr>
                  </w:pPr>
                  <w:r>
                    <w:rPr>
                      <w:rFonts w:hint="eastAsia"/>
                      <w:color w:val="auto"/>
                      <w:szCs w:val="21"/>
                      <w:lang w:val="en-US" w:eastAsia="zh-CN"/>
                    </w:rPr>
                    <w:t>90</w:t>
                  </w:r>
                </w:p>
              </w:tc>
              <w:tc>
                <w:tcPr>
                  <w:tcW w:w="1018" w:type="dxa"/>
                  <w:shd w:val="clear" w:color="auto" w:fill="auto"/>
                  <w:noWrap w:val="0"/>
                  <w:vAlign w:val="center"/>
                </w:tcPr>
                <w:p w14:paraId="358794DF">
                  <w:pPr>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0.5h</w:t>
                  </w:r>
                </w:p>
              </w:tc>
              <w:tc>
                <w:tcPr>
                  <w:tcW w:w="834" w:type="dxa"/>
                  <w:shd w:val="clear" w:color="auto" w:fill="auto"/>
                  <w:noWrap w:val="0"/>
                  <w:vAlign w:val="center"/>
                </w:tcPr>
                <w:p w14:paraId="4B6ECF9F">
                  <w:pPr>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≤2</w:t>
                  </w:r>
                  <w:r>
                    <w:rPr>
                      <w:rFonts w:hint="eastAsia"/>
                      <w:color w:val="auto"/>
                      <w:szCs w:val="21"/>
                    </w:rPr>
                    <w:t>次/年</w:t>
                  </w:r>
                </w:p>
              </w:tc>
              <w:tc>
                <w:tcPr>
                  <w:tcW w:w="2579" w:type="dxa"/>
                  <w:vMerge w:val="continue"/>
                  <w:shd w:val="clear" w:color="auto" w:fill="auto"/>
                  <w:noWrap w:val="0"/>
                  <w:vAlign w:val="center"/>
                </w:tcPr>
                <w:p w14:paraId="70753323">
                  <w:pPr>
                    <w:jc w:val="center"/>
                    <w:rPr>
                      <w:rFonts w:ascii="Times New Roman" w:hAnsi="Times New Roman" w:eastAsia="宋体" w:cs="Times New Roman"/>
                      <w:color w:val="auto"/>
                      <w:kern w:val="2"/>
                      <w:sz w:val="21"/>
                      <w:szCs w:val="24"/>
                      <w:lang w:val="en-US" w:eastAsia="zh-CN" w:bidi="ar-SA"/>
                    </w:rPr>
                  </w:pPr>
                </w:p>
              </w:tc>
            </w:tr>
          </w:tbl>
          <w:p w14:paraId="5CE8C7D0">
            <w:pPr>
              <w:spacing w:line="360" w:lineRule="auto"/>
              <w:ind w:firstLine="420" w:firstLineChars="200"/>
              <w:jc w:val="center"/>
              <w:rPr>
                <w:color w:val="auto"/>
                <w:szCs w:val="21"/>
              </w:rPr>
            </w:pPr>
          </w:p>
          <w:p w14:paraId="35F73AA2">
            <w:pPr>
              <w:spacing w:line="360" w:lineRule="auto"/>
              <w:ind w:firstLine="480" w:firstLineChars="200"/>
              <w:rPr>
                <w:color w:val="auto"/>
                <w:sz w:val="24"/>
              </w:rPr>
            </w:pPr>
            <w:r>
              <w:rPr>
                <w:rFonts w:hint="eastAsia"/>
                <w:color w:val="auto"/>
                <w:sz w:val="24"/>
              </w:rPr>
              <w:t>由上表可知，该项目非正常工况下，排放口浓度均不满足排放要求。因此项目在运营过程中，要加强环保设备的维护、保养，减少非正常工况的发生。一旦发生，立即停工停产，进行维修。项目非正常工况持续时间较短，对环境的影响较小。</w:t>
            </w:r>
          </w:p>
          <w:p w14:paraId="28E40091">
            <w:pPr>
              <w:spacing w:line="360" w:lineRule="auto"/>
              <w:ind w:firstLine="480" w:firstLineChars="200"/>
              <w:rPr>
                <w:color w:val="auto"/>
                <w:sz w:val="24"/>
              </w:rPr>
            </w:pPr>
            <w:r>
              <w:rPr>
                <w:color w:val="auto"/>
                <w:sz w:val="24"/>
              </w:rPr>
              <w:t>1.</w:t>
            </w:r>
            <w:r>
              <w:rPr>
                <w:rFonts w:hint="eastAsia"/>
                <w:color w:val="auto"/>
                <w:sz w:val="24"/>
              </w:rPr>
              <w:t>4</w:t>
            </w:r>
            <w:r>
              <w:rPr>
                <w:color w:val="auto"/>
                <w:sz w:val="24"/>
              </w:rPr>
              <w:t>监测计划</w:t>
            </w:r>
          </w:p>
          <w:p w14:paraId="6CD713B5">
            <w:pPr>
              <w:spacing w:line="360" w:lineRule="auto"/>
              <w:ind w:firstLine="480" w:firstLineChars="200"/>
              <w:rPr>
                <w:color w:val="auto"/>
                <w:sz w:val="24"/>
              </w:rPr>
            </w:pPr>
            <w:r>
              <w:rPr>
                <w:color w:val="auto"/>
                <w:sz w:val="24"/>
              </w:rPr>
              <w:t>项目废气排放口的监测要求应根据《</w:t>
            </w:r>
            <w:r>
              <w:rPr>
                <w:rFonts w:hint="eastAsia"/>
                <w:color w:val="auto"/>
                <w:sz w:val="24"/>
                <w:lang w:eastAsia="zh-CN"/>
              </w:rPr>
              <w:t>排污单位自行监测技术指南 火力发电及锅炉</w:t>
            </w:r>
            <w:r>
              <w:rPr>
                <w:color w:val="auto"/>
                <w:sz w:val="24"/>
              </w:rPr>
              <w:t>》（</w:t>
            </w:r>
            <w:r>
              <w:rPr>
                <w:rFonts w:hint="eastAsia"/>
                <w:color w:val="auto"/>
                <w:sz w:val="24"/>
                <w:lang w:eastAsia="zh-CN"/>
              </w:rPr>
              <w:t>HJ820-2017</w:t>
            </w:r>
            <w:r>
              <w:rPr>
                <w:color w:val="auto"/>
                <w:sz w:val="24"/>
              </w:rPr>
              <w:t>）中要求制定。具体见表4-3。</w:t>
            </w:r>
          </w:p>
          <w:p w14:paraId="26AFDC43">
            <w:pPr>
              <w:spacing w:line="360" w:lineRule="auto"/>
              <w:ind w:firstLine="422" w:firstLineChars="200"/>
              <w:jc w:val="center"/>
              <w:rPr>
                <w:b/>
                <w:bCs/>
                <w:color w:val="auto"/>
                <w:szCs w:val="21"/>
              </w:rPr>
            </w:pPr>
            <w:r>
              <w:rPr>
                <w:b/>
                <w:bCs/>
                <w:color w:val="auto"/>
                <w:szCs w:val="21"/>
              </w:rPr>
              <w:t>表4-3废气监测计划表</w:t>
            </w:r>
          </w:p>
          <w:tbl>
            <w:tblPr>
              <w:tblStyle w:val="54"/>
              <w:tblW w:w="4995"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270"/>
              <w:gridCol w:w="3092"/>
              <w:gridCol w:w="3092"/>
            </w:tblGrid>
            <w:tr w14:paraId="7A25AB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343" w:type="pct"/>
                  <w:noWrap w:val="0"/>
                  <w:vAlign w:val="top"/>
                </w:tcPr>
                <w:p w14:paraId="1AA42286">
                  <w:pPr>
                    <w:jc w:val="center"/>
                    <w:rPr>
                      <w:color w:val="auto"/>
                      <w:szCs w:val="21"/>
                    </w:rPr>
                  </w:pPr>
                  <w:r>
                    <w:rPr>
                      <w:color w:val="auto"/>
                      <w:szCs w:val="21"/>
                    </w:rPr>
                    <w:t>监测点位</w:t>
                  </w:r>
                </w:p>
              </w:tc>
              <w:tc>
                <w:tcPr>
                  <w:tcW w:w="1828" w:type="pct"/>
                  <w:noWrap w:val="0"/>
                  <w:vAlign w:val="top"/>
                </w:tcPr>
                <w:p w14:paraId="4AAF740A">
                  <w:pPr>
                    <w:jc w:val="center"/>
                    <w:rPr>
                      <w:color w:val="auto"/>
                      <w:szCs w:val="21"/>
                    </w:rPr>
                  </w:pPr>
                  <w:r>
                    <w:rPr>
                      <w:color w:val="auto"/>
                      <w:szCs w:val="21"/>
                    </w:rPr>
                    <w:t>监测指标</w:t>
                  </w:r>
                </w:p>
              </w:tc>
              <w:tc>
                <w:tcPr>
                  <w:tcW w:w="1828" w:type="pct"/>
                  <w:noWrap w:val="0"/>
                  <w:vAlign w:val="top"/>
                </w:tcPr>
                <w:p w14:paraId="368182DE">
                  <w:pPr>
                    <w:jc w:val="center"/>
                    <w:rPr>
                      <w:color w:val="auto"/>
                      <w:szCs w:val="21"/>
                    </w:rPr>
                  </w:pPr>
                  <w:r>
                    <w:rPr>
                      <w:color w:val="auto"/>
                      <w:szCs w:val="21"/>
                    </w:rPr>
                    <w:t>监测频次</w:t>
                  </w:r>
                </w:p>
              </w:tc>
            </w:tr>
            <w:tr w14:paraId="1212FE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1343" w:type="pct"/>
                  <w:vMerge w:val="restart"/>
                  <w:noWrap w:val="0"/>
                  <w:vAlign w:val="center"/>
                </w:tcPr>
                <w:p w14:paraId="2B5B0FA7">
                  <w:pPr>
                    <w:jc w:val="center"/>
                    <w:rPr>
                      <w:color w:val="auto"/>
                      <w:szCs w:val="21"/>
                    </w:rPr>
                  </w:pPr>
                  <w:r>
                    <w:rPr>
                      <w:color w:val="auto"/>
                      <w:szCs w:val="21"/>
                    </w:rPr>
                    <w:t>DA001</w:t>
                  </w:r>
                </w:p>
              </w:tc>
              <w:tc>
                <w:tcPr>
                  <w:tcW w:w="1828" w:type="pct"/>
                  <w:noWrap w:val="0"/>
                  <w:vAlign w:val="top"/>
                </w:tcPr>
                <w:p w14:paraId="4382AA90">
                  <w:pPr>
                    <w:jc w:val="center"/>
                    <w:rPr>
                      <w:color w:val="auto"/>
                      <w:szCs w:val="21"/>
                    </w:rPr>
                  </w:pPr>
                  <w:r>
                    <w:rPr>
                      <w:rFonts w:hint="eastAsia"/>
                      <w:color w:val="auto"/>
                      <w:szCs w:val="21"/>
                    </w:rPr>
                    <w:t>林格曼黑度</w:t>
                  </w:r>
                </w:p>
              </w:tc>
              <w:tc>
                <w:tcPr>
                  <w:tcW w:w="1828" w:type="pct"/>
                  <w:noWrap w:val="0"/>
                  <w:vAlign w:val="top"/>
                </w:tcPr>
                <w:p w14:paraId="2D8DF71D">
                  <w:pPr>
                    <w:jc w:val="center"/>
                    <w:rPr>
                      <w:color w:val="auto"/>
                      <w:szCs w:val="21"/>
                    </w:rPr>
                  </w:pPr>
                  <w:r>
                    <w:rPr>
                      <w:rFonts w:hint="eastAsia"/>
                      <w:color w:val="auto"/>
                      <w:szCs w:val="21"/>
                    </w:rPr>
                    <w:t>1次/季度</w:t>
                  </w:r>
                </w:p>
              </w:tc>
            </w:tr>
            <w:tr w14:paraId="75675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343" w:type="pct"/>
                  <w:vMerge w:val="continue"/>
                  <w:noWrap w:val="0"/>
                  <w:vAlign w:val="top"/>
                </w:tcPr>
                <w:p w14:paraId="3547944A">
                  <w:pPr>
                    <w:jc w:val="center"/>
                    <w:rPr>
                      <w:color w:val="auto"/>
                      <w:szCs w:val="21"/>
                    </w:rPr>
                  </w:pPr>
                </w:p>
              </w:tc>
              <w:tc>
                <w:tcPr>
                  <w:tcW w:w="1828" w:type="pct"/>
                  <w:noWrap w:val="0"/>
                  <w:vAlign w:val="top"/>
                </w:tcPr>
                <w:p w14:paraId="57F46726">
                  <w:pPr>
                    <w:jc w:val="center"/>
                    <w:rPr>
                      <w:color w:val="auto"/>
                      <w:szCs w:val="21"/>
                    </w:rPr>
                  </w:pPr>
                  <w:r>
                    <w:rPr>
                      <w:color w:val="auto"/>
                      <w:szCs w:val="21"/>
                    </w:rPr>
                    <w:t>颗粒物</w:t>
                  </w:r>
                  <w:r>
                    <w:rPr>
                      <w:rFonts w:hint="eastAsia"/>
                      <w:color w:val="auto"/>
                      <w:szCs w:val="21"/>
                    </w:rPr>
                    <w:t>、SO</w:t>
                  </w:r>
                  <w:r>
                    <w:rPr>
                      <w:rFonts w:hint="eastAsia"/>
                      <w:color w:val="auto"/>
                      <w:szCs w:val="21"/>
                      <w:vertAlign w:val="subscript"/>
                    </w:rPr>
                    <w:t>2</w:t>
                  </w:r>
                  <w:r>
                    <w:rPr>
                      <w:rFonts w:hint="eastAsia"/>
                      <w:color w:val="auto"/>
                      <w:szCs w:val="21"/>
                    </w:rPr>
                    <w:t>、NOx</w:t>
                  </w:r>
                </w:p>
              </w:tc>
              <w:tc>
                <w:tcPr>
                  <w:tcW w:w="1828" w:type="pct"/>
                  <w:noWrap w:val="0"/>
                  <w:vAlign w:val="top"/>
                </w:tcPr>
                <w:p w14:paraId="74FB01F2">
                  <w:pPr>
                    <w:jc w:val="center"/>
                    <w:rPr>
                      <w:color w:val="auto"/>
                      <w:szCs w:val="21"/>
                    </w:rPr>
                  </w:pPr>
                  <w:r>
                    <w:rPr>
                      <w:rFonts w:hint="eastAsia"/>
                      <w:color w:val="auto"/>
                      <w:szCs w:val="21"/>
                    </w:rPr>
                    <w:t>自动监测</w:t>
                  </w:r>
                </w:p>
              </w:tc>
            </w:tr>
          </w:tbl>
          <w:p w14:paraId="02BB4A72">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1.5总量置换方案</w:t>
            </w:r>
          </w:p>
          <w:p w14:paraId="2F0AC5EC">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本项目污染物排放量为</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颗粒物2.324吨/年（小于3吨/年）、二氧化硫16.265吨/年、氮氧化物23.235吨/年。</w:t>
            </w:r>
          </w:p>
          <w:p w14:paraId="2427D459">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由于壶关县2025年环境空气质量达到国家二级空气质量标准，本项目需置换：二氧化硫16.265吨/年、氮氧化物23.235吨/年。</w:t>
            </w:r>
          </w:p>
          <w:p w14:paraId="3A840538">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根据金烨钢铁集团有限公司《排污许可证》中原高炉煤气自备电厂许可排放量氮氧化物14.8478吨/年，全部用于此项目。</w:t>
            </w:r>
          </w:p>
          <w:p w14:paraId="6D55BC05">
            <w:pPr>
              <w:spacing w:line="360" w:lineRule="auto"/>
              <w:ind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金烨钢铁集团有限公司关停8m</w:t>
            </w:r>
            <w:r>
              <w:rPr>
                <w:rFonts w:hint="eastAsia" w:ascii="Times New Roman" w:hAnsi="Times New Roman" w:eastAsia="宋体" w:cs="Times New Roman"/>
                <w:color w:val="auto"/>
                <w:sz w:val="24"/>
                <w:vertAlign w:val="superscript"/>
                <w:lang w:val="en-US" w:eastAsia="zh-CN"/>
              </w:rPr>
              <w:t>2</w:t>
            </w:r>
            <w:r>
              <w:rPr>
                <w:rFonts w:hint="eastAsia" w:ascii="Times New Roman" w:hAnsi="Times New Roman" w:eastAsia="宋体" w:cs="Times New Roman"/>
                <w:color w:val="auto"/>
                <w:sz w:val="24"/>
                <w:lang w:val="en-US" w:eastAsia="zh-CN"/>
              </w:rPr>
              <w:t>球团竖炉，污染物排放量为颗粒物55.29吨/年（粉尘34.62吨/年、烟尘20.67吨/年），二氧化硫165.42吨/年，氮氧化物58.75吨/年。剩余颗粒物18.93吨/年，二氧化硫146.14吨/年，氮氧化物9.79吨/年，其中二氧化硫16.265吨/年、氮氧化物8.3872吨/年可用于此项目总量置换。</w:t>
            </w:r>
          </w:p>
          <w:p w14:paraId="0EEE5A8D">
            <w:pPr>
              <w:spacing w:line="360" w:lineRule="auto"/>
              <w:ind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置换源及置换量见下表。</w:t>
            </w:r>
          </w:p>
          <w:p w14:paraId="6852C441">
            <w:pPr>
              <w:spacing w:line="360" w:lineRule="auto"/>
              <w:ind w:firstLine="422" w:firstLineChars="200"/>
              <w:jc w:val="center"/>
              <w:rPr>
                <w:rFonts w:hint="eastAsia"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表4-4 污染物置换源及置换量一览表 单位：t/a</w:t>
            </w:r>
          </w:p>
          <w:tbl>
            <w:tblPr>
              <w:tblStyle w:val="2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4570"/>
              <w:gridCol w:w="1498"/>
              <w:gridCol w:w="1502"/>
            </w:tblGrid>
            <w:tr w14:paraId="48F5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5" w:type="pct"/>
                  <w:gridSpan w:val="2"/>
                  <w:vMerge w:val="restart"/>
                  <w:noWrap w:val="0"/>
                  <w:vAlign w:val="center"/>
                </w:tcPr>
                <w:p w14:paraId="1C0A91E9">
                  <w:pPr>
                    <w:pStyle w:val="9"/>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仿宋_GB2312" w:cs="Times New Roman"/>
                      <w:sz w:val="24"/>
                      <w:szCs w:val="36"/>
                      <w:lang w:val="en-US" w:eastAsia="zh-CN"/>
                    </w:rPr>
                  </w:pPr>
                  <w:r>
                    <w:rPr>
                      <w:rFonts w:hint="default" w:ascii="Times New Roman" w:hAnsi="Times New Roman" w:eastAsia="仿宋_GB2312" w:cs="Times New Roman"/>
                      <w:sz w:val="24"/>
                      <w:szCs w:val="36"/>
                      <w:vertAlign w:val="baseline"/>
                      <w:lang w:val="en-US" w:eastAsia="zh-CN"/>
                    </w:rPr>
                    <w:t>本项目所需</w:t>
                  </w:r>
                  <w:r>
                    <w:rPr>
                      <w:rFonts w:hint="eastAsia" w:ascii="Times New Roman" w:hAnsi="Times New Roman" w:eastAsia="仿宋_GB2312" w:cs="Times New Roman"/>
                      <w:sz w:val="24"/>
                      <w:szCs w:val="36"/>
                      <w:vertAlign w:val="baseline"/>
                      <w:lang w:val="en-US" w:eastAsia="zh-CN"/>
                    </w:rPr>
                    <w:t>置换量</w:t>
                  </w:r>
                </w:p>
              </w:tc>
              <w:tc>
                <w:tcPr>
                  <w:tcW w:w="886" w:type="pct"/>
                  <w:noWrap w:val="0"/>
                  <w:vAlign w:val="center"/>
                </w:tcPr>
                <w:p w14:paraId="22634F63">
                  <w:pPr>
                    <w:pStyle w:val="9"/>
                    <w:keepNext w:val="0"/>
                    <w:keepLines w:val="0"/>
                    <w:pageBreakBefore w:val="0"/>
                    <w:kinsoku/>
                    <w:wordWrap/>
                    <w:overflowPunct/>
                    <w:topLinePunct w:val="0"/>
                    <w:autoSpaceDE/>
                    <w:autoSpaceDN/>
                    <w:bidi w:val="0"/>
                    <w:spacing w:line="240" w:lineRule="auto"/>
                    <w:ind w:firstLine="0"/>
                    <w:jc w:val="center"/>
                    <w:textAlignment w:val="auto"/>
                    <w:rPr>
                      <w:rFonts w:hint="default" w:ascii="Times New Roman" w:hAnsi="Times New Roman" w:eastAsia="仿宋_GB2312" w:cs="Times New Roman"/>
                      <w:sz w:val="24"/>
                      <w:szCs w:val="36"/>
                      <w:vertAlign w:val="baseline"/>
                      <w:lang w:val="en-US" w:eastAsia="zh-CN"/>
                    </w:rPr>
                  </w:pPr>
                  <w:r>
                    <w:rPr>
                      <w:rFonts w:hint="default" w:ascii="Times New Roman" w:hAnsi="Times New Roman" w:eastAsia="仿宋_GB2312" w:cs="Times New Roman"/>
                      <w:sz w:val="24"/>
                      <w:szCs w:val="36"/>
                      <w:vertAlign w:val="baseline"/>
                      <w:lang w:val="en-US" w:eastAsia="zh-CN"/>
                    </w:rPr>
                    <w:t>二氧化硫</w:t>
                  </w:r>
                </w:p>
              </w:tc>
              <w:tc>
                <w:tcPr>
                  <w:tcW w:w="888" w:type="pct"/>
                  <w:noWrap w:val="0"/>
                  <w:vAlign w:val="center"/>
                </w:tcPr>
                <w:p w14:paraId="6ED633FC">
                  <w:pPr>
                    <w:pStyle w:val="9"/>
                    <w:keepNext w:val="0"/>
                    <w:keepLines w:val="0"/>
                    <w:pageBreakBefore w:val="0"/>
                    <w:kinsoku/>
                    <w:wordWrap/>
                    <w:overflowPunct/>
                    <w:topLinePunct w:val="0"/>
                    <w:autoSpaceDE/>
                    <w:autoSpaceDN/>
                    <w:bidi w:val="0"/>
                    <w:spacing w:line="240" w:lineRule="auto"/>
                    <w:ind w:firstLine="0"/>
                    <w:jc w:val="center"/>
                    <w:textAlignment w:val="auto"/>
                    <w:rPr>
                      <w:rFonts w:hint="default" w:ascii="Times New Roman" w:hAnsi="Times New Roman" w:eastAsia="仿宋_GB2312" w:cs="Times New Roman"/>
                      <w:sz w:val="24"/>
                      <w:szCs w:val="36"/>
                      <w:vertAlign w:val="baseline"/>
                      <w:lang w:val="en-US" w:eastAsia="zh-CN"/>
                    </w:rPr>
                  </w:pPr>
                  <w:r>
                    <w:rPr>
                      <w:rFonts w:hint="default" w:ascii="Times New Roman" w:hAnsi="Times New Roman" w:eastAsia="仿宋_GB2312" w:cs="Times New Roman"/>
                      <w:sz w:val="24"/>
                      <w:szCs w:val="36"/>
                      <w:vertAlign w:val="baseline"/>
                      <w:lang w:val="en-US" w:eastAsia="zh-CN"/>
                    </w:rPr>
                    <w:t>氮氧化物</w:t>
                  </w:r>
                </w:p>
              </w:tc>
            </w:tr>
            <w:tr w14:paraId="43081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5" w:type="pct"/>
                  <w:gridSpan w:val="2"/>
                  <w:vMerge w:val="continue"/>
                  <w:noWrap w:val="0"/>
                  <w:vAlign w:val="center"/>
                </w:tcPr>
                <w:p w14:paraId="5BB5F8B5">
                  <w:pPr>
                    <w:pStyle w:val="9"/>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仿宋_GB2312" w:cs="Times New Roman"/>
                      <w:sz w:val="24"/>
                      <w:szCs w:val="36"/>
                      <w:lang w:val="en-US" w:eastAsia="zh-CN"/>
                    </w:rPr>
                  </w:pPr>
                </w:p>
              </w:tc>
              <w:tc>
                <w:tcPr>
                  <w:tcW w:w="886" w:type="pct"/>
                  <w:noWrap w:val="0"/>
                  <w:vAlign w:val="center"/>
                </w:tcPr>
                <w:p w14:paraId="4FE7AC62">
                  <w:pPr>
                    <w:pStyle w:val="9"/>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仿宋_GB2312" w:cs="Times New Roman"/>
                      <w:sz w:val="24"/>
                      <w:szCs w:val="36"/>
                      <w:vertAlign w:val="baseline"/>
                      <w:lang w:val="en-US" w:eastAsia="zh-CN"/>
                    </w:rPr>
                  </w:pPr>
                  <w:r>
                    <w:rPr>
                      <w:rFonts w:hint="eastAsia" w:ascii="Times New Roman" w:hAnsi="Times New Roman" w:eastAsia="仿宋_GB2312" w:cs="Times New Roman"/>
                      <w:sz w:val="24"/>
                      <w:szCs w:val="36"/>
                      <w:vertAlign w:val="baseline"/>
                      <w:lang w:val="en-US" w:eastAsia="zh-CN"/>
                    </w:rPr>
                    <w:t>16.265</w:t>
                  </w:r>
                </w:p>
              </w:tc>
              <w:tc>
                <w:tcPr>
                  <w:tcW w:w="888" w:type="pct"/>
                  <w:noWrap w:val="0"/>
                  <w:vAlign w:val="center"/>
                </w:tcPr>
                <w:p w14:paraId="5566D4E8">
                  <w:pPr>
                    <w:pStyle w:val="9"/>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仿宋_GB2312" w:cs="Times New Roman"/>
                      <w:sz w:val="24"/>
                      <w:szCs w:val="36"/>
                      <w:vertAlign w:val="baseline"/>
                      <w:lang w:val="en-US" w:eastAsia="zh-CN"/>
                    </w:rPr>
                  </w:pPr>
                  <w:r>
                    <w:rPr>
                      <w:rFonts w:hint="eastAsia" w:ascii="Times New Roman" w:hAnsi="Times New Roman" w:eastAsia="仿宋_GB2312" w:cs="Times New Roman"/>
                      <w:sz w:val="24"/>
                      <w:szCs w:val="36"/>
                      <w:vertAlign w:val="baseline"/>
                      <w:lang w:val="en-US" w:eastAsia="zh-CN"/>
                    </w:rPr>
                    <w:t>23.235</w:t>
                  </w:r>
                </w:p>
              </w:tc>
            </w:tr>
            <w:tr w14:paraId="63496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pct"/>
                  <w:noWrap w:val="0"/>
                  <w:vAlign w:val="center"/>
                </w:tcPr>
                <w:p w14:paraId="6318B4AB">
                  <w:pPr>
                    <w:pStyle w:val="9"/>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仿宋_GB2312" w:cs="Times New Roman"/>
                      <w:sz w:val="24"/>
                      <w:szCs w:val="36"/>
                      <w:vertAlign w:val="baseline"/>
                      <w:lang w:val="en-US" w:eastAsia="zh-CN"/>
                    </w:rPr>
                  </w:pPr>
                  <w:r>
                    <w:rPr>
                      <w:rFonts w:hint="default" w:ascii="Times New Roman" w:hAnsi="Times New Roman" w:eastAsia="仿宋_GB2312" w:cs="Times New Roman"/>
                      <w:sz w:val="24"/>
                      <w:szCs w:val="36"/>
                      <w:vertAlign w:val="baseline"/>
                      <w:lang w:val="en-US" w:eastAsia="zh-CN"/>
                    </w:rPr>
                    <w:t>序号</w:t>
                  </w:r>
                </w:p>
              </w:tc>
              <w:tc>
                <w:tcPr>
                  <w:tcW w:w="2702" w:type="pct"/>
                  <w:noWrap w:val="0"/>
                  <w:vAlign w:val="center"/>
                </w:tcPr>
                <w:p w14:paraId="3901CFEF">
                  <w:pPr>
                    <w:pStyle w:val="9"/>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仿宋_GB2312" w:cs="Times New Roman"/>
                      <w:sz w:val="24"/>
                      <w:szCs w:val="36"/>
                      <w:lang w:val="en-US" w:eastAsia="zh-CN"/>
                    </w:rPr>
                  </w:pPr>
                  <w:r>
                    <w:rPr>
                      <w:rFonts w:hint="eastAsia" w:ascii="Times New Roman" w:hAnsi="Times New Roman" w:eastAsia="仿宋_GB2312" w:cs="Times New Roman"/>
                      <w:sz w:val="24"/>
                      <w:szCs w:val="36"/>
                      <w:vertAlign w:val="baseline"/>
                      <w:lang w:val="en-US" w:eastAsia="zh-CN"/>
                    </w:rPr>
                    <w:t>置换来</w:t>
                  </w:r>
                  <w:r>
                    <w:rPr>
                      <w:rFonts w:hint="default" w:ascii="Times New Roman" w:hAnsi="Times New Roman" w:eastAsia="仿宋_GB2312" w:cs="Times New Roman"/>
                      <w:sz w:val="24"/>
                      <w:szCs w:val="36"/>
                      <w:vertAlign w:val="baseline"/>
                      <w:lang w:val="en-US" w:eastAsia="zh-CN"/>
                    </w:rPr>
                    <w:t>源</w:t>
                  </w:r>
                </w:p>
              </w:tc>
              <w:tc>
                <w:tcPr>
                  <w:tcW w:w="886" w:type="pct"/>
                  <w:noWrap w:val="0"/>
                  <w:vAlign w:val="center"/>
                </w:tcPr>
                <w:p w14:paraId="6221DFEA">
                  <w:pPr>
                    <w:pStyle w:val="9"/>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仿宋_GB2312" w:cs="Times New Roman"/>
                      <w:sz w:val="24"/>
                      <w:szCs w:val="36"/>
                      <w:vertAlign w:val="baseline"/>
                      <w:lang w:val="en-US" w:eastAsia="zh-CN"/>
                    </w:rPr>
                  </w:pPr>
                  <w:r>
                    <w:rPr>
                      <w:rFonts w:hint="default" w:ascii="Times New Roman" w:hAnsi="Times New Roman" w:eastAsia="仿宋_GB2312" w:cs="Times New Roman"/>
                      <w:sz w:val="24"/>
                      <w:szCs w:val="36"/>
                      <w:vertAlign w:val="baseline"/>
                      <w:lang w:val="en-US" w:eastAsia="zh-CN"/>
                    </w:rPr>
                    <w:t>二氧化硫</w:t>
                  </w:r>
                </w:p>
              </w:tc>
              <w:tc>
                <w:tcPr>
                  <w:tcW w:w="888" w:type="pct"/>
                  <w:noWrap w:val="0"/>
                  <w:vAlign w:val="center"/>
                </w:tcPr>
                <w:p w14:paraId="166F26E5">
                  <w:pPr>
                    <w:pStyle w:val="9"/>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仿宋_GB2312" w:cs="Times New Roman"/>
                      <w:sz w:val="24"/>
                      <w:szCs w:val="36"/>
                      <w:vertAlign w:val="baseline"/>
                      <w:lang w:val="en-US" w:eastAsia="zh-CN"/>
                    </w:rPr>
                  </w:pPr>
                  <w:r>
                    <w:rPr>
                      <w:rFonts w:hint="default" w:ascii="Times New Roman" w:hAnsi="Times New Roman" w:eastAsia="仿宋_GB2312" w:cs="Times New Roman"/>
                      <w:sz w:val="24"/>
                      <w:szCs w:val="36"/>
                      <w:vertAlign w:val="baseline"/>
                      <w:lang w:val="en-US" w:eastAsia="zh-CN"/>
                    </w:rPr>
                    <w:t>氮氧化物</w:t>
                  </w:r>
                </w:p>
              </w:tc>
            </w:tr>
            <w:tr w14:paraId="254BF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pct"/>
                  <w:noWrap w:val="0"/>
                  <w:vAlign w:val="center"/>
                </w:tcPr>
                <w:p w14:paraId="626C2BD8">
                  <w:pPr>
                    <w:pStyle w:val="9"/>
                    <w:keepNext w:val="0"/>
                    <w:keepLines w:val="0"/>
                    <w:pageBreakBefore w:val="0"/>
                    <w:kinsoku/>
                    <w:wordWrap/>
                    <w:overflowPunct/>
                    <w:topLinePunct w:val="0"/>
                    <w:autoSpaceDE/>
                    <w:autoSpaceDN/>
                    <w:bidi w:val="0"/>
                    <w:spacing w:line="240" w:lineRule="auto"/>
                    <w:ind w:firstLine="0"/>
                    <w:jc w:val="center"/>
                    <w:textAlignment w:val="auto"/>
                    <w:rPr>
                      <w:rFonts w:hint="default" w:ascii="Times New Roman" w:hAnsi="Times New Roman" w:eastAsia="仿宋_GB2312" w:cs="Times New Roman"/>
                      <w:sz w:val="24"/>
                      <w:szCs w:val="36"/>
                      <w:vertAlign w:val="baseline"/>
                      <w:lang w:val="en-US" w:eastAsia="zh-CN"/>
                    </w:rPr>
                  </w:pPr>
                  <w:r>
                    <w:rPr>
                      <w:rFonts w:hint="eastAsia" w:ascii="Times New Roman" w:hAnsi="Times New Roman" w:eastAsia="仿宋_GB2312" w:cs="Times New Roman"/>
                      <w:sz w:val="24"/>
                      <w:szCs w:val="36"/>
                      <w:vertAlign w:val="baseline"/>
                      <w:lang w:val="en-US" w:eastAsia="zh-CN"/>
                    </w:rPr>
                    <w:t>1</w:t>
                  </w:r>
                </w:p>
              </w:tc>
              <w:tc>
                <w:tcPr>
                  <w:tcW w:w="2702" w:type="pct"/>
                  <w:noWrap w:val="0"/>
                  <w:vAlign w:val="center"/>
                </w:tcPr>
                <w:p w14:paraId="3E9F12C4">
                  <w:pPr>
                    <w:pStyle w:val="9"/>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仿宋_GB2312" w:cs="Times New Roman"/>
                      <w:kern w:val="0"/>
                      <w:sz w:val="24"/>
                      <w:szCs w:val="36"/>
                      <w:vertAlign w:val="baseline"/>
                      <w:lang w:val="en-US" w:eastAsia="zh-CN" w:bidi="ar-SA"/>
                    </w:rPr>
                  </w:pPr>
                  <w:r>
                    <w:rPr>
                      <w:rFonts w:hint="eastAsia" w:ascii="Times New Roman" w:hAnsi="Times New Roman" w:eastAsia="仿宋_GB2312" w:cs="Times New Roman"/>
                      <w:sz w:val="24"/>
                      <w:szCs w:val="36"/>
                      <w:lang w:val="en-US" w:eastAsia="zh-CN"/>
                    </w:rPr>
                    <w:t>原高炉煤气自备电厂许可排放量</w:t>
                  </w:r>
                </w:p>
              </w:tc>
              <w:tc>
                <w:tcPr>
                  <w:tcW w:w="886" w:type="pct"/>
                  <w:noWrap w:val="0"/>
                  <w:vAlign w:val="center"/>
                </w:tcPr>
                <w:p w14:paraId="2D743B30">
                  <w:pPr>
                    <w:pStyle w:val="9"/>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仿宋_GB2312" w:cs="Times New Roman"/>
                      <w:sz w:val="24"/>
                      <w:szCs w:val="36"/>
                      <w:vertAlign w:val="baseline"/>
                      <w:lang w:val="en-US" w:eastAsia="zh-CN"/>
                    </w:rPr>
                  </w:pPr>
                  <w:r>
                    <w:rPr>
                      <w:rFonts w:hint="eastAsia" w:ascii="Times New Roman" w:hAnsi="Times New Roman" w:eastAsia="仿宋_GB2312" w:cs="Times New Roman"/>
                      <w:sz w:val="24"/>
                      <w:szCs w:val="36"/>
                      <w:vertAlign w:val="baseline"/>
                      <w:lang w:val="en-US" w:eastAsia="zh-CN"/>
                    </w:rPr>
                    <w:t>/</w:t>
                  </w:r>
                </w:p>
              </w:tc>
              <w:tc>
                <w:tcPr>
                  <w:tcW w:w="888" w:type="pct"/>
                  <w:noWrap w:val="0"/>
                  <w:vAlign w:val="center"/>
                </w:tcPr>
                <w:p w14:paraId="55CB9A78">
                  <w:pPr>
                    <w:pStyle w:val="9"/>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仿宋_GB2312" w:cs="Times New Roman"/>
                      <w:sz w:val="24"/>
                      <w:szCs w:val="36"/>
                      <w:vertAlign w:val="baseline"/>
                      <w:lang w:val="en-US" w:eastAsia="zh-CN"/>
                    </w:rPr>
                  </w:pPr>
                  <w:r>
                    <w:rPr>
                      <w:rFonts w:hint="eastAsia" w:ascii="Times New Roman" w:hAnsi="Times New Roman" w:eastAsia="仿宋_GB2312" w:cs="Times New Roman"/>
                      <w:sz w:val="24"/>
                      <w:szCs w:val="36"/>
                      <w:vertAlign w:val="baseline"/>
                      <w:lang w:val="en-US" w:eastAsia="zh-CN"/>
                    </w:rPr>
                    <w:t>14.8478</w:t>
                  </w:r>
                </w:p>
              </w:tc>
            </w:tr>
            <w:tr w14:paraId="0E77D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pct"/>
                  <w:noWrap w:val="0"/>
                  <w:vAlign w:val="center"/>
                </w:tcPr>
                <w:p w14:paraId="5A6E577E">
                  <w:pPr>
                    <w:pStyle w:val="9"/>
                    <w:keepNext w:val="0"/>
                    <w:keepLines w:val="0"/>
                    <w:pageBreakBefore w:val="0"/>
                    <w:kinsoku/>
                    <w:wordWrap/>
                    <w:overflowPunct/>
                    <w:topLinePunct w:val="0"/>
                    <w:autoSpaceDE/>
                    <w:autoSpaceDN/>
                    <w:bidi w:val="0"/>
                    <w:spacing w:line="240" w:lineRule="auto"/>
                    <w:ind w:firstLine="0"/>
                    <w:jc w:val="center"/>
                    <w:textAlignment w:val="auto"/>
                    <w:rPr>
                      <w:rFonts w:hint="default" w:ascii="Times New Roman" w:hAnsi="Times New Roman" w:eastAsia="仿宋_GB2312" w:cs="Times New Roman"/>
                      <w:sz w:val="24"/>
                      <w:szCs w:val="36"/>
                      <w:vertAlign w:val="baseline"/>
                      <w:lang w:val="en-US" w:eastAsia="zh-CN"/>
                    </w:rPr>
                  </w:pPr>
                  <w:r>
                    <w:rPr>
                      <w:rFonts w:hint="eastAsia" w:ascii="Times New Roman" w:hAnsi="Times New Roman" w:eastAsia="仿宋_GB2312" w:cs="Times New Roman"/>
                      <w:sz w:val="24"/>
                      <w:szCs w:val="36"/>
                      <w:vertAlign w:val="baseline"/>
                      <w:lang w:val="en-US" w:eastAsia="zh-CN"/>
                    </w:rPr>
                    <w:t>2</w:t>
                  </w:r>
                </w:p>
              </w:tc>
              <w:tc>
                <w:tcPr>
                  <w:tcW w:w="2702" w:type="pct"/>
                  <w:noWrap w:val="0"/>
                  <w:vAlign w:val="center"/>
                </w:tcPr>
                <w:p w14:paraId="02627843">
                  <w:pPr>
                    <w:pStyle w:val="9"/>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仿宋_GB2312" w:cs="Times New Roman"/>
                      <w:sz w:val="24"/>
                      <w:szCs w:val="36"/>
                      <w:vertAlign w:val="baseline"/>
                      <w:lang w:val="en-US" w:eastAsia="zh-CN"/>
                    </w:rPr>
                  </w:pPr>
                  <w:r>
                    <w:rPr>
                      <w:rFonts w:hint="eastAsia" w:ascii="Times New Roman" w:hAnsi="Times New Roman" w:eastAsia="仿宋_GB2312" w:cs="Times New Roman"/>
                      <w:sz w:val="24"/>
                      <w:szCs w:val="36"/>
                      <w:lang w:val="en-US" w:eastAsia="zh-CN"/>
                    </w:rPr>
                    <w:t>关停8m</w:t>
                  </w:r>
                  <w:r>
                    <w:rPr>
                      <w:rFonts w:hint="eastAsia" w:ascii="Times New Roman" w:hAnsi="Times New Roman" w:eastAsia="仿宋_GB2312" w:cs="Times New Roman"/>
                      <w:sz w:val="24"/>
                      <w:szCs w:val="36"/>
                      <w:vertAlign w:val="superscript"/>
                      <w:lang w:val="en-US" w:eastAsia="zh-CN"/>
                    </w:rPr>
                    <w:t>2</w:t>
                  </w:r>
                  <w:r>
                    <w:rPr>
                      <w:rFonts w:hint="eastAsia" w:ascii="Times New Roman" w:hAnsi="Times New Roman" w:eastAsia="仿宋_GB2312" w:cs="Times New Roman"/>
                      <w:sz w:val="24"/>
                      <w:szCs w:val="36"/>
                      <w:lang w:val="en-US" w:eastAsia="zh-CN"/>
                    </w:rPr>
                    <w:t>球团竖炉</w:t>
                  </w:r>
                </w:p>
              </w:tc>
              <w:tc>
                <w:tcPr>
                  <w:tcW w:w="886" w:type="pct"/>
                  <w:noWrap w:val="0"/>
                  <w:vAlign w:val="center"/>
                </w:tcPr>
                <w:p w14:paraId="4B69E951">
                  <w:pPr>
                    <w:pStyle w:val="9"/>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仿宋_GB2312" w:cs="Times New Roman"/>
                      <w:sz w:val="24"/>
                      <w:szCs w:val="36"/>
                      <w:vertAlign w:val="baseline"/>
                      <w:lang w:val="en-US" w:eastAsia="zh-CN"/>
                    </w:rPr>
                  </w:pPr>
                  <w:r>
                    <w:rPr>
                      <w:rFonts w:hint="eastAsia" w:ascii="Times New Roman" w:hAnsi="Times New Roman" w:eastAsia="仿宋_GB2312" w:cs="Times New Roman"/>
                      <w:sz w:val="24"/>
                      <w:szCs w:val="36"/>
                      <w:vertAlign w:val="baseline"/>
                      <w:lang w:val="en-US" w:eastAsia="zh-CN"/>
                    </w:rPr>
                    <w:t>16.265</w:t>
                  </w:r>
                </w:p>
              </w:tc>
              <w:tc>
                <w:tcPr>
                  <w:tcW w:w="888" w:type="pct"/>
                  <w:noWrap w:val="0"/>
                  <w:vAlign w:val="center"/>
                </w:tcPr>
                <w:p w14:paraId="380238CB">
                  <w:pPr>
                    <w:pStyle w:val="9"/>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仿宋_GB2312" w:cs="Times New Roman"/>
                      <w:sz w:val="24"/>
                      <w:szCs w:val="36"/>
                      <w:vertAlign w:val="baseline"/>
                      <w:lang w:val="en-US" w:eastAsia="zh-CN"/>
                    </w:rPr>
                  </w:pPr>
                  <w:r>
                    <w:rPr>
                      <w:rFonts w:hint="eastAsia" w:ascii="Times New Roman" w:hAnsi="Times New Roman" w:eastAsia="仿宋_GB2312" w:cs="Times New Roman"/>
                      <w:sz w:val="24"/>
                      <w:szCs w:val="36"/>
                      <w:vertAlign w:val="baseline"/>
                      <w:lang w:val="en-US" w:eastAsia="zh-CN"/>
                    </w:rPr>
                    <w:t>8.3872</w:t>
                  </w:r>
                </w:p>
              </w:tc>
            </w:tr>
            <w:tr w14:paraId="2A83A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5" w:type="pct"/>
                  <w:gridSpan w:val="2"/>
                  <w:noWrap w:val="0"/>
                  <w:vAlign w:val="center"/>
                </w:tcPr>
                <w:p w14:paraId="05625DCD">
                  <w:pPr>
                    <w:pStyle w:val="9"/>
                    <w:keepNext w:val="0"/>
                    <w:keepLines w:val="0"/>
                    <w:pageBreakBefore w:val="0"/>
                    <w:kinsoku/>
                    <w:wordWrap/>
                    <w:overflowPunct/>
                    <w:topLinePunct w:val="0"/>
                    <w:autoSpaceDE/>
                    <w:autoSpaceDN/>
                    <w:bidi w:val="0"/>
                    <w:spacing w:line="240" w:lineRule="auto"/>
                    <w:ind w:firstLine="0"/>
                    <w:jc w:val="center"/>
                    <w:textAlignment w:val="auto"/>
                    <w:rPr>
                      <w:rFonts w:hint="default" w:ascii="Times New Roman" w:hAnsi="Times New Roman" w:eastAsia="仿宋_GB2312" w:cs="Times New Roman"/>
                      <w:sz w:val="24"/>
                      <w:szCs w:val="36"/>
                      <w:vertAlign w:val="baseline"/>
                      <w:lang w:val="en-US" w:eastAsia="zh-CN"/>
                    </w:rPr>
                  </w:pPr>
                  <w:r>
                    <w:rPr>
                      <w:rFonts w:hint="default" w:ascii="Times New Roman" w:hAnsi="Times New Roman" w:eastAsia="仿宋_GB2312" w:cs="Times New Roman"/>
                      <w:sz w:val="24"/>
                      <w:szCs w:val="36"/>
                      <w:vertAlign w:val="baseline"/>
                      <w:lang w:val="en-US" w:eastAsia="zh-CN"/>
                    </w:rPr>
                    <w:t>合计</w:t>
                  </w:r>
                </w:p>
              </w:tc>
              <w:tc>
                <w:tcPr>
                  <w:tcW w:w="886" w:type="pct"/>
                  <w:noWrap w:val="0"/>
                  <w:vAlign w:val="bottom"/>
                </w:tcPr>
                <w:p w14:paraId="00479CB2">
                  <w:pPr>
                    <w:pStyle w:val="9"/>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仿宋_GB2312" w:cs="Times New Roman"/>
                      <w:sz w:val="24"/>
                      <w:szCs w:val="36"/>
                      <w:vertAlign w:val="baseline"/>
                      <w:lang w:val="en-US" w:eastAsia="zh-CN"/>
                    </w:rPr>
                  </w:pPr>
                  <w:r>
                    <w:rPr>
                      <w:rFonts w:hint="eastAsia" w:ascii="Times New Roman" w:hAnsi="Times New Roman" w:eastAsia="仿宋_GB2312" w:cs="Times New Roman"/>
                      <w:sz w:val="24"/>
                      <w:szCs w:val="36"/>
                      <w:vertAlign w:val="baseline"/>
                      <w:lang w:val="en-US" w:eastAsia="zh-CN"/>
                    </w:rPr>
                    <w:t>16.265</w:t>
                  </w:r>
                </w:p>
              </w:tc>
              <w:tc>
                <w:tcPr>
                  <w:tcW w:w="888" w:type="pct"/>
                  <w:noWrap w:val="0"/>
                  <w:vAlign w:val="bottom"/>
                </w:tcPr>
                <w:p w14:paraId="2C5833DC">
                  <w:pPr>
                    <w:pStyle w:val="9"/>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仿宋_GB2312" w:cs="Times New Roman"/>
                      <w:sz w:val="24"/>
                      <w:szCs w:val="36"/>
                      <w:vertAlign w:val="baseline"/>
                      <w:lang w:val="en-US" w:eastAsia="zh-CN"/>
                    </w:rPr>
                  </w:pPr>
                  <w:r>
                    <w:rPr>
                      <w:rFonts w:hint="eastAsia" w:ascii="Times New Roman" w:hAnsi="Times New Roman" w:eastAsia="仿宋_GB2312" w:cs="Times New Roman"/>
                      <w:sz w:val="24"/>
                      <w:szCs w:val="36"/>
                      <w:vertAlign w:val="baseline"/>
                      <w:lang w:val="en-US" w:eastAsia="zh-CN"/>
                    </w:rPr>
                    <w:t>23.235</w:t>
                  </w:r>
                </w:p>
              </w:tc>
            </w:tr>
          </w:tbl>
          <w:p w14:paraId="4FD23ADA">
            <w:pPr>
              <w:spacing w:line="360" w:lineRule="auto"/>
              <w:ind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综上所述，可满足本项目所需的总量置换要求。</w:t>
            </w:r>
          </w:p>
          <w:p w14:paraId="78564FE0">
            <w:pPr>
              <w:spacing w:line="360" w:lineRule="auto"/>
              <w:rPr>
                <w:b/>
                <w:bCs/>
                <w:color w:val="auto"/>
                <w:sz w:val="24"/>
              </w:rPr>
            </w:pPr>
            <w:r>
              <w:rPr>
                <w:b/>
                <w:bCs/>
                <w:color w:val="auto"/>
                <w:sz w:val="24"/>
              </w:rPr>
              <w:t>2、废水环境影响和保护措施</w:t>
            </w:r>
          </w:p>
          <w:p w14:paraId="092FF860">
            <w:pPr>
              <w:spacing w:line="360" w:lineRule="auto"/>
              <w:ind w:firstLine="480" w:firstLineChars="200"/>
              <w:rPr>
                <w:color w:val="auto"/>
                <w:sz w:val="24"/>
              </w:rPr>
            </w:pPr>
            <w:r>
              <w:rPr>
                <w:color w:val="auto"/>
                <w:sz w:val="24"/>
              </w:rPr>
              <w:t>2.1废水产生情况</w:t>
            </w:r>
          </w:p>
          <w:p w14:paraId="0D9D839F">
            <w:pPr>
              <w:autoSpaceDE w:val="0"/>
              <w:autoSpaceDN w:val="0"/>
              <w:adjustRightInd w:val="0"/>
              <w:snapToGrid w:val="0"/>
              <w:spacing w:line="360" w:lineRule="auto"/>
              <w:ind w:firstLine="480" w:firstLineChars="200"/>
              <w:jc w:val="left"/>
              <w:rPr>
                <w:color w:val="auto"/>
                <w:sz w:val="24"/>
              </w:rPr>
            </w:pPr>
            <w:r>
              <w:rPr>
                <w:color w:val="auto"/>
                <w:sz w:val="24"/>
              </w:rPr>
              <w:t>由项目水平衡分析可知，项目产生的废水主要分为生活污水。</w:t>
            </w:r>
          </w:p>
          <w:p w14:paraId="732BA353">
            <w:pPr>
              <w:autoSpaceDE w:val="0"/>
              <w:autoSpaceDN w:val="0"/>
              <w:adjustRightInd w:val="0"/>
              <w:snapToGrid w:val="0"/>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（1）生活污水</w:t>
            </w:r>
          </w:p>
          <w:p w14:paraId="3ECA5BE7">
            <w:pPr>
              <w:spacing w:line="360" w:lineRule="auto"/>
              <w:ind w:firstLine="480" w:firstLineChars="200"/>
              <w:rPr>
                <w:color w:val="auto"/>
                <w:sz w:val="24"/>
              </w:rPr>
            </w:pPr>
            <w:r>
              <w:rPr>
                <w:color w:val="auto"/>
                <w:sz w:val="24"/>
              </w:rPr>
              <w:t>项目劳动定员</w:t>
            </w:r>
            <w:r>
              <w:rPr>
                <w:rFonts w:hint="eastAsia"/>
                <w:color w:val="auto"/>
                <w:sz w:val="24"/>
              </w:rPr>
              <w:t>6</w:t>
            </w:r>
            <w:r>
              <w:rPr>
                <w:color w:val="auto"/>
                <w:sz w:val="24"/>
              </w:rPr>
              <w:t>0人。全部为</w:t>
            </w:r>
            <w:r>
              <w:rPr>
                <w:rFonts w:hint="eastAsia"/>
                <w:color w:val="auto"/>
                <w:sz w:val="24"/>
                <w:lang w:eastAsia="zh-CN"/>
              </w:rPr>
              <w:t>金烨钢铁</w:t>
            </w:r>
            <w:r>
              <w:rPr>
                <w:color w:val="auto"/>
                <w:sz w:val="24"/>
              </w:rPr>
              <w:t>集团有限公司煤气发电站原有职工。本项目产生的生活污水依托</w:t>
            </w:r>
            <w:r>
              <w:rPr>
                <w:rFonts w:hint="eastAsia"/>
                <w:color w:val="auto"/>
                <w:sz w:val="24"/>
                <w:lang w:eastAsia="zh-CN"/>
              </w:rPr>
              <w:t>金烨钢铁</w:t>
            </w:r>
            <w:r>
              <w:rPr>
                <w:color w:val="auto"/>
                <w:sz w:val="24"/>
              </w:rPr>
              <w:t>集团有限公司现有排水系统</w:t>
            </w:r>
            <w:r>
              <w:rPr>
                <w:rFonts w:hint="eastAsia"/>
                <w:color w:val="auto"/>
                <w:sz w:val="24"/>
                <w:lang w:eastAsia="zh-CN"/>
              </w:rPr>
              <w:t>，</w:t>
            </w:r>
            <w:r>
              <w:rPr>
                <w:rFonts w:hint="eastAsia"/>
                <w:color w:val="auto"/>
                <w:sz w:val="24"/>
                <w:lang w:val="en-US" w:eastAsia="zh-CN"/>
              </w:rPr>
              <w:t>进入城镇污水管网，最终进入壶关县第一污水处理厂</w:t>
            </w:r>
            <w:r>
              <w:rPr>
                <w:color w:val="auto"/>
                <w:sz w:val="24"/>
              </w:rPr>
              <w:t>。</w:t>
            </w:r>
          </w:p>
          <w:p w14:paraId="53054DC4">
            <w:pPr>
              <w:spacing w:line="360" w:lineRule="auto"/>
              <w:ind w:firstLine="480" w:firstLineChars="200"/>
              <w:rPr>
                <w:color w:val="auto"/>
                <w:sz w:val="24"/>
              </w:rPr>
            </w:pPr>
            <w:r>
              <w:rPr>
                <w:rFonts w:hint="eastAsia"/>
                <w:color w:val="auto"/>
                <w:sz w:val="24"/>
              </w:rPr>
              <w:t xml:space="preserve">（2）生产废水 </w:t>
            </w:r>
          </w:p>
          <w:p w14:paraId="4E520E05">
            <w:pPr>
              <w:spacing w:line="360" w:lineRule="auto"/>
              <w:ind w:firstLine="480" w:firstLineChars="200"/>
              <w:rPr>
                <w:color w:val="auto"/>
                <w:sz w:val="24"/>
                <w:highlight w:val="none"/>
              </w:rPr>
            </w:pPr>
            <w:r>
              <w:rPr>
                <w:rFonts w:hint="eastAsia"/>
                <w:color w:val="auto"/>
                <w:sz w:val="24"/>
              </w:rPr>
              <w:t>本项目废水包括锅炉排污水、化学水车间排水、循环冷却排污水以及生活污水处理后废水，总废</w:t>
            </w:r>
            <w:r>
              <w:rPr>
                <w:rFonts w:hint="eastAsia"/>
                <w:color w:val="auto"/>
                <w:sz w:val="24"/>
                <w:highlight w:val="none"/>
              </w:rPr>
              <w:t>水量为</w:t>
            </w:r>
            <w:r>
              <w:rPr>
                <w:rFonts w:hint="eastAsia"/>
                <w:color w:val="auto"/>
                <w:sz w:val="24"/>
                <w:highlight w:val="none"/>
                <w:lang w:val="en-US" w:eastAsia="zh-CN"/>
              </w:rPr>
              <w:t>6.1</w:t>
            </w:r>
            <w:r>
              <w:rPr>
                <w:rFonts w:hint="eastAsia"/>
                <w:color w:val="auto"/>
                <w:sz w:val="24"/>
                <w:highlight w:val="none"/>
              </w:rPr>
              <w:t>m</w:t>
            </w:r>
            <w:r>
              <w:rPr>
                <w:rFonts w:hint="eastAsia"/>
                <w:color w:val="auto"/>
                <w:sz w:val="24"/>
                <w:highlight w:val="none"/>
                <w:vertAlign w:val="superscript"/>
              </w:rPr>
              <w:t>3</w:t>
            </w:r>
            <w:r>
              <w:rPr>
                <w:rFonts w:hint="eastAsia"/>
                <w:color w:val="auto"/>
                <w:sz w:val="24"/>
                <w:highlight w:val="none"/>
              </w:rPr>
              <w:t>/h（采暖期）/</w:t>
            </w:r>
            <w:r>
              <w:rPr>
                <w:rFonts w:hint="eastAsia"/>
                <w:color w:val="auto"/>
                <w:sz w:val="24"/>
                <w:highlight w:val="none"/>
                <w:lang w:val="en-US" w:eastAsia="zh-CN"/>
              </w:rPr>
              <w:t>7.5</w:t>
            </w:r>
            <w:r>
              <w:rPr>
                <w:rFonts w:hint="eastAsia"/>
                <w:color w:val="auto"/>
                <w:sz w:val="24"/>
                <w:highlight w:val="none"/>
              </w:rPr>
              <w:t>m</w:t>
            </w:r>
            <w:r>
              <w:rPr>
                <w:rFonts w:hint="eastAsia"/>
                <w:color w:val="auto"/>
                <w:sz w:val="24"/>
                <w:highlight w:val="none"/>
                <w:vertAlign w:val="superscript"/>
              </w:rPr>
              <w:t>3</w:t>
            </w:r>
            <w:r>
              <w:rPr>
                <w:rFonts w:hint="eastAsia"/>
                <w:color w:val="auto"/>
                <w:sz w:val="24"/>
                <w:highlight w:val="none"/>
              </w:rPr>
              <w:t>/h（非采暖期），</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设置有200m</w:t>
            </w:r>
            <w:r>
              <w:rPr>
                <w:rFonts w:hint="eastAsia" w:ascii="Times New Roman" w:hAnsi="Times New Roman" w:eastAsia="宋体" w:cs="Times New Roman"/>
                <w:color w:val="000000" w:themeColor="text1"/>
                <w:sz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污水池，</w:t>
            </w:r>
            <w:r>
              <w:rPr>
                <w:rFonts w:hint="eastAsia"/>
                <w:color w:val="000000" w:themeColor="text1"/>
                <w:sz w:val="24"/>
                <w:highlight w:val="none"/>
                <w14:textFill>
                  <w14:solidFill>
                    <w14:schemeClr w14:val="tx1"/>
                  </w14:solidFill>
                </w14:textFill>
              </w:rPr>
              <w:t>排入</w:t>
            </w:r>
            <w:r>
              <w:rPr>
                <w:rFonts w:hint="eastAsia"/>
                <w:color w:val="000000" w:themeColor="text1"/>
                <w:sz w:val="24"/>
                <w:highlight w:val="none"/>
                <w:lang w:val="en-US" w:eastAsia="zh-CN"/>
                <w14:textFill>
                  <w14:solidFill>
                    <w14:schemeClr w14:val="tx1"/>
                  </w14:solidFill>
                </w14:textFill>
              </w:rPr>
              <w:t>本次新建</w:t>
            </w:r>
            <w:r>
              <w:rPr>
                <w:rFonts w:hint="eastAsia"/>
                <w:color w:val="000000" w:themeColor="text1"/>
                <w:sz w:val="24"/>
                <w:highlight w:val="none"/>
                <w14:textFill>
                  <w14:solidFill>
                    <w14:schemeClr w14:val="tx1"/>
                  </w14:solidFill>
                </w14:textFill>
              </w:rPr>
              <w:t>水处理站</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处理规模为</w:t>
            </w:r>
            <w:r>
              <w:rPr>
                <w:rFonts w:hint="eastAsia"/>
                <w:color w:val="000000" w:themeColor="text1"/>
                <w:sz w:val="24"/>
                <w:highlight w:val="none"/>
                <w14:textFill>
                  <w14:solidFill>
                    <w14:schemeClr w14:val="tx1"/>
                  </w14:solidFill>
                </w14:textFill>
              </w:rPr>
              <w:t>2×5t/h</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水处理系统采用“多介质过滤器+</w:t>
            </w:r>
            <w:r>
              <w:rPr>
                <w:rFonts w:hint="eastAsia"/>
                <w:color w:val="000000" w:themeColor="text1"/>
                <w:sz w:val="24"/>
                <w:highlight w:val="none"/>
                <w:lang w:eastAsia="zh-CN"/>
                <w14:textFill>
                  <w14:solidFill>
                    <w14:schemeClr w14:val="tx1"/>
                  </w14:solidFill>
                </w14:textFill>
              </w:rPr>
              <w:t>活性炭</w:t>
            </w:r>
            <w:r>
              <w:rPr>
                <w:rFonts w:hint="eastAsia"/>
                <w:color w:val="000000" w:themeColor="text1"/>
                <w:sz w:val="24"/>
                <w:highlight w:val="none"/>
                <w14:textFill>
                  <w14:solidFill>
                    <w14:schemeClr w14:val="tx1"/>
                  </w14:solidFill>
                </w14:textFill>
              </w:rPr>
              <w:t>过滤器+二级反渗透+EDI”工艺</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配有</w:t>
            </w:r>
            <w:r>
              <w:rPr>
                <w:rFonts w:hint="eastAsia"/>
                <w:color w:val="000000" w:themeColor="text1"/>
                <w:sz w:val="24"/>
                <w:highlight w:val="none"/>
                <w:lang w:val="en-US" w:eastAsia="zh-CN"/>
                <w14:textFill>
                  <w14:solidFill>
                    <w14:schemeClr w14:val="tx1"/>
                  </w14:solidFill>
                </w14:textFill>
              </w:rPr>
              <w:t>2</w:t>
            </w:r>
            <w:r>
              <w:rPr>
                <w:rFonts w:hint="eastAsia"/>
                <w:color w:val="000000" w:themeColor="text1"/>
                <w:sz w:val="24"/>
                <w:highlight w:val="none"/>
                <w14:textFill>
                  <w14:solidFill>
                    <w14:schemeClr w14:val="tx1"/>
                  </w14:solidFill>
                </w14:textFill>
              </w:rPr>
              <w:t>座60m</w:t>
            </w:r>
            <w:r>
              <w:rPr>
                <w:rFonts w:hint="eastAsia"/>
                <w:color w:val="000000" w:themeColor="text1"/>
                <w:sz w:val="24"/>
                <w:highlight w:val="none"/>
                <w:vertAlign w:val="superscript"/>
                <w14:textFill>
                  <w14:solidFill>
                    <w14:schemeClr w14:val="tx1"/>
                  </w14:solidFill>
                </w14:textFill>
              </w:rPr>
              <w:t>3</w:t>
            </w:r>
            <w:r>
              <w:rPr>
                <w:rFonts w:hint="eastAsia"/>
                <w:color w:val="000000" w:themeColor="text1"/>
                <w:sz w:val="24"/>
                <w:highlight w:val="none"/>
                <w14:textFill>
                  <w14:solidFill>
                    <w14:schemeClr w14:val="tx1"/>
                  </w14:solidFill>
                </w14:textFill>
              </w:rPr>
              <w:t>除盐水箱</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废水经处理后全部回用于生产</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不外排</w:t>
            </w:r>
            <w:r>
              <w:rPr>
                <w:rFonts w:hint="eastAsia"/>
                <w:color w:val="auto"/>
                <w:sz w:val="24"/>
                <w:highlight w:val="none"/>
              </w:rPr>
              <w:t>。</w:t>
            </w:r>
            <w:r>
              <w:rPr>
                <w:rFonts w:hint="eastAsia"/>
                <w:color w:val="auto"/>
                <w:sz w:val="24"/>
                <w:highlight w:val="none"/>
                <w:lang w:eastAsia="zh-CN"/>
              </w:rPr>
              <w:t>金烨</w:t>
            </w:r>
            <w:r>
              <w:rPr>
                <w:rFonts w:hint="eastAsia"/>
                <w:color w:val="auto"/>
                <w:sz w:val="24"/>
                <w:highlight w:val="none"/>
              </w:rPr>
              <w:t>钢铁有限责任公司全厂无废水外排。</w:t>
            </w:r>
          </w:p>
          <w:p w14:paraId="1A13AE9A">
            <w:pPr>
              <w:spacing w:line="360" w:lineRule="auto"/>
              <w:ind w:firstLine="480" w:firstLineChars="200"/>
              <w:rPr>
                <w:color w:val="auto"/>
                <w:sz w:val="24"/>
                <w:highlight w:val="none"/>
              </w:rPr>
            </w:pPr>
            <w:r>
              <w:rPr>
                <w:color w:val="auto"/>
                <w:sz w:val="24"/>
                <w:highlight w:val="none"/>
              </w:rPr>
              <w:t>2.2废水监测</w:t>
            </w:r>
          </w:p>
          <w:p w14:paraId="0B5D3904">
            <w:pPr>
              <w:spacing w:line="360" w:lineRule="auto"/>
              <w:ind w:firstLine="480" w:firstLineChars="200"/>
              <w:rPr>
                <w:color w:val="auto"/>
                <w:sz w:val="24"/>
                <w:highlight w:val="none"/>
              </w:rPr>
            </w:pPr>
            <w:r>
              <w:rPr>
                <w:color w:val="auto"/>
                <w:sz w:val="24"/>
                <w:highlight w:val="none"/>
              </w:rPr>
              <w:t>本项目生活污水依托</w:t>
            </w:r>
            <w:r>
              <w:rPr>
                <w:rFonts w:hint="eastAsia"/>
                <w:color w:val="auto"/>
                <w:sz w:val="24"/>
                <w:highlight w:val="none"/>
                <w:lang w:val="en-US" w:eastAsia="zh-CN"/>
              </w:rPr>
              <w:t>金烨</w:t>
            </w:r>
            <w:r>
              <w:rPr>
                <w:color w:val="auto"/>
                <w:sz w:val="24"/>
                <w:highlight w:val="none"/>
              </w:rPr>
              <w:t>现有</w:t>
            </w:r>
            <w:r>
              <w:rPr>
                <w:rFonts w:hint="eastAsia"/>
                <w:color w:val="auto"/>
                <w:sz w:val="24"/>
                <w:highlight w:val="none"/>
                <w:lang w:val="en-US" w:eastAsia="zh-CN"/>
              </w:rPr>
              <w:t>污水管网，排入</w:t>
            </w:r>
            <w:r>
              <w:rPr>
                <w:rFonts w:hint="eastAsia"/>
                <w:color w:val="auto"/>
                <w:sz w:val="24"/>
                <w:highlight w:val="none"/>
              </w:rPr>
              <w:t>污水处理厂，</w:t>
            </w:r>
            <w:r>
              <w:rPr>
                <w:rFonts w:hint="eastAsia"/>
                <w:color w:val="auto"/>
                <w:sz w:val="24"/>
                <w:highlight w:val="none"/>
                <w:lang w:val="en-US" w:eastAsia="zh-CN"/>
              </w:rPr>
              <w:t>废水处理后回用，</w:t>
            </w:r>
            <w:r>
              <w:rPr>
                <w:rFonts w:hint="eastAsia"/>
                <w:color w:val="auto"/>
                <w:sz w:val="24"/>
                <w:highlight w:val="none"/>
              </w:rPr>
              <w:t>不外排。</w:t>
            </w:r>
            <w:r>
              <w:rPr>
                <w:color w:val="auto"/>
                <w:sz w:val="24"/>
                <w:highlight w:val="none"/>
              </w:rPr>
              <w:t>因此，无需监测。</w:t>
            </w:r>
          </w:p>
          <w:p w14:paraId="1F34872C">
            <w:pPr>
              <w:spacing w:line="360" w:lineRule="auto"/>
              <w:rPr>
                <w:b/>
                <w:bCs/>
                <w:color w:val="auto"/>
                <w:sz w:val="24"/>
                <w:highlight w:val="none"/>
              </w:rPr>
            </w:pPr>
            <w:r>
              <w:rPr>
                <w:b/>
                <w:bCs/>
                <w:color w:val="auto"/>
                <w:sz w:val="24"/>
                <w:highlight w:val="none"/>
              </w:rPr>
              <w:t>3、噪声环境影响和保护措施</w:t>
            </w:r>
          </w:p>
          <w:p w14:paraId="3A3F123B">
            <w:pPr>
              <w:spacing w:line="360" w:lineRule="auto"/>
              <w:ind w:firstLine="480" w:firstLineChars="200"/>
              <w:rPr>
                <w:color w:val="auto"/>
                <w:sz w:val="24"/>
                <w:highlight w:val="none"/>
              </w:rPr>
            </w:pPr>
            <w:r>
              <w:rPr>
                <w:color w:val="auto"/>
                <w:sz w:val="24"/>
                <w:highlight w:val="none"/>
              </w:rPr>
              <w:t>3.1噪声源分析</w:t>
            </w:r>
          </w:p>
          <w:p w14:paraId="27BE61C2">
            <w:pPr>
              <w:spacing w:line="360" w:lineRule="auto"/>
              <w:ind w:firstLine="480" w:firstLineChars="200"/>
              <w:rPr>
                <w:color w:val="auto"/>
                <w:sz w:val="24"/>
                <w:highlight w:val="none"/>
              </w:rPr>
            </w:pPr>
            <w:r>
              <w:rPr>
                <w:color w:val="auto"/>
                <w:sz w:val="24"/>
                <w:highlight w:val="none"/>
              </w:rPr>
              <w:t>本项目噪声源主要是</w:t>
            </w:r>
            <w:r>
              <w:rPr>
                <w:rFonts w:hint="eastAsia"/>
                <w:color w:val="auto"/>
                <w:sz w:val="24"/>
                <w:highlight w:val="none"/>
              </w:rPr>
              <w:t>机械设备的运转噪声</w:t>
            </w:r>
            <w:r>
              <w:rPr>
                <w:color w:val="auto"/>
                <w:sz w:val="24"/>
                <w:highlight w:val="none"/>
              </w:rPr>
              <w:t>。类比同类设备噪声产生情况</w:t>
            </w:r>
            <w:r>
              <w:rPr>
                <w:rFonts w:hint="eastAsia"/>
                <w:color w:val="auto"/>
                <w:sz w:val="24"/>
                <w:highlight w:val="none"/>
              </w:rPr>
              <w:t>，本项目噪声污染源源强见下表4-</w:t>
            </w:r>
            <w:r>
              <w:rPr>
                <w:rFonts w:hint="eastAsia"/>
                <w:color w:val="auto"/>
                <w:sz w:val="24"/>
                <w:highlight w:val="none"/>
                <w:lang w:val="en-US" w:eastAsia="zh-CN"/>
              </w:rPr>
              <w:t>5</w:t>
            </w:r>
            <w:r>
              <w:rPr>
                <w:color w:val="auto"/>
                <w:sz w:val="24"/>
                <w:highlight w:val="none"/>
              </w:rPr>
              <w:t>。</w:t>
            </w:r>
          </w:p>
          <w:p w14:paraId="32CAD84A">
            <w:pPr>
              <w:spacing w:line="360" w:lineRule="auto"/>
              <w:ind w:firstLine="422" w:firstLineChars="200"/>
              <w:jc w:val="center"/>
              <w:rPr>
                <w:b/>
                <w:bCs/>
                <w:color w:val="auto"/>
                <w:szCs w:val="21"/>
              </w:rPr>
            </w:pPr>
            <w:r>
              <w:rPr>
                <w:b/>
                <w:bCs/>
                <w:color w:val="auto"/>
                <w:szCs w:val="21"/>
              </w:rPr>
              <w:t>表4-</w:t>
            </w:r>
            <w:r>
              <w:rPr>
                <w:rFonts w:hint="eastAsia"/>
                <w:b/>
                <w:bCs/>
                <w:color w:val="auto"/>
                <w:szCs w:val="21"/>
                <w:lang w:val="en-US" w:eastAsia="zh-CN"/>
              </w:rPr>
              <w:t>5（1）</w:t>
            </w:r>
            <w:r>
              <w:rPr>
                <w:rFonts w:hint="eastAsia"/>
                <w:b/>
                <w:bCs/>
                <w:color w:val="auto"/>
                <w:szCs w:val="21"/>
              </w:rPr>
              <w:t>噪声污染源源强一览表（室内声源）</w:t>
            </w:r>
          </w:p>
          <w:tbl>
            <w:tblPr>
              <w:tblStyle w:val="2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29"/>
              <w:gridCol w:w="992"/>
              <w:gridCol w:w="663"/>
              <w:gridCol w:w="721"/>
              <w:gridCol w:w="540"/>
              <w:gridCol w:w="540"/>
              <w:gridCol w:w="555"/>
              <w:gridCol w:w="491"/>
              <w:gridCol w:w="717"/>
              <w:gridCol w:w="558"/>
              <w:gridCol w:w="772"/>
              <w:gridCol w:w="635"/>
              <w:gridCol w:w="839"/>
            </w:tblGrid>
            <w:tr w14:paraId="3BD1E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54" w:type="pct"/>
                  <w:vMerge w:val="restart"/>
                  <w:noWrap w:val="0"/>
                  <w:vAlign w:val="center"/>
                </w:tcPr>
                <w:p w14:paraId="4FF3823F">
                  <w:pPr>
                    <w:spacing w:line="240" w:lineRule="atLeast"/>
                    <w:ind w:left="-21" w:leftChars="-10" w:right="-21" w:rightChars="-10"/>
                    <w:jc w:val="center"/>
                    <w:rPr>
                      <w:color w:val="auto"/>
                      <w:szCs w:val="21"/>
                    </w:rPr>
                  </w:pPr>
                  <w:r>
                    <w:rPr>
                      <w:color w:val="auto"/>
                      <w:szCs w:val="21"/>
                    </w:rPr>
                    <w:t>序号</w:t>
                  </w:r>
                </w:p>
              </w:tc>
              <w:tc>
                <w:tcPr>
                  <w:tcW w:w="586" w:type="pct"/>
                  <w:vMerge w:val="restart"/>
                  <w:noWrap w:val="0"/>
                  <w:vAlign w:val="center"/>
                </w:tcPr>
                <w:p w14:paraId="0B2CD6FF">
                  <w:pPr>
                    <w:spacing w:line="240" w:lineRule="atLeast"/>
                    <w:ind w:left="-21" w:leftChars="-10" w:right="-21" w:rightChars="-10"/>
                    <w:jc w:val="center"/>
                    <w:rPr>
                      <w:color w:val="auto"/>
                      <w:szCs w:val="21"/>
                    </w:rPr>
                  </w:pPr>
                  <w:r>
                    <w:rPr>
                      <w:color w:val="auto"/>
                      <w:szCs w:val="21"/>
                    </w:rPr>
                    <w:t>声源名称</w:t>
                  </w:r>
                </w:p>
              </w:tc>
              <w:tc>
                <w:tcPr>
                  <w:tcW w:w="392" w:type="pct"/>
                  <w:vMerge w:val="restart"/>
                  <w:noWrap w:val="0"/>
                  <w:vAlign w:val="center"/>
                </w:tcPr>
                <w:p w14:paraId="1356466A">
                  <w:pPr>
                    <w:spacing w:line="240" w:lineRule="atLeast"/>
                    <w:ind w:left="-21" w:leftChars="-10" w:right="-21" w:rightChars="-10"/>
                    <w:jc w:val="center"/>
                    <w:rPr>
                      <w:color w:val="auto"/>
                      <w:szCs w:val="21"/>
                    </w:rPr>
                  </w:pPr>
                  <w:r>
                    <w:rPr>
                      <w:color w:val="auto"/>
                      <w:szCs w:val="21"/>
                    </w:rPr>
                    <w:t>声</w:t>
                  </w:r>
                  <w:r>
                    <w:rPr>
                      <w:rFonts w:hint="eastAsia"/>
                      <w:color w:val="auto"/>
                      <w:szCs w:val="21"/>
                    </w:rPr>
                    <w:t>功率</w:t>
                  </w:r>
                  <w:r>
                    <w:rPr>
                      <w:color w:val="auto"/>
                      <w:szCs w:val="21"/>
                    </w:rPr>
                    <w:t>级/dB(A)</w:t>
                  </w:r>
                </w:p>
              </w:tc>
              <w:tc>
                <w:tcPr>
                  <w:tcW w:w="426" w:type="pct"/>
                  <w:vMerge w:val="restart"/>
                  <w:noWrap w:val="0"/>
                  <w:vAlign w:val="center"/>
                </w:tcPr>
                <w:p w14:paraId="20B23F30">
                  <w:pPr>
                    <w:spacing w:line="240" w:lineRule="atLeast"/>
                    <w:ind w:left="-21" w:leftChars="-10" w:right="-21" w:rightChars="-10"/>
                    <w:jc w:val="center"/>
                    <w:rPr>
                      <w:color w:val="auto"/>
                      <w:szCs w:val="21"/>
                    </w:rPr>
                  </w:pPr>
                  <w:r>
                    <w:rPr>
                      <w:color w:val="auto"/>
                      <w:szCs w:val="21"/>
                    </w:rPr>
                    <w:t>声源控制措施</w:t>
                  </w:r>
                </w:p>
              </w:tc>
              <w:tc>
                <w:tcPr>
                  <w:tcW w:w="966" w:type="pct"/>
                  <w:gridSpan w:val="3"/>
                  <w:noWrap w:val="0"/>
                  <w:vAlign w:val="center"/>
                </w:tcPr>
                <w:p w14:paraId="6EB40A72">
                  <w:pPr>
                    <w:spacing w:line="240" w:lineRule="atLeast"/>
                    <w:ind w:left="-42" w:leftChars="-20" w:right="-42" w:rightChars="-20"/>
                    <w:jc w:val="center"/>
                    <w:rPr>
                      <w:color w:val="auto"/>
                      <w:szCs w:val="21"/>
                    </w:rPr>
                  </w:pPr>
                  <w:r>
                    <w:rPr>
                      <w:rFonts w:hint="eastAsia"/>
                      <w:color w:val="auto"/>
                      <w:szCs w:val="21"/>
                    </w:rPr>
                    <w:t>空间相对</w:t>
                  </w:r>
                  <w:r>
                    <w:rPr>
                      <w:color w:val="auto"/>
                      <w:szCs w:val="21"/>
                    </w:rPr>
                    <w:t>位置</w:t>
                  </w:r>
                  <w:r>
                    <w:rPr>
                      <w:rFonts w:hint="eastAsia"/>
                      <w:color w:val="auto"/>
                      <w:szCs w:val="21"/>
                    </w:rPr>
                    <w:t>/m</w:t>
                  </w:r>
                </w:p>
              </w:tc>
              <w:tc>
                <w:tcPr>
                  <w:tcW w:w="290" w:type="pct"/>
                  <w:vMerge w:val="restart"/>
                  <w:noWrap w:val="0"/>
                  <w:vAlign w:val="center"/>
                </w:tcPr>
                <w:p w14:paraId="6CCB304B">
                  <w:pPr>
                    <w:spacing w:line="240" w:lineRule="atLeast"/>
                    <w:ind w:left="-21" w:leftChars="-10" w:right="-21" w:rightChars="-10"/>
                    <w:jc w:val="center"/>
                    <w:rPr>
                      <w:color w:val="auto"/>
                      <w:szCs w:val="21"/>
                    </w:rPr>
                  </w:pPr>
                  <w:r>
                    <w:rPr>
                      <w:color w:val="auto"/>
                      <w:szCs w:val="21"/>
                    </w:rPr>
                    <w:t>距室内边界距离/m</w:t>
                  </w:r>
                </w:p>
              </w:tc>
              <w:tc>
                <w:tcPr>
                  <w:tcW w:w="424" w:type="pct"/>
                  <w:vMerge w:val="restart"/>
                  <w:noWrap w:val="0"/>
                  <w:vAlign w:val="center"/>
                </w:tcPr>
                <w:p w14:paraId="540018EA">
                  <w:pPr>
                    <w:spacing w:line="240" w:lineRule="atLeast"/>
                    <w:ind w:left="-21" w:leftChars="-10" w:right="-21" w:rightChars="-10"/>
                    <w:jc w:val="center"/>
                    <w:rPr>
                      <w:color w:val="auto"/>
                      <w:szCs w:val="21"/>
                    </w:rPr>
                  </w:pPr>
                  <w:r>
                    <w:rPr>
                      <w:color w:val="auto"/>
                      <w:szCs w:val="21"/>
                    </w:rPr>
                    <w:t>室内边界声级</w:t>
                  </w:r>
                </w:p>
                <w:p w14:paraId="13354BC3">
                  <w:pPr>
                    <w:spacing w:line="240" w:lineRule="atLeast"/>
                    <w:ind w:left="-21" w:leftChars="-10" w:right="-21" w:rightChars="-10"/>
                    <w:jc w:val="center"/>
                    <w:rPr>
                      <w:color w:val="auto"/>
                      <w:szCs w:val="21"/>
                    </w:rPr>
                  </w:pPr>
                  <w:r>
                    <w:rPr>
                      <w:color w:val="auto"/>
                      <w:szCs w:val="21"/>
                    </w:rPr>
                    <w:t>/dB(A)</w:t>
                  </w:r>
                </w:p>
              </w:tc>
              <w:tc>
                <w:tcPr>
                  <w:tcW w:w="330" w:type="pct"/>
                  <w:vMerge w:val="restart"/>
                  <w:noWrap w:val="0"/>
                  <w:vAlign w:val="center"/>
                </w:tcPr>
                <w:p w14:paraId="44D96047">
                  <w:pPr>
                    <w:spacing w:line="240" w:lineRule="atLeast"/>
                    <w:ind w:left="-21" w:leftChars="-10" w:right="-21" w:rightChars="-10"/>
                    <w:jc w:val="center"/>
                    <w:rPr>
                      <w:color w:val="auto"/>
                      <w:szCs w:val="21"/>
                    </w:rPr>
                  </w:pPr>
                  <w:r>
                    <w:rPr>
                      <w:color w:val="auto"/>
                      <w:szCs w:val="21"/>
                    </w:rPr>
                    <w:t>运行时段</w:t>
                  </w:r>
                </w:p>
              </w:tc>
              <w:tc>
                <w:tcPr>
                  <w:tcW w:w="456" w:type="pct"/>
                  <w:vMerge w:val="restart"/>
                  <w:noWrap w:val="0"/>
                  <w:vAlign w:val="center"/>
                </w:tcPr>
                <w:p w14:paraId="10CD12DB">
                  <w:pPr>
                    <w:spacing w:line="240" w:lineRule="atLeast"/>
                    <w:ind w:left="-21" w:leftChars="-10" w:right="-21" w:rightChars="-10"/>
                    <w:jc w:val="center"/>
                    <w:rPr>
                      <w:color w:val="auto"/>
                      <w:szCs w:val="21"/>
                    </w:rPr>
                  </w:pPr>
                  <w:r>
                    <w:rPr>
                      <w:color w:val="auto"/>
                      <w:szCs w:val="21"/>
                    </w:rPr>
                    <w:t>建筑物插入损失/dB(A)</w:t>
                  </w:r>
                </w:p>
              </w:tc>
              <w:tc>
                <w:tcPr>
                  <w:tcW w:w="871" w:type="pct"/>
                  <w:gridSpan w:val="2"/>
                  <w:noWrap w:val="0"/>
                  <w:vAlign w:val="center"/>
                </w:tcPr>
                <w:p w14:paraId="6D2D8D94">
                  <w:pPr>
                    <w:spacing w:line="240" w:lineRule="atLeast"/>
                    <w:ind w:left="-21" w:leftChars="-10" w:right="-21" w:rightChars="-10"/>
                    <w:jc w:val="center"/>
                    <w:rPr>
                      <w:color w:val="auto"/>
                      <w:szCs w:val="21"/>
                    </w:rPr>
                  </w:pPr>
                  <w:r>
                    <w:rPr>
                      <w:color w:val="auto"/>
                      <w:szCs w:val="21"/>
                    </w:rPr>
                    <w:t>建筑物外噪声</w:t>
                  </w:r>
                </w:p>
              </w:tc>
            </w:tr>
            <w:tr w14:paraId="7DCE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54" w:type="pct"/>
                  <w:vMerge w:val="continue"/>
                  <w:noWrap w:val="0"/>
                  <w:vAlign w:val="center"/>
                </w:tcPr>
                <w:p w14:paraId="1FD99F78">
                  <w:pPr>
                    <w:spacing w:line="240" w:lineRule="atLeast"/>
                    <w:ind w:left="-21" w:leftChars="-10" w:right="-21" w:rightChars="-10"/>
                    <w:jc w:val="center"/>
                    <w:rPr>
                      <w:color w:val="auto"/>
                      <w:szCs w:val="21"/>
                    </w:rPr>
                  </w:pPr>
                </w:p>
              </w:tc>
              <w:tc>
                <w:tcPr>
                  <w:tcW w:w="586" w:type="pct"/>
                  <w:vMerge w:val="continue"/>
                  <w:noWrap w:val="0"/>
                  <w:vAlign w:val="center"/>
                </w:tcPr>
                <w:p w14:paraId="3FA1BF8C">
                  <w:pPr>
                    <w:spacing w:line="240" w:lineRule="atLeast"/>
                    <w:ind w:left="-21" w:leftChars="-10" w:right="-21" w:rightChars="-10"/>
                    <w:jc w:val="center"/>
                    <w:rPr>
                      <w:color w:val="auto"/>
                      <w:szCs w:val="21"/>
                    </w:rPr>
                  </w:pPr>
                </w:p>
              </w:tc>
              <w:tc>
                <w:tcPr>
                  <w:tcW w:w="392" w:type="pct"/>
                  <w:vMerge w:val="continue"/>
                  <w:noWrap w:val="0"/>
                  <w:vAlign w:val="center"/>
                </w:tcPr>
                <w:p w14:paraId="2DF5020F">
                  <w:pPr>
                    <w:spacing w:line="240" w:lineRule="atLeast"/>
                    <w:ind w:left="-21" w:leftChars="-10" w:right="-21" w:rightChars="-10"/>
                    <w:jc w:val="center"/>
                    <w:rPr>
                      <w:color w:val="auto"/>
                      <w:szCs w:val="21"/>
                    </w:rPr>
                  </w:pPr>
                </w:p>
              </w:tc>
              <w:tc>
                <w:tcPr>
                  <w:tcW w:w="426" w:type="pct"/>
                  <w:vMerge w:val="continue"/>
                  <w:noWrap w:val="0"/>
                  <w:vAlign w:val="center"/>
                </w:tcPr>
                <w:p w14:paraId="1C85599F">
                  <w:pPr>
                    <w:spacing w:line="240" w:lineRule="atLeast"/>
                    <w:ind w:left="-21" w:leftChars="-10" w:right="-21" w:rightChars="-10"/>
                    <w:jc w:val="center"/>
                    <w:rPr>
                      <w:color w:val="auto"/>
                      <w:szCs w:val="21"/>
                    </w:rPr>
                  </w:pPr>
                </w:p>
              </w:tc>
              <w:tc>
                <w:tcPr>
                  <w:tcW w:w="319" w:type="pct"/>
                  <w:noWrap w:val="0"/>
                  <w:vAlign w:val="center"/>
                </w:tcPr>
                <w:p w14:paraId="406A2BCD">
                  <w:pPr>
                    <w:spacing w:line="240" w:lineRule="atLeast"/>
                    <w:ind w:left="-42" w:leftChars="-20" w:right="-42" w:rightChars="-20"/>
                    <w:jc w:val="center"/>
                    <w:rPr>
                      <w:color w:val="auto"/>
                      <w:szCs w:val="21"/>
                    </w:rPr>
                  </w:pPr>
                  <w:r>
                    <w:rPr>
                      <w:rFonts w:hint="eastAsia"/>
                      <w:i/>
                      <w:iCs/>
                      <w:color w:val="auto"/>
                      <w:szCs w:val="21"/>
                    </w:rPr>
                    <w:t>X</w:t>
                  </w:r>
                </w:p>
              </w:tc>
              <w:tc>
                <w:tcPr>
                  <w:tcW w:w="319" w:type="pct"/>
                  <w:noWrap w:val="0"/>
                  <w:vAlign w:val="center"/>
                </w:tcPr>
                <w:p w14:paraId="5D91986D">
                  <w:pPr>
                    <w:spacing w:line="240" w:lineRule="atLeast"/>
                    <w:ind w:left="-42" w:leftChars="-20" w:right="-42" w:rightChars="-20"/>
                    <w:jc w:val="center"/>
                    <w:rPr>
                      <w:color w:val="auto"/>
                      <w:szCs w:val="21"/>
                    </w:rPr>
                  </w:pPr>
                  <w:r>
                    <w:rPr>
                      <w:rFonts w:hint="eastAsia"/>
                      <w:i/>
                      <w:iCs/>
                      <w:color w:val="auto"/>
                      <w:szCs w:val="21"/>
                    </w:rPr>
                    <w:t>Y</w:t>
                  </w:r>
                </w:p>
              </w:tc>
              <w:tc>
                <w:tcPr>
                  <w:tcW w:w="327" w:type="pct"/>
                  <w:noWrap w:val="0"/>
                  <w:vAlign w:val="center"/>
                </w:tcPr>
                <w:p w14:paraId="78776C38">
                  <w:pPr>
                    <w:spacing w:line="240" w:lineRule="atLeast"/>
                    <w:ind w:left="-42" w:leftChars="-20" w:right="-42" w:rightChars="-20"/>
                    <w:jc w:val="center"/>
                    <w:rPr>
                      <w:color w:val="auto"/>
                      <w:szCs w:val="21"/>
                    </w:rPr>
                  </w:pPr>
                  <w:r>
                    <w:rPr>
                      <w:rFonts w:hint="eastAsia"/>
                      <w:i/>
                      <w:iCs/>
                      <w:color w:val="auto"/>
                      <w:szCs w:val="21"/>
                    </w:rPr>
                    <w:t>Z</w:t>
                  </w:r>
                </w:p>
              </w:tc>
              <w:tc>
                <w:tcPr>
                  <w:tcW w:w="290" w:type="pct"/>
                  <w:vMerge w:val="continue"/>
                  <w:noWrap w:val="0"/>
                  <w:vAlign w:val="center"/>
                </w:tcPr>
                <w:p w14:paraId="12C5DC0B">
                  <w:pPr>
                    <w:spacing w:line="240" w:lineRule="atLeast"/>
                    <w:ind w:left="-21" w:leftChars="-10" w:right="-21" w:rightChars="-10"/>
                    <w:jc w:val="center"/>
                    <w:rPr>
                      <w:color w:val="auto"/>
                      <w:szCs w:val="21"/>
                    </w:rPr>
                  </w:pPr>
                </w:p>
              </w:tc>
              <w:tc>
                <w:tcPr>
                  <w:tcW w:w="424" w:type="pct"/>
                  <w:vMerge w:val="continue"/>
                  <w:noWrap w:val="0"/>
                  <w:vAlign w:val="center"/>
                </w:tcPr>
                <w:p w14:paraId="25F5A537">
                  <w:pPr>
                    <w:spacing w:line="240" w:lineRule="atLeast"/>
                    <w:ind w:left="-21" w:leftChars="-10" w:right="-21" w:rightChars="-10"/>
                    <w:jc w:val="center"/>
                    <w:rPr>
                      <w:color w:val="auto"/>
                      <w:szCs w:val="21"/>
                    </w:rPr>
                  </w:pPr>
                </w:p>
              </w:tc>
              <w:tc>
                <w:tcPr>
                  <w:tcW w:w="330" w:type="pct"/>
                  <w:vMerge w:val="continue"/>
                  <w:noWrap w:val="0"/>
                  <w:vAlign w:val="center"/>
                </w:tcPr>
                <w:p w14:paraId="203AC417">
                  <w:pPr>
                    <w:spacing w:line="240" w:lineRule="atLeast"/>
                    <w:ind w:left="-21" w:leftChars="-10" w:right="-21" w:rightChars="-10"/>
                    <w:jc w:val="center"/>
                    <w:rPr>
                      <w:color w:val="auto"/>
                      <w:szCs w:val="21"/>
                    </w:rPr>
                  </w:pPr>
                </w:p>
              </w:tc>
              <w:tc>
                <w:tcPr>
                  <w:tcW w:w="456" w:type="pct"/>
                  <w:vMerge w:val="continue"/>
                  <w:noWrap w:val="0"/>
                  <w:vAlign w:val="center"/>
                </w:tcPr>
                <w:p w14:paraId="09AFB333">
                  <w:pPr>
                    <w:spacing w:line="240" w:lineRule="atLeast"/>
                    <w:ind w:left="-21" w:leftChars="-10" w:right="-21" w:rightChars="-10"/>
                    <w:jc w:val="center"/>
                    <w:rPr>
                      <w:color w:val="auto"/>
                      <w:szCs w:val="21"/>
                    </w:rPr>
                  </w:pPr>
                </w:p>
              </w:tc>
              <w:tc>
                <w:tcPr>
                  <w:tcW w:w="375" w:type="pct"/>
                  <w:noWrap w:val="0"/>
                  <w:vAlign w:val="center"/>
                </w:tcPr>
                <w:p w14:paraId="2F5EAE9C">
                  <w:pPr>
                    <w:spacing w:line="240" w:lineRule="atLeast"/>
                    <w:ind w:left="-21" w:leftChars="-10" w:right="-21" w:rightChars="-10"/>
                    <w:jc w:val="center"/>
                    <w:rPr>
                      <w:color w:val="auto"/>
                      <w:szCs w:val="21"/>
                    </w:rPr>
                  </w:pPr>
                  <w:r>
                    <w:rPr>
                      <w:color w:val="auto"/>
                      <w:szCs w:val="21"/>
                    </w:rPr>
                    <w:t>声压级</w:t>
                  </w:r>
                </w:p>
                <w:p w14:paraId="2351A603">
                  <w:pPr>
                    <w:spacing w:line="240" w:lineRule="atLeast"/>
                    <w:ind w:left="-21" w:leftChars="-10" w:right="-21" w:rightChars="-10"/>
                    <w:jc w:val="center"/>
                    <w:rPr>
                      <w:color w:val="auto"/>
                      <w:szCs w:val="21"/>
                    </w:rPr>
                  </w:pPr>
                  <w:r>
                    <w:rPr>
                      <w:color w:val="auto"/>
                      <w:szCs w:val="21"/>
                    </w:rPr>
                    <w:t>/dB(A)</w:t>
                  </w:r>
                </w:p>
              </w:tc>
              <w:tc>
                <w:tcPr>
                  <w:tcW w:w="496" w:type="pct"/>
                  <w:noWrap w:val="0"/>
                  <w:vAlign w:val="center"/>
                </w:tcPr>
                <w:p w14:paraId="5361EFED">
                  <w:pPr>
                    <w:spacing w:line="240" w:lineRule="atLeast"/>
                    <w:ind w:left="-21" w:leftChars="-10" w:right="-21" w:rightChars="-10"/>
                    <w:jc w:val="center"/>
                    <w:rPr>
                      <w:color w:val="auto"/>
                      <w:szCs w:val="21"/>
                    </w:rPr>
                  </w:pPr>
                  <w:r>
                    <w:rPr>
                      <w:color w:val="auto"/>
                      <w:szCs w:val="21"/>
                    </w:rPr>
                    <w:t>建筑物外距离</w:t>
                  </w:r>
                  <w:r>
                    <w:rPr>
                      <w:rFonts w:hint="eastAsia"/>
                      <w:color w:val="auto"/>
                      <w:szCs w:val="21"/>
                    </w:rPr>
                    <w:t>/m</w:t>
                  </w:r>
                </w:p>
              </w:tc>
            </w:tr>
            <w:tr w14:paraId="1D6D0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54" w:type="pct"/>
                  <w:noWrap w:val="0"/>
                  <w:vAlign w:val="center"/>
                </w:tcPr>
                <w:p w14:paraId="02D4C1AE">
                  <w:pPr>
                    <w:spacing w:line="240" w:lineRule="atLeast"/>
                    <w:ind w:left="-21" w:leftChars="-10" w:right="-21" w:rightChars="-10"/>
                    <w:jc w:val="center"/>
                    <w:rPr>
                      <w:color w:val="auto"/>
                      <w:szCs w:val="21"/>
                    </w:rPr>
                  </w:pPr>
                  <w:r>
                    <w:rPr>
                      <w:color w:val="auto"/>
                      <w:szCs w:val="21"/>
                    </w:rPr>
                    <w:t>1</w:t>
                  </w:r>
                </w:p>
              </w:tc>
              <w:tc>
                <w:tcPr>
                  <w:tcW w:w="586" w:type="pct"/>
                  <w:noWrap w:val="0"/>
                  <w:vAlign w:val="center"/>
                </w:tcPr>
                <w:p w14:paraId="328AEF7A">
                  <w:pPr>
                    <w:spacing w:line="240" w:lineRule="atLeast"/>
                    <w:ind w:left="-21" w:leftChars="-10" w:right="-21" w:rightChars="-10"/>
                    <w:jc w:val="center"/>
                    <w:rPr>
                      <w:color w:val="auto"/>
                      <w:szCs w:val="21"/>
                    </w:rPr>
                  </w:pPr>
                  <w:r>
                    <w:rPr>
                      <w:rFonts w:hint="eastAsia"/>
                      <w:color w:val="auto"/>
                      <w:szCs w:val="21"/>
                    </w:rPr>
                    <w:t>汽轮机</w:t>
                  </w:r>
                </w:p>
              </w:tc>
              <w:tc>
                <w:tcPr>
                  <w:tcW w:w="392" w:type="pct"/>
                  <w:noWrap w:val="0"/>
                  <w:vAlign w:val="center"/>
                </w:tcPr>
                <w:p w14:paraId="6794EC75">
                  <w:pPr>
                    <w:spacing w:line="240" w:lineRule="atLeast"/>
                    <w:ind w:left="-105" w:leftChars="-50" w:right="-105" w:rightChars="-50"/>
                    <w:jc w:val="center"/>
                    <w:rPr>
                      <w:color w:val="auto"/>
                      <w:szCs w:val="21"/>
                    </w:rPr>
                  </w:pPr>
                  <w:r>
                    <w:rPr>
                      <w:rFonts w:hint="eastAsia"/>
                      <w:color w:val="auto"/>
                      <w:szCs w:val="21"/>
                    </w:rPr>
                    <w:t>100</w:t>
                  </w:r>
                </w:p>
              </w:tc>
              <w:tc>
                <w:tcPr>
                  <w:tcW w:w="426" w:type="pct"/>
                  <w:vMerge w:val="restart"/>
                  <w:noWrap w:val="0"/>
                  <w:vAlign w:val="center"/>
                </w:tcPr>
                <w:p w14:paraId="717E9953">
                  <w:pPr>
                    <w:spacing w:line="240" w:lineRule="atLeast"/>
                    <w:jc w:val="center"/>
                    <w:rPr>
                      <w:color w:val="auto"/>
                      <w:szCs w:val="21"/>
                    </w:rPr>
                  </w:pPr>
                  <w:r>
                    <w:rPr>
                      <w:rFonts w:hint="eastAsia"/>
                      <w:color w:val="auto"/>
                      <w:szCs w:val="21"/>
                    </w:rPr>
                    <w:t>低噪声设备、基础减振、厂房隔声</w:t>
                  </w:r>
                </w:p>
              </w:tc>
              <w:tc>
                <w:tcPr>
                  <w:tcW w:w="319" w:type="pct"/>
                  <w:noWrap w:val="0"/>
                  <w:vAlign w:val="center"/>
                </w:tcPr>
                <w:p w14:paraId="0EA73FEC">
                  <w:pPr>
                    <w:spacing w:line="240" w:lineRule="atLeast"/>
                    <w:ind w:left="-21" w:leftChars="-10" w:right="-21" w:rightChars="-10"/>
                    <w:jc w:val="center"/>
                    <w:rPr>
                      <w:rFonts w:hint="default" w:eastAsia="宋体"/>
                      <w:color w:val="auto"/>
                      <w:szCs w:val="21"/>
                      <w:lang w:val="en-US" w:eastAsia="zh-CN"/>
                    </w:rPr>
                  </w:pPr>
                  <w:r>
                    <w:rPr>
                      <w:rFonts w:hint="eastAsia"/>
                      <w:color w:val="auto"/>
                      <w:szCs w:val="21"/>
                      <w:lang w:val="en-US" w:eastAsia="zh-CN"/>
                    </w:rPr>
                    <w:t>45</w:t>
                  </w:r>
                </w:p>
              </w:tc>
              <w:tc>
                <w:tcPr>
                  <w:tcW w:w="319" w:type="pct"/>
                  <w:noWrap w:val="0"/>
                  <w:vAlign w:val="center"/>
                </w:tcPr>
                <w:p w14:paraId="48A07F37">
                  <w:pPr>
                    <w:spacing w:line="240" w:lineRule="atLeast"/>
                    <w:ind w:left="-21" w:leftChars="-10" w:right="-21" w:rightChars="-10"/>
                    <w:jc w:val="center"/>
                    <w:rPr>
                      <w:rFonts w:hint="default" w:eastAsia="宋体"/>
                      <w:color w:val="auto"/>
                      <w:szCs w:val="21"/>
                      <w:lang w:val="en-US" w:eastAsia="zh-CN"/>
                    </w:rPr>
                  </w:pPr>
                  <w:r>
                    <w:rPr>
                      <w:rFonts w:hint="eastAsia"/>
                      <w:color w:val="auto"/>
                      <w:szCs w:val="21"/>
                      <w:lang w:val="en-US" w:eastAsia="zh-CN"/>
                    </w:rPr>
                    <w:t>45</w:t>
                  </w:r>
                </w:p>
              </w:tc>
              <w:tc>
                <w:tcPr>
                  <w:tcW w:w="327" w:type="pct"/>
                  <w:noWrap w:val="0"/>
                  <w:vAlign w:val="center"/>
                </w:tcPr>
                <w:p w14:paraId="5AED88F8">
                  <w:pPr>
                    <w:spacing w:line="240" w:lineRule="atLeast"/>
                    <w:ind w:left="-21" w:leftChars="-10" w:right="-21" w:rightChars="-10"/>
                    <w:jc w:val="center"/>
                    <w:rPr>
                      <w:color w:val="auto"/>
                      <w:szCs w:val="21"/>
                    </w:rPr>
                  </w:pPr>
                  <w:r>
                    <w:rPr>
                      <w:rFonts w:hint="eastAsia"/>
                      <w:color w:val="auto"/>
                      <w:szCs w:val="21"/>
                    </w:rPr>
                    <w:t>1</w:t>
                  </w:r>
                </w:p>
              </w:tc>
              <w:tc>
                <w:tcPr>
                  <w:tcW w:w="290" w:type="pct"/>
                  <w:noWrap w:val="0"/>
                  <w:vAlign w:val="center"/>
                </w:tcPr>
                <w:p w14:paraId="44A053FB">
                  <w:pPr>
                    <w:spacing w:line="240" w:lineRule="atLeast"/>
                    <w:ind w:left="-21" w:leftChars="-10" w:right="-21" w:rightChars="-10"/>
                    <w:jc w:val="center"/>
                    <w:rPr>
                      <w:color w:val="auto"/>
                      <w:szCs w:val="21"/>
                    </w:rPr>
                  </w:pPr>
                  <w:r>
                    <w:rPr>
                      <w:rFonts w:hint="eastAsia"/>
                      <w:color w:val="auto"/>
                      <w:szCs w:val="21"/>
                    </w:rPr>
                    <w:t>1</w:t>
                  </w:r>
                </w:p>
              </w:tc>
              <w:tc>
                <w:tcPr>
                  <w:tcW w:w="424" w:type="pct"/>
                  <w:noWrap w:val="0"/>
                  <w:vAlign w:val="center"/>
                </w:tcPr>
                <w:p w14:paraId="418DE56C">
                  <w:pPr>
                    <w:spacing w:line="240" w:lineRule="atLeast"/>
                    <w:ind w:left="-21" w:leftChars="-10" w:right="-21" w:rightChars="-10"/>
                    <w:jc w:val="center"/>
                    <w:rPr>
                      <w:color w:val="auto"/>
                      <w:szCs w:val="21"/>
                    </w:rPr>
                  </w:pPr>
                  <w:r>
                    <w:rPr>
                      <w:rFonts w:hint="eastAsia"/>
                      <w:color w:val="auto"/>
                      <w:szCs w:val="21"/>
                    </w:rPr>
                    <w:t>100</w:t>
                  </w:r>
                </w:p>
              </w:tc>
              <w:tc>
                <w:tcPr>
                  <w:tcW w:w="330" w:type="pct"/>
                  <w:noWrap w:val="0"/>
                  <w:vAlign w:val="center"/>
                </w:tcPr>
                <w:p w14:paraId="7CDD2E17">
                  <w:pPr>
                    <w:spacing w:line="240" w:lineRule="atLeast"/>
                    <w:ind w:left="-21" w:leftChars="-10" w:right="-21" w:rightChars="-10"/>
                    <w:jc w:val="center"/>
                    <w:rPr>
                      <w:color w:val="auto"/>
                      <w:szCs w:val="21"/>
                    </w:rPr>
                  </w:pPr>
                  <w:r>
                    <w:rPr>
                      <w:rFonts w:hint="eastAsia"/>
                      <w:color w:val="auto"/>
                      <w:szCs w:val="21"/>
                    </w:rPr>
                    <w:t>全天</w:t>
                  </w:r>
                </w:p>
              </w:tc>
              <w:tc>
                <w:tcPr>
                  <w:tcW w:w="456" w:type="pct"/>
                  <w:noWrap w:val="0"/>
                  <w:vAlign w:val="center"/>
                </w:tcPr>
                <w:p w14:paraId="0DE93B4F">
                  <w:pPr>
                    <w:spacing w:line="240" w:lineRule="atLeast"/>
                    <w:ind w:left="-21" w:leftChars="-10" w:right="-21" w:rightChars="-10"/>
                    <w:jc w:val="center"/>
                    <w:rPr>
                      <w:color w:val="auto"/>
                      <w:szCs w:val="21"/>
                    </w:rPr>
                  </w:pPr>
                  <w:r>
                    <w:rPr>
                      <w:rFonts w:hint="eastAsia"/>
                      <w:color w:val="auto"/>
                      <w:szCs w:val="21"/>
                    </w:rPr>
                    <w:t>25</w:t>
                  </w:r>
                </w:p>
              </w:tc>
              <w:tc>
                <w:tcPr>
                  <w:tcW w:w="375" w:type="pct"/>
                  <w:noWrap w:val="0"/>
                  <w:vAlign w:val="center"/>
                </w:tcPr>
                <w:p w14:paraId="1A277AB0">
                  <w:pPr>
                    <w:spacing w:line="240" w:lineRule="atLeast"/>
                    <w:ind w:left="-21" w:leftChars="-10" w:right="-21" w:rightChars="-10"/>
                    <w:jc w:val="center"/>
                    <w:rPr>
                      <w:color w:val="auto"/>
                      <w:szCs w:val="21"/>
                    </w:rPr>
                  </w:pPr>
                  <w:r>
                    <w:rPr>
                      <w:rFonts w:hint="eastAsia"/>
                      <w:color w:val="auto"/>
                      <w:szCs w:val="21"/>
                    </w:rPr>
                    <w:t>75</w:t>
                  </w:r>
                </w:p>
              </w:tc>
              <w:tc>
                <w:tcPr>
                  <w:tcW w:w="496" w:type="pct"/>
                  <w:noWrap w:val="0"/>
                  <w:vAlign w:val="center"/>
                </w:tcPr>
                <w:p w14:paraId="560EF9EB">
                  <w:pPr>
                    <w:spacing w:line="240" w:lineRule="atLeast"/>
                    <w:ind w:left="-21" w:leftChars="-10" w:right="-21" w:rightChars="-10"/>
                    <w:jc w:val="center"/>
                    <w:rPr>
                      <w:color w:val="auto"/>
                      <w:szCs w:val="21"/>
                    </w:rPr>
                  </w:pPr>
                  <w:r>
                    <w:rPr>
                      <w:rFonts w:hint="eastAsia"/>
                      <w:color w:val="auto"/>
                      <w:szCs w:val="21"/>
                    </w:rPr>
                    <w:t>1</w:t>
                  </w:r>
                </w:p>
              </w:tc>
            </w:tr>
            <w:tr w14:paraId="158F5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54" w:type="pct"/>
                  <w:noWrap w:val="0"/>
                  <w:vAlign w:val="center"/>
                </w:tcPr>
                <w:p w14:paraId="61B306AB">
                  <w:pPr>
                    <w:spacing w:line="240" w:lineRule="atLeast"/>
                    <w:ind w:left="-21" w:leftChars="-10" w:right="-21" w:rightChars="-10"/>
                    <w:jc w:val="center"/>
                    <w:rPr>
                      <w:color w:val="auto"/>
                      <w:szCs w:val="21"/>
                    </w:rPr>
                  </w:pPr>
                  <w:r>
                    <w:rPr>
                      <w:rFonts w:hint="eastAsia"/>
                      <w:color w:val="auto"/>
                      <w:szCs w:val="21"/>
                    </w:rPr>
                    <w:t>2</w:t>
                  </w:r>
                </w:p>
              </w:tc>
              <w:tc>
                <w:tcPr>
                  <w:tcW w:w="586" w:type="pct"/>
                  <w:noWrap w:val="0"/>
                  <w:vAlign w:val="center"/>
                </w:tcPr>
                <w:p w14:paraId="055A69F6">
                  <w:pPr>
                    <w:spacing w:line="240" w:lineRule="atLeast"/>
                    <w:ind w:left="-21" w:leftChars="-10" w:right="-21" w:rightChars="-10"/>
                    <w:jc w:val="center"/>
                    <w:rPr>
                      <w:color w:val="auto"/>
                      <w:kern w:val="0"/>
                      <w:szCs w:val="21"/>
                    </w:rPr>
                  </w:pPr>
                  <w:r>
                    <w:rPr>
                      <w:rFonts w:hint="eastAsia"/>
                      <w:color w:val="auto"/>
                    </w:rPr>
                    <w:t>给水泵</w:t>
                  </w:r>
                </w:p>
              </w:tc>
              <w:tc>
                <w:tcPr>
                  <w:tcW w:w="392" w:type="pct"/>
                  <w:noWrap w:val="0"/>
                  <w:vAlign w:val="center"/>
                </w:tcPr>
                <w:p w14:paraId="61009094">
                  <w:pPr>
                    <w:spacing w:line="240" w:lineRule="atLeast"/>
                    <w:ind w:left="-105" w:leftChars="-50" w:right="-105" w:rightChars="-50"/>
                    <w:jc w:val="center"/>
                    <w:rPr>
                      <w:color w:val="auto"/>
                      <w:szCs w:val="21"/>
                    </w:rPr>
                  </w:pPr>
                  <w:r>
                    <w:rPr>
                      <w:rFonts w:hint="eastAsia"/>
                      <w:color w:val="auto"/>
                      <w:szCs w:val="21"/>
                    </w:rPr>
                    <w:t>90</w:t>
                  </w:r>
                </w:p>
              </w:tc>
              <w:tc>
                <w:tcPr>
                  <w:tcW w:w="426" w:type="pct"/>
                  <w:vMerge w:val="continue"/>
                  <w:noWrap w:val="0"/>
                  <w:vAlign w:val="center"/>
                </w:tcPr>
                <w:p w14:paraId="664687EF">
                  <w:pPr>
                    <w:spacing w:line="240" w:lineRule="atLeast"/>
                    <w:jc w:val="center"/>
                    <w:rPr>
                      <w:color w:val="auto"/>
                      <w:szCs w:val="21"/>
                    </w:rPr>
                  </w:pPr>
                </w:p>
              </w:tc>
              <w:tc>
                <w:tcPr>
                  <w:tcW w:w="319" w:type="pct"/>
                  <w:noWrap w:val="0"/>
                  <w:vAlign w:val="center"/>
                </w:tcPr>
                <w:p w14:paraId="5C55EFFC">
                  <w:pPr>
                    <w:spacing w:line="240" w:lineRule="atLeast"/>
                    <w:ind w:left="-21" w:leftChars="-10" w:right="-21" w:rightChars="-10"/>
                    <w:jc w:val="center"/>
                    <w:rPr>
                      <w:color w:val="auto"/>
                      <w:szCs w:val="21"/>
                    </w:rPr>
                  </w:pPr>
                  <w:r>
                    <w:rPr>
                      <w:rFonts w:hint="eastAsia"/>
                      <w:color w:val="auto"/>
                      <w:szCs w:val="21"/>
                    </w:rPr>
                    <w:t>55</w:t>
                  </w:r>
                </w:p>
              </w:tc>
              <w:tc>
                <w:tcPr>
                  <w:tcW w:w="319" w:type="pct"/>
                  <w:noWrap w:val="0"/>
                  <w:vAlign w:val="center"/>
                </w:tcPr>
                <w:p w14:paraId="2DA02E61">
                  <w:pPr>
                    <w:spacing w:line="240" w:lineRule="atLeast"/>
                    <w:ind w:left="-21" w:leftChars="-10" w:right="-21" w:rightChars="-10"/>
                    <w:jc w:val="center"/>
                    <w:rPr>
                      <w:color w:val="auto"/>
                      <w:szCs w:val="21"/>
                    </w:rPr>
                  </w:pPr>
                  <w:r>
                    <w:rPr>
                      <w:rFonts w:hint="eastAsia"/>
                      <w:color w:val="auto"/>
                      <w:szCs w:val="21"/>
                    </w:rPr>
                    <w:t>78</w:t>
                  </w:r>
                </w:p>
              </w:tc>
              <w:tc>
                <w:tcPr>
                  <w:tcW w:w="327" w:type="pct"/>
                  <w:noWrap w:val="0"/>
                  <w:vAlign w:val="center"/>
                </w:tcPr>
                <w:p w14:paraId="2C9F6F2B">
                  <w:pPr>
                    <w:spacing w:line="240" w:lineRule="atLeast"/>
                    <w:ind w:left="-21" w:leftChars="-10" w:right="-21" w:rightChars="-10"/>
                    <w:jc w:val="center"/>
                    <w:rPr>
                      <w:color w:val="auto"/>
                      <w:szCs w:val="21"/>
                    </w:rPr>
                  </w:pPr>
                  <w:r>
                    <w:rPr>
                      <w:rFonts w:hint="eastAsia"/>
                      <w:color w:val="auto"/>
                      <w:szCs w:val="21"/>
                    </w:rPr>
                    <w:t>1</w:t>
                  </w:r>
                </w:p>
              </w:tc>
              <w:tc>
                <w:tcPr>
                  <w:tcW w:w="290" w:type="pct"/>
                  <w:noWrap w:val="0"/>
                  <w:vAlign w:val="center"/>
                </w:tcPr>
                <w:p w14:paraId="71FF867E">
                  <w:pPr>
                    <w:spacing w:line="240" w:lineRule="atLeast"/>
                    <w:ind w:left="-21" w:leftChars="-10" w:right="-21" w:rightChars="-10"/>
                    <w:jc w:val="center"/>
                    <w:rPr>
                      <w:color w:val="auto"/>
                      <w:szCs w:val="21"/>
                    </w:rPr>
                  </w:pPr>
                  <w:r>
                    <w:rPr>
                      <w:rFonts w:hint="eastAsia"/>
                      <w:color w:val="auto"/>
                      <w:szCs w:val="21"/>
                    </w:rPr>
                    <w:t>1</w:t>
                  </w:r>
                </w:p>
              </w:tc>
              <w:tc>
                <w:tcPr>
                  <w:tcW w:w="424" w:type="pct"/>
                  <w:noWrap w:val="0"/>
                  <w:vAlign w:val="center"/>
                </w:tcPr>
                <w:p w14:paraId="290D134E">
                  <w:pPr>
                    <w:spacing w:line="240" w:lineRule="atLeast"/>
                    <w:ind w:left="-21" w:leftChars="-10" w:right="-21" w:rightChars="-10"/>
                    <w:jc w:val="center"/>
                    <w:rPr>
                      <w:color w:val="auto"/>
                      <w:szCs w:val="21"/>
                    </w:rPr>
                  </w:pPr>
                  <w:r>
                    <w:rPr>
                      <w:rFonts w:hint="eastAsia"/>
                      <w:color w:val="auto"/>
                      <w:szCs w:val="21"/>
                    </w:rPr>
                    <w:t>90</w:t>
                  </w:r>
                </w:p>
              </w:tc>
              <w:tc>
                <w:tcPr>
                  <w:tcW w:w="330" w:type="pct"/>
                  <w:noWrap w:val="0"/>
                  <w:vAlign w:val="center"/>
                </w:tcPr>
                <w:p w14:paraId="06B7CC32">
                  <w:pPr>
                    <w:spacing w:line="240" w:lineRule="atLeast"/>
                    <w:ind w:left="-21" w:leftChars="-10" w:right="-21" w:rightChars="-10"/>
                    <w:jc w:val="center"/>
                    <w:rPr>
                      <w:color w:val="auto"/>
                      <w:szCs w:val="21"/>
                    </w:rPr>
                  </w:pPr>
                  <w:r>
                    <w:rPr>
                      <w:rFonts w:hint="eastAsia"/>
                      <w:color w:val="auto"/>
                      <w:szCs w:val="21"/>
                    </w:rPr>
                    <w:t>全天</w:t>
                  </w:r>
                </w:p>
              </w:tc>
              <w:tc>
                <w:tcPr>
                  <w:tcW w:w="456" w:type="pct"/>
                  <w:noWrap w:val="0"/>
                  <w:vAlign w:val="center"/>
                </w:tcPr>
                <w:p w14:paraId="76EF1613">
                  <w:pPr>
                    <w:spacing w:line="240" w:lineRule="atLeast"/>
                    <w:ind w:left="-21" w:leftChars="-10" w:right="-21" w:rightChars="-10"/>
                    <w:jc w:val="center"/>
                    <w:rPr>
                      <w:rFonts w:hint="default" w:eastAsia="宋体"/>
                      <w:color w:val="auto"/>
                      <w:szCs w:val="21"/>
                      <w:lang w:val="en-US" w:eastAsia="zh-CN"/>
                    </w:rPr>
                  </w:pPr>
                  <w:r>
                    <w:rPr>
                      <w:rFonts w:hint="eastAsia"/>
                      <w:color w:val="auto"/>
                      <w:szCs w:val="21"/>
                      <w:lang w:eastAsia="zh-CN"/>
                    </w:rPr>
                    <w:t>2</w:t>
                  </w:r>
                  <w:r>
                    <w:rPr>
                      <w:rFonts w:hint="eastAsia"/>
                      <w:color w:val="auto"/>
                      <w:szCs w:val="21"/>
                      <w:lang w:val="en-US" w:eastAsia="zh-CN"/>
                    </w:rPr>
                    <w:t>0</w:t>
                  </w:r>
                </w:p>
              </w:tc>
              <w:tc>
                <w:tcPr>
                  <w:tcW w:w="375" w:type="pct"/>
                  <w:noWrap w:val="0"/>
                  <w:vAlign w:val="center"/>
                </w:tcPr>
                <w:p w14:paraId="5E24B04D">
                  <w:pPr>
                    <w:spacing w:line="240" w:lineRule="atLeast"/>
                    <w:ind w:left="-21" w:leftChars="-10" w:right="-21" w:rightChars="-10"/>
                    <w:jc w:val="center"/>
                    <w:rPr>
                      <w:color w:val="auto"/>
                      <w:szCs w:val="21"/>
                    </w:rPr>
                  </w:pPr>
                  <w:r>
                    <w:rPr>
                      <w:rFonts w:hint="eastAsia"/>
                      <w:color w:val="auto"/>
                      <w:szCs w:val="21"/>
                    </w:rPr>
                    <w:t>70</w:t>
                  </w:r>
                </w:p>
              </w:tc>
              <w:tc>
                <w:tcPr>
                  <w:tcW w:w="496" w:type="pct"/>
                  <w:noWrap w:val="0"/>
                  <w:vAlign w:val="center"/>
                </w:tcPr>
                <w:p w14:paraId="0C6061F5">
                  <w:pPr>
                    <w:spacing w:line="240" w:lineRule="atLeast"/>
                    <w:ind w:left="-21" w:leftChars="-10" w:right="-21" w:rightChars="-10"/>
                    <w:jc w:val="center"/>
                    <w:rPr>
                      <w:color w:val="auto"/>
                      <w:szCs w:val="21"/>
                    </w:rPr>
                  </w:pPr>
                  <w:r>
                    <w:rPr>
                      <w:rFonts w:hint="eastAsia"/>
                      <w:color w:val="auto"/>
                      <w:szCs w:val="21"/>
                    </w:rPr>
                    <w:t>1</w:t>
                  </w:r>
                </w:p>
              </w:tc>
            </w:tr>
            <w:tr w14:paraId="26111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54" w:type="pct"/>
                  <w:noWrap w:val="0"/>
                  <w:vAlign w:val="center"/>
                </w:tcPr>
                <w:p w14:paraId="55CCC8A8">
                  <w:pPr>
                    <w:spacing w:line="240" w:lineRule="atLeast"/>
                    <w:ind w:left="-21" w:leftChars="-10" w:right="-21" w:rightChars="-10"/>
                    <w:jc w:val="center"/>
                    <w:rPr>
                      <w:color w:val="auto"/>
                      <w:szCs w:val="21"/>
                    </w:rPr>
                  </w:pPr>
                  <w:r>
                    <w:rPr>
                      <w:rFonts w:hint="eastAsia"/>
                      <w:color w:val="auto"/>
                      <w:szCs w:val="21"/>
                    </w:rPr>
                    <w:t>3</w:t>
                  </w:r>
                </w:p>
              </w:tc>
              <w:tc>
                <w:tcPr>
                  <w:tcW w:w="586" w:type="pct"/>
                  <w:noWrap w:val="0"/>
                  <w:vAlign w:val="center"/>
                </w:tcPr>
                <w:p w14:paraId="781A7D33">
                  <w:pPr>
                    <w:spacing w:line="240" w:lineRule="atLeast"/>
                    <w:ind w:left="-21" w:leftChars="-10" w:right="-21" w:rightChars="-10"/>
                    <w:jc w:val="center"/>
                    <w:rPr>
                      <w:color w:val="auto"/>
                    </w:rPr>
                  </w:pPr>
                  <w:r>
                    <w:rPr>
                      <w:rFonts w:hint="eastAsia"/>
                      <w:color w:val="auto"/>
                    </w:rPr>
                    <w:t>循环水泵</w:t>
                  </w:r>
                </w:p>
              </w:tc>
              <w:tc>
                <w:tcPr>
                  <w:tcW w:w="392" w:type="pct"/>
                  <w:noWrap w:val="0"/>
                  <w:vAlign w:val="center"/>
                </w:tcPr>
                <w:p w14:paraId="2FCBFBCC">
                  <w:pPr>
                    <w:spacing w:line="240" w:lineRule="atLeast"/>
                    <w:ind w:left="-105" w:leftChars="-50" w:right="-105" w:rightChars="-50"/>
                    <w:jc w:val="center"/>
                    <w:rPr>
                      <w:color w:val="auto"/>
                      <w:szCs w:val="21"/>
                    </w:rPr>
                  </w:pPr>
                  <w:r>
                    <w:rPr>
                      <w:rFonts w:hint="eastAsia"/>
                      <w:color w:val="auto"/>
                      <w:szCs w:val="21"/>
                    </w:rPr>
                    <w:t>90</w:t>
                  </w:r>
                </w:p>
              </w:tc>
              <w:tc>
                <w:tcPr>
                  <w:tcW w:w="426" w:type="pct"/>
                  <w:vMerge w:val="continue"/>
                  <w:noWrap w:val="0"/>
                  <w:vAlign w:val="center"/>
                </w:tcPr>
                <w:p w14:paraId="7815823B">
                  <w:pPr>
                    <w:spacing w:line="240" w:lineRule="atLeast"/>
                    <w:jc w:val="center"/>
                    <w:rPr>
                      <w:color w:val="auto"/>
                      <w:szCs w:val="21"/>
                    </w:rPr>
                  </w:pPr>
                </w:p>
              </w:tc>
              <w:tc>
                <w:tcPr>
                  <w:tcW w:w="319" w:type="pct"/>
                  <w:noWrap w:val="0"/>
                  <w:vAlign w:val="center"/>
                </w:tcPr>
                <w:p w14:paraId="531FC20A">
                  <w:pPr>
                    <w:spacing w:line="240" w:lineRule="atLeast"/>
                    <w:ind w:left="-21" w:leftChars="-10" w:right="-21" w:rightChars="-10"/>
                    <w:jc w:val="center"/>
                    <w:rPr>
                      <w:color w:val="auto"/>
                      <w:szCs w:val="21"/>
                    </w:rPr>
                  </w:pPr>
                  <w:r>
                    <w:rPr>
                      <w:rFonts w:hint="eastAsia"/>
                      <w:color w:val="auto"/>
                      <w:szCs w:val="21"/>
                    </w:rPr>
                    <w:t>74</w:t>
                  </w:r>
                </w:p>
              </w:tc>
              <w:tc>
                <w:tcPr>
                  <w:tcW w:w="319" w:type="pct"/>
                  <w:noWrap w:val="0"/>
                  <w:vAlign w:val="center"/>
                </w:tcPr>
                <w:p w14:paraId="5104DB98">
                  <w:pPr>
                    <w:spacing w:line="240" w:lineRule="atLeast"/>
                    <w:ind w:left="-21" w:leftChars="-10" w:right="-21" w:rightChars="-10"/>
                    <w:jc w:val="center"/>
                    <w:rPr>
                      <w:color w:val="auto"/>
                      <w:szCs w:val="21"/>
                    </w:rPr>
                  </w:pPr>
                  <w:r>
                    <w:rPr>
                      <w:rFonts w:hint="eastAsia"/>
                      <w:color w:val="auto"/>
                      <w:szCs w:val="21"/>
                    </w:rPr>
                    <w:t>89</w:t>
                  </w:r>
                </w:p>
              </w:tc>
              <w:tc>
                <w:tcPr>
                  <w:tcW w:w="327" w:type="pct"/>
                  <w:noWrap w:val="0"/>
                  <w:vAlign w:val="center"/>
                </w:tcPr>
                <w:p w14:paraId="4B4CE364">
                  <w:pPr>
                    <w:spacing w:line="240" w:lineRule="atLeast"/>
                    <w:ind w:left="-21" w:leftChars="-10" w:right="-21" w:rightChars="-10"/>
                    <w:jc w:val="center"/>
                    <w:rPr>
                      <w:color w:val="auto"/>
                      <w:szCs w:val="21"/>
                    </w:rPr>
                  </w:pPr>
                  <w:r>
                    <w:rPr>
                      <w:rFonts w:hint="eastAsia"/>
                      <w:color w:val="auto"/>
                      <w:szCs w:val="21"/>
                    </w:rPr>
                    <w:t>1</w:t>
                  </w:r>
                </w:p>
              </w:tc>
              <w:tc>
                <w:tcPr>
                  <w:tcW w:w="290" w:type="pct"/>
                  <w:noWrap w:val="0"/>
                  <w:vAlign w:val="center"/>
                </w:tcPr>
                <w:p w14:paraId="7D8CEAC5">
                  <w:pPr>
                    <w:spacing w:line="240" w:lineRule="atLeast"/>
                    <w:ind w:left="-21" w:leftChars="-10" w:right="-21" w:rightChars="-10"/>
                    <w:jc w:val="center"/>
                    <w:rPr>
                      <w:color w:val="auto"/>
                      <w:szCs w:val="21"/>
                    </w:rPr>
                  </w:pPr>
                  <w:r>
                    <w:rPr>
                      <w:rFonts w:hint="eastAsia"/>
                      <w:color w:val="auto"/>
                      <w:szCs w:val="21"/>
                    </w:rPr>
                    <w:t>1</w:t>
                  </w:r>
                </w:p>
              </w:tc>
              <w:tc>
                <w:tcPr>
                  <w:tcW w:w="424" w:type="pct"/>
                  <w:noWrap w:val="0"/>
                  <w:vAlign w:val="center"/>
                </w:tcPr>
                <w:p w14:paraId="665F0A80">
                  <w:pPr>
                    <w:spacing w:line="240" w:lineRule="atLeast"/>
                    <w:ind w:left="-21" w:leftChars="-10" w:right="-21" w:rightChars="-10"/>
                    <w:jc w:val="center"/>
                    <w:rPr>
                      <w:color w:val="auto"/>
                      <w:szCs w:val="21"/>
                    </w:rPr>
                  </w:pPr>
                  <w:r>
                    <w:rPr>
                      <w:rFonts w:hint="eastAsia"/>
                      <w:color w:val="auto"/>
                      <w:szCs w:val="21"/>
                    </w:rPr>
                    <w:t>90</w:t>
                  </w:r>
                </w:p>
              </w:tc>
              <w:tc>
                <w:tcPr>
                  <w:tcW w:w="330" w:type="pct"/>
                  <w:noWrap w:val="0"/>
                  <w:vAlign w:val="center"/>
                </w:tcPr>
                <w:p w14:paraId="2F969124">
                  <w:pPr>
                    <w:spacing w:line="240" w:lineRule="atLeast"/>
                    <w:ind w:left="-21" w:leftChars="-10" w:right="-21" w:rightChars="-10"/>
                    <w:jc w:val="center"/>
                    <w:rPr>
                      <w:color w:val="auto"/>
                      <w:szCs w:val="21"/>
                    </w:rPr>
                  </w:pPr>
                  <w:r>
                    <w:rPr>
                      <w:rFonts w:hint="eastAsia"/>
                      <w:color w:val="auto"/>
                      <w:szCs w:val="21"/>
                    </w:rPr>
                    <w:t>全天</w:t>
                  </w:r>
                </w:p>
              </w:tc>
              <w:tc>
                <w:tcPr>
                  <w:tcW w:w="456" w:type="pct"/>
                  <w:noWrap w:val="0"/>
                  <w:vAlign w:val="center"/>
                </w:tcPr>
                <w:p w14:paraId="775F5FC9">
                  <w:pPr>
                    <w:spacing w:line="240" w:lineRule="atLeast"/>
                    <w:ind w:left="-21" w:leftChars="-10" w:right="-21" w:rightChars="-10"/>
                    <w:jc w:val="center"/>
                    <w:rPr>
                      <w:rFonts w:hint="default" w:eastAsia="宋体"/>
                      <w:color w:val="auto"/>
                      <w:szCs w:val="21"/>
                      <w:lang w:val="en-US" w:eastAsia="zh-CN"/>
                    </w:rPr>
                  </w:pPr>
                  <w:r>
                    <w:rPr>
                      <w:rFonts w:hint="eastAsia"/>
                      <w:color w:val="auto"/>
                      <w:szCs w:val="21"/>
                      <w:lang w:val="en-US" w:eastAsia="zh-CN"/>
                    </w:rPr>
                    <w:t>20</w:t>
                  </w:r>
                </w:p>
              </w:tc>
              <w:tc>
                <w:tcPr>
                  <w:tcW w:w="375" w:type="pct"/>
                  <w:noWrap w:val="0"/>
                  <w:vAlign w:val="center"/>
                </w:tcPr>
                <w:p w14:paraId="04FE9FDF">
                  <w:pPr>
                    <w:spacing w:line="240" w:lineRule="atLeast"/>
                    <w:ind w:left="-21" w:leftChars="-10" w:right="-21" w:rightChars="-10"/>
                    <w:jc w:val="center"/>
                    <w:rPr>
                      <w:color w:val="auto"/>
                      <w:szCs w:val="21"/>
                    </w:rPr>
                  </w:pPr>
                  <w:r>
                    <w:rPr>
                      <w:rFonts w:hint="eastAsia"/>
                      <w:color w:val="auto"/>
                      <w:szCs w:val="21"/>
                    </w:rPr>
                    <w:t>70</w:t>
                  </w:r>
                </w:p>
              </w:tc>
              <w:tc>
                <w:tcPr>
                  <w:tcW w:w="496" w:type="pct"/>
                  <w:noWrap w:val="0"/>
                  <w:vAlign w:val="center"/>
                </w:tcPr>
                <w:p w14:paraId="5636572E">
                  <w:pPr>
                    <w:spacing w:line="240" w:lineRule="atLeast"/>
                    <w:ind w:left="-21" w:leftChars="-10" w:right="-21" w:rightChars="-10"/>
                    <w:jc w:val="center"/>
                    <w:rPr>
                      <w:color w:val="auto"/>
                      <w:szCs w:val="21"/>
                    </w:rPr>
                  </w:pPr>
                  <w:r>
                    <w:rPr>
                      <w:rFonts w:hint="eastAsia"/>
                      <w:color w:val="auto"/>
                      <w:szCs w:val="21"/>
                    </w:rPr>
                    <w:t>1</w:t>
                  </w:r>
                </w:p>
              </w:tc>
            </w:tr>
            <w:tr w14:paraId="0C511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54" w:type="pct"/>
                  <w:noWrap w:val="0"/>
                  <w:vAlign w:val="center"/>
                </w:tcPr>
                <w:p w14:paraId="24482C86">
                  <w:pPr>
                    <w:spacing w:line="240" w:lineRule="atLeast"/>
                    <w:ind w:left="-21" w:leftChars="-10" w:right="-21" w:rightChars="-10"/>
                    <w:jc w:val="center"/>
                    <w:rPr>
                      <w:rFonts w:hint="eastAsia" w:eastAsia="宋体"/>
                      <w:color w:val="auto"/>
                      <w:szCs w:val="21"/>
                      <w:lang w:val="en-US" w:eastAsia="zh-CN"/>
                    </w:rPr>
                  </w:pPr>
                  <w:r>
                    <w:rPr>
                      <w:rFonts w:hint="eastAsia"/>
                      <w:color w:val="auto"/>
                      <w:szCs w:val="21"/>
                      <w:lang w:val="en-US" w:eastAsia="zh-CN"/>
                    </w:rPr>
                    <w:t>4</w:t>
                  </w:r>
                </w:p>
              </w:tc>
              <w:tc>
                <w:tcPr>
                  <w:tcW w:w="586" w:type="pct"/>
                  <w:noWrap w:val="0"/>
                  <w:vAlign w:val="center"/>
                </w:tcPr>
                <w:p w14:paraId="765AA1C3">
                  <w:pPr>
                    <w:spacing w:line="240" w:lineRule="atLeast"/>
                    <w:ind w:left="-21" w:leftChars="-10" w:right="-21" w:rightChars="-10"/>
                    <w:jc w:val="center"/>
                    <w:rPr>
                      <w:rFonts w:hint="eastAsia" w:eastAsia="宋体"/>
                      <w:color w:val="auto"/>
                      <w:lang w:val="en-US" w:eastAsia="zh-CN"/>
                    </w:rPr>
                  </w:pPr>
                  <w:r>
                    <w:rPr>
                      <w:rFonts w:hint="eastAsia"/>
                      <w:color w:val="auto"/>
                      <w:lang w:val="en-US" w:eastAsia="zh-CN"/>
                    </w:rPr>
                    <w:t>发电机</w:t>
                  </w:r>
                </w:p>
              </w:tc>
              <w:tc>
                <w:tcPr>
                  <w:tcW w:w="392" w:type="pct"/>
                  <w:noWrap w:val="0"/>
                  <w:vAlign w:val="center"/>
                </w:tcPr>
                <w:p w14:paraId="71B971F5">
                  <w:pPr>
                    <w:spacing w:line="240" w:lineRule="atLeast"/>
                    <w:ind w:left="-105" w:leftChars="-50" w:right="-105" w:rightChars="-50"/>
                    <w:jc w:val="center"/>
                    <w:rPr>
                      <w:rFonts w:hint="default" w:eastAsia="宋体"/>
                      <w:color w:val="auto"/>
                      <w:szCs w:val="21"/>
                      <w:lang w:val="en-US" w:eastAsia="zh-CN"/>
                    </w:rPr>
                  </w:pPr>
                  <w:r>
                    <w:rPr>
                      <w:rFonts w:hint="eastAsia"/>
                      <w:color w:val="auto"/>
                      <w:szCs w:val="21"/>
                      <w:lang w:val="en-US" w:eastAsia="zh-CN"/>
                    </w:rPr>
                    <w:t>85</w:t>
                  </w:r>
                </w:p>
              </w:tc>
              <w:tc>
                <w:tcPr>
                  <w:tcW w:w="426" w:type="pct"/>
                  <w:vMerge w:val="continue"/>
                  <w:noWrap w:val="0"/>
                  <w:vAlign w:val="center"/>
                </w:tcPr>
                <w:p w14:paraId="47708FA7">
                  <w:pPr>
                    <w:spacing w:line="240" w:lineRule="atLeast"/>
                    <w:jc w:val="center"/>
                    <w:rPr>
                      <w:color w:val="auto"/>
                      <w:szCs w:val="21"/>
                    </w:rPr>
                  </w:pPr>
                </w:p>
              </w:tc>
              <w:tc>
                <w:tcPr>
                  <w:tcW w:w="319" w:type="pct"/>
                  <w:noWrap w:val="0"/>
                  <w:vAlign w:val="center"/>
                </w:tcPr>
                <w:p w14:paraId="6F1BB177">
                  <w:pPr>
                    <w:spacing w:line="240" w:lineRule="atLeast"/>
                    <w:ind w:left="-21" w:leftChars="-10" w:right="-21" w:rightChars="-10"/>
                    <w:jc w:val="center"/>
                    <w:rPr>
                      <w:rFonts w:hint="default" w:eastAsia="宋体"/>
                      <w:color w:val="auto"/>
                      <w:szCs w:val="21"/>
                      <w:lang w:val="en-US" w:eastAsia="zh-CN"/>
                    </w:rPr>
                  </w:pPr>
                  <w:r>
                    <w:rPr>
                      <w:rFonts w:hint="eastAsia"/>
                      <w:color w:val="auto"/>
                      <w:szCs w:val="21"/>
                      <w:lang w:val="en-US" w:eastAsia="zh-CN"/>
                    </w:rPr>
                    <w:t>40</w:t>
                  </w:r>
                </w:p>
              </w:tc>
              <w:tc>
                <w:tcPr>
                  <w:tcW w:w="319" w:type="pct"/>
                  <w:noWrap w:val="0"/>
                  <w:vAlign w:val="center"/>
                </w:tcPr>
                <w:p w14:paraId="5A8CDD13">
                  <w:pPr>
                    <w:spacing w:line="240" w:lineRule="atLeast"/>
                    <w:ind w:left="-21" w:leftChars="-10" w:right="-21" w:rightChars="-10"/>
                    <w:jc w:val="center"/>
                    <w:rPr>
                      <w:rFonts w:hint="default" w:eastAsia="宋体"/>
                      <w:color w:val="auto"/>
                      <w:szCs w:val="21"/>
                      <w:lang w:val="en-US" w:eastAsia="zh-CN"/>
                    </w:rPr>
                  </w:pPr>
                  <w:r>
                    <w:rPr>
                      <w:rFonts w:hint="eastAsia"/>
                      <w:color w:val="auto"/>
                      <w:szCs w:val="21"/>
                      <w:lang w:val="en-US" w:eastAsia="zh-CN"/>
                    </w:rPr>
                    <w:t>45</w:t>
                  </w:r>
                </w:p>
              </w:tc>
              <w:tc>
                <w:tcPr>
                  <w:tcW w:w="327" w:type="pct"/>
                  <w:noWrap w:val="0"/>
                  <w:vAlign w:val="center"/>
                </w:tcPr>
                <w:p w14:paraId="4CBC0FF9">
                  <w:pPr>
                    <w:spacing w:line="240" w:lineRule="atLeast"/>
                    <w:ind w:left="-21" w:leftChars="-10" w:right="-21" w:rightChars="-10"/>
                    <w:jc w:val="center"/>
                    <w:rPr>
                      <w:rFonts w:hint="eastAsia" w:eastAsia="宋体"/>
                      <w:color w:val="auto"/>
                      <w:szCs w:val="21"/>
                      <w:lang w:val="en-US" w:eastAsia="zh-CN"/>
                    </w:rPr>
                  </w:pPr>
                  <w:r>
                    <w:rPr>
                      <w:rFonts w:hint="eastAsia"/>
                      <w:color w:val="auto"/>
                      <w:szCs w:val="21"/>
                      <w:lang w:val="en-US" w:eastAsia="zh-CN"/>
                    </w:rPr>
                    <w:t>1</w:t>
                  </w:r>
                </w:p>
              </w:tc>
              <w:tc>
                <w:tcPr>
                  <w:tcW w:w="290" w:type="pct"/>
                  <w:noWrap w:val="0"/>
                  <w:vAlign w:val="center"/>
                </w:tcPr>
                <w:p w14:paraId="733BF970">
                  <w:pPr>
                    <w:spacing w:line="240" w:lineRule="atLeast"/>
                    <w:ind w:left="-21" w:leftChars="-10" w:right="-21" w:rightChars="-10"/>
                    <w:jc w:val="center"/>
                    <w:rPr>
                      <w:rFonts w:hint="eastAsia" w:eastAsia="宋体"/>
                      <w:color w:val="auto"/>
                      <w:szCs w:val="21"/>
                      <w:lang w:val="en-US" w:eastAsia="zh-CN"/>
                    </w:rPr>
                  </w:pPr>
                  <w:r>
                    <w:rPr>
                      <w:rFonts w:hint="eastAsia"/>
                      <w:color w:val="auto"/>
                      <w:szCs w:val="21"/>
                      <w:lang w:val="en-US" w:eastAsia="zh-CN"/>
                    </w:rPr>
                    <w:t>1</w:t>
                  </w:r>
                </w:p>
              </w:tc>
              <w:tc>
                <w:tcPr>
                  <w:tcW w:w="424" w:type="pct"/>
                  <w:noWrap w:val="0"/>
                  <w:vAlign w:val="center"/>
                </w:tcPr>
                <w:p w14:paraId="35F28D6E">
                  <w:pPr>
                    <w:spacing w:line="240" w:lineRule="atLeast"/>
                    <w:ind w:left="-21" w:leftChars="-10" w:right="-21" w:rightChars="-10"/>
                    <w:jc w:val="center"/>
                    <w:rPr>
                      <w:rFonts w:hint="default" w:eastAsia="宋体"/>
                      <w:color w:val="auto"/>
                      <w:szCs w:val="21"/>
                      <w:lang w:val="en-US" w:eastAsia="zh-CN"/>
                    </w:rPr>
                  </w:pPr>
                  <w:r>
                    <w:rPr>
                      <w:rFonts w:hint="eastAsia"/>
                      <w:color w:val="auto"/>
                      <w:szCs w:val="21"/>
                      <w:lang w:val="en-US" w:eastAsia="zh-CN"/>
                    </w:rPr>
                    <w:t>85</w:t>
                  </w:r>
                </w:p>
              </w:tc>
              <w:tc>
                <w:tcPr>
                  <w:tcW w:w="330" w:type="pct"/>
                  <w:noWrap w:val="0"/>
                  <w:vAlign w:val="center"/>
                </w:tcPr>
                <w:p w14:paraId="5CD4C592">
                  <w:pPr>
                    <w:spacing w:line="240" w:lineRule="atLeast"/>
                    <w:ind w:left="-21" w:leftChars="-10" w:right="-21" w:rightChars="-10"/>
                    <w:jc w:val="center"/>
                    <w:rPr>
                      <w:rFonts w:hint="eastAsia"/>
                      <w:color w:val="auto"/>
                      <w:szCs w:val="21"/>
                    </w:rPr>
                  </w:pPr>
                  <w:r>
                    <w:rPr>
                      <w:rFonts w:hint="eastAsia"/>
                      <w:color w:val="auto"/>
                      <w:szCs w:val="21"/>
                    </w:rPr>
                    <w:t>全天</w:t>
                  </w:r>
                </w:p>
              </w:tc>
              <w:tc>
                <w:tcPr>
                  <w:tcW w:w="456" w:type="pct"/>
                  <w:noWrap w:val="0"/>
                  <w:vAlign w:val="center"/>
                </w:tcPr>
                <w:p w14:paraId="1DB858C0">
                  <w:pPr>
                    <w:spacing w:line="240" w:lineRule="atLeast"/>
                    <w:ind w:left="-21" w:leftChars="-10" w:right="-21" w:rightChars="-10"/>
                    <w:jc w:val="center"/>
                    <w:rPr>
                      <w:rFonts w:hint="default"/>
                      <w:color w:val="auto"/>
                      <w:szCs w:val="21"/>
                      <w:lang w:val="en-US" w:eastAsia="zh-CN"/>
                    </w:rPr>
                  </w:pPr>
                  <w:r>
                    <w:rPr>
                      <w:rFonts w:hint="eastAsia"/>
                      <w:color w:val="auto"/>
                      <w:szCs w:val="21"/>
                      <w:lang w:val="en-US" w:eastAsia="zh-CN"/>
                    </w:rPr>
                    <w:t>25</w:t>
                  </w:r>
                </w:p>
              </w:tc>
              <w:tc>
                <w:tcPr>
                  <w:tcW w:w="375" w:type="pct"/>
                  <w:noWrap w:val="0"/>
                  <w:vAlign w:val="center"/>
                </w:tcPr>
                <w:p w14:paraId="0997C5CE">
                  <w:pPr>
                    <w:spacing w:line="240" w:lineRule="atLeast"/>
                    <w:ind w:left="-21" w:leftChars="-10" w:right="-21" w:rightChars="-10"/>
                    <w:jc w:val="center"/>
                    <w:rPr>
                      <w:rFonts w:hint="default" w:eastAsia="宋体"/>
                      <w:color w:val="auto"/>
                      <w:szCs w:val="21"/>
                      <w:lang w:val="en-US" w:eastAsia="zh-CN"/>
                    </w:rPr>
                  </w:pPr>
                  <w:r>
                    <w:rPr>
                      <w:rFonts w:hint="eastAsia"/>
                      <w:color w:val="auto"/>
                      <w:szCs w:val="21"/>
                      <w:lang w:val="en-US" w:eastAsia="zh-CN"/>
                    </w:rPr>
                    <w:t>60</w:t>
                  </w:r>
                </w:p>
              </w:tc>
              <w:tc>
                <w:tcPr>
                  <w:tcW w:w="496" w:type="pct"/>
                  <w:noWrap w:val="0"/>
                  <w:vAlign w:val="center"/>
                </w:tcPr>
                <w:p w14:paraId="0829E240">
                  <w:pPr>
                    <w:spacing w:line="240" w:lineRule="atLeast"/>
                    <w:ind w:left="-21" w:leftChars="-10" w:right="-21" w:rightChars="-10"/>
                    <w:jc w:val="center"/>
                    <w:rPr>
                      <w:rFonts w:hint="eastAsia" w:eastAsia="宋体"/>
                      <w:color w:val="auto"/>
                      <w:szCs w:val="21"/>
                      <w:lang w:val="en-US" w:eastAsia="zh-CN"/>
                    </w:rPr>
                  </w:pPr>
                  <w:r>
                    <w:rPr>
                      <w:rFonts w:hint="eastAsia"/>
                      <w:color w:val="auto"/>
                      <w:szCs w:val="21"/>
                      <w:lang w:val="en-US" w:eastAsia="zh-CN"/>
                    </w:rPr>
                    <w:t>1</w:t>
                  </w:r>
                </w:p>
              </w:tc>
            </w:tr>
          </w:tbl>
          <w:p w14:paraId="094B7321">
            <w:pPr>
              <w:spacing w:line="360" w:lineRule="auto"/>
              <w:ind w:firstLine="422" w:firstLineChars="200"/>
              <w:jc w:val="center"/>
              <w:rPr>
                <w:b/>
                <w:bCs/>
                <w:color w:val="auto"/>
                <w:szCs w:val="21"/>
              </w:rPr>
            </w:pPr>
            <w:r>
              <w:rPr>
                <w:b/>
                <w:bCs/>
                <w:color w:val="auto"/>
                <w:szCs w:val="21"/>
              </w:rPr>
              <w:t>表4-</w:t>
            </w:r>
            <w:r>
              <w:rPr>
                <w:rFonts w:hint="eastAsia"/>
                <w:b/>
                <w:bCs/>
                <w:color w:val="auto"/>
                <w:szCs w:val="21"/>
                <w:lang w:val="en-US" w:eastAsia="zh-CN"/>
              </w:rPr>
              <w:t>5（2）</w:t>
            </w:r>
            <w:r>
              <w:rPr>
                <w:rFonts w:hint="eastAsia"/>
                <w:b/>
                <w:bCs/>
                <w:color w:val="auto"/>
                <w:szCs w:val="21"/>
              </w:rPr>
              <w:t>噪声污染源源强一览表（室外声源）</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70"/>
              <w:gridCol w:w="986"/>
              <w:gridCol w:w="623"/>
              <w:gridCol w:w="667"/>
              <w:gridCol w:w="430"/>
              <w:gridCol w:w="1714"/>
              <w:gridCol w:w="2578"/>
              <w:gridCol w:w="986"/>
            </w:tblGrid>
            <w:tr w14:paraId="3CE0F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78" w:type="pct"/>
                  <w:vMerge w:val="restart"/>
                  <w:noWrap w:val="0"/>
                  <w:vAlign w:val="center"/>
                </w:tcPr>
                <w:p w14:paraId="6F06F9F9">
                  <w:pPr>
                    <w:spacing w:line="240" w:lineRule="atLeast"/>
                    <w:ind w:left="-21" w:leftChars="-10" w:right="-21" w:rightChars="-10"/>
                    <w:jc w:val="center"/>
                    <w:rPr>
                      <w:color w:val="auto"/>
                      <w:szCs w:val="21"/>
                    </w:rPr>
                  </w:pPr>
                  <w:r>
                    <w:rPr>
                      <w:color w:val="auto"/>
                      <w:szCs w:val="21"/>
                    </w:rPr>
                    <w:t>序号</w:t>
                  </w:r>
                </w:p>
              </w:tc>
              <w:tc>
                <w:tcPr>
                  <w:tcW w:w="583" w:type="pct"/>
                  <w:vMerge w:val="restart"/>
                  <w:noWrap w:val="0"/>
                  <w:vAlign w:val="center"/>
                </w:tcPr>
                <w:p w14:paraId="2AFC1D4A">
                  <w:pPr>
                    <w:spacing w:line="240" w:lineRule="atLeast"/>
                    <w:ind w:left="-21" w:leftChars="-10" w:right="-21" w:rightChars="-10"/>
                    <w:jc w:val="center"/>
                    <w:rPr>
                      <w:color w:val="auto"/>
                      <w:szCs w:val="21"/>
                    </w:rPr>
                  </w:pPr>
                  <w:r>
                    <w:rPr>
                      <w:color w:val="auto"/>
                      <w:szCs w:val="21"/>
                    </w:rPr>
                    <w:t>声源名称</w:t>
                  </w:r>
                </w:p>
              </w:tc>
              <w:tc>
                <w:tcPr>
                  <w:tcW w:w="1016" w:type="pct"/>
                  <w:gridSpan w:val="3"/>
                  <w:noWrap w:val="0"/>
                  <w:vAlign w:val="center"/>
                </w:tcPr>
                <w:p w14:paraId="0A3A2950">
                  <w:pPr>
                    <w:spacing w:line="240" w:lineRule="atLeast"/>
                    <w:ind w:left="-42" w:leftChars="-20" w:right="-42" w:rightChars="-20"/>
                    <w:jc w:val="center"/>
                    <w:rPr>
                      <w:color w:val="auto"/>
                      <w:szCs w:val="21"/>
                    </w:rPr>
                  </w:pPr>
                  <w:r>
                    <w:rPr>
                      <w:rFonts w:hint="eastAsia"/>
                      <w:color w:val="auto"/>
                      <w:szCs w:val="21"/>
                    </w:rPr>
                    <w:t>空间相对</w:t>
                  </w:r>
                  <w:r>
                    <w:rPr>
                      <w:color w:val="auto"/>
                      <w:szCs w:val="21"/>
                    </w:rPr>
                    <w:t>位置</w:t>
                  </w:r>
                  <w:r>
                    <w:rPr>
                      <w:rFonts w:hint="eastAsia"/>
                      <w:color w:val="auto"/>
                      <w:szCs w:val="21"/>
                    </w:rPr>
                    <w:t>/m</w:t>
                  </w:r>
                </w:p>
              </w:tc>
              <w:tc>
                <w:tcPr>
                  <w:tcW w:w="1013" w:type="pct"/>
                  <w:vMerge w:val="restart"/>
                  <w:noWrap w:val="0"/>
                  <w:vAlign w:val="center"/>
                </w:tcPr>
                <w:p w14:paraId="1D5569A9">
                  <w:pPr>
                    <w:spacing w:line="240" w:lineRule="atLeast"/>
                    <w:ind w:left="-21" w:leftChars="-10" w:right="-21" w:rightChars="-10"/>
                    <w:jc w:val="center"/>
                    <w:rPr>
                      <w:i/>
                      <w:iCs/>
                      <w:color w:val="auto"/>
                      <w:szCs w:val="21"/>
                    </w:rPr>
                  </w:pPr>
                  <w:r>
                    <w:rPr>
                      <w:color w:val="auto"/>
                      <w:szCs w:val="21"/>
                    </w:rPr>
                    <w:t>声</w:t>
                  </w:r>
                  <w:r>
                    <w:rPr>
                      <w:rFonts w:hint="eastAsia"/>
                      <w:color w:val="auto"/>
                      <w:szCs w:val="21"/>
                    </w:rPr>
                    <w:t>功率</w:t>
                  </w:r>
                  <w:r>
                    <w:rPr>
                      <w:color w:val="auto"/>
                      <w:szCs w:val="21"/>
                    </w:rPr>
                    <w:t>级/dB(A)</w:t>
                  </w:r>
                </w:p>
              </w:tc>
              <w:tc>
                <w:tcPr>
                  <w:tcW w:w="1524" w:type="pct"/>
                  <w:vMerge w:val="restart"/>
                  <w:noWrap w:val="0"/>
                  <w:vAlign w:val="center"/>
                </w:tcPr>
                <w:p w14:paraId="541CE915">
                  <w:pPr>
                    <w:spacing w:line="240" w:lineRule="atLeast"/>
                    <w:ind w:left="-21" w:leftChars="-10" w:right="-21" w:rightChars="-10"/>
                    <w:jc w:val="center"/>
                    <w:rPr>
                      <w:color w:val="auto"/>
                      <w:szCs w:val="21"/>
                    </w:rPr>
                  </w:pPr>
                  <w:r>
                    <w:rPr>
                      <w:color w:val="auto"/>
                      <w:szCs w:val="21"/>
                    </w:rPr>
                    <w:t>声源控制措施</w:t>
                  </w:r>
                </w:p>
              </w:tc>
              <w:tc>
                <w:tcPr>
                  <w:tcW w:w="583" w:type="pct"/>
                  <w:vMerge w:val="restart"/>
                  <w:noWrap w:val="0"/>
                  <w:vAlign w:val="center"/>
                </w:tcPr>
                <w:p w14:paraId="6C5064F5">
                  <w:pPr>
                    <w:spacing w:line="240" w:lineRule="atLeast"/>
                    <w:ind w:left="-21" w:leftChars="-10" w:right="-21" w:rightChars="-10"/>
                    <w:jc w:val="center"/>
                    <w:rPr>
                      <w:color w:val="auto"/>
                      <w:szCs w:val="21"/>
                    </w:rPr>
                  </w:pPr>
                  <w:r>
                    <w:rPr>
                      <w:color w:val="auto"/>
                      <w:szCs w:val="21"/>
                    </w:rPr>
                    <w:t>运行时段</w:t>
                  </w:r>
                </w:p>
              </w:tc>
            </w:tr>
            <w:tr w14:paraId="247A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78" w:type="pct"/>
                  <w:vMerge w:val="continue"/>
                  <w:noWrap w:val="0"/>
                  <w:vAlign w:val="center"/>
                </w:tcPr>
                <w:p w14:paraId="6E9E1F86">
                  <w:pPr>
                    <w:spacing w:line="240" w:lineRule="atLeast"/>
                    <w:ind w:left="-21" w:leftChars="-10" w:right="-21" w:rightChars="-10"/>
                    <w:jc w:val="center"/>
                    <w:rPr>
                      <w:color w:val="auto"/>
                      <w:szCs w:val="21"/>
                    </w:rPr>
                  </w:pPr>
                </w:p>
              </w:tc>
              <w:tc>
                <w:tcPr>
                  <w:tcW w:w="583" w:type="pct"/>
                  <w:vMerge w:val="continue"/>
                  <w:noWrap w:val="0"/>
                  <w:vAlign w:val="center"/>
                </w:tcPr>
                <w:p w14:paraId="12290109">
                  <w:pPr>
                    <w:spacing w:line="240" w:lineRule="atLeast"/>
                    <w:ind w:left="-21" w:leftChars="-10" w:right="-21" w:rightChars="-10"/>
                    <w:jc w:val="center"/>
                    <w:rPr>
                      <w:color w:val="auto"/>
                      <w:szCs w:val="21"/>
                    </w:rPr>
                  </w:pPr>
                </w:p>
              </w:tc>
              <w:tc>
                <w:tcPr>
                  <w:tcW w:w="368" w:type="pct"/>
                  <w:noWrap w:val="0"/>
                  <w:vAlign w:val="center"/>
                </w:tcPr>
                <w:p w14:paraId="233BB925">
                  <w:pPr>
                    <w:spacing w:line="240" w:lineRule="atLeast"/>
                    <w:ind w:left="-42" w:leftChars="-20" w:right="-42" w:rightChars="-20"/>
                    <w:jc w:val="center"/>
                    <w:rPr>
                      <w:color w:val="auto"/>
                      <w:szCs w:val="21"/>
                    </w:rPr>
                  </w:pPr>
                  <w:r>
                    <w:rPr>
                      <w:rFonts w:hint="eastAsia"/>
                      <w:i/>
                      <w:iCs/>
                      <w:color w:val="auto"/>
                      <w:szCs w:val="21"/>
                    </w:rPr>
                    <w:t>X</w:t>
                  </w:r>
                </w:p>
              </w:tc>
              <w:tc>
                <w:tcPr>
                  <w:tcW w:w="394" w:type="pct"/>
                  <w:noWrap w:val="0"/>
                  <w:vAlign w:val="center"/>
                </w:tcPr>
                <w:p w14:paraId="6FB12810">
                  <w:pPr>
                    <w:spacing w:line="240" w:lineRule="atLeast"/>
                    <w:ind w:left="-42" w:leftChars="-20" w:right="-42" w:rightChars="-20"/>
                    <w:jc w:val="center"/>
                    <w:rPr>
                      <w:color w:val="auto"/>
                      <w:szCs w:val="21"/>
                    </w:rPr>
                  </w:pPr>
                  <w:r>
                    <w:rPr>
                      <w:rFonts w:hint="eastAsia"/>
                      <w:i/>
                      <w:iCs/>
                      <w:color w:val="auto"/>
                      <w:szCs w:val="21"/>
                    </w:rPr>
                    <w:t>Y</w:t>
                  </w:r>
                </w:p>
              </w:tc>
              <w:tc>
                <w:tcPr>
                  <w:tcW w:w="254" w:type="pct"/>
                  <w:noWrap w:val="0"/>
                  <w:vAlign w:val="center"/>
                </w:tcPr>
                <w:p w14:paraId="79E87DED">
                  <w:pPr>
                    <w:spacing w:line="240" w:lineRule="atLeast"/>
                    <w:ind w:left="-42" w:leftChars="-20" w:right="-42" w:rightChars="-20"/>
                    <w:jc w:val="center"/>
                    <w:rPr>
                      <w:color w:val="auto"/>
                      <w:szCs w:val="21"/>
                    </w:rPr>
                  </w:pPr>
                  <w:r>
                    <w:rPr>
                      <w:rFonts w:hint="eastAsia"/>
                      <w:i/>
                      <w:iCs/>
                      <w:color w:val="auto"/>
                      <w:szCs w:val="21"/>
                    </w:rPr>
                    <w:t>Z</w:t>
                  </w:r>
                </w:p>
              </w:tc>
              <w:tc>
                <w:tcPr>
                  <w:tcW w:w="1013" w:type="pct"/>
                  <w:vMerge w:val="continue"/>
                  <w:noWrap w:val="0"/>
                  <w:vAlign w:val="center"/>
                </w:tcPr>
                <w:p w14:paraId="450B3D10">
                  <w:pPr>
                    <w:spacing w:line="240" w:lineRule="atLeast"/>
                    <w:ind w:left="-21" w:leftChars="-10" w:right="-21" w:rightChars="-10"/>
                    <w:jc w:val="center"/>
                    <w:rPr>
                      <w:i/>
                      <w:iCs/>
                      <w:color w:val="auto"/>
                      <w:szCs w:val="21"/>
                    </w:rPr>
                  </w:pPr>
                </w:p>
              </w:tc>
              <w:tc>
                <w:tcPr>
                  <w:tcW w:w="1524" w:type="pct"/>
                  <w:vMerge w:val="continue"/>
                  <w:noWrap w:val="0"/>
                  <w:vAlign w:val="center"/>
                </w:tcPr>
                <w:p w14:paraId="754736B3">
                  <w:pPr>
                    <w:spacing w:line="240" w:lineRule="atLeast"/>
                    <w:jc w:val="center"/>
                    <w:rPr>
                      <w:color w:val="auto"/>
                      <w:szCs w:val="21"/>
                    </w:rPr>
                  </w:pPr>
                </w:p>
              </w:tc>
              <w:tc>
                <w:tcPr>
                  <w:tcW w:w="583" w:type="pct"/>
                  <w:vMerge w:val="continue"/>
                  <w:noWrap w:val="0"/>
                  <w:vAlign w:val="center"/>
                </w:tcPr>
                <w:p w14:paraId="150160CB">
                  <w:pPr>
                    <w:spacing w:line="240" w:lineRule="atLeast"/>
                    <w:jc w:val="center"/>
                    <w:rPr>
                      <w:color w:val="auto"/>
                      <w:szCs w:val="21"/>
                    </w:rPr>
                  </w:pPr>
                </w:p>
              </w:tc>
            </w:tr>
            <w:tr w14:paraId="0BBD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78" w:type="pct"/>
                  <w:noWrap w:val="0"/>
                  <w:vAlign w:val="center"/>
                </w:tcPr>
                <w:p w14:paraId="36B293CA">
                  <w:pPr>
                    <w:spacing w:line="240" w:lineRule="atLeast"/>
                    <w:ind w:left="-21" w:leftChars="-10" w:right="-21" w:rightChars="-10"/>
                    <w:jc w:val="center"/>
                    <w:rPr>
                      <w:color w:val="auto"/>
                      <w:szCs w:val="21"/>
                    </w:rPr>
                  </w:pPr>
                  <w:r>
                    <w:rPr>
                      <w:color w:val="auto"/>
                      <w:szCs w:val="21"/>
                    </w:rPr>
                    <w:t>1</w:t>
                  </w:r>
                </w:p>
              </w:tc>
              <w:tc>
                <w:tcPr>
                  <w:tcW w:w="583" w:type="pct"/>
                  <w:noWrap w:val="0"/>
                  <w:vAlign w:val="center"/>
                </w:tcPr>
                <w:p w14:paraId="798BEE64">
                  <w:pPr>
                    <w:spacing w:line="240" w:lineRule="atLeast"/>
                    <w:ind w:left="-21" w:leftChars="-10" w:right="-21" w:rightChars="-10"/>
                    <w:jc w:val="center"/>
                    <w:rPr>
                      <w:color w:val="auto"/>
                      <w:szCs w:val="21"/>
                    </w:rPr>
                  </w:pPr>
                  <w:r>
                    <w:rPr>
                      <w:rFonts w:hint="eastAsia"/>
                      <w:color w:val="auto"/>
                      <w:szCs w:val="21"/>
                    </w:rPr>
                    <w:t>锅炉</w:t>
                  </w:r>
                </w:p>
              </w:tc>
              <w:tc>
                <w:tcPr>
                  <w:tcW w:w="368" w:type="pct"/>
                  <w:noWrap w:val="0"/>
                  <w:vAlign w:val="center"/>
                </w:tcPr>
                <w:p w14:paraId="6D9A53C1">
                  <w:pPr>
                    <w:spacing w:line="240" w:lineRule="atLeast"/>
                    <w:ind w:left="-21" w:leftChars="-10" w:right="-21" w:rightChars="-10"/>
                    <w:jc w:val="center"/>
                    <w:rPr>
                      <w:rFonts w:hint="default" w:eastAsia="宋体"/>
                      <w:color w:val="auto"/>
                      <w:szCs w:val="21"/>
                      <w:lang w:val="en-US" w:eastAsia="zh-CN"/>
                    </w:rPr>
                  </w:pPr>
                  <w:r>
                    <w:rPr>
                      <w:rFonts w:hint="eastAsia"/>
                      <w:color w:val="auto"/>
                      <w:szCs w:val="21"/>
                      <w:lang w:val="en-US" w:eastAsia="zh-CN"/>
                    </w:rPr>
                    <w:t>25</w:t>
                  </w:r>
                </w:p>
              </w:tc>
              <w:tc>
                <w:tcPr>
                  <w:tcW w:w="394" w:type="pct"/>
                  <w:noWrap w:val="0"/>
                  <w:vAlign w:val="center"/>
                </w:tcPr>
                <w:p w14:paraId="72F10BEA">
                  <w:pPr>
                    <w:spacing w:line="240" w:lineRule="atLeast"/>
                    <w:ind w:left="-21" w:leftChars="-10" w:right="-21" w:rightChars="-10"/>
                    <w:jc w:val="center"/>
                    <w:rPr>
                      <w:rFonts w:hint="default" w:eastAsia="宋体"/>
                      <w:color w:val="auto"/>
                      <w:szCs w:val="21"/>
                      <w:lang w:val="en-US" w:eastAsia="zh-CN"/>
                    </w:rPr>
                  </w:pPr>
                  <w:r>
                    <w:rPr>
                      <w:rFonts w:hint="eastAsia"/>
                      <w:color w:val="auto"/>
                      <w:szCs w:val="21"/>
                      <w:lang w:val="en-US" w:eastAsia="zh-CN"/>
                    </w:rPr>
                    <w:t>40</w:t>
                  </w:r>
                </w:p>
              </w:tc>
              <w:tc>
                <w:tcPr>
                  <w:tcW w:w="254" w:type="pct"/>
                  <w:noWrap w:val="0"/>
                  <w:vAlign w:val="center"/>
                </w:tcPr>
                <w:p w14:paraId="318690CB">
                  <w:pPr>
                    <w:spacing w:line="240" w:lineRule="atLeast"/>
                    <w:ind w:left="-21" w:leftChars="-10" w:right="-21" w:rightChars="-10"/>
                    <w:jc w:val="center"/>
                    <w:rPr>
                      <w:color w:val="auto"/>
                      <w:szCs w:val="21"/>
                    </w:rPr>
                  </w:pPr>
                  <w:r>
                    <w:rPr>
                      <w:rFonts w:hint="eastAsia"/>
                      <w:color w:val="auto"/>
                      <w:szCs w:val="21"/>
                    </w:rPr>
                    <w:t>1</w:t>
                  </w:r>
                </w:p>
              </w:tc>
              <w:tc>
                <w:tcPr>
                  <w:tcW w:w="1013" w:type="pct"/>
                  <w:noWrap w:val="0"/>
                  <w:vAlign w:val="center"/>
                </w:tcPr>
                <w:p w14:paraId="7565E325">
                  <w:pPr>
                    <w:spacing w:line="240" w:lineRule="atLeast"/>
                    <w:ind w:left="-105" w:leftChars="-50" w:right="-105" w:rightChars="-50"/>
                    <w:jc w:val="center"/>
                    <w:rPr>
                      <w:rFonts w:hint="default" w:eastAsia="宋体"/>
                      <w:color w:val="auto"/>
                      <w:szCs w:val="21"/>
                      <w:lang w:val="en-US" w:eastAsia="zh-CN"/>
                    </w:rPr>
                  </w:pPr>
                  <w:r>
                    <w:rPr>
                      <w:rFonts w:hint="eastAsia"/>
                      <w:color w:val="auto"/>
                      <w:szCs w:val="21"/>
                      <w:lang w:val="en-US" w:eastAsia="zh-CN"/>
                    </w:rPr>
                    <w:t>90</w:t>
                  </w:r>
                </w:p>
              </w:tc>
              <w:tc>
                <w:tcPr>
                  <w:tcW w:w="1524" w:type="pct"/>
                  <w:vMerge w:val="restart"/>
                  <w:noWrap w:val="0"/>
                  <w:vAlign w:val="center"/>
                </w:tcPr>
                <w:p w14:paraId="27D98D4B">
                  <w:pPr>
                    <w:spacing w:line="240" w:lineRule="atLeast"/>
                    <w:jc w:val="center"/>
                    <w:rPr>
                      <w:rFonts w:hint="eastAsia" w:eastAsia="宋体"/>
                      <w:color w:val="auto"/>
                      <w:szCs w:val="21"/>
                      <w:lang w:eastAsia="zh-CN"/>
                    </w:rPr>
                  </w:pPr>
                  <w:r>
                    <w:rPr>
                      <w:rFonts w:hint="eastAsia"/>
                      <w:color w:val="auto"/>
                      <w:szCs w:val="21"/>
                    </w:rPr>
                    <w:t>低噪声设备、基础减振</w:t>
                  </w:r>
                  <w:r>
                    <w:rPr>
                      <w:rFonts w:hint="eastAsia"/>
                      <w:color w:val="auto"/>
                      <w:szCs w:val="21"/>
                      <w:lang w:eastAsia="zh-CN"/>
                    </w:rPr>
                    <w:t>、管道采取软管连接、</w:t>
                  </w:r>
                  <w:r>
                    <w:rPr>
                      <w:rFonts w:hint="eastAsia"/>
                      <w:color w:val="auto"/>
                      <w:szCs w:val="21"/>
                      <w:lang w:val="en-US" w:eastAsia="zh-CN"/>
                    </w:rPr>
                    <w:t>风机</w:t>
                  </w:r>
                  <w:r>
                    <w:rPr>
                      <w:rFonts w:hint="eastAsia"/>
                      <w:color w:val="auto"/>
                      <w:szCs w:val="21"/>
                      <w:lang w:eastAsia="zh-CN"/>
                    </w:rPr>
                    <w:t>采用消声措施</w:t>
                  </w:r>
                </w:p>
              </w:tc>
              <w:tc>
                <w:tcPr>
                  <w:tcW w:w="583" w:type="pct"/>
                  <w:vMerge w:val="restart"/>
                  <w:noWrap w:val="0"/>
                  <w:vAlign w:val="center"/>
                </w:tcPr>
                <w:p w14:paraId="488FBCB5">
                  <w:pPr>
                    <w:spacing w:line="240" w:lineRule="atLeast"/>
                    <w:ind w:left="-21" w:leftChars="-10" w:right="-21" w:rightChars="-10"/>
                    <w:jc w:val="center"/>
                    <w:rPr>
                      <w:color w:val="auto"/>
                      <w:szCs w:val="21"/>
                    </w:rPr>
                  </w:pPr>
                  <w:r>
                    <w:rPr>
                      <w:rFonts w:hint="eastAsia"/>
                      <w:color w:val="auto"/>
                      <w:szCs w:val="21"/>
                    </w:rPr>
                    <w:t>全天</w:t>
                  </w:r>
                </w:p>
              </w:tc>
            </w:tr>
            <w:tr w14:paraId="21A38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78" w:type="pct"/>
                  <w:noWrap w:val="0"/>
                  <w:vAlign w:val="center"/>
                </w:tcPr>
                <w:p w14:paraId="33839AB4">
                  <w:pPr>
                    <w:spacing w:line="240" w:lineRule="atLeast"/>
                    <w:ind w:left="-21" w:leftChars="-10" w:right="-21" w:rightChars="-10"/>
                    <w:jc w:val="center"/>
                    <w:rPr>
                      <w:color w:val="auto"/>
                      <w:szCs w:val="21"/>
                    </w:rPr>
                  </w:pPr>
                  <w:r>
                    <w:rPr>
                      <w:rFonts w:hint="eastAsia"/>
                      <w:color w:val="auto"/>
                      <w:szCs w:val="21"/>
                    </w:rPr>
                    <w:t>2</w:t>
                  </w:r>
                </w:p>
              </w:tc>
              <w:tc>
                <w:tcPr>
                  <w:tcW w:w="583" w:type="pct"/>
                  <w:noWrap w:val="0"/>
                  <w:vAlign w:val="center"/>
                </w:tcPr>
                <w:p w14:paraId="64A4E923">
                  <w:pPr>
                    <w:spacing w:line="240" w:lineRule="atLeast"/>
                    <w:ind w:left="-21" w:leftChars="-10" w:right="-21" w:rightChars="-10"/>
                    <w:jc w:val="center"/>
                    <w:rPr>
                      <w:color w:val="auto"/>
                      <w:kern w:val="0"/>
                      <w:szCs w:val="21"/>
                    </w:rPr>
                  </w:pPr>
                  <w:r>
                    <w:rPr>
                      <w:rFonts w:hint="eastAsia"/>
                      <w:color w:val="auto"/>
                      <w:kern w:val="0"/>
                      <w:szCs w:val="21"/>
                    </w:rPr>
                    <w:t>送风机</w:t>
                  </w:r>
                </w:p>
              </w:tc>
              <w:tc>
                <w:tcPr>
                  <w:tcW w:w="368" w:type="pct"/>
                  <w:noWrap w:val="0"/>
                  <w:vAlign w:val="center"/>
                </w:tcPr>
                <w:p w14:paraId="778368F7">
                  <w:pPr>
                    <w:spacing w:line="240" w:lineRule="atLeast"/>
                    <w:ind w:left="-21" w:leftChars="-10" w:right="-21" w:rightChars="-1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en-US" w:eastAsia="zh-CN"/>
                    </w:rPr>
                    <w:t>50</w:t>
                  </w:r>
                </w:p>
              </w:tc>
              <w:tc>
                <w:tcPr>
                  <w:tcW w:w="394" w:type="pct"/>
                  <w:noWrap w:val="0"/>
                  <w:vAlign w:val="center"/>
                </w:tcPr>
                <w:p w14:paraId="345427D0">
                  <w:pPr>
                    <w:spacing w:line="240" w:lineRule="atLeast"/>
                    <w:ind w:left="-21" w:leftChars="-10" w:right="-21" w:rightChars="-1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en-US" w:eastAsia="zh-CN"/>
                    </w:rPr>
                    <w:t>25</w:t>
                  </w:r>
                </w:p>
              </w:tc>
              <w:tc>
                <w:tcPr>
                  <w:tcW w:w="254" w:type="pct"/>
                  <w:noWrap w:val="0"/>
                  <w:vAlign w:val="center"/>
                </w:tcPr>
                <w:p w14:paraId="4981DD67">
                  <w:pPr>
                    <w:spacing w:line="240" w:lineRule="atLeast"/>
                    <w:ind w:left="-21" w:leftChars="-10" w:right="-21" w:rightChars="-10"/>
                    <w:jc w:val="center"/>
                    <w:rPr>
                      <w:rFonts w:ascii="Times New Roman" w:hAnsi="Times New Roman" w:eastAsia="宋体" w:cs="Times New Roman"/>
                      <w:color w:val="auto"/>
                      <w:kern w:val="2"/>
                      <w:sz w:val="21"/>
                      <w:szCs w:val="21"/>
                      <w:lang w:val="en-US" w:eastAsia="zh-CN" w:bidi="ar-SA"/>
                    </w:rPr>
                  </w:pPr>
                  <w:r>
                    <w:rPr>
                      <w:rFonts w:hint="eastAsia"/>
                      <w:color w:val="auto"/>
                      <w:szCs w:val="21"/>
                    </w:rPr>
                    <w:t>1</w:t>
                  </w:r>
                </w:p>
              </w:tc>
              <w:tc>
                <w:tcPr>
                  <w:tcW w:w="1013" w:type="pct"/>
                  <w:noWrap w:val="0"/>
                  <w:vAlign w:val="center"/>
                </w:tcPr>
                <w:p w14:paraId="6AE0067B">
                  <w:pPr>
                    <w:spacing w:line="240" w:lineRule="atLeast"/>
                    <w:ind w:left="-105" w:leftChars="-50" w:right="-105" w:rightChars="-50"/>
                    <w:jc w:val="center"/>
                    <w:rPr>
                      <w:rFonts w:hint="default" w:eastAsia="宋体"/>
                      <w:color w:val="auto"/>
                      <w:szCs w:val="21"/>
                      <w:lang w:val="en-US" w:eastAsia="zh-CN"/>
                    </w:rPr>
                  </w:pPr>
                  <w:r>
                    <w:rPr>
                      <w:rFonts w:hint="eastAsia"/>
                      <w:color w:val="auto"/>
                      <w:szCs w:val="21"/>
                      <w:lang w:val="en-US" w:eastAsia="zh-CN"/>
                    </w:rPr>
                    <w:t>85</w:t>
                  </w:r>
                </w:p>
              </w:tc>
              <w:tc>
                <w:tcPr>
                  <w:tcW w:w="1524" w:type="pct"/>
                  <w:vMerge w:val="continue"/>
                  <w:noWrap w:val="0"/>
                  <w:vAlign w:val="center"/>
                </w:tcPr>
                <w:p w14:paraId="04308A43">
                  <w:pPr>
                    <w:spacing w:line="240" w:lineRule="atLeast"/>
                    <w:jc w:val="center"/>
                    <w:rPr>
                      <w:color w:val="auto"/>
                      <w:szCs w:val="21"/>
                    </w:rPr>
                  </w:pPr>
                </w:p>
              </w:tc>
              <w:tc>
                <w:tcPr>
                  <w:tcW w:w="583" w:type="pct"/>
                  <w:vMerge w:val="continue"/>
                  <w:noWrap w:val="0"/>
                  <w:vAlign w:val="center"/>
                </w:tcPr>
                <w:p w14:paraId="51A307E9">
                  <w:pPr>
                    <w:spacing w:line="240" w:lineRule="atLeast"/>
                    <w:ind w:left="-21" w:leftChars="-10" w:right="-21" w:rightChars="-10"/>
                    <w:jc w:val="center"/>
                    <w:rPr>
                      <w:color w:val="auto"/>
                      <w:szCs w:val="21"/>
                    </w:rPr>
                  </w:pPr>
                </w:p>
              </w:tc>
            </w:tr>
            <w:tr w14:paraId="1A0F5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278" w:type="pct"/>
                  <w:noWrap w:val="0"/>
                  <w:vAlign w:val="center"/>
                </w:tcPr>
                <w:p w14:paraId="7A64EEE8">
                  <w:pPr>
                    <w:spacing w:line="240" w:lineRule="atLeast"/>
                    <w:ind w:left="-21" w:leftChars="-10" w:right="-21" w:rightChars="-10"/>
                    <w:jc w:val="center"/>
                    <w:rPr>
                      <w:color w:val="auto"/>
                      <w:szCs w:val="21"/>
                    </w:rPr>
                  </w:pPr>
                  <w:r>
                    <w:rPr>
                      <w:rFonts w:hint="eastAsia"/>
                      <w:color w:val="auto"/>
                      <w:szCs w:val="21"/>
                    </w:rPr>
                    <w:t>3</w:t>
                  </w:r>
                </w:p>
              </w:tc>
              <w:tc>
                <w:tcPr>
                  <w:tcW w:w="583" w:type="pct"/>
                  <w:noWrap w:val="0"/>
                  <w:vAlign w:val="center"/>
                </w:tcPr>
                <w:p w14:paraId="61553A9D">
                  <w:pPr>
                    <w:spacing w:line="240" w:lineRule="atLeast"/>
                    <w:ind w:left="-21" w:leftChars="-10" w:right="-21" w:rightChars="-10"/>
                    <w:jc w:val="center"/>
                    <w:rPr>
                      <w:color w:val="auto"/>
                    </w:rPr>
                  </w:pPr>
                  <w:r>
                    <w:rPr>
                      <w:rFonts w:hint="eastAsia"/>
                      <w:color w:val="auto"/>
                    </w:rPr>
                    <w:t>引风机</w:t>
                  </w:r>
                </w:p>
              </w:tc>
              <w:tc>
                <w:tcPr>
                  <w:tcW w:w="368" w:type="pct"/>
                  <w:noWrap w:val="0"/>
                  <w:vAlign w:val="center"/>
                </w:tcPr>
                <w:p w14:paraId="776D49E3">
                  <w:pPr>
                    <w:spacing w:line="240" w:lineRule="atLeast"/>
                    <w:ind w:left="-21" w:leftChars="-10" w:right="-21" w:rightChars="-1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en-US" w:eastAsia="zh-CN"/>
                    </w:rPr>
                    <w:t>20</w:t>
                  </w:r>
                </w:p>
              </w:tc>
              <w:tc>
                <w:tcPr>
                  <w:tcW w:w="394" w:type="pct"/>
                  <w:noWrap w:val="0"/>
                  <w:vAlign w:val="center"/>
                </w:tcPr>
                <w:p w14:paraId="3A4C72D1">
                  <w:pPr>
                    <w:spacing w:line="240" w:lineRule="atLeast"/>
                    <w:ind w:left="-21" w:leftChars="-10" w:right="-21" w:rightChars="-1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en-US" w:eastAsia="zh-CN"/>
                    </w:rPr>
                    <w:t>40</w:t>
                  </w:r>
                </w:p>
              </w:tc>
              <w:tc>
                <w:tcPr>
                  <w:tcW w:w="254" w:type="pct"/>
                  <w:noWrap w:val="0"/>
                  <w:vAlign w:val="center"/>
                </w:tcPr>
                <w:p w14:paraId="1FABE90D">
                  <w:pPr>
                    <w:spacing w:line="240" w:lineRule="atLeast"/>
                    <w:ind w:left="-21" w:leftChars="-10" w:right="-21" w:rightChars="-10"/>
                    <w:jc w:val="center"/>
                    <w:rPr>
                      <w:rFonts w:ascii="Times New Roman" w:hAnsi="Times New Roman" w:eastAsia="宋体" w:cs="Times New Roman"/>
                      <w:color w:val="auto"/>
                      <w:kern w:val="2"/>
                      <w:sz w:val="21"/>
                      <w:szCs w:val="21"/>
                      <w:lang w:val="en-US" w:eastAsia="zh-CN" w:bidi="ar-SA"/>
                    </w:rPr>
                  </w:pPr>
                  <w:r>
                    <w:rPr>
                      <w:rFonts w:hint="eastAsia"/>
                      <w:color w:val="auto"/>
                      <w:szCs w:val="21"/>
                    </w:rPr>
                    <w:t>1</w:t>
                  </w:r>
                </w:p>
              </w:tc>
              <w:tc>
                <w:tcPr>
                  <w:tcW w:w="1013" w:type="pct"/>
                  <w:noWrap w:val="0"/>
                  <w:vAlign w:val="center"/>
                </w:tcPr>
                <w:p w14:paraId="291839B4">
                  <w:pPr>
                    <w:spacing w:line="240" w:lineRule="atLeast"/>
                    <w:ind w:left="-105" w:leftChars="-50" w:right="-105" w:rightChars="-50"/>
                    <w:jc w:val="center"/>
                    <w:rPr>
                      <w:color w:val="auto"/>
                      <w:szCs w:val="21"/>
                    </w:rPr>
                  </w:pPr>
                  <w:r>
                    <w:rPr>
                      <w:rFonts w:hint="eastAsia"/>
                      <w:color w:val="auto"/>
                      <w:szCs w:val="21"/>
                    </w:rPr>
                    <w:t>100</w:t>
                  </w:r>
                </w:p>
              </w:tc>
              <w:tc>
                <w:tcPr>
                  <w:tcW w:w="1524" w:type="pct"/>
                  <w:vMerge w:val="continue"/>
                  <w:noWrap w:val="0"/>
                  <w:vAlign w:val="center"/>
                </w:tcPr>
                <w:p w14:paraId="6787A8F5">
                  <w:pPr>
                    <w:spacing w:line="240" w:lineRule="atLeast"/>
                    <w:ind w:left="-21" w:leftChars="-10" w:right="-21" w:rightChars="-10"/>
                    <w:jc w:val="center"/>
                    <w:rPr>
                      <w:color w:val="auto"/>
                      <w:szCs w:val="21"/>
                    </w:rPr>
                  </w:pPr>
                </w:p>
              </w:tc>
              <w:tc>
                <w:tcPr>
                  <w:tcW w:w="583" w:type="pct"/>
                  <w:vMerge w:val="continue"/>
                  <w:noWrap w:val="0"/>
                  <w:vAlign w:val="center"/>
                </w:tcPr>
                <w:p w14:paraId="637180B3">
                  <w:pPr>
                    <w:spacing w:line="240" w:lineRule="atLeast"/>
                    <w:ind w:left="-21" w:leftChars="-10" w:right="-21" w:rightChars="-10"/>
                    <w:jc w:val="center"/>
                    <w:rPr>
                      <w:color w:val="auto"/>
                      <w:szCs w:val="21"/>
                    </w:rPr>
                  </w:pPr>
                </w:p>
              </w:tc>
            </w:tr>
            <w:tr w14:paraId="3E102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78" w:type="pct"/>
                  <w:noWrap w:val="0"/>
                  <w:vAlign w:val="center"/>
                </w:tcPr>
                <w:p w14:paraId="4079B45F">
                  <w:pPr>
                    <w:spacing w:line="240" w:lineRule="atLeast"/>
                    <w:ind w:left="-21" w:leftChars="-10" w:right="-21" w:rightChars="-10"/>
                    <w:jc w:val="center"/>
                    <w:rPr>
                      <w:color w:val="auto"/>
                      <w:szCs w:val="21"/>
                    </w:rPr>
                  </w:pPr>
                  <w:r>
                    <w:rPr>
                      <w:rFonts w:hint="eastAsia"/>
                      <w:color w:val="auto"/>
                      <w:szCs w:val="21"/>
                    </w:rPr>
                    <w:t>4</w:t>
                  </w:r>
                </w:p>
              </w:tc>
              <w:tc>
                <w:tcPr>
                  <w:tcW w:w="583" w:type="pct"/>
                  <w:noWrap w:val="0"/>
                  <w:vAlign w:val="center"/>
                </w:tcPr>
                <w:p w14:paraId="17CBA4C2">
                  <w:pPr>
                    <w:spacing w:line="240" w:lineRule="atLeast"/>
                    <w:ind w:left="-21" w:leftChars="-10" w:right="-21" w:rightChars="-10"/>
                    <w:jc w:val="center"/>
                    <w:rPr>
                      <w:rFonts w:hint="eastAsia" w:eastAsia="宋体"/>
                      <w:color w:val="auto"/>
                      <w:szCs w:val="21"/>
                      <w:lang w:val="en-US" w:eastAsia="zh-CN"/>
                    </w:rPr>
                  </w:pPr>
                  <w:r>
                    <w:rPr>
                      <w:rFonts w:hint="eastAsia"/>
                      <w:color w:val="auto"/>
                      <w:szCs w:val="21"/>
                      <w:lang w:val="en-US" w:eastAsia="zh-CN"/>
                    </w:rPr>
                    <w:t>1#冷却塔</w:t>
                  </w:r>
                </w:p>
              </w:tc>
              <w:tc>
                <w:tcPr>
                  <w:tcW w:w="368" w:type="pct"/>
                  <w:noWrap w:val="0"/>
                  <w:vAlign w:val="center"/>
                </w:tcPr>
                <w:p w14:paraId="385CADE9">
                  <w:pPr>
                    <w:spacing w:line="240" w:lineRule="atLeast"/>
                    <w:ind w:left="-21" w:leftChars="-10" w:right="-21" w:rightChars="-10"/>
                    <w:jc w:val="center"/>
                    <w:rPr>
                      <w:rFonts w:hint="default" w:eastAsia="宋体"/>
                      <w:color w:val="auto"/>
                      <w:szCs w:val="21"/>
                      <w:lang w:val="en-US" w:eastAsia="zh-CN"/>
                    </w:rPr>
                  </w:pPr>
                  <w:r>
                    <w:rPr>
                      <w:rFonts w:hint="eastAsia"/>
                      <w:color w:val="auto"/>
                      <w:szCs w:val="21"/>
                      <w:lang w:val="en-US" w:eastAsia="zh-CN"/>
                    </w:rPr>
                    <w:t>50</w:t>
                  </w:r>
                </w:p>
              </w:tc>
              <w:tc>
                <w:tcPr>
                  <w:tcW w:w="394" w:type="pct"/>
                  <w:noWrap w:val="0"/>
                  <w:vAlign w:val="center"/>
                </w:tcPr>
                <w:p w14:paraId="59D0A7C7">
                  <w:pPr>
                    <w:spacing w:line="240" w:lineRule="atLeast"/>
                    <w:ind w:left="-21" w:leftChars="-10" w:right="-21" w:rightChars="-10"/>
                    <w:jc w:val="center"/>
                    <w:rPr>
                      <w:rFonts w:hint="default" w:eastAsia="宋体"/>
                      <w:color w:val="auto"/>
                      <w:szCs w:val="21"/>
                      <w:lang w:val="en-US" w:eastAsia="zh-CN"/>
                    </w:rPr>
                  </w:pPr>
                  <w:r>
                    <w:rPr>
                      <w:rFonts w:hint="eastAsia"/>
                      <w:color w:val="auto"/>
                      <w:szCs w:val="21"/>
                      <w:lang w:val="en-US" w:eastAsia="zh-CN"/>
                    </w:rPr>
                    <w:t>120</w:t>
                  </w:r>
                </w:p>
              </w:tc>
              <w:tc>
                <w:tcPr>
                  <w:tcW w:w="254" w:type="pct"/>
                  <w:noWrap w:val="0"/>
                  <w:vAlign w:val="center"/>
                </w:tcPr>
                <w:p w14:paraId="3AF69D11">
                  <w:pPr>
                    <w:spacing w:line="240" w:lineRule="atLeast"/>
                    <w:ind w:left="-21" w:leftChars="-10" w:right="-21" w:rightChars="-10"/>
                    <w:jc w:val="center"/>
                    <w:rPr>
                      <w:color w:val="auto"/>
                      <w:szCs w:val="21"/>
                    </w:rPr>
                  </w:pPr>
                  <w:r>
                    <w:rPr>
                      <w:rFonts w:hint="eastAsia"/>
                      <w:color w:val="auto"/>
                      <w:szCs w:val="21"/>
                    </w:rPr>
                    <w:t>1</w:t>
                  </w:r>
                </w:p>
              </w:tc>
              <w:tc>
                <w:tcPr>
                  <w:tcW w:w="1013" w:type="pct"/>
                  <w:noWrap w:val="0"/>
                  <w:vAlign w:val="center"/>
                </w:tcPr>
                <w:p w14:paraId="2F079589">
                  <w:pPr>
                    <w:spacing w:line="240" w:lineRule="atLeast"/>
                    <w:ind w:left="-105" w:leftChars="-50" w:right="-105" w:rightChars="-50"/>
                    <w:jc w:val="center"/>
                    <w:rPr>
                      <w:rFonts w:hint="default" w:eastAsia="宋体"/>
                      <w:color w:val="auto"/>
                      <w:szCs w:val="21"/>
                      <w:lang w:val="en-US" w:eastAsia="zh-CN"/>
                    </w:rPr>
                  </w:pPr>
                  <w:r>
                    <w:rPr>
                      <w:rFonts w:hint="eastAsia"/>
                      <w:color w:val="auto"/>
                      <w:szCs w:val="21"/>
                      <w:lang w:val="en-US" w:eastAsia="zh-CN"/>
                    </w:rPr>
                    <w:t>85</w:t>
                  </w:r>
                </w:p>
              </w:tc>
              <w:tc>
                <w:tcPr>
                  <w:tcW w:w="1524" w:type="pct"/>
                  <w:vMerge w:val="continue"/>
                  <w:noWrap w:val="0"/>
                  <w:vAlign w:val="center"/>
                </w:tcPr>
                <w:p w14:paraId="10A87DA0">
                  <w:pPr>
                    <w:spacing w:line="240" w:lineRule="atLeast"/>
                    <w:ind w:left="-21" w:leftChars="-10" w:right="-21" w:rightChars="-10"/>
                    <w:jc w:val="center"/>
                    <w:rPr>
                      <w:color w:val="auto"/>
                      <w:szCs w:val="21"/>
                    </w:rPr>
                  </w:pPr>
                </w:p>
              </w:tc>
              <w:tc>
                <w:tcPr>
                  <w:tcW w:w="583" w:type="pct"/>
                  <w:vMerge w:val="continue"/>
                  <w:noWrap w:val="0"/>
                  <w:vAlign w:val="center"/>
                </w:tcPr>
                <w:p w14:paraId="38911A2E">
                  <w:pPr>
                    <w:spacing w:line="240" w:lineRule="atLeast"/>
                    <w:ind w:left="-21" w:leftChars="-10" w:right="-21" w:rightChars="-10"/>
                    <w:jc w:val="center"/>
                    <w:rPr>
                      <w:color w:val="auto"/>
                      <w:szCs w:val="21"/>
                    </w:rPr>
                  </w:pPr>
                </w:p>
              </w:tc>
            </w:tr>
            <w:tr w14:paraId="30A83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78" w:type="pct"/>
                  <w:noWrap w:val="0"/>
                  <w:vAlign w:val="center"/>
                </w:tcPr>
                <w:p w14:paraId="12541FF7">
                  <w:pPr>
                    <w:spacing w:line="240" w:lineRule="atLeast"/>
                    <w:ind w:left="-21" w:leftChars="-10" w:right="-21" w:rightChars="-10"/>
                    <w:jc w:val="center"/>
                    <w:rPr>
                      <w:rFonts w:hint="eastAsia" w:eastAsia="宋体"/>
                      <w:color w:val="auto"/>
                      <w:szCs w:val="21"/>
                      <w:lang w:val="en-US" w:eastAsia="zh-CN"/>
                    </w:rPr>
                  </w:pPr>
                  <w:r>
                    <w:rPr>
                      <w:rFonts w:hint="eastAsia"/>
                      <w:color w:val="auto"/>
                      <w:szCs w:val="21"/>
                      <w:lang w:val="en-US" w:eastAsia="zh-CN"/>
                    </w:rPr>
                    <w:t>5</w:t>
                  </w:r>
                </w:p>
              </w:tc>
              <w:tc>
                <w:tcPr>
                  <w:tcW w:w="583" w:type="pct"/>
                  <w:noWrap w:val="0"/>
                  <w:vAlign w:val="center"/>
                </w:tcPr>
                <w:p w14:paraId="5AF42B74">
                  <w:pPr>
                    <w:spacing w:line="240" w:lineRule="atLeast"/>
                    <w:ind w:left="-21" w:leftChars="-10" w:right="-21" w:rightChars="-1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2#冷却塔</w:t>
                  </w:r>
                </w:p>
              </w:tc>
              <w:tc>
                <w:tcPr>
                  <w:tcW w:w="368" w:type="pct"/>
                  <w:noWrap w:val="0"/>
                  <w:vAlign w:val="center"/>
                </w:tcPr>
                <w:p w14:paraId="1E2587FA">
                  <w:pPr>
                    <w:spacing w:line="240" w:lineRule="atLeast"/>
                    <w:ind w:left="-21" w:leftChars="-10" w:right="-21" w:rightChars="-1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en-US" w:eastAsia="zh-CN"/>
                    </w:rPr>
                    <w:t>60</w:t>
                  </w:r>
                </w:p>
              </w:tc>
              <w:tc>
                <w:tcPr>
                  <w:tcW w:w="394" w:type="pct"/>
                  <w:noWrap w:val="0"/>
                  <w:vAlign w:val="center"/>
                </w:tcPr>
                <w:p w14:paraId="16B300FC">
                  <w:pPr>
                    <w:spacing w:line="240" w:lineRule="atLeast"/>
                    <w:ind w:left="-21" w:leftChars="-10" w:right="-21" w:rightChars="-1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en-US" w:eastAsia="zh-CN"/>
                    </w:rPr>
                    <w:t>130</w:t>
                  </w:r>
                </w:p>
              </w:tc>
              <w:tc>
                <w:tcPr>
                  <w:tcW w:w="254" w:type="pct"/>
                  <w:noWrap w:val="0"/>
                  <w:vAlign w:val="center"/>
                </w:tcPr>
                <w:p w14:paraId="707A7B4C">
                  <w:pPr>
                    <w:spacing w:line="240" w:lineRule="atLeast"/>
                    <w:ind w:left="-21" w:leftChars="-10" w:right="-21" w:rightChars="-10"/>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1</w:t>
                  </w:r>
                </w:p>
              </w:tc>
              <w:tc>
                <w:tcPr>
                  <w:tcW w:w="1013" w:type="pct"/>
                  <w:noWrap w:val="0"/>
                  <w:vAlign w:val="center"/>
                </w:tcPr>
                <w:p w14:paraId="390F95AD">
                  <w:pPr>
                    <w:spacing w:line="240" w:lineRule="atLeast"/>
                    <w:ind w:left="-105" w:leftChars="-50" w:right="-105" w:rightChars="-5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en-US" w:eastAsia="zh-CN"/>
                    </w:rPr>
                    <w:t>85</w:t>
                  </w:r>
                </w:p>
              </w:tc>
              <w:tc>
                <w:tcPr>
                  <w:tcW w:w="1524" w:type="pct"/>
                  <w:vMerge w:val="continue"/>
                  <w:noWrap w:val="0"/>
                  <w:vAlign w:val="center"/>
                </w:tcPr>
                <w:p w14:paraId="4AA7FE8E">
                  <w:pPr>
                    <w:spacing w:line="240" w:lineRule="atLeast"/>
                    <w:ind w:left="-21" w:leftChars="-10" w:right="-21" w:rightChars="-10"/>
                    <w:jc w:val="center"/>
                    <w:rPr>
                      <w:color w:val="auto"/>
                      <w:szCs w:val="21"/>
                    </w:rPr>
                  </w:pPr>
                </w:p>
              </w:tc>
              <w:tc>
                <w:tcPr>
                  <w:tcW w:w="583" w:type="pct"/>
                  <w:vMerge w:val="continue"/>
                  <w:noWrap w:val="0"/>
                  <w:vAlign w:val="center"/>
                </w:tcPr>
                <w:p w14:paraId="1BE1E247">
                  <w:pPr>
                    <w:spacing w:line="240" w:lineRule="atLeast"/>
                    <w:ind w:left="-21" w:leftChars="-10" w:right="-21" w:rightChars="-10"/>
                    <w:jc w:val="center"/>
                    <w:rPr>
                      <w:color w:val="auto"/>
                      <w:szCs w:val="21"/>
                    </w:rPr>
                  </w:pPr>
                </w:p>
              </w:tc>
            </w:tr>
            <w:tr w14:paraId="46756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78" w:type="pct"/>
                  <w:noWrap w:val="0"/>
                  <w:vAlign w:val="center"/>
                </w:tcPr>
                <w:p w14:paraId="74DD2CCD">
                  <w:pPr>
                    <w:spacing w:line="240" w:lineRule="atLeast"/>
                    <w:ind w:left="-21" w:leftChars="-10" w:right="-21" w:rightChars="-10"/>
                    <w:jc w:val="center"/>
                    <w:rPr>
                      <w:rFonts w:hint="eastAsia" w:eastAsia="宋体"/>
                      <w:color w:val="auto"/>
                      <w:szCs w:val="21"/>
                      <w:lang w:eastAsia="zh-CN"/>
                    </w:rPr>
                  </w:pPr>
                  <w:r>
                    <w:rPr>
                      <w:rFonts w:hint="eastAsia"/>
                      <w:color w:val="auto"/>
                      <w:szCs w:val="21"/>
                      <w:lang w:val="en-US" w:eastAsia="zh-CN"/>
                    </w:rPr>
                    <w:t>6</w:t>
                  </w:r>
                </w:p>
              </w:tc>
              <w:tc>
                <w:tcPr>
                  <w:tcW w:w="583" w:type="pct"/>
                  <w:noWrap w:val="0"/>
                  <w:vAlign w:val="center"/>
                </w:tcPr>
                <w:p w14:paraId="3CE6DCAC">
                  <w:pPr>
                    <w:spacing w:line="240" w:lineRule="atLeast"/>
                    <w:ind w:left="-21" w:leftChars="-10" w:right="-21" w:rightChars="-10"/>
                    <w:jc w:val="center"/>
                    <w:rPr>
                      <w:color w:val="auto"/>
                      <w:kern w:val="0"/>
                      <w:szCs w:val="21"/>
                    </w:rPr>
                  </w:pPr>
                  <w:r>
                    <w:rPr>
                      <w:rFonts w:hint="eastAsia"/>
                      <w:color w:val="auto"/>
                    </w:rPr>
                    <w:t>除尘风机</w:t>
                  </w:r>
                </w:p>
              </w:tc>
              <w:tc>
                <w:tcPr>
                  <w:tcW w:w="368" w:type="pct"/>
                  <w:noWrap w:val="0"/>
                  <w:vAlign w:val="center"/>
                </w:tcPr>
                <w:p w14:paraId="7A38D784">
                  <w:pPr>
                    <w:spacing w:line="240" w:lineRule="atLeast"/>
                    <w:ind w:left="-21" w:leftChars="-10" w:right="-21" w:rightChars="-10"/>
                    <w:jc w:val="center"/>
                    <w:rPr>
                      <w:rFonts w:hint="eastAsia" w:eastAsia="宋体"/>
                      <w:color w:val="auto"/>
                      <w:szCs w:val="21"/>
                      <w:lang w:eastAsia="zh-CN"/>
                    </w:rPr>
                  </w:pPr>
                  <w:r>
                    <w:rPr>
                      <w:rFonts w:hint="eastAsia"/>
                      <w:color w:val="auto"/>
                      <w:szCs w:val="21"/>
                      <w:lang w:val="en-US" w:eastAsia="zh-CN"/>
                    </w:rPr>
                    <w:t>25</w:t>
                  </w:r>
                </w:p>
              </w:tc>
              <w:tc>
                <w:tcPr>
                  <w:tcW w:w="394" w:type="pct"/>
                  <w:noWrap w:val="0"/>
                  <w:vAlign w:val="center"/>
                </w:tcPr>
                <w:p w14:paraId="16A6DD0F">
                  <w:pPr>
                    <w:spacing w:line="240" w:lineRule="atLeast"/>
                    <w:ind w:left="-21" w:leftChars="-10" w:right="-21" w:rightChars="-10"/>
                    <w:jc w:val="center"/>
                    <w:rPr>
                      <w:rFonts w:hint="default" w:eastAsia="宋体"/>
                      <w:color w:val="auto"/>
                      <w:szCs w:val="21"/>
                      <w:lang w:val="en-US" w:eastAsia="zh-CN"/>
                    </w:rPr>
                  </w:pPr>
                  <w:r>
                    <w:rPr>
                      <w:rFonts w:hint="eastAsia"/>
                      <w:color w:val="auto"/>
                      <w:szCs w:val="21"/>
                      <w:lang w:val="en-US" w:eastAsia="zh-CN"/>
                    </w:rPr>
                    <w:t>5</w:t>
                  </w:r>
                </w:p>
              </w:tc>
              <w:tc>
                <w:tcPr>
                  <w:tcW w:w="254" w:type="pct"/>
                  <w:noWrap w:val="0"/>
                  <w:vAlign w:val="center"/>
                </w:tcPr>
                <w:p w14:paraId="08A5C31A">
                  <w:pPr>
                    <w:spacing w:line="240" w:lineRule="atLeast"/>
                    <w:ind w:left="-21" w:leftChars="-10" w:right="-21" w:rightChars="-10"/>
                    <w:jc w:val="center"/>
                    <w:rPr>
                      <w:color w:val="auto"/>
                      <w:szCs w:val="21"/>
                    </w:rPr>
                  </w:pPr>
                  <w:r>
                    <w:rPr>
                      <w:rFonts w:hint="eastAsia"/>
                      <w:color w:val="auto"/>
                      <w:szCs w:val="21"/>
                    </w:rPr>
                    <w:t>1</w:t>
                  </w:r>
                </w:p>
              </w:tc>
              <w:tc>
                <w:tcPr>
                  <w:tcW w:w="1013" w:type="pct"/>
                  <w:noWrap w:val="0"/>
                  <w:vAlign w:val="center"/>
                </w:tcPr>
                <w:p w14:paraId="3880FCEA">
                  <w:pPr>
                    <w:spacing w:line="240" w:lineRule="atLeast"/>
                    <w:ind w:left="-105" w:leftChars="-50" w:right="-105" w:rightChars="-50"/>
                    <w:jc w:val="center"/>
                    <w:rPr>
                      <w:rFonts w:hint="default" w:eastAsia="宋体"/>
                      <w:color w:val="auto"/>
                      <w:szCs w:val="21"/>
                      <w:lang w:val="en-US" w:eastAsia="zh-CN"/>
                    </w:rPr>
                  </w:pPr>
                  <w:r>
                    <w:rPr>
                      <w:rFonts w:hint="eastAsia"/>
                      <w:color w:val="auto"/>
                      <w:szCs w:val="21"/>
                      <w:lang w:val="en-US" w:eastAsia="zh-CN"/>
                    </w:rPr>
                    <w:t>95</w:t>
                  </w:r>
                </w:p>
              </w:tc>
              <w:tc>
                <w:tcPr>
                  <w:tcW w:w="1524" w:type="pct"/>
                  <w:vMerge w:val="continue"/>
                  <w:noWrap w:val="0"/>
                  <w:vAlign w:val="center"/>
                </w:tcPr>
                <w:p w14:paraId="0664BCB7">
                  <w:pPr>
                    <w:spacing w:line="240" w:lineRule="atLeast"/>
                    <w:ind w:left="-21" w:leftChars="-10" w:right="-21" w:rightChars="-10"/>
                    <w:jc w:val="center"/>
                    <w:rPr>
                      <w:color w:val="auto"/>
                      <w:szCs w:val="21"/>
                    </w:rPr>
                  </w:pPr>
                </w:p>
              </w:tc>
              <w:tc>
                <w:tcPr>
                  <w:tcW w:w="583" w:type="pct"/>
                  <w:vMerge w:val="continue"/>
                  <w:noWrap w:val="0"/>
                  <w:vAlign w:val="center"/>
                </w:tcPr>
                <w:p w14:paraId="308D8D34">
                  <w:pPr>
                    <w:spacing w:line="240" w:lineRule="atLeast"/>
                    <w:ind w:left="-21" w:leftChars="-10" w:right="-21" w:rightChars="-10"/>
                    <w:jc w:val="center"/>
                    <w:rPr>
                      <w:color w:val="auto"/>
                      <w:szCs w:val="21"/>
                    </w:rPr>
                  </w:pPr>
                </w:p>
              </w:tc>
            </w:tr>
          </w:tbl>
          <w:p w14:paraId="05E58E3B">
            <w:pPr>
              <w:spacing w:beforeLines="100" w:line="360" w:lineRule="auto"/>
              <w:ind w:firstLine="480" w:firstLineChars="200"/>
              <w:rPr>
                <w:color w:val="auto"/>
                <w:sz w:val="24"/>
              </w:rPr>
            </w:pPr>
            <w:r>
              <w:rPr>
                <w:rFonts w:hint="eastAsia"/>
                <w:color w:val="auto"/>
                <w:sz w:val="24"/>
                <w:lang w:val="en-US" w:eastAsia="zh-CN"/>
              </w:rPr>
              <w:t>项目边界</w:t>
            </w:r>
            <w:r>
              <w:rPr>
                <w:rFonts w:hint="eastAsia"/>
                <w:color w:val="auto"/>
                <w:sz w:val="24"/>
              </w:rPr>
              <w:t>西南角为坐标原点（0,0,0）。</w:t>
            </w:r>
          </w:p>
          <w:p w14:paraId="66F04123">
            <w:pPr>
              <w:spacing w:line="360" w:lineRule="auto"/>
              <w:ind w:firstLine="480" w:firstLineChars="200"/>
              <w:rPr>
                <w:color w:val="auto"/>
                <w:sz w:val="24"/>
              </w:rPr>
            </w:pPr>
            <w:r>
              <w:rPr>
                <w:color w:val="auto"/>
                <w:sz w:val="24"/>
              </w:rPr>
              <w:t>2）预测模式及预测结果</w:t>
            </w:r>
          </w:p>
          <w:p w14:paraId="2078B8BA">
            <w:pPr>
              <w:pStyle w:val="15"/>
              <w:spacing w:line="360" w:lineRule="auto"/>
              <w:ind w:firstLine="480"/>
              <w:rPr>
                <w:bCs/>
                <w:color w:val="auto"/>
                <w:sz w:val="24"/>
              </w:rPr>
            </w:pPr>
            <w:r>
              <w:rPr>
                <w:bCs/>
                <w:color w:val="auto"/>
                <w:sz w:val="24"/>
              </w:rPr>
              <w:t>本评价采用《环境影响评价技术导则声环境》（HJ2.4-2021）推荐的计算方法对噪声进行预测和评价，评价量为厂界贡献值</w:t>
            </w:r>
            <w:r>
              <w:rPr>
                <w:rFonts w:hint="eastAsia"/>
                <w:bCs/>
                <w:color w:val="auto"/>
                <w:sz w:val="24"/>
              </w:rPr>
              <w:t>。</w:t>
            </w:r>
            <w:r>
              <w:rPr>
                <w:bCs/>
                <w:color w:val="auto"/>
                <w:sz w:val="24"/>
              </w:rPr>
              <w:t>评价采用附录A中</w:t>
            </w:r>
            <w:r>
              <w:rPr>
                <w:rFonts w:hint="eastAsia"/>
                <w:bCs/>
                <w:color w:val="auto"/>
                <w:sz w:val="24"/>
              </w:rPr>
              <w:t>“</w:t>
            </w:r>
            <w:r>
              <w:rPr>
                <w:bCs/>
                <w:color w:val="auto"/>
                <w:sz w:val="24"/>
              </w:rPr>
              <w:t>A.2基本公式</w:t>
            </w:r>
            <w:r>
              <w:rPr>
                <w:rFonts w:hint="eastAsia"/>
                <w:bCs/>
                <w:color w:val="auto"/>
                <w:sz w:val="24"/>
              </w:rPr>
              <w:t>”</w:t>
            </w:r>
            <w:r>
              <w:rPr>
                <w:bCs/>
                <w:color w:val="auto"/>
                <w:sz w:val="24"/>
              </w:rPr>
              <w:t>以及附录B中</w:t>
            </w:r>
            <w:r>
              <w:rPr>
                <w:rFonts w:hint="eastAsia"/>
                <w:bCs/>
                <w:color w:val="auto"/>
                <w:sz w:val="24"/>
              </w:rPr>
              <w:t>“</w:t>
            </w:r>
            <w:r>
              <w:rPr>
                <w:bCs/>
                <w:color w:val="auto"/>
                <w:sz w:val="24"/>
              </w:rPr>
              <w:t>B.1工业噪声预测计算模型</w:t>
            </w:r>
            <w:r>
              <w:rPr>
                <w:rFonts w:hint="eastAsia"/>
                <w:bCs/>
                <w:color w:val="auto"/>
                <w:sz w:val="24"/>
              </w:rPr>
              <w:t>”</w:t>
            </w:r>
            <w:r>
              <w:rPr>
                <w:bCs/>
                <w:color w:val="auto"/>
                <w:sz w:val="24"/>
              </w:rPr>
              <w:t>进行预测。</w:t>
            </w:r>
          </w:p>
          <w:p w14:paraId="6126709E">
            <w:pPr>
              <w:tabs>
                <w:tab w:val="left" w:pos="2340"/>
              </w:tabs>
              <w:spacing w:line="360" w:lineRule="auto"/>
              <w:ind w:firstLine="480"/>
              <w:rPr>
                <w:color w:val="auto"/>
                <w:sz w:val="24"/>
              </w:rPr>
            </w:pPr>
            <w:r>
              <w:rPr>
                <w:color w:val="auto"/>
                <w:sz w:val="24"/>
              </w:rPr>
              <w:fldChar w:fldCharType="begin"/>
            </w:r>
            <m:oMath>
              <m:r>
                <m:rPr>
                  <m:sty m:val="p"/>
                </m:rPr>
                <w:rPr>
                  <w:rFonts w:hint="default" w:ascii="Cambria Math" w:hAnsi="Cambria Math"/>
                  <w:sz w:val="24"/>
                </w:rPr>
                <m:t xml:space="preserve"> = 1 \∗ GB3 \∗ MERGEFORMAT </m:t>
              </m:r>
            </m:oMath>
            <w:r>
              <w:rPr>
                <w:color w:val="auto"/>
                <w:sz w:val="24"/>
              </w:rPr>
              <w:fldChar w:fldCharType="separate"/>
            </w:r>
            <w:r>
              <w:rPr>
                <w:color w:val="auto"/>
                <w:sz w:val="24"/>
              </w:rPr>
              <w:t>①</w:t>
            </w:r>
            <w:r>
              <w:rPr>
                <w:color w:val="auto"/>
                <w:sz w:val="24"/>
              </w:rPr>
              <w:fldChar w:fldCharType="end"/>
            </w:r>
            <w:r>
              <w:rPr>
                <w:color w:val="auto"/>
                <w:sz w:val="24"/>
              </w:rPr>
              <w:t>室外声源在预测点产生的声级计算模型</w:t>
            </w:r>
          </w:p>
          <w:p w14:paraId="55444E10">
            <w:pPr>
              <w:tabs>
                <w:tab w:val="left" w:pos="2340"/>
              </w:tabs>
              <w:spacing w:line="360" w:lineRule="auto"/>
              <w:ind w:firstLine="480"/>
              <w:rPr>
                <w:color w:val="auto"/>
                <w:sz w:val="24"/>
              </w:rPr>
            </w:pPr>
            <w:r>
              <w:rPr>
                <w:color w:val="auto"/>
                <w:sz w:val="24"/>
              </w:rPr>
              <w:t>室外声传播衰减包括几何发散（A</w:t>
            </w:r>
            <w:r>
              <w:rPr>
                <w:color w:val="auto"/>
                <w:sz w:val="24"/>
                <w:vertAlign w:val="subscript"/>
              </w:rPr>
              <w:t>div</w:t>
            </w:r>
            <w:r>
              <w:rPr>
                <w:color w:val="auto"/>
                <w:sz w:val="24"/>
              </w:rPr>
              <w:t>）、大气吸收（A</w:t>
            </w:r>
            <w:r>
              <w:rPr>
                <w:color w:val="auto"/>
                <w:sz w:val="24"/>
                <w:vertAlign w:val="subscript"/>
              </w:rPr>
              <w:t>atm</w:t>
            </w:r>
            <w:r>
              <w:rPr>
                <w:color w:val="auto"/>
                <w:sz w:val="24"/>
              </w:rPr>
              <w:t>）、地面效应（A</w:t>
            </w:r>
            <w:r>
              <w:rPr>
                <w:color w:val="auto"/>
                <w:sz w:val="24"/>
                <w:vertAlign w:val="subscript"/>
              </w:rPr>
              <w:t>gr</w:t>
            </w:r>
            <w:r>
              <w:rPr>
                <w:color w:val="auto"/>
                <w:sz w:val="24"/>
              </w:rPr>
              <w:t>）、障碍物屏蔽（A</w:t>
            </w:r>
            <w:r>
              <w:rPr>
                <w:color w:val="auto"/>
                <w:sz w:val="24"/>
                <w:vertAlign w:val="subscript"/>
              </w:rPr>
              <w:t>bar</w:t>
            </w:r>
            <w:r>
              <w:rPr>
                <w:color w:val="auto"/>
                <w:sz w:val="24"/>
              </w:rPr>
              <w:t>）、其他多方面效应（A</w:t>
            </w:r>
            <w:r>
              <w:rPr>
                <w:color w:val="auto"/>
                <w:sz w:val="24"/>
                <w:vertAlign w:val="subscript"/>
              </w:rPr>
              <w:t>misc</w:t>
            </w:r>
            <w:r>
              <w:rPr>
                <w:color w:val="auto"/>
                <w:sz w:val="24"/>
              </w:rPr>
              <w:t>）引起的衰减。根据声源参考位置处的声压级、户外声传播衰减，计算预测点的声级：</w:t>
            </w:r>
          </w:p>
          <w:p w14:paraId="4EFD4836">
            <w:pPr>
              <w:tabs>
                <w:tab w:val="left" w:pos="2340"/>
              </w:tabs>
              <w:spacing w:line="360" w:lineRule="auto"/>
              <w:ind w:firstLine="480"/>
              <w:rPr>
                <w:color w:val="auto"/>
                <w:sz w:val="24"/>
              </w:rPr>
            </w:pPr>
            <w:r>
              <w:rPr>
                <w:color w:val="auto"/>
                <w:sz w:val="24"/>
              </w:rPr>
              <w:t>L</w:t>
            </w:r>
            <w:r>
              <w:rPr>
                <w:color w:val="auto"/>
                <w:sz w:val="24"/>
                <w:vertAlign w:val="subscript"/>
              </w:rPr>
              <w:t>p</w:t>
            </w:r>
            <w:r>
              <w:rPr>
                <w:color w:val="auto"/>
                <w:sz w:val="24"/>
              </w:rPr>
              <w:t>(r)＝L</w:t>
            </w:r>
            <w:r>
              <w:rPr>
                <w:color w:val="auto"/>
                <w:sz w:val="24"/>
                <w:vertAlign w:val="subscript"/>
              </w:rPr>
              <w:t>p</w:t>
            </w:r>
            <w:r>
              <w:rPr>
                <w:color w:val="auto"/>
                <w:sz w:val="24"/>
              </w:rPr>
              <w:t>(r</w:t>
            </w:r>
            <w:r>
              <w:rPr>
                <w:color w:val="auto"/>
                <w:sz w:val="24"/>
                <w:vertAlign w:val="subscript"/>
              </w:rPr>
              <w:t>0</w:t>
            </w:r>
            <w:r>
              <w:rPr>
                <w:color w:val="auto"/>
                <w:sz w:val="24"/>
              </w:rPr>
              <w:t>)+D</w:t>
            </w:r>
            <w:r>
              <w:rPr>
                <w:color w:val="auto"/>
                <w:sz w:val="24"/>
                <w:vertAlign w:val="subscript"/>
              </w:rPr>
              <w:t>C</w:t>
            </w:r>
            <w:r>
              <w:rPr>
                <w:color w:val="auto"/>
                <w:sz w:val="24"/>
              </w:rPr>
              <w:t>－(A</w:t>
            </w:r>
            <w:r>
              <w:rPr>
                <w:color w:val="auto"/>
                <w:sz w:val="24"/>
                <w:vertAlign w:val="subscript"/>
              </w:rPr>
              <w:t>div</w:t>
            </w:r>
            <w:r>
              <w:rPr>
                <w:color w:val="auto"/>
                <w:sz w:val="24"/>
              </w:rPr>
              <w:t>＋A</w:t>
            </w:r>
            <w:r>
              <w:rPr>
                <w:color w:val="auto"/>
                <w:sz w:val="24"/>
                <w:vertAlign w:val="subscript"/>
              </w:rPr>
              <w:t>atm</w:t>
            </w:r>
            <w:r>
              <w:rPr>
                <w:color w:val="auto"/>
                <w:sz w:val="24"/>
              </w:rPr>
              <w:t>＋A</w:t>
            </w:r>
            <w:r>
              <w:rPr>
                <w:color w:val="auto"/>
                <w:sz w:val="24"/>
                <w:vertAlign w:val="subscript"/>
              </w:rPr>
              <w:t>g</w:t>
            </w:r>
            <w:r>
              <w:rPr>
                <w:color w:val="auto"/>
                <w:sz w:val="24"/>
              </w:rPr>
              <w:t>r＋A</w:t>
            </w:r>
            <w:r>
              <w:rPr>
                <w:color w:val="auto"/>
                <w:sz w:val="24"/>
                <w:vertAlign w:val="subscript"/>
              </w:rPr>
              <w:t>bar</w:t>
            </w:r>
            <w:r>
              <w:rPr>
                <w:color w:val="auto"/>
                <w:sz w:val="24"/>
              </w:rPr>
              <w:t>＋A</w:t>
            </w:r>
            <w:r>
              <w:rPr>
                <w:color w:val="auto"/>
                <w:sz w:val="24"/>
                <w:vertAlign w:val="subscript"/>
              </w:rPr>
              <w:t>misc</w:t>
            </w:r>
            <w:r>
              <w:rPr>
                <w:color w:val="auto"/>
                <w:sz w:val="24"/>
              </w:rPr>
              <w:t>)</w:t>
            </w:r>
          </w:p>
          <w:p w14:paraId="13359C85">
            <w:pPr>
              <w:tabs>
                <w:tab w:val="left" w:pos="2340"/>
              </w:tabs>
              <w:spacing w:line="360" w:lineRule="auto"/>
              <w:ind w:firstLine="480"/>
              <w:rPr>
                <w:color w:val="auto"/>
                <w:sz w:val="24"/>
              </w:rPr>
            </w:pPr>
            <w:r>
              <w:rPr>
                <w:color w:val="auto"/>
                <w:sz w:val="24"/>
              </w:rPr>
              <w:t>式中：</w:t>
            </w:r>
          </w:p>
          <w:p w14:paraId="45C43FF1">
            <w:pPr>
              <w:tabs>
                <w:tab w:val="left" w:pos="2340"/>
              </w:tabs>
              <w:spacing w:line="360" w:lineRule="auto"/>
              <w:ind w:firstLine="480"/>
              <w:rPr>
                <w:color w:val="auto"/>
                <w:sz w:val="24"/>
              </w:rPr>
            </w:pPr>
            <w:r>
              <w:rPr>
                <w:color w:val="auto"/>
                <w:sz w:val="24"/>
              </w:rPr>
              <w:t>L</w:t>
            </w:r>
            <w:r>
              <w:rPr>
                <w:color w:val="auto"/>
                <w:sz w:val="24"/>
                <w:vertAlign w:val="subscript"/>
              </w:rPr>
              <w:t>p</w:t>
            </w:r>
            <w:r>
              <w:rPr>
                <w:color w:val="auto"/>
                <w:sz w:val="24"/>
              </w:rPr>
              <w:t>(r)——预测点处声压级，dB；</w:t>
            </w:r>
          </w:p>
          <w:p w14:paraId="0EDB9BA5">
            <w:pPr>
              <w:tabs>
                <w:tab w:val="left" w:pos="2340"/>
              </w:tabs>
              <w:spacing w:line="360" w:lineRule="auto"/>
              <w:ind w:firstLine="480"/>
              <w:rPr>
                <w:color w:val="auto"/>
                <w:sz w:val="24"/>
              </w:rPr>
            </w:pPr>
            <w:r>
              <w:rPr>
                <w:color w:val="auto"/>
                <w:sz w:val="24"/>
              </w:rPr>
              <w:t>L</w:t>
            </w:r>
            <w:r>
              <w:rPr>
                <w:color w:val="auto"/>
                <w:sz w:val="24"/>
                <w:vertAlign w:val="subscript"/>
              </w:rPr>
              <w:t>p</w:t>
            </w:r>
            <w:r>
              <w:rPr>
                <w:color w:val="auto"/>
                <w:sz w:val="24"/>
              </w:rPr>
              <w:t>(r</w:t>
            </w:r>
            <w:r>
              <w:rPr>
                <w:color w:val="auto"/>
                <w:sz w:val="24"/>
                <w:vertAlign w:val="subscript"/>
              </w:rPr>
              <w:t>0</w:t>
            </w:r>
            <w:r>
              <w:rPr>
                <w:color w:val="auto"/>
                <w:sz w:val="24"/>
              </w:rPr>
              <w:t>)——参考位置r</w:t>
            </w:r>
            <w:r>
              <w:rPr>
                <w:color w:val="auto"/>
                <w:sz w:val="24"/>
                <w:vertAlign w:val="subscript"/>
              </w:rPr>
              <w:t>0</w:t>
            </w:r>
            <w:r>
              <w:rPr>
                <w:color w:val="auto"/>
                <w:sz w:val="24"/>
              </w:rPr>
              <w:t>处的声压级，dB；</w:t>
            </w:r>
          </w:p>
          <w:p w14:paraId="72202B06">
            <w:pPr>
              <w:tabs>
                <w:tab w:val="left" w:pos="2340"/>
              </w:tabs>
              <w:spacing w:line="360" w:lineRule="auto"/>
              <w:ind w:firstLine="480"/>
              <w:rPr>
                <w:color w:val="auto"/>
                <w:sz w:val="24"/>
              </w:rPr>
            </w:pPr>
            <w:r>
              <w:rPr>
                <w:color w:val="auto"/>
                <w:sz w:val="24"/>
              </w:rPr>
              <w:t>D</w:t>
            </w:r>
            <w:r>
              <w:rPr>
                <w:color w:val="auto"/>
                <w:sz w:val="24"/>
                <w:vertAlign w:val="subscript"/>
              </w:rPr>
              <w:t>C</w:t>
            </w:r>
            <w:r>
              <w:rPr>
                <w:color w:val="auto"/>
                <w:sz w:val="24"/>
              </w:rPr>
              <w:t>——指向性校正，它描述点声源的等效连续声压级与产生声功率级Lw的全向点声源在规定方向的声级的偏差程度，dB；</w:t>
            </w:r>
          </w:p>
          <w:p w14:paraId="4E8FDD89">
            <w:pPr>
              <w:tabs>
                <w:tab w:val="left" w:pos="2340"/>
              </w:tabs>
              <w:spacing w:line="360" w:lineRule="auto"/>
              <w:ind w:firstLine="480"/>
              <w:rPr>
                <w:color w:val="auto"/>
                <w:sz w:val="24"/>
              </w:rPr>
            </w:pPr>
            <w:r>
              <w:rPr>
                <w:color w:val="auto"/>
                <w:sz w:val="24"/>
              </w:rPr>
              <w:t>A</w:t>
            </w:r>
            <w:r>
              <w:rPr>
                <w:color w:val="auto"/>
                <w:sz w:val="24"/>
                <w:vertAlign w:val="subscript"/>
              </w:rPr>
              <w:t>div</w:t>
            </w:r>
            <w:r>
              <w:rPr>
                <w:color w:val="auto"/>
                <w:sz w:val="24"/>
              </w:rPr>
              <w:t>——几何发散引起的衰减，dB；</w:t>
            </w:r>
          </w:p>
          <w:p w14:paraId="3049AABB">
            <w:pPr>
              <w:tabs>
                <w:tab w:val="left" w:pos="2340"/>
              </w:tabs>
              <w:spacing w:line="360" w:lineRule="auto"/>
              <w:ind w:firstLine="480"/>
              <w:rPr>
                <w:color w:val="auto"/>
                <w:sz w:val="24"/>
              </w:rPr>
            </w:pPr>
            <w:r>
              <w:rPr>
                <w:color w:val="auto"/>
                <w:sz w:val="24"/>
              </w:rPr>
              <w:t>A</w:t>
            </w:r>
            <w:r>
              <w:rPr>
                <w:color w:val="auto"/>
                <w:sz w:val="24"/>
                <w:vertAlign w:val="subscript"/>
              </w:rPr>
              <w:t>atm</w:t>
            </w:r>
            <w:r>
              <w:rPr>
                <w:color w:val="auto"/>
                <w:sz w:val="24"/>
              </w:rPr>
              <w:t>——大气吸收引起的衰减，dB；</w:t>
            </w:r>
          </w:p>
          <w:p w14:paraId="394B0408">
            <w:pPr>
              <w:tabs>
                <w:tab w:val="left" w:pos="2340"/>
              </w:tabs>
              <w:spacing w:line="360" w:lineRule="auto"/>
              <w:ind w:firstLine="480"/>
              <w:rPr>
                <w:color w:val="auto"/>
                <w:sz w:val="24"/>
              </w:rPr>
            </w:pPr>
            <w:r>
              <w:rPr>
                <w:color w:val="auto"/>
                <w:sz w:val="24"/>
              </w:rPr>
              <w:t>A</w:t>
            </w:r>
            <w:r>
              <w:rPr>
                <w:color w:val="auto"/>
                <w:sz w:val="24"/>
                <w:vertAlign w:val="subscript"/>
              </w:rPr>
              <w:t>gr</w:t>
            </w:r>
            <w:r>
              <w:rPr>
                <w:color w:val="auto"/>
                <w:sz w:val="24"/>
              </w:rPr>
              <w:t>——地面效应引起的衰减，dB；</w:t>
            </w:r>
          </w:p>
          <w:p w14:paraId="1E495B1F">
            <w:pPr>
              <w:tabs>
                <w:tab w:val="left" w:pos="2340"/>
              </w:tabs>
              <w:spacing w:line="360" w:lineRule="auto"/>
              <w:ind w:firstLine="480"/>
              <w:rPr>
                <w:rFonts w:hint="eastAsia" w:eastAsia="宋体"/>
                <w:color w:val="auto"/>
                <w:sz w:val="24"/>
                <w:lang w:val="en-US" w:eastAsia="zh-CN"/>
              </w:rPr>
            </w:pPr>
            <w:r>
              <w:rPr>
                <w:color w:val="auto"/>
                <w:sz w:val="24"/>
              </w:rPr>
              <w:t>A</w:t>
            </w:r>
            <w:r>
              <w:rPr>
                <w:color w:val="auto"/>
                <w:sz w:val="24"/>
                <w:vertAlign w:val="subscript"/>
              </w:rPr>
              <w:t>bar</w:t>
            </w:r>
            <w:r>
              <w:rPr>
                <w:color w:val="auto"/>
                <w:sz w:val="24"/>
              </w:rPr>
              <w:t>——障碍物屏蔽引起的衰减，dB；</w:t>
            </w:r>
          </w:p>
          <w:p w14:paraId="5A592545">
            <w:pPr>
              <w:tabs>
                <w:tab w:val="left" w:pos="2340"/>
              </w:tabs>
              <w:spacing w:line="360" w:lineRule="auto"/>
              <w:ind w:firstLine="480"/>
              <w:rPr>
                <w:color w:val="auto"/>
                <w:sz w:val="24"/>
              </w:rPr>
            </w:pPr>
            <w:r>
              <w:rPr>
                <w:color w:val="auto"/>
                <w:sz w:val="24"/>
              </w:rPr>
              <w:t>A</w:t>
            </w:r>
            <w:r>
              <w:rPr>
                <w:color w:val="auto"/>
                <w:sz w:val="24"/>
                <w:vertAlign w:val="subscript"/>
              </w:rPr>
              <w:t>misc</w:t>
            </w:r>
            <w:r>
              <w:rPr>
                <w:color w:val="auto"/>
                <w:sz w:val="24"/>
              </w:rPr>
              <w:t>——其他多方面效应引起的衰减，dB。</w:t>
            </w:r>
          </w:p>
          <w:p w14:paraId="626B99A0">
            <w:pPr>
              <w:tabs>
                <w:tab w:val="left" w:pos="2340"/>
              </w:tabs>
              <w:spacing w:line="360" w:lineRule="auto"/>
              <w:ind w:firstLine="480"/>
              <w:rPr>
                <w:color w:val="auto"/>
                <w:sz w:val="24"/>
              </w:rPr>
            </w:pPr>
            <w:r>
              <w:rPr>
                <w:color w:val="auto"/>
                <w:sz w:val="24"/>
              </w:rPr>
              <w:fldChar w:fldCharType="begin"/>
            </w:r>
            <w:r>
              <w:rPr>
                <w:color w:val="auto"/>
                <w:sz w:val="24"/>
              </w:rPr>
              <w:instrText xml:space="preserve"> = 2 \* GB3 \* MERGEFORMAT </w:instrText>
            </w:r>
            <w:r>
              <w:rPr>
                <w:color w:val="auto"/>
                <w:sz w:val="24"/>
              </w:rPr>
              <w:fldChar w:fldCharType="separate"/>
            </w:r>
            <w:r>
              <w:rPr>
                <w:color w:val="auto"/>
                <w:sz w:val="24"/>
              </w:rPr>
              <w:t>②</w:t>
            </w:r>
            <w:r>
              <w:rPr>
                <w:color w:val="auto"/>
                <w:sz w:val="24"/>
              </w:rPr>
              <w:fldChar w:fldCharType="end"/>
            </w:r>
            <w:r>
              <w:rPr>
                <w:color w:val="auto"/>
                <w:sz w:val="24"/>
              </w:rPr>
              <w:t>噪声贡献值计算</w:t>
            </w:r>
          </w:p>
          <w:p w14:paraId="41FBA49E">
            <w:pPr>
              <w:tabs>
                <w:tab w:val="left" w:pos="2340"/>
              </w:tabs>
              <w:spacing w:line="360" w:lineRule="auto"/>
              <w:ind w:firstLine="480"/>
              <w:rPr>
                <w:color w:val="auto"/>
                <w:sz w:val="24"/>
              </w:rPr>
            </w:pPr>
            <w:r>
              <w:rPr>
                <w:color w:val="auto"/>
                <w:sz w:val="24"/>
              </w:rPr>
              <w:t>建设项目各声源在预测点的噪声级叠加计算模式见以下公式：</w:t>
            </w:r>
          </w:p>
          <w:p w14:paraId="6CD70ABF">
            <w:pPr>
              <w:tabs>
                <w:tab w:val="left" w:pos="2340"/>
              </w:tabs>
              <w:spacing w:line="360" w:lineRule="auto"/>
              <w:ind w:firstLine="480"/>
              <w:rPr>
                <w:color w:val="auto"/>
                <w:sz w:val="24"/>
              </w:rPr>
            </w:pPr>
            <w:r>
              <w:rPr>
                <w:color w:val="auto"/>
                <w:sz w:val="24"/>
              </w:rPr>
              <w:object>
                <v:shape id="_x0000_i1025" o:spt="75" type="#_x0000_t75" style="height:37.5pt;width:209.25pt;" o:ole="t" filled="f" o:preferrelative="t" stroked="f" coordsize="21600,21600">
                  <v:path/>
                  <v:fill on="f" focussize="0,0"/>
                  <v:stroke on="f" joinstyle="miter"/>
                  <v:imagedata r:id="rId13" o:title=""/>
                  <o:lock v:ext="edit" aspectratio="t"/>
                  <w10:wrap type="none"/>
                  <w10:anchorlock/>
                </v:shape>
                <o:OLEObject Type="Embed" ProgID="Equation.3" ShapeID="_x0000_i1025" DrawAspect="Content" ObjectID="_1468075725" r:id="rId12">
                  <o:LockedField>false</o:LockedField>
                </o:OLEObject>
              </w:object>
            </w:r>
          </w:p>
          <w:p w14:paraId="2BFAEC11">
            <w:pPr>
              <w:tabs>
                <w:tab w:val="left" w:pos="2340"/>
              </w:tabs>
              <w:spacing w:line="360" w:lineRule="auto"/>
              <w:ind w:firstLine="480"/>
              <w:rPr>
                <w:color w:val="auto"/>
                <w:sz w:val="24"/>
              </w:rPr>
            </w:pPr>
            <w:r>
              <w:rPr>
                <w:color w:val="auto"/>
                <w:sz w:val="24"/>
              </w:rPr>
              <w:t>式中：</w:t>
            </w:r>
          </w:p>
          <w:p w14:paraId="270E2726">
            <w:pPr>
              <w:tabs>
                <w:tab w:val="left" w:pos="2340"/>
              </w:tabs>
              <w:spacing w:line="360" w:lineRule="auto"/>
              <w:ind w:firstLine="480"/>
              <w:rPr>
                <w:color w:val="auto"/>
                <w:sz w:val="24"/>
              </w:rPr>
            </w:pPr>
            <w:r>
              <w:rPr>
                <w:color w:val="auto"/>
                <w:sz w:val="24"/>
              </w:rPr>
              <w:t>L</w:t>
            </w:r>
            <w:r>
              <w:rPr>
                <w:color w:val="auto"/>
                <w:sz w:val="24"/>
                <w:vertAlign w:val="subscript"/>
              </w:rPr>
              <w:t>eqg</w:t>
            </w:r>
            <w:r>
              <w:rPr>
                <w:color w:val="auto"/>
                <w:sz w:val="24"/>
              </w:rPr>
              <w:t>——建设项目声源在预测点的等效声级贡献值，dB(A)；</w:t>
            </w:r>
          </w:p>
          <w:p w14:paraId="277B7DA8">
            <w:pPr>
              <w:tabs>
                <w:tab w:val="left" w:pos="2340"/>
              </w:tabs>
              <w:spacing w:line="360" w:lineRule="auto"/>
              <w:ind w:firstLine="480"/>
              <w:rPr>
                <w:color w:val="auto"/>
                <w:sz w:val="24"/>
              </w:rPr>
            </w:pPr>
            <w:r>
              <w:rPr>
                <w:color w:val="auto"/>
                <w:sz w:val="24"/>
              </w:rPr>
              <w:t>T——预测</w:t>
            </w:r>
            <w:r>
              <w:rPr>
                <w:rFonts w:hint="eastAsia"/>
                <w:color w:val="auto"/>
                <w:sz w:val="24"/>
              </w:rPr>
              <w:t>计算</w:t>
            </w:r>
            <w:r>
              <w:rPr>
                <w:color w:val="auto"/>
                <w:sz w:val="24"/>
              </w:rPr>
              <w:t>等效声级时间，s；</w:t>
            </w:r>
          </w:p>
          <w:p w14:paraId="60B31F9B">
            <w:pPr>
              <w:tabs>
                <w:tab w:val="left" w:pos="2340"/>
              </w:tabs>
              <w:spacing w:line="360" w:lineRule="auto"/>
              <w:ind w:firstLine="480"/>
              <w:rPr>
                <w:color w:val="auto"/>
                <w:sz w:val="24"/>
              </w:rPr>
            </w:pPr>
            <w:r>
              <w:rPr>
                <w:color w:val="auto"/>
                <w:sz w:val="24"/>
              </w:rPr>
              <w:t>L</w:t>
            </w:r>
            <w:r>
              <w:rPr>
                <w:color w:val="auto"/>
                <w:sz w:val="24"/>
                <w:vertAlign w:val="subscript"/>
              </w:rPr>
              <w:t>Ai</w:t>
            </w:r>
            <w:r>
              <w:rPr>
                <w:color w:val="auto"/>
                <w:sz w:val="24"/>
              </w:rPr>
              <w:t>——第i个室外声源在预测点产生的Ａ声级，dB(A)；</w:t>
            </w:r>
          </w:p>
          <w:p w14:paraId="3D3A56AE">
            <w:pPr>
              <w:tabs>
                <w:tab w:val="left" w:pos="2340"/>
              </w:tabs>
              <w:spacing w:line="360" w:lineRule="auto"/>
              <w:ind w:firstLine="480"/>
              <w:rPr>
                <w:color w:val="auto"/>
                <w:sz w:val="24"/>
              </w:rPr>
            </w:pPr>
            <w:r>
              <w:rPr>
                <w:color w:val="auto"/>
                <w:sz w:val="24"/>
              </w:rPr>
              <w:t>t</w:t>
            </w:r>
            <w:r>
              <w:rPr>
                <w:color w:val="auto"/>
                <w:sz w:val="24"/>
                <w:vertAlign w:val="subscript"/>
              </w:rPr>
              <w:t>i</w:t>
            </w:r>
            <w:r>
              <w:rPr>
                <w:color w:val="auto"/>
                <w:sz w:val="24"/>
              </w:rPr>
              <w:t>——在T时间内i声源工作的时间，s；</w:t>
            </w:r>
          </w:p>
          <w:p w14:paraId="0AE8419C">
            <w:pPr>
              <w:tabs>
                <w:tab w:val="left" w:pos="2340"/>
              </w:tabs>
              <w:spacing w:line="360" w:lineRule="auto"/>
              <w:ind w:firstLine="480"/>
              <w:rPr>
                <w:color w:val="auto"/>
                <w:sz w:val="24"/>
              </w:rPr>
            </w:pPr>
            <w:r>
              <w:rPr>
                <w:color w:val="auto"/>
                <w:sz w:val="24"/>
              </w:rPr>
              <w:t>L</w:t>
            </w:r>
            <w:r>
              <w:rPr>
                <w:color w:val="auto"/>
                <w:sz w:val="24"/>
                <w:vertAlign w:val="subscript"/>
              </w:rPr>
              <w:t>Aj</w:t>
            </w:r>
            <w:r>
              <w:rPr>
                <w:color w:val="auto"/>
                <w:sz w:val="24"/>
              </w:rPr>
              <w:t>——第j个等效室外声源在预测点产生的Ａ声级，dB(A)；</w:t>
            </w:r>
          </w:p>
          <w:p w14:paraId="0B7351D5">
            <w:pPr>
              <w:tabs>
                <w:tab w:val="left" w:pos="2340"/>
              </w:tabs>
              <w:spacing w:line="360" w:lineRule="auto"/>
              <w:ind w:firstLine="480"/>
              <w:rPr>
                <w:color w:val="auto"/>
                <w:sz w:val="24"/>
              </w:rPr>
            </w:pPr>
            <w:r>
              <w:rPr>
                <w:color w:val="auto"/>
                <w:sz w:val="24"/>
              </w:rPr>
              <w:t>t</w:t>
            </w:r>
            <w:r>
              <w:rPr>
                <w:color w:val="auto"/>
                <w:sz w:val="24"/>
                <w:vertAlign w:val="subscript"/>
              </w:rPr>
              <w:t>j</w:t>
            </w:r>
            <w:r>
              <w:rPr>
                <w:color w:val="auto"/>
                <w:sz w:val="24"/>
              </w:rPr>
              <w:t>——在T时间内j声源工作的时间，s；</w:t>
            </w:r>
          </w:p>
          <w:p w14:paraId="156D0E93">
            <w:pPr>
              <w:tabs>
                <w:tab w:val="left" w:pos="2340"/>
              </w:tabs>
              <w:spacing w:line="360" w:lineRule="auto"/>
              <w:ind w:firstLine="480"/>
              <w:rPr>
                <w:color w:val="auto"/>
                <w:sz w:val="24"/>
              </w:rPr>
            </w:pPr>
            <w:r>
              <w:rPr>
                <w:color w:val="auto"/>
                <w:sz w:val="24"/>
              </w:rPr>
              <w:t>N——室外声源个数；</w:t>
            </w:r>
          </w:p>
          <w:p w14:paraId="151F723A">
            <w:pPr>
              <w:tabs>
                <w:tab w:val="left" w:pos="2340"/>
              </w:tabs>
              <w:spacing w:line="360" w:lineRule="auto"/>
              <w:ind w:firstLine="480"/>
              <w:rPr>
                <w:color w:val="auto"/>
                <w:sz w:val="24"/>
              </w:rPr>
            </w:pPr>
            <w:r>
              <w:rPr>
                <w:color w:val="auto"/>
                <w:sz w:val="24"/>
              </w:rPr>
              <w:t>M——等效室外声源个数。</w:t>
            </w:r>
          </w:p>
          <w:p w14:paraId="27A238D3">
            <w:pPr>
              <w:tabs>
                <w:tab w:val="left" w:pos="2340"/>
              </w:tabs>
              <w:spacing w:line="360" w:lineRule="auto"/>
              <w:ind w:firstLine="480"/>
              <w:rPr>
                <w:color w:val="auto"/>
                <w:sz w:val="24"/>
              </w:rPr>
            </w:pPr>
            <w:r>
              <w:rPr>
                <w:color w:val="auto"/>
                <w:sz w:val="24"/>
              </w:rPr>
              <w:fldChar w:fldCharType="begin"/>
            </w:r>
            <w:r>
              <w:rPr>
                <w:color w:val="auto"/>
                <w:sz w:val="24"/>
              </w:rPr>
              <w:instrText xml:space="preserve"> = 3 \* GB3 \* MERGEFORMAT </w:instrText>
            </w:r>
            <w:r>
              <w:rPr>
                <w:color w:val="auto"/>
                <w:sz w:val="24"/>
              </w:rPr>
              <w:fldChar w:fldCharType="separate"/>
            </w:r>
            <w:r>
              <w:rPr>
                <w:color w:val="auto"/>
                <w:sz w:val="24"/>
              </w:rPr>
              <w:t>③</w:t>
            </w:r>
            <w:r>
              <w:rPr>
                <w:color w:val="auto"/>
                <w:sz w:val="24"/>
              </w:rPr>
              <w:fldChar w:fldCharType="end"/>
            </w:r>
            <w:r>
              <w:rPr>
                <w:color w:val="auto"/>
                <w:sz w:val="24"/>
              </w:rPr>
              <w:t>预测点的预测值计算</w:t>
            </w:r>
          </w:p>
          <w:p w14:paraId="28A71910">
            <w:pPr>
              <w:tabs>
                <w:tab w:val="left" w:pos="2340"/>
              </w:tabs>
              <w:spacing w:line="360" w:lineRule="auto"/>
              <w:ind w:firstLine="480"/>
              <w:rPr>
                <w:color w:val="auto"/>
                <w:sz w:val="24"/>
              </w:rPr>
            </w:pPr>
            <w:r>
              <w:rPr>
                <w:color w:val="auto"/>
                <w:sz w:val="24"/>
              </w:rPr>
              <w:t>项目各厂界预测点的声级预测值按以下公式计算：</w:t>
            </w:r>
          </w:p>
          <w:p w14:paraId="51D4D34D">
            <w:pPr>
              <w:tabs>
                <w:tab w:val="left" w:pos="2340"/>
              </w:tabs>
              <w:spacing w:line="360" w:lineRule="auto"/>
              <w:ind w:firstLine="480"/>
              <w:rPr>
                <w:color w:val="auto"/>
                <w:sz w:val="24"/>
              </w:rPr>
            </w:pPr>
            <w:r>
              <w:rPr>
                <w:color w:val="auto"/>
                <w:sz w:val="24"/>
              </w:rPr>
              <w:object>
                <v:shape id="_x0000_i1026" o:spt="75" type="#_x0000_t75" style="height:19.5pt;width:142.5pt;" o:ole="t" filled="f" o:preferrelative="t" stroked="f" coordsize="21600,21600">
                  <v:path/>
                  <v:fill on="f" focussize="0,0"/>
                  <v:stroke on="f" joinstyle="miter"/>
                  <v:imagedata r:id="rId15" o:title=""/>
                  <o:lock v:ext="edit" aspectratio="t"/>
                  <w10:wrap type="none"/>
                  <w10:anchorlock/>
                </v:shape>
                <o:OLEObject Type="Embed" ProgID="Equation.3" ShapeID="_x0000_i1026" DrawAspect="Content" ObjectID="_1468075726" r:id="rId14">
                  <o:LockedField>false</o:LockedField>
                </o:OLEObject>
              </w:object>
            </w:r>
          </w:p>
          <w:p w14:paraId="3922D71A">
            <w:pPr>
              <w:tabs>
                <w:tab w:val="left" w:pos="2340"/>
              </w:tabs>
              <w:spacing w:line="360" w:lineRule="auto"/>
              <w:ind w:firstLine="480"/>
              <w:rPr>
                <w:color w:val="auto"/>
                <w:sz w:val="24"/>
              </w:rPr>
            </w:pPr>
            <w:r>
              <w:rPr>
                <w:color w:val="auto"/>
                <w:sz w:val="24"/>
              </w:rPr>
              <w:t>式中：</w:t>
            </w:r>
          </w:p>
          <w:p w14:paraId="29BDD1A2">
            <w:pPr>
              <w:tabs>
                <w:tab w:val="left" w:pos="2340"/>
              </w:tabs>
              <w:spacing w:line="360" w:lineRule="auto"/>
              <w:ind w:firstLine="480"/>
              <w:rPr>
                <w:color w:val="auto"/>
                <w:sz w:val="24"/>
              </w:rPr>
            </w:pPr>
            <w:r>
              <w:rPr>
                <w:color w:val="auto"/>
                <w:sz w:val="24"/>
              </w:rPr>
              <w:t>L</w:t>
            </w:r>
            <w:r>
              <w:rPr>
                <w:color w:val="auto"/>
                <w:sz w:val="24"/>
                <w:vertAlign w:val="subscript"/>
              </w:rPr>
              <w:t>eqg</w:t>
            </w:r>
            <w:r>
              <w:rPr>
                <w:color w:val="auto"/>
                <w:sz w:val="24"/>
              </w:rPr>
              <w:t>——建设项目声源在预测点的等效声级贡献值，dB(A)；</w:t>
            </w:r>
          </w:p>
          <w:p w14:paraId="7732B6C9">
            <w:pPr>
              <w:spacing w:line="360" w:lineRule="auto"/>
              <w:ind w:firstLine="480" w:firstLineChars="200"/>
              <w:rPr>
                <w:color w:val="auto"/>
                <w:sz w:val="24"/>
              </w:rPr>
            </w:pPr>
            <w:r>
              <w:rPr>
                <w:color w:val="auto"/>
                <w:sz w:val="24"/>
              </w:rPr>
              <w:t>L</w:t>
            </w:r>
            <w:r>
              <w:rPr>
                <w:color w:val="auto"/>
                <w:sz w:val="24"/>
                <w:vertAlign w:val="subscript"/>
              </w:rPr>
              <w:t>eqb</w:t>
            </w:r>
            <w:r>
              <w:rPr>
                <w:color w:val="auto"/>
                <w:sz w:val="24"/>
              </w:rPr>
              <w:t>——预测点的背景值，dB(A)</w:t>
            </w:r>
          </w:p>
          <w:p w14:paraId="4900D97A">
            <w:pPr>
              <w:spacing w:line="360" w:lineRule="auto"/>
              <w:ind w:firstLine="480" w:firstLineChars="200"/>
              <w:rPr>
                <w:color w:val="auto"/>
                <w:sz w:val="24"/>
              </w:rPr>
            </w:pPr>
            <w:r>
              <w:rPr>
                <w:color w:val="auto"/>
                <w:sz w:val="24"/>
              </w:rPr>
              <w:t>④预测点的选择</w:t>
            </w:r>
          </w:p>
          <w:p w14:paraId="3F6E64B3">
            <w:pPr>
              <w:spacing w:line="360" w:lineRule="auto"/>
              <w:ind w:firstLine="480" w:firstLineChars="200"/>
              <w:rPr>
                <w:rFonts w:hint="eastAsia" w:ascii="Times New Roman" w:hAnsi="Times New Roman" w:eastAsia="宋体" w:cs="Times New Roman"/>
                <w:color w:val="auto"/>
                <w:sz w:val="24"/>
                <w:szCs w:val="24"/>
                <w:lang w:eastAsia="zh-CN"/>
              </w:rPr>
            </w:pPr>
            <w:r>
              <w:rPr>
                <w:color w:val="auto"/>
                <w:sz w:val="24"/>
              </w:rPr>
              <w:t>根据现状实地调查，并结合项目周边</w:t>
            </w:r>
            <w:r>
              <w:rPr>
                <w:rFonts w:hint="eastAsia"/>
                <w:color w:val="auto"/>
                <w:sz w:val="24"/>
              </w:rPr>
              <w:t>情况</w:t>
            </w:r>
            <w:r>
              <w:rPr>
                <w:color w:val="auto"/>
                <w:sz w:val="24"/>
              </w:rPr>
              <w:t>，本次评价主要预测厂房对项目厂界外1m处的噪声值，</w:t>
            </w:r>
            <w:r>
              <w:rPr>
                <w:rFonts w:ascii="Times New Roman" w:hAnsi="Times New Roman" w:eastAsia="宋体" w:cs="Times New Roman"/>
                <w:color w:val="auto"/>
                <w:sz w:val="24"/>
                <w:szCs w:val="24"/>
              </w:rPr>
              <w:t>预测时段为昼间</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夜间</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eastAsia="zh-CN"/>
              </w:rPr>
              <w:t>其中，</w:t>
            </w:r>
            <w:r>
              <w:rPr>
                <w:rFonts w:hint="eastAsia" w:ascii="Times New Roman" w:hAnsi="Times New Roman" w:eastAsia="宋体" w:cs="Times New Roman"/>
                <w:color w:val="auto"/>
                <w:sz w:val="24"/>
                <w:szCs w:val="24"/>
                <w:lang w:val="en-US" w:eastAsia="zh-CN"/>
              </w:rPr>
              <w:t>预测</w:t>
            </w:r>
            <w:r>
              <w:rPr>
                <w:rFonts w:hint="eastAsia" w:ascii="Times New Roman" w:hAnsi="Times New Roman" w:eastAsia="宋体" w:cs="Times New Roman"/>
                <w:color w:val="auto"/>
                <w:sz w:val="24"/>
                <w:szCs w:val="24"/>
                <w:lang w:eastAsia="zh-CN"/>
              </w:rPr>
              <w:t>厂区边界范围为</w:t>
            </w:r>
            <w:r>
              <w:rPr>
                <w:rFonts w:hint="eastAsia" w:cs="Times New Roman"/>
                <w:color w:val="auto"/>
                <w:sz w:val="24"/>
                <w:szCs w:val="24"/>
                <w:lang w:val="en-US" w:eastAsia="zh-CN"/>
              </w:rPr>
              <w:t>金烨厂区</w:t>
            </w:r>
            <w:r>
              <w:rPr>
                <w:rFonts w:hint="eastAsia" w:ascii="Times New Roman" w:hAnsi="Times New Roman" w:eastAsia="宋体" w:cs="Times New Roman"/>
                <w:color w:val="auto"/>
                <w:sz w:val="24"/>
                <w:szCs w:val="24"/>
                <w:lang w:eastAsia="zh-CN"/>
              </w:rPr>
              <w:t>边界。</w:t>
            </w:r>
          </w:p>
          <w:p w14:paraId="24759199">
            <w:pPr>
              <w:spacing w:line="360" w:lineRule="auto"/>
              <w:ind w:firstLine="480" w:firstLineChars="200"/>
              <w:rPr>
                <w:color w:val="auto"/>
                <w:sz w:val="24"/>
              </w:rPr>
            </w:pPr>
            <w:r>
              <w:rPr>
                <w:color w:val="auto"/>
                <w:sz w:val="24"/>
              </w:rPr>
              <w:t>⑤预测结果与评价</w:t>
            </w:r>
          </w:p>
          <w:p w14:paraId="1B6B34CB">
            <w:pPr>
              <w:spacing w:line="360" w:lineRule="auto"/>
              <w:ind w:firstLine="480" w:firstLineChars="200"/>
              <w:rPr>
                <w:color w:val="auto"/>
                <w:sz w:val="24"/>
                <w:highlight w:val="none"/>
              </w:rPr>
            </w:pPr>
            <w:r>
              <w:rPr>
                <w:color w:val="auto"/>
                <w:sz w:val="24"/>
                <w:highlight w:val="none"/>
              </w:rPr>
              <w:t>根据噪声源分布情况，</w:t>
            </w:r>
            <w:r>
              <w:rPr>
                <w:rFonts w:hint="eastAsia"/>
                <w:color w:val="auto"/>
                <w:sz w:val="24"/>
                <w:highlight w:val="none"/>
              </w:rPr>
              <w:t>背景值采用</w:t>
            </w:r>
            <w:r>
              <w:rPr>
                <w:rFonts w:hint="eastAsia"/>
                <w:color w:val="auto"/>
                <w:sz w:val="24"/>
                <w:highlight w:val="none"/>
                <w:lang w:val="en-US" w:eastAsia="zh-CN"/>
              </w:rPr>
              <w:t>附件4中</w:t>
            </w:r>
            <w:r>
              <w:rPr>
                <w:rFonts w:hint="eastAsia"/>
                <w:color w:val="auto"/>
                <w:sz w:val="24"/>
                <w:highlight w:val="none"/>
              </w:rPr>
              <w:t>《</w:t>
            </w:r>
            <w:r>
              <w:rPr>
                <w:rFonts w:hint="eastAsia"/>
                <w:color w:val="auto"/>
                <w:sz w:val="24"/>
                <w:highlight w:val="none"/>
                <w:lang w:eastAsia="zh-CN"/>
              </w:rPr>
              <w:t>金烨钢铁</w:t>
            </w:r>
            <w:r>
              <w:rPr>
                <w:rFonts w:hint="eastAsia"/>
                <w:color w:val="auto"/>
                <w:sz w:val="24"/>
                <w:highlight w:val="none"/>
              </w:rPr>
              <w:t>集团</w:t>
            </w:r>
            <w:r>
              <w:rPr>
                <w:rFonts w:hint="eastAsia"/>
                <w:color w:val="auto"/>
                <w:sz w:val="24"/>
                <w:highlight w:val="none"/>
                <w:lang w:val="en-US" w:eastAsia="zh-CN"/>
              </w:rPr>
              <w:t>铸造</w:t>
            </w:r>
            <w:r>
              <w:rPr>
                <w:rFonts w:hint="eastAsia"/>
                <w:color w:val="auto"/>
                <w:sz w:val="24"/>
                <w:highlight w:val="none"/>
              </w:rPr>
              <w:t>有限公司自行检测》《</w:t>
            </w:r>
            <w:r>
              <w:rPr>
                <w:rFonts w:hint="eastAsia"/>
                <w:color w:val="auto"/>
                <w:sz w:val="24"/>
                <w:highlight w:val="none"/>
                <w:lang w:eastAsia="zh-CN"/>
              </w:rPr>
              <w:t>金烨钢铁</w:t>
            </w:r>
            <w:r>
              <w:rPr>
                <w:rFonts w:hint="eastAsia"/>
                <w:color w:val="auto"/>
                <w:sz w:val="24"/>
                <w:highlight w:val="none"/>
              </w:rPr>
              <w:t>集团有限公司自行检测》中</w:t>
            </w:r>
            <w:r>
              <w:rPr>
                <w:rFonts w:hint="eastAsia"/>
                <w:color w:val="auto"/>
                <w:sz w:val="24"/>
                <w:highlight w:val="none"/>
                <w:lang w:eastAsia="zh-CN"/>
              </w:rPr>
              <w:t>的</w:t>
            </w:r>
            <w:r>
              <w:rPr>
                <w:rFonts w:hint="eastAsia"/>
                <w:color w:val="auto"/>
                <w:sz w:val="24"/>
                <w:highlight w:val="none"/>
              </w:rPr>
              <w:t>监测值</w:t>
            </w:r>
            <w:r>
              <w:rPr>
                <w:rFonts w:hint="eastAsia"/>
                <w:color w:val="auto"/>
                <w:sz w:val="24"/>
                <w:highlight w:val="none"/>
                <w:lang w:val="en-US" w:eastAsia="zh-CN"/>
              </w:rPr>
              <w:t>，</w:t>
            </w:r>
            <w:r>
              <w:rPr>
                <w:color w:val="auto"/>
                <w:sz w:val="24"/>
                <w:highlight w:val="none"/>
              </w:rPr>
              <w:t>预测计算得到</w:t>
            </w:r>
            <w:r>
              <w:rPr>
                <w:rFonts w:hint="eastAsia"/>
                <w:color w:val="auto"/>
                <w:sz w:val="24"/>
                <w:highlight w:val="none"/>
                <w:lang w:val="en-US" w:eastAsia="zh-CN"/>
              </w:rPr>
              <w:t>项目</w:t>
            </w:r>
            <w:r>
              <w:rPr>
                <w:color w:val="auto"/>
                <w:sz w:val="24"/>
                <w:highlight w:val="none"/>
              </w:rPr>
              <w:t>投产后</w:t>
            </w:r>
            <w:r>
              <w:rPr>
                <w:rFonts w:hint="eastAsia"/>
                <w:color w:val="auto"/>
                <w:sz w:val="24"/>
                <w:highlight w:val="none"/>
                <w:lang w:val="en-US" w:eastAsia="zh-CN"/>
              </w:rPr>
              <w:t>对金烨钢铁厂</w:t>
            </w:r>
            <w:r>
              <w:rPr>
                <w:color w:val="auto"/>
                <w:sz w:val="24"/>
                <w:highlight w:val="none"/>
              </w:rPr>
              <w:t>界的</w:t>
            </w:r>
            <w:r>
              <w:rPr>
                <w:rFonts w:hint="eastAsia"/>
                <w:color w:val="auto"/>
                <w:sz w:val="24"/>
                <w:highlight w:val="none"/>
                <w:lang w:val="en-US" w:eastAsia="zh-CN"/>
              </w:rPr>
              <w:t>贡献值</w:t>
            </w:r>
            <w:r>
              <w:rPr>
                <w:color w:val="auto"/>
                <w:sz w:val="24"/>
                <w:highlight w:val="none"/>
              </w:rPr>
              <w:t>，由此得出的噪声环境影响预测结果见表4-</w:t>
            </w:r>
            <w:r>
              <w:rPr>
                <w:rFonts w:hint="eastAsia"/>
                <w:color w:val="auto"/>
                <w:sz w:val="24"/>
                <w:highlight w:val="none"/>
                <w:lang w:val="en-US" w:eastAsia="zh-CN"/>
              </w:rPr>
              <w:t>6</w:t>
            </w:r>
            <w:r>
              <w:rPr>
                <w:color w:val="auto"/>
                <w:sz w:val="24"/>
                <w:highlight w:val="none"/>
              </w:rPr>
              <w:t>。</w:t>
            </w:r>
          </w:p>
          <w:p w14:paraId="4832A2F6">
            <w:pPr>
              <w:spacing w:line="360" w:lineRule="auto"/>
              <w:ind w:firstLine="422" w:firstLineChars="200"/>
              <w:jc w:val="center"/>
              <w:rPr>
                <w:b/>
                <w:bCs/>
                <w:color w:val="auto"/>
                <w:sz w:val="21"/>
                <w:szCs w:val="21"/>
              </w:rPr>
            </w:pPr>
            <w:r>
              <w:rPr>
                <w:b/>
                <w:bCs/>
                <w:color w:val="auto"/>
                <w:sz w:val="21"/>
                <w:szCs w:val="21"/>
              </w:rPr>
              <w:t>表4-</w:t>
            </w:r>
            <w:r>
              <w:rPr>
                <w:rFonts w:hint="eastAsia"/>
                <w:b/>
                <w:bCs/>
                <w:color w:val="auto"/>
                <w:sz w:val="21"/>
                <w:szCs w:val="21"/>
                <w:lang w:val="en-US" w:eastAsia="zh-CN"/>
              </w:rPr>
              <w:t>6</w:t>
            </w:r>
            <w:r>
              <w:rPr>
                <w:b/>
                <w:bCs/>
                <w:color w:val="auto"/>
                <w:sz w:val="21"/>
                <w:szCs w:val="21"/>
              </w:rPr>
              <w:t>噪声预测结果一览表</w:t>
            </w:r>
          </w:p>
          <w:tbl>
            <w:tblPr>
              <w:tblStyle w:val="54"/>
              <w:tblW w:w="4979" w:type="pct"/>
              <w:tblInd w:w="2" w:type="dxa"/>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Layout w:type="autofit"/>
              <w:tblCellMar>
                <w:top w:w="0" w:type="dxa"/>
                <w:left w:w="0" w:type="dxa"/>
                <w:bottom w:w="0" w:type="dxa"/>
                <w:right w:w="0" w:type="dxa"/>
              </w:tblCellMar>
            </w:tblPr>
            <w:tblGrid>
              <w:gridCol w:w="1317"/>
              <w:gridCol w:w="1323"/>
              <w:gridCol w:w="995"/>
              <w:gridCol w:w="1003"/>
              <w:gridCol w:w="995"/>
              <w:gridCol w:w="1008"/>
              <w:gridCol w:w="883"/>
              <w:gridCol w:w="902"/>
            </w:tblGrid>
            <w:tr w14:paraId="634D921E">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PrEx>
              <w:trPr>
                <w:trHeight w:val="349" w:hRule="atLeast"/>
              </w:trPr>
              <w:tc>
                <w:tcPr>
                  <w:tcW w:w="781" w:type="pct"/>
                  <w:vMerge w:val="restart"/>
                  <w:tcBorders>
                    <w:top w:val="single" w:color="000000" w:sz="12" w:space="0"/>
                    <w:left w:val="nil"/>
                    <w:tl2br w:val="nil"/>
                  </w:tcBorders>
                  <w:shd w:val="clear" w:color="auto" w:fill="FFFFFF"/>
                  <w:noWrap w:val="0"/>
                  <w:vAlign w:val="center"/>
                </w:tcPr>
                <w:p w14:paraId="0A103342">
                  <w:pPr>
                    <w:jc w:val="center"/>
                    <w:rPr>
                      <w:b w:val="0"/>
                      <w:color w:val="000000"/>
                      <w:sz w:val="21"/>
                      <w:szCs w:val="21"/>
                    </w:rPr>
                  </w:pPr>
                  <w:r>
                    <w:rPr>
                      <w:b w:val="0"/>
                      <w:color w:val="000000"/>
                      <w:sz w:val="21"/>
                      <w:szCs w:val="21"/>
                    </w:rPr>
                    <w:t>预测点</w:t>
                  </w:r>
                </w:p>
              </w:tc>
              <w:tc>
                <w:tcPr>
                  <w:tcW w:w="785" w:type="pct"/>
                  <w:vMerge w:val="restart"/>
                  <w:tcBorders>
                    <w:top w:val="single" w:color="000000" w:sz="12" w:space="0"/>
                  </w:tcBorders>
                  <w:shd w:val="clear" w:color="auto" w:fill="FFFFFF"/>
                  <w:noWrap w:val="0"/>
                  <w:vAlign w:val="center"/>
                </w:tcPr>
                <w:p w14:paraId="401271CF">
                  <w:pPr>
                    <w:jc w:val="center"/>
                    <w:rPr>
                      <w:b w:val="0"/>
                      <w:color w:val="000000"/>
                      <w:sz w:val="21"/>
                      <w:szCs w:val="21"/>
                    </w:rPr>
                  </w:pPr>
                  <w:r>
                    <w:rPr>
                      <w:b w:val="0"/>
                      <w:color w:val="000000"/>
                      <w:sz w:val="21"/>
                      <w:szCs w:val="21"/>
                    </w:rPr>
                    <w:t>贡献值</w:t>
                  </w:r>
                </w:p>
              </w:tc>
              <w:tc>
                <w:tcPr>
                  <w:tcW w:w="1185" w:type="pct"/>
                  <w:gridSpan w:val="2"/>
                  <w:tcBorders>
                    <w:top w:val="single" w:color="000000" w:sz="12" w:space="0"/>
                  </w:tcBorders>
                  <w:shd w:val="clear" w:color="auto" w:fill="FFFFFF"/>
                  <w:noWrap w:val="0"/>
                  <w:vAlign w:val="center"/>
                </w:tcPr>
                <w:p w14:paraId="301007EF">
                  <w:pPr>
                    <w:jc w:val="center"/>
                    <w:rPr>
                      <w:rFonts w:hint="default"/>
                      <w:b w:val="0"/>
                      <w:color w:val="000000"/>
                      <w:sz w:val="21"/>
                      <w:szCs w:val="21"/>
                      <w:lang w:val="en-US" w:eastAsia="zh-CN"/>
                    </w:rPr>
                  </w:pPr>
                  <w:r>
                    <w:rPr>
                      <w:rFonts w:hint="eastAsia"/>
                      <w:b w:val="0"/>
                      <w:color w:val="000000"/>
                      <w:sz w:val="21"/>
                      <w:szCs w:val="21"/>
                      <w:lang w:val="en-US" w:eastAsia="zh-CN"/>
                    </w:rPr>
                    <w:t>监测值</w:t>
                  </w:r>
                </w:p>
              </w:tc>
              <w:tc>
                <w:tcPr>
                  <w:tcW w:w="1188" w:type="pct"/>
                  <w:gridSpan w:val="2"/>
                  <w:tcBorders>
                    <w:top w:val="single" w:color="000000" w:sz="12" w:space="0"/>
                  </w:tcBorders>
                  <w:shd w:val="clear" w:color="auto" w:fill="FFFFFF"/>
                  <w:noWrap w:val="0"/>
                  <w:vAlign w:val="center"/>
                </w:tcPr>
                <w:p w14:paraId="2403714A">
                  <w:pPr>
                    <w:jc w:val="center"/>
                    <w:rPr>
                      <w:rFonts w:hint="eastAsia"/>
                      <w:b w:val="0"/>
                      <w:color w:val="000000"/>
                      <w:sz w:val="21"/>
                      <w:szCs w:val="21"/>
                      <w:lang w:val="en-US" w:eastAsia="zh-CN"/>
                    </w:rPr>
                  </w:pPr>
                  <w:r>
                    <w:rPr>
                      <w:rFonts w:hint="eastAsia"/>
                      <w:b w:val="0"/>
                      <w:color w:val="000000"/>
                      <w:sz w:val="21"/>
                      <w:szCs w:val="21"/>
                      <w:lang w:val="en-US" w:eastAsia="zh-CN"/>
                    </w:rPr>
                    <w:t>预测值</w:t>
                  </w:r>
                </w:p>
              </w:tc>
              <w:tc>
                <w:tcPr>
                  <w:tcW w:w="1059" w:type="pct"/>
                  <w:gridSpan w:val="2"/>
                  <w:tcBorders>
                    <w:top w:val="single" w:color="000000" w:sz="12" w:space="0"/>
                    <w:right w:val="nil"/>
                  </w:tcBorders>
                  <w:shd w:val="clear" w:color="auto" w:fill="FFFFFF"/>
                  <w:noWrap w:val="0"/>
                  <w:vAlign w:val="center"/>
                </w:tcPr>
                <w:p w14:paraId="35753CBD">
                  <w:pPr>
                    <w:jc w:val="center"/>
                    <w:rPr>
                      <w:b w:val="0"/>
                      <w:color w:val="000000"/>
                      <w:sz w:val="21"/>
                      <w:szCs w:val="21"/>
                    </w:rPr>
                  </w:pPr>
                  <w:r>
                    <w:rPr>
                      <w:b w:val="0"/>
                      <w:color w:val="000000"/>
                      <w:sz w:val="21"/>
                      <w:szCs w:val="21"/>
                    </w:rPr>
                    <w:t>标准值</w:t>
                  </w:r>
                </w:p>
              </w:tc>
            </w:tr>
            <w:tr w14:paraId="05F1DDD5">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781" w:type="pct"/>
                  <w:vMerge w:val="continue"/>
                  <w:tcBorders>
                    <w:left w:val="nil"/>
                  </w:tcBorders>
                  <w:shd w:val="clear" w:color="auto" w:fill="FFFFFF"/>
                  <w:noWrap w:val="0"/>
                  <w:vAlign w:val="center"/>
                </w:tcPr>
                <w:p w14:paraId="26AF9D25">
                  <w:pPr>
                    <w:jc w:val="center"/>
                    <w:rPr>
                      <w:b w:val="0"/>
                      <w:color w:val="000000"/>
                      <w:sz w:val="21"/>
                      <w:szCs w:val="21"/>
                    </w:rPr>
                  </w:pPr>
                </w:p>
              </w:tc>
              <w:tc>
                <w:tcPr>
                  <w:tcW w:w="785" w:type="pct"/>
                  <w:vMerge w:val="continue"/>
                  <w:shd w:val="clear" w:color="auto" w:fill="FFFFFF"/>
                  <w:noWrap w:val="0"/>
                  <w:vAlign w:val="center"/>
                </w:tcPr>
                <w:p w14:paraId="4A1A0A43">
                  <w:pPr>
                    <w:jc w:val="center"/>
                    <w:rPr>
                      <w:b w:val="0"/>
                      <w:color w:val="000000"/>
                      <w:sz w:val="21"/>
                      <w:szCs w:val="21"/>
                    </w:rPr>
                  </w:pPr>
                </w:p>
              </w:tc>
              <w:tc>
                <w:tcPr>
                  <w:tcW w:w="590" w:type="pct"/>
                  <w:shd w:val="clear" w:color="auto" w:fill="FFFFFF"/>
                  <w:noWrap w:val="0"/>
                  <w:vAlign w:val="center"/>
                </w:tcPr>
                <w:p w14:paraId="6FC4A54D">
                  <w:pPr>
                    <w:jc w:val="center"/>
                    <w:rPr>
                      <w:b w:val="0"/>
                      <w:color w:val="000000"/>
                      <w:sz w:val="21"/>
                      <w:szCs w:val="21"/>
                    </w:rPr>
                  </w:pPr>
                  <w:r>
                    <w:rPr>
                      <w:b w:val="0"/>
                      <w:color w:val="000000"/>
                      <w:sz w:val="21"/>
                      <w:szCs w:val="21"/>
                    </w:rPr>
                    <w:t>昼间</w:t>
                  </w:r>
                </w:p>
              </w:tc>
              <w:tc>
                <w:tcPr>
                  <w:tcW w:w="594" w:type="pct"/>
                  <w:shd w:val="clear" w:color="auto" w:fill="FFFFFF"/>
                  <w:noWrap w:val="0"/>
                  <w:vAlign w:val="center"/>
                </w:tcPr>
                <w:p w14:paraId="606DC565">
                  <w:pPr>
                    <w:jc w:val="center"/>
                    <w:rPr>
                      <w:b w:val="0"/>
                      <w:color w:val="000000"/>
                      <w:sz w:val="21"/>
                      <w:szCs w:val="21"/>
                    </w:rPr>
                  </w:pPr>
                  <w:r>
                    <w:rPr>
                      <w:rFonts w:hint="eastAsia"/>
                      <w:b w:val="0"/>
                      <w:color w:val="000000"/>
                      <w:sz w:val="21"/>
                      <w:szCs w:val="21"/>
                    </w:rPr>
                    <w:t>夜间</w:t>
                  </w:r>
                </w:p>
              </w:tc>
              <w:tc>
                <w:tcPr>
                  <w:tcW w:w="590" w:type="pct"/>
                  <w:shd w:val="clear" w:color="auto" w:fill="FFFFFF"/>
                  <w:noWrap w:val="0"/>
                  <w:vAlign w:val="center"/>
                </w:tcPr>
                <w:p w14:paraId="584D6B3A">
                  <w:pPr>
                    <w:jc w:val="center"/>
                    <w:rPr>
                      <w:b w:val="0"/>
                      <w:color w:val="000000"/>
                      <w:sz w:val="21"/>
                      <w:szCs w:val="21"/>
                    </w:rPr>
                  </w:pPr>
                  <w:r>
                    <w:rPr>
                      <w:b w:val="0"/>
                      <w:color w:val="000000"/>
                      <w:sz w:val="21"/>
                      <w:szCs w:val="21"/>
                    </w:rPr>
                    <w:t>昼间</w:t>
                  </w:r>
                </w:p>
              </w:tc>
              <w:tc>
                <w:tcPr>
                  <w:tcW w:w="597" w:type="pct"/>
                  <w:shd w:val="clear" w:color="auto" w:fill="FFFFFF"/>
                  <w:noWrap w:val="0"/>
                  <w:vAlign w:val="center"/>
                </w:tcPr>
                <w:p w14:paraId="127DFAA8">
                  <w:pPr>
                    <w:jc w:val="center"/>
                    <w:rPr>
                      <w:b w:val="0"/>
                      <w:color w:val="000000"/>
                      <w:sz w:val="21"/>
                      <w:szCs w:val="21"/>
                    </w:rPr>
                  </w:pPr>
                  <w:r>
                    <w:rPr>
                      <w:rFonts w:hint="eastAsia"/>
                      <w:b w:val="0"/>
                      <w:color w:val="000000"/>
                      <w:sz w:val="21"/>
                      <w:szCs w:val="21"/>
                    </w:rPr>
                    <w:t>夜间</w:t>
                  </w:r>
                </w:p>
              </w:tc>
              <w:tc>
                <w:tcPr>
                  <w:tcW w:w="524" w:type="pct"/>
                  <w:shd w:val="clear" w:color="auto" w:fill="FFFFFF"/>
                  <w:noWrap w:val="0"/>
                  <w:vAlign w:val="center"/>
                </w:tcPr>
                <w:p w14:paraId="6EB5B7CA">
                  <w:pPr>
                    <w:jc w:val="center"/>
                    <w:rPr>
                      <w:b w:val="0"/>
                      <w:color w:val="000000"/>
                      <w:sz w:val="21"/>
                      <w:szCs w:val="21"/>
                    </w:rPr>
                  </w:pPr>
                  <w:r>
                    <w:rPr>
                      <w:b w:val="0"/>
                      <w:color w:val="000000"/>
                      <w:sz w:val="21"/>
                      <w:szCs w:val="21"/>
                    </w:rPr>
                    <w:t>昼间</w:t>
                  </w:r>
                </w:p>
              </w:tc>
              <w:tc>
                <w:tcPr>
                  <w:tcW w:w="535" w:type="pct"/>
                  <w:tcBorders>
                    <w:right w:val="nil"/>
                  </w:tcBorders>
                  <w:shd w:val="clear" w:color="auto" w:fill="FFFFFF"/>
                  <w:noWrap w:val="0"/>
                  <w:vAlign w:val="center"/>
                </w:tcPr>
                <w:p w14:paraId="26063FB9">
                  <w:pPr>
                    <w:jc w:val="center"/>
                    <w:rPr>
                      <w:b w:val="0"/>
                      <w:color w:val="000000"/>
                      <w:sz w:val="21"/>
                      <w:szCs w:val="21"/>
                    </w:rPr>
                  </w:pPr>
                  <w:r>
                    <w:rPr>
                      <w:rFonts w:hint="eastAsia"/>
                      <w:b w:val="0"/>
                      <w:color w:val="000000"/>
                      <w:sz w:val="21"/>
                      <w:szCs w:val="21"/>
                    </w:rPr>
                    <w:t>夜间</w:t>
                  </w:r>
                </w:p>
              </w:tc>
            </w:tr>
            <w:tr w14:paraId="4038ED2B">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781" w:type="pct"/>
                  <w:vMerge w:val="restart"/>
                  <w:tcBorders>
                    <w:left w:val="nil"/>
                  </w:tcBorders>
                  <w:shd w:val="clear" w:color="auto" w:fill="FFFFFF"/>
                  <w:noWrap w:val="0"/>
                  <w:vAlign w:val="center"/>
                </w:tcPr>
                <w:p w14:paraId="37FC4E04">
                  <w:pPr>
                    <w:jc w:val="center"/>
                    <w:rPr>
                      <w:b w:val="0"/>
                      <w:color w:val="000000"/>
                      <w:sz w:val="21"/>
                      <w:szCs w:val="21"/>
                    </w:rPr>
                  </w:pPr>
                  <w:r>
                    <w:rPr>
                      <w:b w:val="0"/>
                      <w:color w:val="000000"/>
                      <w:sz w:val="21"/>
                      <w:szCs w:val="21"/>
                    </w:rPr>
                    <w:t>东厂界</w:t>
                  </w:r>
                </w:p>
              </w:tc>
              <w:tc>
                <w:tcPr>
                  <w:tcW w:w="785" w:type="pct"/>
                  <w:vMerge w:val="restart"/>
                  <w:shd w:val="clear" w:color="auto" w:fill="FFFFFF"/>
                  <w:noWrap w:val="0"/>
                  <w:vAlign w:val="center"/>
                </w:tcPr>
                <w:p w14:paraId="4BDE5B03">
                  <w:pPr>
                    <w:jc w:val="center"/>
                    <w:rPr>
                      <w:rFonts w:hint="default" w:eastAsia="宋体"/>
                      <w:b w:val="0"/>
                      <w:color w:val="000000"/>
                      <w:sz w:val="21"/>
                      <w:szCs w:val="21"/>
                      <w:lang w:val="en-US" w:eastAsia="zh-CN"/>
                    </w:rPr>
                  </w:pPr>
                  <w:r>
                    <w:rPr>
                      <w:rFonts w:hint="eastAsia"/>
                      <w:b w:val="0"/>
                      <w:color w:val="000000"/>
                      <w:sz w:val="21"/>
                      <w:szCs w:val="21"/>
                      <w:lang w:val="en-US" w:eastAsia="zh-CN"/>
                    </w:rPr>
                    <w:t>40.2</w:t>
                  </w:r>
                </w:p>
              </w:tc>
              <w:tc>
                <w:tcPr>
                  <w:tcW w:w="590" w:type="pct"/>
                  <w:shd w:val="clear" w:color="auto" w:fill="FFFFFF"/>
                  <w:noWrap w:val="0"/>
                  <w:vAlign w:val="center"/>
                </w:tcPr>
                <w:p w14:paraId="0527081D">
                  <w:pPr>
                    <w:jc w:val="center"/>
                    <w:rPr>
                      <w:rFonts w:hint="default"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kern w:val="2"/>
                      <w:sz w:val="21"/>
                      <w:szCs w:val="21"/>
                      <w:lang w:val="en-US" w:eastAsia="zh-CN" w:bidi="ar-SA"/>
                    </w:rPr>
                    <w:t>53.4</w:t>
                  </w:r>
                </w:p>
              </w:tc>
              <w:tc>
                <w:tcPr>
                  <w:tcW w:w="594" w:type="pct"/>
                  <w:shd w:val="clear" w:color="auto" w:fill="FFFFFF"/>
                  <w:noWrap w:val="0"/>
                  <w:vAlign w:val="center"/>
                </w:tcPr>
                <w:p w14:paraId="457D2DD5">
                  <w:pPr>
                    <w:jc w:val="center"/>
                    <w:rPr>
                      <w:rFonts w:hint="default"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kern w:val="2"/>
                      <w:sz w:val="21"/>
                      <w:szCs w:val="21"/>
                      <w:lang w:val="en-US" w:eastAsia="zh-CN" w:bidi="ar-SA"/>
                    </w:rPr>
                    <w:t>43.1</w:t>
                  </w:r>
                </w:p>
              </w:tc>
              <w:tc>
                <w:tcPr>
                  <w:tcW w:w="995" w:type="dxa"/>
                  <w:shd w:val="clear" w:color="auto" w:fill="FFFFFF"/>
                  <w:noWrap w:val="0"/>
                  <w:vAlign w:val="center"/>
                </w:tcPr>
                <w:p w14:paraId="2E9229C5">
                  <w:pPr>
                    <w:jc w:val="center"/>
                    <w:rPr>
                      <w:rFonts w:hint="default" w:ascii="Times New Roman" w:hAnsi="Times New Roman" w:eastAsia="宋体" w:cs="Times New Roman"/>
                      <w:b w:val="0"/>
                      <w:color w:val="000000"/>
                      <w:lang w:val="en-US" w:eastAsia="zh-CN"/>
                    </w:rPr>
                  </w:pPr>
                  <w:r>
                    <w:rPr>
                      <w:rFonts w:hint="eastAsia" w:ascii="Times New Roman" w:hAnsi="Times New Roman" w:eastAsia="宋体" w:cs="Times New Roman"/>
                      <w:b w:val="0"/>
                      <w:color w:val="000000"/>
                      <w:lang w:val="en-US" w:eastAsia="zh-CN"/>
                    </w:rPr>
                    <w:t xml:space="preserve">53.60 </w:t>
                  </w:r>
                </w:p>
              </w:tc>
              <w:tc>
                <w:tcPr>
                  <w:tcW w:w="1008" w:type="dxa"/>
                  <w:shd w:val="clear" w:color="auto" w:fill="FFFFFF"/>
                  <w:noWrap w:val="0"/>
                  <w:vAlign w:val="center"/>
                </w:tcPr>
                <w:p w14:paraId="025A2715">
                  <w:pPr>
                    <w:jc w:val="center"/>
                    <w:rPr>
                      <w:rFonts w:hint="default" w:ascii="Times New Roman" w:hAnsi="Times New Roman" w:eastAsia="宋体" w:cs="Times New Roman"/>
                      <w:b w:val="0"/>
                      <w:color w:val="000000"/>
                      <w:lang w:val="en-US" w:eastAsia="zh-CN"/>
                    </w:rPr>
                  </w:pPr>
                  <w:r>
                    <w:rPr>
                      <w:rFonts w:hint="eastAsia" w:ascii="Times New Roman" w:hAnsi="Times New Roman" w:eastAsia="宋体" w:cs="Times New Roman"/>
                      <w:b w:val="0"/>
                      <w:color w:val="000000"/>
                      <w:lang w:val="en-US" w:eastAsia="zh-CN"/>
                    </w:rPr>
                    <w:t xml:space="preserve">44.90 </w:t>
                  </w:r>
                </w:p>
              </w:tc>
              <w:tc>
                <w:tcPr>
                  <w:tcW w:w="524" w:type="pct"/>
                  <w:vMerge w:val="restart"/>
                  <w:shd w:val="clear" w:color="auto" w:fill="FFFFFF"/>
                  <w:noWrap w:val="0"/>
                  <w:vAlign w:val="center"/>
                </w:tcPr>
                <w:p w14:paraId="590F65C2">
                  <w:pPr>
                    <w:jc w:val="center"/>
                    <w:rPr>
                      <w:rFonts w:hint="default" w:eastAsia="宋体"/>
                      <w:b w:val="0"/>
                      <w:color w:val="000000"/>
                      <w:sz w:val="21"/>
                      <w:szCs w:val="21"/>
                      <w:lang w:val="en-US" w:eastAsia="zh-CN"/>
                    </w:rPr>
                  </w:pPr>
                  <w:r>
                    <w:rPr>
                      <w:rFonts w:hint="eastAsia"/>
                      <w:b w:val="0"/>
                      <w:color w:val="000000"/>
                      <w:sz w:val="21"/>
                      <w:szCs w:val="21"/>
                      <w:lang w:val="en-US" w:eastAsia="zh-CN"/>
                    </w:rPr>
                    <w:t>60</w:t>
                  </w:r>
                </w:p>
              </w:tc>
              <w:tc>
                <w:tcPr>
                  <w:tcW w:w="535" w:type="pct"/>
                  <w:vMerge w:val="restart"/>
                  <w:tcBorders>
                    <w:right w:val="nil"/>
                  </w:tcBorders>
                  <w:shd w:val="clear" w:color="auto" w:fill="FFFFFF"/>
                  <w:noWrap w:val="0"/>
                  <w:vAlign w:val="center"/>
                </w:tcPr>
                <w:p w14:paraId="2C69B1E4">
                  <w:pPr>
                    <w:jc w:val="center"/>
                    <w:rPr>
                      <w:rFonts w:hint="default" w:eastAsia="宋体"/>
                      <w:b w:val="0"/>
                      <w:color w:val="000000"/>
                      <w:sz w:val="21"/>
                      <w:szCs w:val="21"/>
                      <w:lang w:val="en-US" w:eastAsia="zh-CN"/>
                    </w:rPr>
                  </w:pPr>
                  <w:r>
                    <w:rPr>
                      <w:rFonts w:hint="eastAsia"/>
                      <w:b w:val="0"/>
                      <w:color w:val="000000"/>
                      <w:sz w:val="21"/>
                      <w:szCs w:val="21"/>
                      <w:lang w:val="en-US" w:eastAsia="zh-CN"/>
                    </w:rPr>
                    <w:t>50</w:t>
                  </w:r>
                </w:p>
              </w:tc>
            </w:tr>
            <w:tr w14:paraId="0B0F07B9">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781" w:type="pct"/>
                  <w:vMerge w:val="continue"/>
                  <w:tcBorders>
                    <w:left w:val="nil"/>
                  </w:tcBorders>
                  <w:shd w:val="clear" w:color="auto" w:fill="FFFFFF"/>
                  <w:noWrap w:val="0"/>
                  <w:vAlign w:val="center"/>
                </w:tcPr>
                <w:p w14:paraId="1DB46C32">
                  <w:pPr>
                    <w:jc w:val="center"/>
                    <w:rPr>
                      <w:b w:val="0"/>
                      <w:color w:val="000000"/>
                      <w:sz w:val="21"/>
                      <w:szCs w:val="21"/>
                    </w:rPr>
                  </w:pPr>
                </w:p>
              </w:tc>
              <w:tc>
                <w:tcPr>
                  <w:tcW w:w="785" w:type="pct"/>
                  <w:vMerge w:val="continue"/>
                  <w:shd w:val="clear" w:color="auto" w:fill="FFFFFF"/>
                  <w:noWrap w:val="0"/>
                  <w:vAlign w:val="center"/>
                </w:tcPr>
                <w:p w14:paraId="347536E3">
                  <w:pPr>
                    <w:jc w:val="center"/>
                    <w:rPr>
                      <w:rFonts w:hint="eastAsia"/>
                      <w:b w:val="0"/>
                      <w:color w:val="000000"/>
                      <w:sz w:val="21"/>
                      <w:szCs w:val="21"/>
                    </w:rPr>
                  </w:pPr>
                </w:p>
              </w:tc>
              <w:tc>
                <w:tcPr>
                  <w:tcW w:w="590" w:type="pct"/>
                  <w:shd w:val="clear" w:color="auto" w:fill="FFFFFF"/>
                  <w:noWrap w:val="0"/>
                  <w:vAlign w:val="center"/>
                </w:tcPr>
                <w:p w14:paraId="1108784A">
                  <w:pPr>
                    <w:jc w:val="center"/>
                    <w:rPr>
                      <w:rFonts w:hint="default"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kern w:val="2"/>
                      <w:sz w:val="21"/>
                      <w:szCs w:val="21"/>
                      <w:lang w:val="en-US" w:eastAsia="zh-CN" w:bidi="ar-SA"/>
                    </w:rPr>
                    <w:t>53.5</w:t>
                  </w:r>
                </w:p>
              </w:tc>
              <w:tc>
                <w:tcPr>
                  <w:tcW w:w="594" w:type="pct"/>
                  <w:shd w:val="clear" w:color="auto" w:fill="FFFFFF"/>
                  <w:noWrap w:val="0"/>
                  <w:vAlign w:val="center"/>
                </w:tcPr>
                <w:p w14:paraId="0BA1FE3B">
                  <w:pPr>
                    <w:jc w:val="center"/>
                    <w:rPr>
                      <w:rFonts w:hint="default"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kern w:val="2"/>
                      <w:sz w:val="21"/>
                      <w:szCs w:val="21"/>
                      <w:lang w:val="en-US" w:eastAsia="zh-CN" w:bidi="ar-SA"/>
                    </w:rPr>
                    <w:t>44.1</w:t>
                  </w:r>
                </w:p>
              </w:tc>
              <w:tc>
                <w:tcPr>
                  <w:tcW w:w="995" w:type="dxa"/>
                  <w:shd w:val="clear" w:color="auto" w:fill="FFFFFF"/>
                  <w:noWrap w:val="0"/>
                  <w:vAlign w:val="center"/>
                </w:tcPr>
                <w:p w14:paraId="6C1A6101">
                  <w:pPr>
                    <w:jc w:val="center"/>
                    <w:rPr>
                      <w:rFonts w:hint="default" w:ascii="Times New Roman" w:hAnsi="Times New Roman" w:eastAsia="宋体" w:cs="Times New Roman"/>
                      <w:b w:val="0"/>
                      <w:color w:val="000000"/>
                      <w:lang w:val="en-US" w:eastAsia="zh-CN"/>
                    </w:rPr>
                  </w:pPr>
                  <w:r>
                    <w:rPr>
                      <w:rFonts w:hint="eastAsia" w:ascii="Times New Roman" w:hAnsi="Times New Roman" w:eastAsia="宋体" w:cs="Times New Roman"/>
                      <w:b w:val="0"/>
                      <w:color w:val="000000"/>
                      <w:lang w:val="en-US" w:eastAsia="zh-CN"/>
                    </w:rPr>
                    <w:t xml:space="preserve">53.70 </w:t>
                  </w:r>
                </w:p>
              </w:tc>
              <w:tc>
                <w:tcPr>
                  <w:tcW w:w="1008" w:type="dxa"/>
                  <w:shd w:val="clear" w:color="auto" w:fill="FFFFFF"/>
                  <w:noWrap w:val="0"/>
                  <w:vAlign w:val="center"/>
                </w:tcPr>
                <w:p w14:paraId="5B054F8E">
                  <w:pPr>
                    <w:jc w:val="center"/>
                    <w:rPr>
                      <w:rFonts w:hint="default" w:ascii="Times New Roman" w:hAnsi="Times New Roman" w:eastAsia="宋体" w:cs="Times New Roman"/>
                      <w:b w:val="0"/>
                      <w:color w:val="000000"/>
                      <w:lang w:val="en-US" w:eastAsia="zh-CN"/>
                    </w:rPr>
                  </w:pPr>
                  <w:r>
                    <w:rPr>
                      <w:rFonts w:hint="eastAsia" w:ascii="Times New Roman" w:hAnsi="Times New Roman" w:eastAsia="宋体" w:cs="Times New Roman"/>
                      <w:b w:val="0"/>
                      <w:color w:val="000000"/>
                      <w:lang w:val="en-US" w:eastAsia="zh-CN"/>
                    </w:rPr>
                    <w:t xml:space="preserve">45.58 </w:t>
                  </w:r>
                </w:p>
              </w:tc>
              <w:tc>
                <w:tcPr>
                  <w:tcW w:w="524" w:type="pct"/>
                  <w:vMerge w:val="continue"/>
                  <w:shd w:val="clear" w:color="auto" w:fill="FFFFFF"/>
                  <w:noWrap w:val="0"/>
                  <w:vAlign w:val="center"/>
                </w:tcPr>
                <w:p w14:paraId="5836130C">
                  <w:pPr>
                    <w:jc w:val="center"/>
                    <w:rPr>
                      <w:b w:val="0"/>
                      <w:color w:val="000000"/>
                      <w:sz w:val="21"/>
                      <w:szCs w:val="21"/>
                    </w:rPr>
                  </w:pPr>
                </w:p>
              </w:tc>
              <w:tc>
                <w:tcPr>
                  <w:tcW w:w="535" w:type="pct"/>
                  <w:vMerge w:val="continue"/>
                  <w:tcBorders>
                    <w:right w:val="nil"/>
                  </w:tcBorders>
                  <w:shd w:val="clear" w:color="auto" w:fill="FFFFFF"/>
                  <w:noWrap w:val="0"/>
                  <w:vAlign w:val="center"/>
                </w:tcPr>
                <w:p w14:paraId="1287046E">
                  <w:pPr>
                    <w:jc w:val="center"/>
                    <w:rPr>
                      <w:rFonts w:hint="eastAsia"/>
                      <w:b w:val="0"/>
                      <w:color w:val="000000"/>
                      <w:sz w:val="21"/>
                      <w:szCs w:val="21"/>
                    </w:rPr>
                  </w:pPr>
                </w:p>
              </w:tc>
            </w:tr>
            <w:tr w14:paraId="7BF55AB4">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781" w:type="pct"/>
                  <w:vMerge w:val="restart"/>
                  <w:tcBorders>
                    <w:left w:val="nil"/>
                  </w:tcBorders>
                  <w:shd w:val="clear" w:color="auto" w:fill="FFFFFF"/>
                  <w:noWrap w:val="0"/>
                  <w:vAlign w:val="center"/>
                </w:tcPr>
                <w:p w14:paraId="4BA4367A">
                  <w:pPr>
                    <w:jc w:val="center"/>
                    <w:rPr>
                      <w:b w:val="0"/>
                      <w:color w:val="000000"/>
                      <w:sz w:val="21"/>
                      <w:szCs w:val="21"/>
                    </w:rPr>
                  </w:pPr>
                  <w:r>
                    <w:rPr>
                      <w:b w:val="0"/>
                      <w:color w:val="000000"/>
                      <w:sz w:val="21"/>
                      <w:szCs w:val="21"/>
                    </w:rPr>
                    <w:t>南厂界</w:t>
                  </w:r>
                </w:p>
              </w:tc>
              <w:tc>
                <w:tcPr>
                  <w:tcW w:w="785" w:type="pct"/>
                  <w:vMerge w:val="restart"/>
                  <w:shd w:val="clear" w:color="auto" w:fill="FFFFFF"/>
                  <w:noWrap w:val="0"/>
                  <w:vAlign w:val="center"/>
                </w:tcPr>
                <w:p w14:paraId="3A2B5DCF">
                  <w:pPr>
                    <w:jc w:val="center"/>
                    <w:rPr>
                      <w:rFonts w:hint="default" w:eastAsia="宋体"/>
                      <w:b w:val="0"/>
                      <w:color w:val="000000"/>
                      <w:sz w:val="21"/>
                      <w:szCs w:val="21"/>
                      <w:lang w:val="en-US" w:eastAsia="zh-CN"/>
                    </w:rPr>
                  </w:pPr>
                  <w:r>
                    <w:rPr>
                      <w:rFonts w:hint="eastAsia"/>
                      <w:b w:val="0"/>
                      <w:color w:val="000000"/>
                      <w:sz w:val="21"/>
                      <w:szCs w:val="21"/>
                      <w:lang w:val="en-US" w:eastAsia="zh-CN"/>
                    </w:rPr>
                    <w:t>43.3</w:t>
                  </w:r>
                </w:p>
              </w:tc>
              <w:tc>
                <w:tcPr>
                  <w:tcW w:w="590" w:type="pct"/>
                  <w:shd w:val="clear" w:color="auto" w:fill="FFFFFF"/>
                  <w:noWrap w:val="0"/>
                  <w:vAlign w:val="center"/>
                </w:tcPr>
                <w:p w14:paraId="4319A024">
                  <w:pPr>
                    <w:jc w:val="center"/>
                    <w:rPr>
                      <w:rFonts w:hint="eastAsia" w:ascii="Times New Roman" w:hAnsi="Times New Roman" w:eastAsia="宋体" w:cs="Times New Roman"/>
                      <w:b w:val="0"/>
                      <w:color w:val="000000"/>
                      <w:sz w:val="21"/>
                      <w:szCs w:val="21"/>
                      <w:lang w:val="en-US" w:eastAsia="zh-CN"/>
                    </w:rPr>
                  </w:pPr>
                  <w:r>
                    <w:rPr>
                      <w:rFonts w:hint="eastAsia"/>
                      <w:b w:val="0"/>
                      <w:color w:val="000000"/>
                    </w:rPr>
                    <w:t>50.4</w:t>
                  </w:r>
                </w:p>
              </w:tc>
              <w:tc>
                <w:tcPr>
                  <w:tcW w:w="594" w:type="pct"/>
                  <w:shd w:val="clear" w:color="auto" w:fill="FFFFFF"/>
                  <w:noWrap w:val="0"/>
                  <w:vAlign w:val="center"/>
                </w:tcPr>
                <w:p w14:paraId="7C51DF17">
                  <w:pPr>
                    <w:jc w:val="center"/>
                    <w:rPr>
                      <w:rFonts w:hint="default" w:ascii="Times New Roman" w:hAnsi="Times New Roman" w:eastAsia="宋体" w:cs="Times New Roman"/>
                      <w:b w:val="0"/>
                      <w:color w:val="000000"/>
                      <w:sz w:val="21"/>
                      <w:szCs w:val="21"/>
                      <w:lang w:val="en-US" w:eastAsia="zh-CN"/>
                    </w:rPr>
                  </w:pPr>
                  <w:r>
                    <w:rPr>
                      <w:rFonts w:hint="eastAsia"/>
                      <w:b w:val="0"/>
                      <w:color w:val="000000"/>
                    </w:rPr>
                    <w:t>45.2</w:t>
                  </w:r>
                </w:p>
              </w:tc>
              <w:tc>
                <w:tcPr>
                  <w:tcW w:w="995" w:type="dxa"/>
                  <w:shd w:val="clear" w:color="auto" w:fill="FFFFFF"/>
                  <w:noWrap w:val="0"/>
                  <w:vAlign w:val="center"/>
                </w:tcPr>
                <w:p w14:paraId="364C3424">
                  <w:pPr>
                    <w:jc w:val="center"/>
                    <w:rPr>
                      <w:rFonts w:hint="eastAsia" w:ascii="Times New Roman" w:hAnsi="Times New Roman" w:eastAsia="宋体" w:cs="Times New Roman"/>
                      <w:b w:val="0"/>
                      <w:color w:val="000000"/>
                      <w:lang w:val="en-US" w:eastAsia="zh-CN"/>
                    </w:rPr>
                  </w:pPr>
                  <w:r>
                    <w:rPr>
                      <w:rFonts w:hint="eastAsia" w:ascii="Times New Roman" w:hAnsi="Times New Roman" w:eastAsia="宋体" w:cs="Times New Roman"/>
                      <w:b w:val="0"/>
                      <w:color w:val="000000"/>
                      <w:lang w:val="en-US" w:eastAsia="zh-CN"/>
                    </w:rPr>
                    <w:t xml:space="preserve">51.17 </w:t>
                  </w:r>
                </w:p>
              </w:tc>
              <w:tc>
                <w:tcPr>
                  <w:tcW w:w="1008" w:type="dxa"/>
                  <w:shd w:val="clear" w:color="auto" w:fill="FFFFFF"/>
                  <w:noWrap w:val="0"/>
                  <w:vAlign w:val="center"/>
                </w:tcPr>
                <w:p w14:paraId="383AF059">
                  <w:pPr>
                    <w:jc w:val="center"/>
                    <w:rPr>
                      <w:rFonts w:hint="eastAsia" w:ascii="Times New Roman" w:hAnsi="Times New Roman" w:eastAsia="宋体" w:cs="Times New Roman"/>
                      <w:b w:val="0"/>
                      <w:color w:val="000000"/>
                      <w:lang w:val="en-US" w:eastAsia="zh-CN"/>
                    </w:rPr>
                  </w:pPr>
                  <w:r>
                    <w:rPr>
                      <w:rFonts w:hint="eastAsia" w:ascii="Times New Roman" w:hAnsi="Times New Roman" w:eastAsia="宋体" w:cs="Times New Roman"/>
                      <w:b w:val="0"/>
                      <w:color w:val="000000"/>
                      <w:lang w:val="en-US" w:eastAsia="zh-CN"/>
                    </w:rPr>
                    <w:t xml:space="preserve">47.36 </w:t>
                  </w:r>
                </w:p>
              </w:tc>
              <w:tc>
                <w:tcPr>
                  <w:tcW w:w="524" w:type="pct"/>
                  <w:vMerge w:val="continue"/>
                  <w:shd w:val="clear" w:color="auto" w:fill="FFFFFF"/>
                  <w:noWrap w:val="0"/>
                  <w:vAlign w:val="center"/>
                </w:tcPr>
                <w:p w14:paraId="0495C1CF">
                  <w:pPr>
                    <w:jc w:val="center"/>
                    <w:rPr>
                      <w:b w:val="0"/>
                      <w:color w:val="000000"/>
                      <w:sz w:val="21"/>
                      <w:szCs w:val="21"/>
                    </w:rPr>
                  </w:pPr>
                </w:p>
              </w:tc>
              <w:tc>
                <w:tcPr>
                  <w:tcW w:w="535" w:type="pct"/>
                  <w:vMerge w:val="continue"/>
                  <w:tcBorders>
                    <w:right w:val="nil"/>
                  </w:tcBorders>
                  <w:shd w:val="clear" w:color="auto" w:fill="FFFFFF"/>
                  <w:noWrap w:val="0"/>
                  <w:vAlign w:val="center"/>
                </w:tcPr>
                <w:p w14:paraId="3C5720F4">
                  <w:pPr>
                    <w:jc w:val="center"/>
                    <w:rPr>
                      <w:b w:val="0"/>
                      <w:color w:val="000000"/>
                      <w:sz w:val="21"/>
                      <w:szCs w:val="21"/>
                    </w:rPr>
                  </w:pPr>
                </w:p>
              </w:tc>
            </w:tr>
            <w:tr w14:paraId="4402E96F">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PrEx>
              <w:trPr>
                <w:trHeight w:val="344" w:hRule="atLeast"/>
              </w:trPr>
              <w:tc>
                <w:tcPr>
                  <w:tcW w:w="781" w:type="pct"/>
                  <w:vMerge w:val="continue"/>
                  <w:tcBorders>
                    <w:left w:val="nil"/>
                  </w:tcBorders>
                  <w:shd w:val="clear" w:color="auto" w:fill="FFFFFF"/>
                  <w:noWrap w:val="0"/>
                  <w:vAlign w:val="center"/>
                </w:tcPr>
                <w:p w14:paraId="0FFEC65D">
                  <w:pPr>
                    <w:jc w:val="center"/>
                    <w:rPr>
                      <w:b w:val="0"/>
                      <w:color w:val="000000"/>
                      <w:sz w:val="21"/>
                      <w:szCs w:val="21"/>
                    </w:rPr>
                  </w:pPr>
                </w:p>
              </w:tc>
              <w:tc>
                <w:tcPr>
                  <w:tcW w:w="785" w:type="pct"/>
                  <w:vMerge w:val="continue"/>
                  <w:shd w:val="clear" w:color="auto" w:fill="FFFFFF"/>
                  <w:noWrap w:val="0"/>
                  <w:vAlign w:val="center"/>
                </w:tcPr>
                <w:p w14:paraId="300D3AF5">
                  <w:pPr>
                    <w:jc w:val="center"/>
                    <w:rPr>
                      <w:rFonts w:hint="eastAsia"/>
                      <w:b w:val="0"/>
                      <w:color w:val="000000"/>
                      <w:sz w:val="21"/>
                      <w:szCs w:val="21"/>
                      <w:lang w:val="en-US" w:eastAsia="zh-CN"/>
                    </w:rPr>
                  </w:pPr>
                </w:p>
              </w:tc>
              <w:tc>
                <w:tcPr>
                  <w:tcW w:w="590" w:type="pct"/>
                  <w:shd w:val="clear" w:color="auto" w:fill="FFFFFF"/>
                  <w:noWrap w:val="0"/>
                  <w:vAlign w:val="center"/>
                </w:tcPr>
                <w:p w14:paraId="0234F85D">
                  <w:pPr>
                    <w:jc w:val="center"/>
                    <w:rPr>
                      <w:rFonts w:hint="eastAsia" w:ascii="Times New Roman" w:hAnsi="Times New Roman" w:eastAsia="宋体" w:cs="Times New Roman"/>
                      <w:b w:val="0"/>
                      <w:color w:val="000000"/>
                      <w:sz w:val="21"/>
                      <w:szCs w:val="21"/>
                      <w:lang w:val="en-US" w:eastAsia="zh-CN"/>
                    </w:rPr>
                  </w:pPr>
                  <w:r>
                    <w:rPr>
                      <w:rFonts w:hint="eastAsia"/>
                      <w:b w:val="0"/>
                      <w:color w:val="000000"/>
                    </w:rPr>
                    <w:t>59.2</w:t>
                  </w:r>
                </w:p>
              </w:tc>
              <w:tc>
                <w:tcPr>
                  <w:tcW w:w="594" w:type="pct"/>
                  <w:shd w:val="clear" w:color="auto" w:fill="FFFFFF"/>
                  <w:noWrap w:val="0"/>
                  <w:vAlign w:val="center"/>
                </w:tcPr>
                <w:p w14:paraId="3457EB7B">
                  <w:pPr>
                    <w:jc w:val="center"/>
                    <w:rPr>
                      <w:rFonts w:hint="eastAsia" w:ascii="Times New Roman" w:hAnsi="Times New Roman" w:eastAsia="宋体" w:cs="Times New Roman"/>
                      <w:b w:val="0"/>
                      <w:color w:val="000000"/>
                      <w:sz w:val="21"/>
                      <w:szCs w:val="21"/>
                      <w:lang w:val="en-US" w:eastAsia="zh-CN"/>
                    </w:rPr>
                  </w:pPr>
                  <w:r>
                    <w:rPr>
                      <w:rFonts w:hint="eastAsia"/>
                      <w:b w:val="0"/>
                      <w:color w:val="000000"/>
                    </w:rPr>
                    <w:t>41.8</w:t>
                  </w:r>
                </w:p>
              </w:tc>
              <w:tc>
                <w:tcPr>
                  <w:tcW w:w="995" w:type="dxa"/>
                  <w:shd w:val="clear" w:color="auto" w:fill="FFFFFF"/>
                  <w:noWrap w:val="0"/>
                  <w:vAlign w:val="center"/>
                </w:tcPr>
                <w:p w14:paraId="76028539">
                  <w:pPr>
                    <w:jc w:val="center"/>
                    <w:rPr>
                      <w:rFonts w:hint="eastAsia" w:ascii="Times New Roman" w:hAnsi="Times New Roman" w:eastAsia="宋体" w:cs="Times New Roman"/>
                      <w:b w:val="0"/>
                      <w:color w:val="000000"/>
                      <w:lang w:val="en-US" w:eastAsia="zh-CN"/>
                    </w:rPr>
                  </w:pPr>
                  <w:r>
                    <w:rPr>
                      <w:rFonts w:hint="eastAsia" w:ascii="Times New Roman" w:hAnsi="Times New Roman" w:eastAsia="宋体" w:cs="Times New Roman"/>
                      <w:b w:val="0"/>
                      <w:color w:val="000000"/>
                      <w:lang w:val="en-US" w:eastAsia="zh-CN"/>
                    </w:rPr>
                    <w:t xml:space="preserve">59.31 </w:t>
                  </w:r>
                </w:p>
              </w:tc>
              <w:tc>
                <w:tcPr>
                  <w:tcW w:w="1008" w:type="dxa"/>
                  <w:shd w:val="clear" w:color="auto" w:fill="FFFFFF"/>
                  <w:noWrap w:val="0"/>
                  <w:vAlign w:val="center"/>
                </w:tcPr>
                <w:p w14:paraId="50CD1F4A">
                  <w:pPr>
                    <w:jc w:val="center"/>
                    <w:rPr>
                      <w:rFonts w:hint="eastAsia" w:ascii="Times New Roman" w:hAnsi="Times New Roman" w:eastAsia="宋体" w:cs="Times New Roman"/>
                      <w:b w:val="0"/>
                      <w:color w:val="000000"/>
                      <w:lang w:val="en-US" w:eastAsia="zh-CN"/>
                    </w:rPr>
                  </w:pPr>
                  <w:r>
                    <w:rPr>
                      <w:rFonts w:hint="eastAsia" w:ascii="Times New Roman" w:hAnsi="Times New Roman" w:eastAsia="宋体" w:cs="Times New Roman"/>
                      <w:b w:val="0"/>
                      <w:color w:val="000000"/>
                      <w:lang w:val="en-US" w:eastAsia="zh-CN"/>
                    </w:rPr>
                    <w:t xml:space="preserve">45.62 </w:t>
                  </w:r>
                </w:p>
              </w:tc>
              <w:tc>
                <w:tcPr>
                  <w:tcW w:w="524" w:type="pct"/>
                  <w:vMerge w:val="continue"/>
                  <w:shd w:val="clear" w:color="auto" w:fill="FFFFFF"/>
                  <w:noWrap w:val="0"/>
                  <w:vAlign w:val="center"/>
                </w:tcPr>
                <w:p w14:paraId="04972999">
                  <w:pPr>
                    <w:jc w:val="center"/>
                    <w:rPr>
                      <w:b w:val="0"/>
                      <w:color w:val="000000"/>
                      <w:sz w:val="21"/>
                      <w:szCs w:val="21"/>
                    </w:rPr>
                  </w:pPr>
                </w:p>
              </w:tc>
              <w:tc>
                <w:tcPr>
                  <w:tcW w:w="535" w:type="pct"/>
                  <w:vMerge w:val="continue"/>
                  <w:tcBorders>
                    <w:right w:val="nil"/>
                  </w:tcBorders>
                  <w:shd w:val="clear" w:color="auto" w:fill="FFFFFF"/>
                  <w:noWrap w:val="0"/>
                  <w:vAlign w:val="center"/>
                </w:tcPr>
                <w:p w14:paraId="15294D7D">
                  <w:pPr>
                    <w:jc w:val="center"/>
                    <w:rPr>
                      <w:b w:val="0"/>
                      <w:color w:val="000000"/>
                      <w:sz w:val="21"/>
                      <w:szCs w:val="21"/>
                    </w:rPr>
                  </w:pPr>
                </w:p>
              </w:tc>
            </w:tr>
            <w:tr w14:paraId="1A634964">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781" w:type="pct"/>
                  <w:vMerge w:val="restart"/>
                  <w:tcBorders>
                    <w:left w:val="nil"/>
                  </w:tcBorders>
                  <w:shd w:val="clear" w:color="auto" w:fill="FFFFFF"/>
                  <w:noWrap w:val="0"/>
                  <w:vAlign w:val="center"/>
                </w:tcPr>
                <w:p w14:paraId="26F0F70B">
                  <w:pPr>
                    <w:jc w:val="center"/>
                    <w:rPr>
                      <w:b w:val="0"/>
                      <w:color w:val="000000"/>
                      <w:sz w:val="21"/>
                      <w:szCs w:val="21"/>
                    </w:rPr>
                  </w:pPr>
                  <w:r>
                    <w:rPr>
                      <w:b w:val="0"/>
                      <w:color w:val="000000"/>
                      <w:sz w:val="21"/>
                      <w:szCs w:val="21"/>
                    </w:rPr>
                    <w:t>西厂界</w:t>
                  </w:r>
                </w:p>
              </w:tc>
              <w:tc>
                <w:tcPr>
                  <w:tcW w:w="785" w:type="pct"/>
                  <w:vMerge w:val="restart"/>
                  <w:shd w:val="clear" w:color="auto" w:fill="FFFFFF"/>
                  <w:noWrap w:val="0"/>
                  <w:vAlign w:val="center"/>
                </w:tcPr>
                <w:p w14:paraId="50A1143E">
                  <w:pPr>
                    <w:jc w:val="center"/>
                    <w:rPr>
                      <w:rFonts w:hint="default" w:eastAsia="宋体"/>
                      <w:b w:val="0"/>
                      <w:color w:val="000000"/>
                      <w:sz w:val="21"/>
                      <w:szCs w:val="21"/>
                      <w:lang w:val="en-US" w:eastAsia="zh-CN"/>
                    </w:rPr>
                  </w:pPr>
                  <w:r>
                    <w:rPr>
                      <w:rFonts w:hint="eastAsia"/>
                      <w:b w:val="0"/>
                      <w:color w:val="000000"/>
                      <w:sz w:val="21"/>
                      <w:szCs w:val="21"/>
                      <w:lang w:val="en-US" w:eastAsia="zh-CN"/>
                    </w:rPr>
                    <w:t>39.9</w:t>
                  </w:r>
                </w:p>
              </w:tc>
              <w:tc>
                <w:tcPr>
                  <w:tcW w:w="590" w:type="pct"/>
                  <w:shd w:val="clear" w:color="auto" w:fill="FFFFFF"/>
                  <w:noWrap w:val="0"/>
                  <w:vAlign w:val="center"/>
                </w:tcPr>
                <w:p w14:paraId="68CEC857">
                  <w:pPr>
                    <w:jc w:val="center"/>
                    <w:rPr>
                      <w:rFonts w:hint="eastAsia" w:ascii="Times New Roman" w:hAnsi="Times New Roman" w:eastAsia="宋体" w:cs="Times New Roman"/>
                      <w:b w:val="0"/>
                      <w:color w:val="000000"/>
                      <w:sz w:val="21"/>
                      <w:szCs w:val="21"/>
                      <w:lang w:val="en-US" w:eastAsia="zh-CN"/>
                    </w:rPr>
                  </w:pPr>
                  <w:r>
                    <w:rPr>
                      <w:rFonts w:hint="eastAsia"/>
                      <w:b w:val="0"/>
                      <w:color w:val="000000"/>
                    </w:rPr>
                    <w:t>54.2</w:t>
                  </w:r>
                </w:p>
              </w:tc>
              <w:tc>
                <w:tcPr>
                  <w:tcW w:w="594" w:type="pct"/>
                  <w:shd w:val="clear" w:color="auto" w:fill="FFFFFF"/>
                  <w:noWrap w:val="0"/>
                  <w:vAlign w:val="center"/>
                </w:tcPr>
                <w:p w14:paraId="33DA1E77">
                  <w:pPr>
                    <w:jc w:val="center"/>
                    <w:rPr>
                      <w:rFonts w:hint="default" w:ascii="Times New Roman" w:hAnsi="Times New Roman" w:eastAsia="宋体" w:cs="Times New Roman"/>
                      <w:b w:val="0"/>
                      <w:color w:val="000000"/>
                      <w:sz w:val="21"/>
                      <w:szCs w:val="21"/>
                      <w:lang w:val="en-US" w:eastAsia="zh-CN"/>
                    </w:rPr>
                  </w:pPr>
                  <w:r>
                    <w:rPr>
                      <w:rFonts w:hint="eastAsia"/>
                      <w:b w:val="0"/>
                      <w:color w:val="000000"/>
                    </w:rPr>
                    <w:t>44.5</w:t>
                  </w:r>
                </w:p>
              </w:tc>
              <w:tc>
                <w:tcPr>
                  <w:tcW w:w="995" w:type="dxa"/>
                  <w:shd w:val="clear" w:color="auto" w:fill="FFFFFF"/>
                  <w:noWrap w:val="0"/>
                  <w:vAlign w:val="center"/>
                </w:tcPr>
                <w:p w14:paraId="58317190">
                  <w:pPr>
                    <w:jc w:val="center"/>
                    <w:rPr>
                      <w:rFonts w:hint="eastAsia" w:ascii="Times New Roman" w:hAnsi="Times New Roman" w:eastAsia="宋体" w:cs="Times New Roman"/>
                      <w:b w:val="0"/>
                      <w:color w:val="000000"/>
                      <w:lang w:val="en-US" w:eastAsia="zh-CN"/>
                    </w:rPr>
                  </w:pPr>
                  <w:r>
                    <w:rPr>
                      <w:rFonts w:hint="eastAsia" w:ascii="Times New Roman" w:hAnsi="Times New Roman" w:eastAsia="宋体" w:cs="Times New Roman"/>
                      <w:b w:val="0"/>
                      <w:color w:val="000000"/>
                      <w:lang w:val="en-US" w:eastAsia="zh-CN"/>
                    </w:rPr>
                    <w:t xml:space="preserve">54.36 </w:t>
                  </w:r>
                </w:p>
              </w:tc>
              <w:tc>
                <w:tcPr>
                  <w:tcW w:w="1008" w:type="dxa"/>
                  <w:shd w:val="clear" w:color="auto" w:fill="FFFFFF"/>
                  <w:noWrap w:val="0"/>
                  <w:vAlign w:val="center"/>
                </w:tcPr>
                <w:p w14:paraId="0EB9DD76">
                  <w:pPr>
                    <w:jc w:val="center"/>
                    <w:rPr>
                      <w:rFonts w:hint="eastAsia" w:ascii="Times New Roman" w:hAnsi="Times New Roman" w:eastAsia="宋体" w:cs="Times New Roman"/>
                      <w:b w:val="0"/>
                      <w:color w:val="000000"/>
                      <w:lang w:val="en-US" w:eastAsia="zh-CN"/>
                    </w:rPr>
                  </w:pPr>
                  <w:r>
                    <w:rPr>
                      <w:rFonts w:hint="eastAsia" w:ascii="Times New Roman" w:hAnsi="Times New Roman" w:eastAsia="宋体" w:cs="Times New Roman"/>
                      <w:b w:val="0"/>
                      <w:color w:val="000000"/>
                      <w:lang w:val="en-US" w:eastAsia="zh-CN"/>
                    </w:rPr>
                    <w:t xml:space="preserve">45.79 </w:t>
                  </w:r>
                </w:p>
              </w:tc>
              <w:tc>
                <w:tcPr>
                  <w:tcW w:w="524" w:type="pct"/>
                  <w:vMerge w:val="continue"/>
                  <w:shd w:val="clear" w:color="auto" w:fill="FFFFFF"/>
                  <w:noWrap w:val="0"/>
                  <w:vAlign w:val="center"/>
                </w:tcPr>
                <w:p w14:paraId="1F283204">
                  <w:pPr>
                    <w:jc w:val="center"/>
                    <w:rPr>
                      <w:b w:val="0"/>
                      <w:color w:val="000000"/>
                      <w:sz w:val="21"/>
                      <w:szCs w:val="21"/>
                    </w:rPr>
                  </w:pPr>
                </w:p>
              </w:tc>
              <w:tc>
                <w:tcPr>
                  <w:tcW w:w="535" w:type="pct"/>
                  <w:vMerge w:val="continue"/>
                  <w:tcBorders>
                    <w:right w:val="nil"/>
                  </w:tcBorders>
                  <w:shd w:val="clear" w:color="auto" w:fill="FFFFFF"/>
                  <w:noWrap w:val="0"/>
                  <w:vAlign w:val="center"/>
                </w:tcPr>
                <w:p w14:paraId="537CDE88">
                  <w:pPr>
                    <w:jc w:val="center"/>
                    <w:rPr>
                      <w:b w:val="0"/>
                      <w:color w:val="000000"/>
                      <w:sz w:val="21"/>
                      <w:szCs w:val="21"/>
                    </w:rPr>
                  </w:pPr>
                </w:p>
              </w:tc>
            </w:tr>
            <w:tr w14:paraId="7017DBA6">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781" w:type="pct"/>
                  <w:vMerge w:val="continue"/>
                  <w:tcBorders>
                    <w:left w:val="nil"/>
                  </w:tcBorders>
                  <w:shd w:val="clear" w:color="auto" w:fill="FFFFFF"/>
                  <w:noWrap w:val="0"/>
                  <w:vAlign w:val="center"/>
                </w:tcPr>
                <w:p w14:paraId="4E9B63E4">
                  <w:pPr>
                    <w:jc w:val="center"/>
                    <w:rPr>
                      <w:b w:val="0"/>
                      <w:color w:val="000000"/>
                      <w:sz w:val="21"/>
                      <w:szCs w:val="21"/>
                    </w:rPr>
                  </w:pPr>
                </w:p>
              </w:tc>
              <w:tc>
                <w:tcPr>
                  <w:tcW w:w="785" w:type="pct"/>
                  <w:vMerge w:val="continue"/>
                  <w:shd w:val="clear" w:color="auto" w:fill="FFFFFF"/>
                  <w:noWrap w:val="0"/>
                  <w:vAlign w:val="center"/>
                </w:tcPr>
                <w:p w14:paraId="3E257A0A">
                  <w:pPr>
                    <w:jc w:val="center"/>
                    <w:rPr>
                      <w:rFonts w:hint="eastAsia"/>
                      <w:b w:val="0"/>
                      <w:color w:val="000000"/>
                      <w:sz w:val="21"/>
                      <w:szCs w:val="21"/>
                      <w:lang w:val="en-US" w:eastAsia="zh-CN"/>
                    </w:rPr>
                  </w:pPr>
                </w:p>
              </w:tc>
              <w:tc>
                <w:tcPr>
                  <w:tcW w:w="590" w:type="pct"/>
                  <w:shd w:val="clear" w:color="auto" w:fill="FFFFFF"/>
                  <w:noWrap w:val="0"/>
                  <w:vAlign w:val="center"/>
                </w:tcPr>
                <w:p w14:paraId="7FABF533">
                  <w:pPr>
                    <w:jc w:val="center"/>
                    <w:rPr>
                      <w:rFonts w:hint="eastAsia" w:ascii="Times New Roman" w:hAnsi="Times New Roman" w:eastAsia="宋体" w:cs="Times New Roman"/>
                      <w:b w:val="0"/>
                      <w:color w:val="000000"/>
                      <w:sz w:val="21"/>
                      <w:szCs w:val="21"/>
                      <w:lang w:val="en-US" w:eastAsia="zh-CN"/>
                    </w:rPr>
                  </w:pPr>
                  <w:r>
                    <w:rPr>
                      <w:rFonts w:hint="eastAsia"/>
                      <w:b w:val="0"/>
                      <w:color w:val="000000"/>
                    </w:rPr>
                    <w:t>54.2</w:t>
                  </w:r>
                </w:p>
              </w:tc>
              <w:tc>
                <w:tcPr>
                  <w:tcW w:w="594" w:type="pct"/>
                  <w:shd w:val="clear" w:color="auto" w:fill="FFFFFF"/>
                  <w:noWrap w:val="0"/>
                  <w:vAlign w:val="center"/>
                </w:tcPr>
                <w:p w14:paraId="449B3E9A">
                  <w:pPr>
                    <w:jc w:val="center"/>
                    <w:rPr>
                      <w:rFonts w:hint="eastAsia" w:ascii="Times New Roman" w:hAnsi="Times New Roman" w:eastAsia="宋体" w:cs="Times New Roman"/>
                      <w:b w:val="0"/>
                      <w:color w:val="000000"/>
                      <w:sz w:val="21"/>
                      <w:szCs w:val="21"/>
                      <w:lang w:val="en-US" w:eastAsia="zh-CN"/>
                    </w:rPr>
                  </w:pPr>
                  <w:r>
                    <w:rPr>
                      <w:rFonts w:hint="eastAsia"/>
                      <w:b w:val="0"/>
                      <w:color w:val="000000"/>
                    </w:rPr>
                    <w:t>42.6</w:t>
                  </w:r>
                </w:p>
              </w:tc>
              <w:tc>
                <w:tcPr>
                  <w:tcW w:w="995" w:type="dxa"/>
                  <w:shd w:val="clear" w:color="auto" w:fill="FFFFFF"/>
                  <w:noWrap w:val="0"/>
                  <w:vAlign w:val="center"/>
                </w:tcPr>
                <w:p w14:paraId="1BABE01D">
                  <w:pPr>
                    <w:jc w:val="center"/>
                    <w:rPr>
                      <w:rFonts w:hint="eastAsia" w:ascii="Times New Roman" w:hAnsi="Times New Roman" w:eastAsia="宋体" w:cs="Times New Roman"/>
                      <w:b w:val="0"/>
                      <w:color w:val="000000"/>
                      <w:lang w:val="en-US" w:eastAsia="zh-CN"/>
                    </w:rPr>
                  </w:pPr>
                  <w:r>
                    <w:rPr>
                      <w:rFonts w:hint="eastAsia" w:ascii="Times New Roman" w:hAnsi="Times New Roman" w:eastAsia="宋体" w:cs="Times New Roman"/>
                      <w:b w:val="0"/>
                      <w:color w:val="000000"/>
                      <w:lang w:val="en-US" w:eastAsia="zh-CN"/>
                    </w:rPr>
                    <w:t xml:space="preserve">54.40 </w:t>
                  </w:r>
                </w:p>
              </w:tc>
              <w:tc>
                <w:tcPr>
                  <w:tcW w:w="1008" w:type="dxa"/>
                  <w:shd w:val="clear" w:color="auto" w:fill="FFFFFF"/>
                  <w:noWrap w:val="0"/>
                  <w:vAlign w:val="center"/>
                </w:tcPr>
                <w:p w14:paraId="3D0293D6">
                  <w:pPr>
                    <w:jc w:val="center"/>
                    <w:rPr>
                      <w:rFonts w:hint="eastAsia" w:ascii="Times New Roman" w:hAnsi="Times New Roman" w:eastAsia="宋体" w:cs="Times New Roman"/>
                      <w:b w:val="0"/>
                      <w:color w:val="000000"/>
                      <w:lang w:val="en-US" w:eastAsia="zh-CN"/>
                    </w:rPr>
                  </w:pPr>
                  <w:r>
                    <w:rPr>
                      <w:rFonts w:hint="eastAsia" w:ascii="Times New Roman" w:hAnsi="Times New Roman" w:eastAsia="宋体" w:cs="Times New Roman"/>
                      <w:b w:val="0"/>
                      <w:color w:val="000000"/>
                      <w:lang w:val="en-US" w:eastAsia="zh-CN"/>
                    </w:rPr>
                    <w:t xml:space="preserve">44.47 </w:t>
                  </w:r>
                </w:p>
              </w:tc>
              <w:tc>
                <w:tcPr>
                  <w:tcW w:w="524" w:type="pct"/>
                  <w:vMerge w:val="continue"/>
                  <w:shd w:val="clear" w:color="auto" w:fill="FFFFFF"/>
                  <w:noWrap w:val="0"/>
                  <w:vAlign w:val="center"/>
                </w:tcPr>
                <w:p w14:paraId="29787CF1">
                  <w:pPr>
                    <w:jc w:val="center"/>
                    <w:rPr>
                      <w:b w:val="0"/>
                      <w:color w:val="000000"/>
                      <w:sz w:val="21"/>
                      <w:szCs w:val="21"/>
                    </w:rPr>
                  </w:pPr>
                </w:p>
              </w:tc>
              <w:tc>
                <w:tcPr>
                  <w:tcW w:w="535" w:type="pct"/>
                  <w:vMerge w:val="continue"/>
                  <w:tcBorders>
                    <w:right w:val="nil"/>
                  </w:tcBorders>
                  <w:shd w:val="clear" w:color="auto" w:fill="FFFFFF"/>
                  <w:noWrap w:val="0"/>
                  <w:vAlign w:val="center"/>
                </w:tcPr>
                <w:p w14:paraId="3E3A9AD9">
                  <w:pPr>
                    <w:jc w:val="center"/>
                    <w:rPr>
                      <w:b w:val="0"/>
                      <w:color w:val="000000"/>
                      <w:sz w:val="21"/>
                      <w:szCs w:val="21"/>
                    </w:rPr>
                  </w:pPr>
                </w:p>
              </w:tc>
            </w:tr>
            <w:tr w14:paraId="467658A2">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0" w:type="dxa"/>
                  <w:bottom w:w="0" w:type="dxa"/>
                  <w:right w:w="0" w:type="dxa"/>
                </w:tblCellMar>
              </w:tblPrEx>
              <w:trPr>
                <w:trHeight w:val="156" w:hRule="atLeast"/>
              </w:trPr>
              <w:tc>
                <w:tcPr>
                  <w:tcW w:w="781" w:type="pct"/>
                  <w:vMerge w:val="restart"/>
                  <w:tcBorders>
                    <w:left w:val="nil"/>
                  </w:tcBorders>
                  <w:shd w:val="clear" w:color="auto" w:fill="FFFFFF"/>
                  <w:noWrap w:val="0"/>
                  <w:vAlign w:val="center"/>
                </w:tcPr>
                <w:p w14:paraId="669A3F53">
                  <w:pPr>
                    <w:jc w:val="center"/>
                    <w:rPr>
                      <w:b w:val="0"/>
                      <w:color w:val="000000"/>
                      <w:sz w:val="21"/>
                      <w:szCs w:val="21"/>
                    </w:rPr>
                  </w:pPr>
                  <w:r>
                    <w:rPr>
                      <w:b w:val="0"/>
                      <w:color w:val="000000"/>
                      <w:sz w:val="21"/>
                      <w:szCs w:val="21"/>
                    </w:rPr>
                    <w:t>北厂界</w:t>
                  </w:r>
                </w:p>
              </w:tc>
              <w:tc>
                <w:tcPr>
                  <w:tcW w:w="785" w:type="pct"/>
                  <w:vMerge w:val="restart"/>
                  <w:shd w:val="clear" w:color="auto" w:fill="FFFFFF"/>
                  <w:noWrap w:val="0"/>
                  <w:vAlign w:val="center"/>
                </w:tcPr>
                <w:p w14:paraId="768C1B25">
                  <w:pPr>
                    <w:jc w:val="center"/>
                    <w:rPr>
                      <w:rFonts w:hint="default" w:eastAsia="宋体"/>
                      <w:b w:val="0"/>
                      <w:color w:val="000000"/>
                      <w:sz w:val="21"/>
                      <w:szCs w:val="21"/>
                      <w:lang w:val="en-US" w:eastAsia="zh-CN"/>
                    </w:rPr>
                  </w:pPr>
                  <w:r>
                    <w:rPr>
                      <w:rFonts w:hint="eastAsia"/>
                      <w:b w:val="0"/>
                      <w:color w:val="000000"/>
                      <w:sz w:val="21"/>
                      <w:szCs w:val="21"/>
                      <w:lang w:val="en-US" w:eastAsia="zh-CN"/>
                    </w:rPr>
                    <w:t>41.0</w:t>
                  </w:r>
                </w:p>
              </w:tc>
              <w:tc>
                <w:tcPr>
                  <w:tcW w:w="590" w:type="pct"/>
                  <w:shd w:val="clear" w:color="auto" w:fill="FFFFFF"/>
                  <w:noWrap w:val="0"/>
                  <w:vAlign w:val="center"/>
                </w:tcPr>
                <w:p w14:paraId="2DB2F4B0">
                  <w:pPr>
                    <w:jc w:val="center"/>
                    <w:rPr>
                      <w:rFonts w:hint="default" w:ascii="Times New Roman" w:hAnsi="Times New Roman" w:eastAsia="宋体" w:cs="Times New Roman"/>
                      <w:b w:val="0"/>
                      <w:color w:val="000000"/>
                      <w:sz w:val="21"/>
                      <w:szCs w:val="21"/>
                      <w:lang w:val="en-US" w:eastAsia="zh-CN"/>
                    </w:rPr>
                  </w:pPr>
                  <w:r>
                    <w:rPr>
                      <w:rFonts w:hint="eastAsia"/>
                      <w:b w:val="0"/>
                      <w:color w:val="000000"/>
                    </w:rPr>
                    <w:t>53.5</w:t>
                  </w:r>
                </w:p>
              </w:tc>
              <w:tc>
                <w:tcPr>
                  <w:tcW w:w="594" w:type="pct"/>
                  <w:shd w:val="clear" w:color="auto" w:fill="FFFFFF"/>
                  <w:noWrap w:val="0"/>
                  <w:vAlign w:val="center"/>
                </w:tcPr>
                <w:p w14:paraId="4448F2EB">
                  <w:pPr>
                    <w:jc w:val="center"/>
                    <w:rPr>
                      <w:rFonts w:hint="default" w:ascii="Times New Roman" w:hAnsi="Times New Roman" w:eastAsia="宋体" w:cs="Times New Roman"/>
                      <w:b w:val="0"/>
                      <w:color w:val="000000"/>
                      <w:sz w:val="21"/>
                      <w:szCs w:val="21"/>
                      <w:lang w:val="en-US" w:eastAsia="zh-CN"/>
                    </w:rPr>
                  </w:pPr>
                  <w:r>
                    <w:rPr>
                      <w:rFonts w:hint="eastAsia"/>
                      <w:b w:val="0"/>
                      <w:color w:val="000000"/>
                    </w:rPr>
                    <w:t>42.7</w:t>
                  </w:r>
                </w:p>
              </w:tc>
              <w:tc>
                <w:tcPr>
                  <w:tcW w:w="995" w:type="dxa"/>
                  <w:shd w:val="clear" w:color="auto" w:fill="FFFFFF"/>
                  <w:noWrap w:val="0"/>
                  <w:vAlign w:val="center"/>
                </w:tcPr>
                <w:p w14:paraId="29DA398E">
                  <w:pPr>
                    <w:jc w:val="center"/>
                    <w:rPr>
                      <w:rFonts w:hint="default" w:ascii="Times New Roman" w:hAnsi="Times New Roman" w:eastAsia="宋体" w:cs="Times New Roman"/>
                      <w:b w:val="0"/>
                      <w:color w:val="000000"/>
                      <w:lang w:val="en-US" w:eastAsia="zh-CN"/>
                    </w:rPr>
                  </w:pPr>
                  <w:r>
                    <w:rPr>
                      <w:rFonts w:hint="eastAsia" w:ascii="Times New Roman" w:hAnsi="Times New Roman" w:eastAsia="宋体" w:cs="Times New Roman"/>
                      <w:b w:val="0"/>
                      <w:color w:val="000000"/>
                      <w:lang w:val="en-US" w:eastAsia="zh-CN"/>
                    </w:rPr>
                    <w:t xml:space="preserve">53.74 </w:t>
                  </w:r>
                </w:p>
              </w:tc>
              <w:tc>
                <w:tcPr>
                  <w:tcW w:w="1008" w:type="dxa"/>
                  <w:shd w:val="clear" w:color="auto" w:fill="FFFFFF"/>
                  <w:noWrap w:val="0"/>
                  <w:vAlign w:val="center"/>
                </w:tcPr>
                <w:p w14:paraId="2ED0745C">
                  <w:pPr>
                    <w:jc w:val="center"/>
                    <w:rPr>
                      <w:rFonts w:hint="default" w:ascii="Times New Roman" w:hAnsi="Times New Roman" w:eastAsia="宋体" w:cs="Times New Roman"/>
                      <w:b w:val="0"/>
                      <w:color w:val="000000"/>
                      <w:lang w:val="en-US" w:eastAsia="zh-CN"/>
                    </w:rPr>
                  </w:pPr>
                  <w:r>
                    <w:rPr>
                      <w:rFonts w:hint="eastAsia" w:ascii="Times New Roman" w:hAnsi="Times New Roman" w:eastAsia="宋体" w:cs="Times New Roman"/>
                      <w:b w:val="0"/>
                      <w:color w:val="000000"/>
                      <w:lang w:val="en-US" w:eastAsia="zh-CN"/>
                    </w:rPr>
                    <w:t xml:space="preserve">44.94 </w:t>
                  </w:r>
                </w:p>
              </w:tc>
              <w:tc>
                <w:tcPr>
                  <w:tcW w:w="524" w:type="pct"/>
                  <w:vMerge w:val="continue"/>
                  <w:shd w:val="clear" w:color="auto" w:fill="FFFFFF"/>
                  <w:noWrap w:val="0"/>
                  <w:vAlign w:val="center"/>
                </w:tcPr>
                <w:p w14:paraId="28A275D2">
                  <w:pPr>
                    <w:jc w:val="center"/>
                    <w:rPr>
                      <w:b w:val="0"/>
                      <w:color w:val="000000"/>
                      <w:sz w:val="21"/>
                      <w:szCs w:val="21"/>
                    </w:rPr>
                  </w:pPr>
                </w:p>
              </w:tc>
              <w:tc>
                <w:tcPr>
                  <w:tcW w:w="535" w:type="pct"/>
                  <w:vMerge w:val="continue"/>
                  <w:tcBorders>
                    <w:right w:val="nil"/>
                  </w:tcBorders>
                  <w:shd w:val="clear" w:color="auto" w:fill="FFFFFF"/>
                  <w:noWrap w:val="0"/>
                  <w:vAlign w:val="center"/>
                </w:tcPr>
                <w:p w14:paraId="7160EDEC">
                  <w:pPr>
                    <w:jc w:val="center"/>
                    <w:rPr>
                      <w:b w:val="0"/>
                      <w:color w:val="000000"/>
                      <w:sz w:val="21"/>
                      <w:szCs w:val="21"/>
                    </w:rPr>
                  </w:pPr>
                </w:p>
              </w:tc>
            </w:tr>
            <w:tr w14:paraId="20199460">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0" w:type="dxa"/>
                  <w:bottom w:w="0" w:type="dxa"/>
                  <w:right w:w="0" w:type="dxa"/>
                </w:tblCellMar>
              </w:tblPrEx>
              <w:trPr>
                <w:trHeight w:val="349" w:hRule="atLeast"/>
              </w:trPr>
              <w:tc>
                <w:tcPr>
                  <w:tcW w:w="781" w:type="pct"/>
                  <w:vMerge w:val="continue"/>
                  <w:tcBorders>
                    <w:left w:val="nil"/>
                  </w:tcBorders>
                  <w:shd w:val="clear" w:color="auto" w:fill="FFFFFF"/>
                  <w:noWrap w:val="0"/>
                  <w:vAlign w:val="center"/>
                </w:tcPr>
                <w:p w14:paraId="1ABB3D05">
                  <w:pPr>
                    <w:jc w:val="center"/>
                    <w:rPr>
                      <w:b w:val="0"/>
                      <w:color w:val="000000"/>
                      <w:sz w:val="21"/>
                      <w:szCs w:val="21"/>
                    </w:rPr>
                  </w:pPr>
                </w:p>
              </w:tc>
              <w:tc>
                <w:tcPr>
                  <w:tcW w:w="785" w:type="pct"/>
                  <w:vMerge w:val="continue"/>
                  <w:shd w:val="clear" w:color="auto" w:fill="FFFFFF"/>
                  <w:noWrap w:val="0"/>
                  <w:vAlign w:val="center"/>
                </w:tcPr>
                <w:p w14:paraId="18EA0AC6">
                  <w:pPr>
                    <w:jc w:val="center"/>
                    <w:rPr>
                      <w:rFonts w:hint="eastAsia"/>
                      <w:b w:val="0"/>
                      <w:color w:val="000000"/>
                      <w:sz w:val="21"/>
                      <w:szCs w:val="21"/>
                    </w:rPr>
                  </w:pPr>
                </w:p>
              </w:tc>
              <w:tc>
                <w:tcPr>
                  <w:tcW w:w="590" w:type="pct"/>
                  <w:shd w:val="clear" w:color="auto" w:fill="FFFFFF"/>
                  <w:noWrap w:val="0"/>
                  <w:vAlign w:val="center"/>
                </w:tcPr>
                <w:p w14:paraId="20597B93">
                  <w:pPr>
                    <w:jc w:val="center"/>
                    <w:rPr>
                      <w:rFonts w:hint="default" w:ascii="Times New Roman" w:hAnsi="Times New Roman" w:eastAsia="宋体" w:cs="Times New Roman"/>
                      <w:b w:val="0"/>
                      <w:color w:val="000000"/>
                      <w:sz w:val="21"/>
                      <w:szCs w:val="21"/>
                      <w:lang w:val="en-US" w:eastAsia="zh-CN"/>
                    </w:rPr>
                  </w:pPr>
                  <w:r>
                    <w:rPr>
                      <w:rFonts w:hint="eastAsia"/>
                      <w:b w:val="0"/>
                      <w:color w:val="000000"/>
                    </w:rPr>
                    <w:t>55.4</w:t>
                  </w:r>
                </w:p>
              </w:tc>
              <w:tc>
                <w:tcPr>
                  <w:tcW w:w="594" w:type="pct"/>
                  <w:shd w:val="clear" w:color="auto" w:fill="FFFFFF"/>
                  <w:noWrap w:val="0"/>
                  <w:vAlign w:val="center"/>
                </w:tcPr>
                <w:p w14:paraId="7B38DF9A">
                  <w:pPr>
                    <w:jc w:val="center"/>
                    <w:rPr>
                      <w:rFonts w:hint="default" w:ascii="Times New Roman" w:hAnsi="Times New Roman" w:eastAsia="宋体" w:cs="Times New Roman"/>
                      <w:b w:val="0"/>
                      <w:color w:val="000000"/>
                      <w:sz w:val="21"/>
                      <w:szCs w:val="21"/>
                      <w:lang w:val="en-US" w:eastAsia="zh-CN"/>
                    </w:rPr>
                  </w:pPr>
                  <w:r>
                    <w:rPr>
                      <w:rFonts w:hint="eastAsia"/>
                      <w:b w:val="0"/>
                      <w:color w:val="000000"/>
                    </w:rPr>
                    <w:t>44.8</w:t>
                  </w:r>
                </w:p>
              </w:tc>
              <w:tc>
                <w:tcPr>
                  <w:tcW w:w="995" w:type="dxa"/>
                  <w:shd w:val="clear" w:color="auto" w:fill="FFFFFF"/>
                  <w:noWrap w:val="0"/>
                  <w:vAlign w:val="center"/>
                </w:tcPr>
                <w:p w14:paraId="1956C4D4">
                  <w:pPr>
                    <w:jc w:val="center"/>
                    <w:rPr>
                      <w:rFonts w:hint="default" w:ascii="Times New Roman" w:hAnsi="Times New Roman" w:eastAsia="宋体" w:cs="Times New Roman"/>
                      <w:b w:val="0"/>
                      <w:color w:val="000000"/>
                      <w:lang w:val="en-US" w:eastAsia="zh-CN"/>
                    </w:rPr>
                  </w:pPr>
                  <w:r>
                    <w:rPr>
                      <w:rFonts w:hint="eastAsia" w:ascii="Times New Roman" w:hAnsi="Times New Roman" w:eastAsia="宋体" w:cs="Times New Roman"/>
                      <w:b w:val="0"/>
                      <w:color w:val="000000"/>
                      <w:lang w:val="en-US" w:eastAsia="zh-CN"/>
                    </w:rPr>
                    <w:t xml:space="preserve">55.55 </w:t>
                  </w:r>
                </w:p>
              </w:tc>
              <w:tc>
                <w:tcPr>
                  <w:tcW w:w="1008" w:type="dxa"/>
                  <w:shd w:val="clear" w:color="auto" w:fill="FFFFFF"/>
                  <w:noWrap w:val="0"/>
                  <w:vAlign w:val="center"/>
                </w:tcPr>
                <w:p w14:paraId="28FE6B92">
                  <w:pPr>
                    <w:jc w:val="center"/>
                    <w:rPr>
                      <w:rFonts w:hint="default" w:ascii="Times New Roman" w:hAnsi="Times New Roman" w:eastAsia="宋体" w:cs="Times New Roman"/>
                      <w:b w:val="0"/>
                      <w:color w:val="000000"/>
                      <w:lang w:val="en-US" w:eastAsia="zh-CN"/>
                    </w:rPr>
                  </w:pPr>
                  <w:r>
                    <w:rPr>
                      <w:rFonts w:hint="eastAsia" w:ascii="Times New Roman" w:hAnsi="Times New Roman" w:eastAsia="宋体" w:cs="Times New Roman"/>
                      <w:b w:val="0"/>
                      <w:color w:val="000000"/>
                      <w:lang w:val="en-US" w:eastAsia="zh-CN"/>
                    </w:rPr>
                    <w:t xml:space="preserve">46.31 </w:t>
                  </w:r>
                </w:p>
              </w:tc>
              <w:tc>
                <w:tcPr>
                  <w:tcW w:w="524" w:type="pct"/>
                  <w:vMerge w:val="continue"/>
                  <w:shd w:val="clear" w:color="auto" w:fill="FFFFFF"/>
                  <w:noWrap w:val="0"/>
                  <w:vAlign w:val="center"/>
                </w:tcPr>
                <w:p w14:paraId="5700D6B8">
                  <w:pPr>
                    <w:jc w:val="center"/>
                    <w:rPr>
                      <w:b w:val="0"/>
                      <w:color w:val="000000"/>
                      <w:sz w:val="21"/>
                      <w:szCs w:val="21"/>
                    </w:rPr>
                  </w:pPr>
                </w:p>
              </w:tc>
              <w:tc>
                <w:tcPr>
                  <w:tcW w:w="535" w:type="pct"/>
                  <w:vMerge w:val="continue"/>
                  <w:tcBorders>
                    <w:right w:val="nil"/>
                  </w:tcBorders>
                  <w:shd w:val="clear" w:color="auto" w:fill="FFFFFF"/>
                  <w:noWrap w:val="0"/>
                  <w:vAlign w:val="center"/>
                </w:tcPr>
                <w:p w14:paraId="696381F5">
                  <w:pPr>
                    <w:jc w:val="center"/>
                    <w:rPr>
                      <w:b w:val="0"/>
                      <w:color w:val="000000"/>
                      <w:sz w:val="21"/>
                      <w:szCs w:val="21"/>
                    </w:rPr>
                  </w:pPr>
                </w:p>
              </w:tc>
            </w:tr>
            <w:tr w14:paraId="4C6BA264">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0" w:type="dxa"/>
                  <w:bottom w:w="0" w:type="dxa"/>
                  <w:right w:w="0" w:type="dxa"/>
                </w:tblCellMar>
              </w:tblPrEx>
              <w:trPr>
                <w:trHeight w:val="349" w:hRule="atLeast"/>
              </w:trPr>
              <w:tc>
                <w:tcPr>
                  <w:tcW w:w="781" w:type="pct"/>
                  <w:vMerge w:val="continue"/>
                  <w:tcBorders>
                    <w:left w:val="nil"/>
                  </w:tcBorders>
                  <w:shd w:val="clear" w:color="auto" w:fill="FFFFFF"/>
                  <w:noWrap w:val="0"/>
                  <w:vAlign w:val="center"/>
                </w:tcPr>
                <w:p w14:paraId="58E24F01">
                  <w:pPr>
                    <w:jc w:val="center"/>
                    <w:rPr>
                      <w:b w:val="0"/>
                      <w:color w:val="000000"/>
                      <w:sz w:val="21"/>
                      <w:szCs w:val="21"/>
                    </w:rPr>
                  </w:pPr>
                </w:p>
              </w:tc>
              <w:tc>
                <w:tcPr>
                  <w:tcW w:w="785" w:type="pct"/>
                  <w:vMerge w:val="continue"/>
                  <w:shd w:val="clear" w:color="auto" w:fill="FFFFFF"/>
                  <w:noWrap w:val="0"/>
                  <w:vAlign w:val="center"/>
                </w:tcPr>
                <w:p w14:paraId="77AF69C7">
                  <w:pPr>
                    <w:jc w:val="center"/>
                    <w:rPr>
                      <w:rFonts w:hint="eastAsia"/>
                      <w:b w:val="0"/>
                      <w:color w:val="000000"/>
                      <w:sz w:val="21"/>
                      <w:szCs w:val="21"/>
                    </w:rPr>
                  </w:pPr>
                </w:p>
              </w:tc>
              <w:tc>
                <w:tcPr>
                  <w:tcW w:w="590" w:type="pct"/>
                  <w:shd w:val="clear" w:color="auto" w:fill="FFFFFF"/>
                  <w:noWrap w:val="0"/>
                  <w:vAlign w:val="center"/>
                </w:tcPr>
                <w:p w14:paraId="48A5F37D">
                  <w:pPr>
                    <w:jc w:val="center"/>
                    <w:rPr>
                      <w:rFonts w:hint="eastAsia" w:ascii="Times New Roman" w:hAnsi="Times New Roman" w:eastAsia="宋体" w:cs="Times New Roman"/>
                      <w:b w:val="0"/>
                      <w:color w:val="000000"/>
                      <w:kern w:val="2"/>
                      <w:sz w:val="21"/>
                      <w:szCs w:val="21"/>
                      <w:lang w:val="en-US" w:eastAsia="zh-CN" w:bidi="ar-SA"/>
                    </w:rPr>
                  </w:pPr>
                  <w:r>
                    <w:rPr>
                      <w:rFonts w:hint="eastAsia" w:ascii="Times New Roman" w:hAnsi="Times New Roman" w:eastAsia="宋体" w:cs="Times New Roman"/>
                      <w:b w:val="0"/>
                      <w:color w:val="000000"/>
                      <w:kern w:val="2"/>
                      <w:sz w:val="21"/>
                      <w:szCs w:val="21"/>
                      <w:lang w:val="en-US" w:eastAsia="zh-CN" w:bidi="ar-SA"/>
                    </w:rPr>
                    <w:t>54.0</w:t>
                  </w:r>
                </w:p>
              </w:tc>
              <w:tc>
                <w:tcPr>
                  <w:tcW w:w="594" w:type="pct"/>
                  <w:shd w:val="clear" w:color="auto" w:fill="FFFFFF"/>
                  <w:noWrap w:val="0"/>
                  <w:vAlign w:val="center"/>
                </w:tcPr>
                <w:p w14:paraId="7C150243">
                  <w:pPr>
                    <w:jc w:val="center"/>
                    <w:rPr>
                      <w:rFonts w:hint="eastAsia" w:ascii="Times New Roman" w:hAnsi="Times New Roman" w:eastAsia="宋体" w:cs="Times New Roman"/>
                      <w:b w:val="0"/>
                      <w:color w:val="000000"/>
                      <w:kern w:val="2"/>
                      <w:sz w:val="21"/>
                      <w:szCs w:val="21"/>
                      <w:lang w:val="en-US" w:eastAsia="zh-CN" w:bidi="ar-SA"/>
                    </w:rPr>
                  </w:pPr>
                  <w:r>
                    <w:rPr>
                      <w:rFonts w:hint="eastAsia" w:ascii="Times New Roman" w:hAnsi="Times New Roman" w:eastAsia="宋体" w:cs="Times New Roman"/>
                      <w:b w:val="0"/>
                      <w:color w:val="000000"/>
                      <w:kern w:val="2"/>
                      <w:sz w:val="21"/>
                      <w:szCs w:val="21"/>
                      <w:lang w:val="en-US" w:eastAsia="zh-CN" w:bidi="ar-SA"/>
                    </w:rPr>
                    <w:t>43.1</w:t>
                  </w:r>
                </w:p>
              </w:tc>
              <w:tc>
                <w:tcPr>
                  <w:tcW w:w="995" w:type="dxa"/>
                  <w:shd w:val="clear" w:color="auto" w:fill="FFFFFF"/>
                  <w:noWrap w:val="0"/>
                  <w:vAlign w:val="center"/>
                </w:tcPr>
                <w:p w14:paraId="3308128B">
                  <w:pPr>
                    <w:jc w:val="center"/>
                    <w:rPr>
                      <w:rFonts w:hint="eastAsia" w:ascii="Times New Roman" w:hAnsi="Times New Roman" w:eastAsia="宋体" w:cs="Times New Roman"/>
                      <w:b w:val="0"/>
                      <w:color w:val="000000"/>
                      <w:lang w:val="en-US" w:eastAsia="zh-CN"/>
                    </w:rPr>
                  </w:pPr>
                  <w:r>
                    <w:rPr>
                      <w:rFonts w:hint="eastAsia" w:ascii="Times New Roman" w:hAnsi="Times New Roman" w:eastAsia="宋体" w:cs="Times New Roman"/>
                      <w:b w:val="0"/>
                      <w:color w:val="000000"/>
                      <w:lang w:val="en-US" w:eastAsia="zh-CN"/>
                    </w:rPr>
                    <w:t xml:space="preserve">54.21 </w:t>
                  </w:r>
                </w:p>
              </w:tc>
              <w:tc>
                <w:tcPr>
                  <w:tcW w:w="1008" w:type="dxa"/>
                  <w:shd w:val="clear" w:color="auto" w:fill="FFFFFF"/>
                  <w:noWrap w:val="0"/>
                  <w:vAlign w:val="center"/>
                </w:tcPr>
                <w:p w14:paraId="5971D01E">
                  <w:pPr>
                    <w:jc w:val="center"/>
                    <w:rPr>
                      <w:rFonts w:hint="eastAsia" w:ascii="Times New Roman" w:hAnsi="Times New Roman" w:eastAsia="宋体" w:cs="Times New Roman"/>
                      <w:b w:val="0"/>
                      <w:color w:val="000000"/>
                      <w:lang w:val="en-US" w:eastAsia="zh-CN"/>
                    </w:rPr>
                  </w:pPr>
                  <w:r>
                    <w:rPr>
                      <w:rFonts w:hint="eastAsia" w:ascii="Times New Roman" w:hAnsi="Times New Roman" w:eastAsia="宋体" w:cs="Times New Roman"/>
                      <w:b w:val="0"/>
                      <w:color w:val="000000"/>
                      <w:lang w:val="en-US" w:eastAsia="zh-CN"/>
                    </w:rPr>
                    <w:t xml:space="preserve">45.19 </w:t>
                  </w:r>
                </w:p>
              </w:tc>
              <w:tc>
                <w:tcPr>
                  <w:tcW w:w="524" w:type="pct"/>
                  <w:vMerge w:val="continue"/>
                  <w:shd w:val="clear" w:color="auto" w:fill="FFFFFF"/>
                  <w:noWrap w:val="0"/>
                  <w:vAlign w:val="center"/>
                </w:tcPr>
                <w:p w14:paraId="11998D16">
                  <w:pPr>
                    <w:jc w:val="center"/>
                    <w:rPr>
                      <w:b w:val="0"/>
                      <w:color w:val="000000"/>
                      <w:sz w:val="21"/>
                      <w:szCs w:val="21"/>
                    </w:rPr>
                  </w:pPr>
                </w:p>
              </w:tc>
              <w:tc>
                <w:tcPr>
                  <w:tcW w:w="535" w:type="pct"/>
                  <w:vMerge w:val="continue"/>
                  <w:tcBorders>
                    <w:right w:val="nil"/>
                  </w:tcBorders>
                  <w:shd w:val="clear" w:color="auto" w:fill="FFFFFF"/>
                  <w:noWrap w:val="0"/>
                  <w:vAlign w:val="center"/>
                </w:tcPr>
                <w:p w14:paraId="2E0C5549">
                  <w:pPr>
                    <w:jc w:val="center"/>
                    <w:rPr>
                      <w:b w:val="0"/>
                      <w:color w:val="000000"/>
                      <w:sz w:val="21"/>
                      <w:szCs w:val="21"/>
                    </w:rPr>
                  </w:pPr>
                </w:p>
              </w:tc>
            </w:tr>
            <w:tr w14:paraId="5FFD6155">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0" w:type="dxa"/>
                  <w:bottom w:w="0" w:type="dxa"/>
                  <w:right w:w="0" w:type="dxa"/>
                </w:tblCellMar>
              </w:tblPrEx>
              <w:trPr>
                <w:trHeight w:val="349" w:hRule="atLeast"/>
              </w:trPr>
              <w:tc>
                <w:tcPr>
                  <w:tcW w:w="781" w:type="pct"/>
                  <w:vMerge w:val="continue"/>
                  <w:tcBorders>
                    <w:left w:val="nil"/>
                    <w:bottom w:val="single" w:color="000000" w:sz="12" w:space="0"/>
                  </w:tcBorders>
                  <w:shd w:val="clear" w:color="auto" w:fill="FFFFFF"/>
                  <w:noWrap w:val="0"/>
                  <w:vAlign w:val="center"/>
                </w:tcPr>
                <w:p w14:paraId="539C5B73">
                  <w:pPr>
                    <w:jc w:val="center"/>
                    <w:rPr>
                      <w:b w:val="0"/>
                      <w:color w:val="000000"/>
                      <w:sz w:val="21"/>
                      <w:szCs w:val="21"/>
                    </w:rPr>
                  </w:pPr>
                </w:p>
              </w:tc>
              <w:tc>
                <w:tcPr>
                  <w:tcW w:w="785" w:type="pct"/>
                  <w:vMerge w:val="continue"/>
                  <w:tcBorders>
                    <w:bottom w:val="single" w:color="000000" w:sz="12" w:space="0"/>
                  </w:tcBorders>
                  <w:shd w:val="clear" w:color="auto" w:fill="FFFFFF"/>
                  <w:noWrap w:val="0"/>
                  <w:vAlign w:val="center"/>
                </w:tcPr>
                <w:p w14:paraId="6321DA37">
                  <w:pPr>
                    <w:jc w:val="center"/>
                    <w:rPr>
                      <w:rFonts w:hint="eastAsia"/>
                      <w:b w:val="0"/>
                      <w:color w:val="000000"/>
                      <w:sz w:val="21"/>
                      <w:szCs w:val="21"/>
                    </w:rPr>
                  </w:pPr>
                </w:p>
              </w:tc>
              <w:tc>
                <w:tcPr>
                  <w:tcW w:w="590" w:type="pct"/>
                  <w:tcBorders>
                    <w:bottom w:val="single" w:color="000000" w:sz="12" w:space="0"/>
                  </w:tcBorders>
                  <w:shd w:val="clear" w:color="auto" w:fill="FFFFFF"/>
                  <w:noWrap w:val="0"/>
                  <w:vAlign w:val="center"/>
                </w:tcPr>
                <w:p w14:paraId="6FF337BA">
                  <w:pPr>
                    <w:jc w:val="center"/>
                    <w:rPr>
                      <w:rFonts w:hint="eastAsia" w:ascii="Times New Roman" w:hAnsi="Times New Roman" w:eastAsia="宋体" w:cs="Times New Roman"/>
                      <w:b w:val="0"/>
                      <w:color w:val="000000"/>
                      <w:kern w:val="2"/>
                      <w:sz w:val="21"/>
                      <w:szCs w:val="21"/>
                      <w:lang w:val="en-US" w:eastAsia="zh-CN" w:bidi="ar-SA"/>
                    </w:rPr>
                  </w:pPr>
                  <w:r>
                    <w:rPr>
                      <w:rFonts w:hint="eastAsia" w:ascii="Times New Roman" w:hAnsi="Times New Roman" w:eastAsia="宋体" w:cs="Times New Roman"/>
                      <w:b w:val="0"/>
                      <w:color w:val="000000"/>
                      <w:kern w:val="2"/>
                      <w:sz w:val="21"/>
                      <w:szCs w:val="21"/>
                      <w:lang w:val="en-US" w:eastAsia="zh-CN" w:bidi="ar-SA"/>
                    </w:rPr>
                    <w:t>52.1</w:t>
                  </w:r>
                </w:p>
              </w:tc>
              <w:tc>
                <w:tcPr>
                  <w:tcW w:w="594" w:type="pct"/>
                  <w:tcBorders>
                    <w:bottom w:val="single" w:color="000000" w:sz="12" w:space="0"/>
                  </w:tcBorders>
                  <w:shd w:val="clear" w:color="auto" w:fill="FFFFFF"/>
                  <w:noWrap w:val="0"/>
                  <w:vAlign w:val="center"/>
                </w:tcPr>
                <w:p w14:paraId="56917536">
                  <w:pPr>
                    <w:jc w:val="center"/>
                    <w:rPr>
                      <w:rFonts w:hint="eastAsia" w:ascii="Times New Roman" w:hAnsi="Times New Roman" w:eastAsia="宋体" w:cs="Times New Roman"/>
                      <w:b w:val="0"/>
                      <w:color w:val="000000"/>
                      <w:kern w:val="2"/>
                      <w:sz w:val="21"/>
                      <w:szCs w:val="21"/>
                      <w:lang w:val="en-US" w:eastAsia="zh-CN" w:bidi="ar-SA"/>
                    </w:rPr>
                  </w:pPr>
                  <w:r>
                    <w:rPr>
                      <w:rFonts w:hint="eastAsia" w:ascii="Times New Roman" w:hAnsi="Times New Roman" w:eastAsia="宋体" w:cs="Times New Roman"/>
                      <w:b w:val="0"/>
                      <w:color w:val="000000"/>
                      <w:kern w:val="2"/>
                      <w:sz w:val="21"/>
                      <w:szCs w:val="21"/>
                      <w:lang w:val="en-US" w:eastAsia="zh-CN" w:bidi="ar-SA"/>
                    </w:rPr>
                    <w:t>42.2</w:t>
                  </w:r>
                </w:p>
              </w:tc>
              <w:tc>
                <w:tcPr>
                  <w:tcW w:w="995" w:type="dxa"/>
                  <w:tcBorders>
                    <w:bottom w:val="single" w:color="000000" w:sz="12" w:space="0"/>
                  </w:tcBorders>
                  <w:shd w:val="clear" w:color="auto" w:fill="FFFFFF"/>
                  <w:noWrap w:val="0"/>
                  <w:vAlign w:val="center"/>
                </w:tcPr>
                <w:p w14:paraId="25975303">
                  <w:pPr>
                    <w:jc w:val="center"/>
                    <w:rPr>
                      <w:rFonts w:hint="eastAsia" w:ascii="Times New Roman" w:hAnsi="Times New Roman" w:eastAsia="宋体" w:cs="Times New Roman"/>
                      <w:b w:val="0"/>
                      <w:color w:val="000000"/>
                      <w:lang w:val="en-US" w:eastAsia="zh-CN"/>
                    </w:rPr>
                  </w:pPr>
                  <w:r>
                    <w:rPr>
                      <w:rFonts w:hint="eastAsia" w:ascii="Times New Roman" w:hAnsi="Times New Roman" w:eastAsia="宋体" w:cs="Times New Roman"/>
                      <w:b w:val="0"/>
                      <w:color w:val="000000"/>
                      <w:lang w:val="en-US" w:eastAsia="zh-CN"/>
                    </w:rPr>
                    <w:t xml:space="preserve">52.42 </w:t>
                  </w:r>
                </w:p>
              </w:tc>
              <w:tc>
                <w:tcPr>
                  <w:tcW w:w="1008" w:type="dxa"/>
                  <w:tcBorders>
                    <w:bottom w:val="single" w:color="000000" w:sz="12" w:space="0"/>
                  </w:tcBorders>
                  <w:shd w:val="clear" w:color="auto" w:fill="FFFFFF"/>
                  <w:noWrap w:val="0"/>
                  <w:vAlign w:val="center"/>
                </w:tcPr>
                <w:p w14:paraId="0E3C0EA2">
                  <w:pPr>
                    <w:jc w:val="center"/>
                    <w:rPr>
                      <w:rFonts w:hint="eastAsia" w:ascii="Times New Roman" w:hAnsi="Times New Roman" w:eastAsia="宋体" w:cs="Times New Roman"/>
                      <w:b w:val="0"/>
                      <w:color w:val="000000"/>
                      <w:lang w:val="en-US" w:eastAsia="zh-CN"/>
                    </w:rPr>
                  </w:pPr>
                  <w:r>
                    <w:rPr>
                      <w:rFonts w:hint="eastAsia" w:ascii="Times New Roman" w:hAnsi="Times New Roman" w:eastAsia="宋体" w:cs="Times New Roman"/>
                      <w:b w:val="0"/>
                      <w:color w:val="000000"/>
                      <w:lang w:val="en-US" w:eastAsia="zh-CN"/>
                    </w:rPr>
                    <w:t xml:space="preserve">44.65 </w:t>
                  </w:r>
                </w:p>
              </w:tc>
              <w:tc>
                <w:tcPr>
                  <w:tcW w:w="524" w:type="pct"/>
                  <w:vMerge w:val="continue"/>
                  <w:tcBorders>
                    <w:bottom w:val="single" w:color="000000" w:sz="12" w:space="0"/>
                  </w:tcBorders>
                  <w:shd w:val="clear" w:color="auto" w:fill="FFFFFF"/>
                  <w:noWrap w:val="0"/>
                  <w:vAlign w:val="center"/>
                </w:tcPr>
                <w:p w14:paraId="0F67FFB4">
                  <w:pPr>
                    <w:jc w:val="center"/>
                    <w:rPr>
                      <w:b w:val="0"/>
                      <w:color w:val="000000"/>
                      <w:sz w:val="21"/>
                      <w:szCs w:val="21"/>
                    </w:rPr>
                  </w:pPr>
                </w:p>
              </w:tc>
              <w:tc>
                <w:tcPr>
                  <w:tcW w:w="535" w:type="pct"/>
                  <w:vMerge w:val="continue"/>
                  <w:tcBorders>
                    <w:bottom w:val="single" w:color="000000" w:sz="12" w:space="0"/>
                    <w:right w:val="nil"/>
                  </w:tcBorders>
                  <w:shd w:val="clear" w:color="auto" w:fill="FFFFFF"/>
                  <w:noWrap w:val="0"/>
                  <w:vAlign w:val="center"/>
                </w:tcPr>
                <w:p w14:paraId="0BA5BD3F">
                  <w:pPr>
                    <w:jc w:val="center"/>
                    <w:rPr>
                      <w:b w:val="0"/>
                      <w:color w:val="000000"/>
                      <w:sz w:val="21"/>
                      <w:szCs w:val="21"/>
                    </w:rPr>
                  </w:pPr>
                </w:p>
              </w:tc>
            </w:tr>
          </w:tbl>
          <w:p w14:paraId="4C42D2E5">
            <w:pPr>
              <w:keepNext w:val="0"/>
              <w:keepLines w:val="0"/>
              <w:pageBreakBefore w:val="0"/>
              <w:widowControl w:val="0"/>
              <w:kinsoku/>
              <w:wordWrap/>
              <w:overflowPunct/>
              <w:topLinePunct w:val="0"/>
              <w:autoSpaceDE/>
              <w:autoSpaceDN/>
              <w:bidi w:val="0"/>
              <w:adjustRightInd/>
              <w:snapToGrid/>
              <w:spacing w:beforeLines="100" w:line="360" w:lineRule="auto"/>
              <w:ind w:firstLine="480" w:firstLineChars="200"/>
              <w:textAlignment w:val="auto"/>
              <w:rPr>
                <w:color w:val="auto"/>
                <w:sz w:val="24"/>
              </w:rPr>
            </w:pPr>
            <w:r>
              <w:rPr>
                <w:color w:val="auto"/>
                <w:sz w:val="24"/>
              </w:rPr>
              <w:t>经过距离衰减以及降噪措施后，项目厂界噪声可满足《工业企业厂界环境噪声排放标准》（GB12348-2008）中</w:t>
            </w:r>
            <w:r>
              <w:rPr>
                <w:rFonts w:hint="eastAsia"/>
                <w:color w:val="auto"/>
                <w:sz w:val="24"/>
                <w:lang w:val="en-US" w:eastAsia="zh-CN"/>
              </w:rPr>
              <w:t>2</w:t>
            </w:r>
            <w:r>
              <w:rPr>
                <w:color w:val="auto"/>
                <w:sz w:val="24"/>
              </w:rPr>
              <w:t>类区标准要求，对周边环境影响较小。</w:t>
            </w:r>
          </w:p>
          <w:p w14:paraId="1D16CD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rPr>
            </w:pPr>
            <w:r>
              <w:rPr>
                <w:color w:val="auto"/>
                <w:sz w:val="24"/>
              </w:rPr>
              <w:t>3）降噪措施</w:t>
            </w:r>
          </w:p>
          <w:p w14:paraId="61766E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rPr>
            </w:pPr>
            <w:r>
              <w:rPr>
                <w:color w:val="auto"/>
                <w:sz w:val="24"/>
              </w:rPr>
              <w:t>为了避免本项目产生的噪声对周围环境造成不利影响，建议项目建设单位对该项目的噪声源采取以下减振、隔音、降噪等措施：</w:t>
            </w:r>
          </w:p>
          <w:p w14:paraId="2BC408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rPr>
            </w:pPr>
            <w:r>
              <w:rPr>
                <w:color w:val="auto"/>
                <w:sz w:val="24"/>
              </w:rPr>
              <w:t>①合理布置生产设备，利用距离衰减降低设备噪声到达厂区边界时的噪声值</w:t>
            </w:r>
          </w:p>
          <w:p w14:paraId="7A2C2B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rPr>
            </w:pPr>
            <w:r>
              <w:rPr>
                <w:color w:val="auto"/>
                <w:sz w:val="24"/>
              </w:rPr>
              <w:t>②对于机械设备噪声，</w:t>
            </w:r>
            <w:r>
              <w:rPr>
                <w:rFonts w:hint="eastAsia"/>
                <w:color w:val="auto"/>
                <w:sz w:val="24"/>
                <w:lang w:val="en-US" w:eastAsia="zh-CN"/>
              </w:rPr>
              <w:t>选用</w:t>
            </w:r>
            <w:r>
              <w:rPr>
                <w:color w:val="auto"/>
                <w:sz w:val="24"/>
              </w:rPr>
              <w:t>低噪声设备。同时采用加大减振基础，安装减振装置，在设备安装及设备连接处可采用减振垫或柔性接头等措施。</w:t>
            </w:r>
            <w:r>
              <w:rPr>
                <w:rFonts w:hint="eastAsia"/>
                <w:color w:val="auto"/>
                <w:sz w:val="24"/>
              </w:rPr>
              <w:t>风机进出风口与通风管道采取软管连接的方式，大型通风设备均采用消声措施。</w:t>
            </w:r>
          </w:p>
          <w:p w14:paraId="7A4767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rPr>
            </w:pPr>
            <w:r>
              <w:rPr>
                <w:rFonts w:hint="eastAsia"/>
                <w:color w:val="auto"/>
                <w:sz w:val="24"/>
              </w:rPr>
              <w:t>③</w:t>
            </w:r>
            <w:r>
              <w:rPr>
                <w:color w:val="auto"/>
                <w:sz w:val="24"/>
              </w:rPr>
              <w:t>加强对噪声设备的维护和保养，减少因机械磨损而增加的噪声。</w:t>
            </w:r>
          </w:p>
          <w:p w14:paraId="387770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highlight w:val="none"/>
              </w:rPr>
            </w:pPr>
            <w:r>
              <w:rPr>
                <w:color w:val="auto"/>
                <w:sz w:val="24"/>
                <w:highlight w:val="none"/>
              </w:rPr>
              <w:t>4）自行监测计划</w:t>
            </w:r>
          </w:p>
          <w:p w14:paraId="11B3A7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highlight w:val="none"/>
              </w:rPr>
            </w:pPr>
            <w:r>
              <w:rPr>
                <w:color w:val="auto"/>
                <w:sz w:val="24"/>
                <w:highlight w:val="none"/>
              </w:rPr>
              <w:t>建设项目噪声排放监测</w:t>
            </w:r>
            <w:r>
              <w:rPr>
                <w:rFonts w:hint="eastAsia"/>
                <w:color w:val="auto"/>
                <w:sz w:val="24"/>
                <w:highlight w:val="none"/>
                <w:lang w:val="en-US" w:eastAsia="zh-CN"/>
              </w:rPr>
              <w:t>纳入全厂噪声管理，要求金烨钢铁厂每季度对厂区厂界进行监测</w:t>
            </w:r>
            <w:r>
              <w:rPr>
                <w:color w:val="auto"/>
                <w:sz w:val="24"/>
                <w:highlight w:val="none"/>
              </w:rPr>
              <w:t>。具体见表4-</w:t>
            </w:r>
            <w:r>
              <w:rPr>
                <w:rFonts w:hint="eastAsia"/>
                <w:color w:val="auto"/>
                <w:sz w:val="24"/>
                <w:highlight w:val="none"/>
                <w:lang w:val="en-US" w:eastAsia="zh-CN"/>
              </w:rPr>
              <w:t>7</w:t>
            </w:r>
            <w:r>
              <w:rPr>
                <w:color w:val="auto"/>
                <w:sz w:val="24"/>
                <w:highlight w:val="none"/>
              </w:rPr>
              <w:t>。</w:t>
            </w:r>
          </w:p>
          <w:p w14:paraId="44C56BFA">
            <w:pPr>
              <w:spacing w:line="360" w:lineRule="auto"/>
              <w:ind w:firstLine="422" w:firstLineChars="200"/>
              <w:jc w:val="center"/>
              <w:rPr>
                <w:b/>
                <w:bCs/>
                <w:color w:val="auto"/>
                <w:sz w:val="21"/>
                <w:szCs w:val="21"/>
                <w:highlight w:val="none"/>
              </w:rPr>
            </w:pPr>
            <w:r>
              <w:rPr>
                <w:b/>
                <w:bCs/>
                <w:color w:val="auto"/>
                <w:sz w:val="21"/>
                <w:szCs w:val="21"/>
                <w:highlight w:val="none"/>
              </w:rPr>
              <w:t>表4-</w:t>
            </w:r>
            <w:r>
              <w:rPr>
                <w:rFonts w:hint="eastAsia"/>
                <w:b/>
                <w:bCs/>
                <w:color w:val="auto"/>
                <w:sz w:val="21"/>
                <w:szCs w:val="21"/>
                <w:highlight w:val="none"/>
                <w:lang w:val="en-US" w:eastAsia="zh-CN"/>
              </w:rPr>
              <w:t>7</w:t>
            </w:r>
            <w:r>
              <w:rPr>
                <w:b/>
                <w:bCs/>
                <w:color w:val="auto"/>
                <w:sz w:val="21"/>
                <w:szCs w:val="21"/>
                <w:highlight w:val="none"/>
              </w:rPr>
              <w:t>噪声自行监测方案</w:t>
            </w:r>
          </w:p>
          <w:tbl>
            <w:tblPr>
              <w:tblStyle w:val="54"/>
              <w:tblW w:w="4998" w:type="pct"/>
              <w:tblInd w:w="2" w:type="dxa"/>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Layout w:type="autofit"/>
              <w:tblCellMar>
                <w:top w:w="0" w:type="dxa"/>
                <w:left w:w="0" w:type="dxa"/>
                <w:bottom w:w="0" w:type="dxa"/>
                <w:right w:w="0" w:type="dxa"/>
              </w:tblCellMar>
            </w:tblPr>
            <w:tblGrid>
              <w:gridCol w:w="2550"/>
              <w:gridCol w:w="3429"/>
              <w:gridCol w:w="2480"/>
            </w:tblGrid>
            <w:tr w14:paraId="078541B3">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0" w:type="dxa"/>
                  <w:bottom w:w="0" w:type="dxa"/>
                  <w:right w:w="0" w:type="dxa"/>
                </w:tblCellMar>
              </w:tblPrEx>
              <w:trPr>
                <w:trHeight w:val="347" w:hRule="atLeast"/>
              </w:trPr>
              <w:tc>
                <w:tcPr>
                  <w:tcW w:w="1507" w:type="pct"/>
                  <w:tcBorders>
                    <w:top w:val="single" w:color="000000" w:sz="12" w:space="0"/>
                    <w:left w:val="nil"/>
                    <w:tl2br w:val="nil"/>
                  </w:tcBorders>
                  <w:shd w:val="clear" w:color="auto" w:fill="FFFFFF"/>
                  <w:noWrap w:val="0"/>
                  <w:vAlign w:val="top"/>
                </w:tcPr>
                <w:p w14:paraId="072B1C6A">
                  <w:pPr>
                    <w:jc w:val="center"/>
                    <w:rPr>
                      <w:b w:val="0"/>
                      <w:color w:val="000000"/>
                      <w:szCs w:val="21"/>
                      <w:highlight w:val="none"/>
                    </w:rPr>
                  </w:pPr>
                  <w:r>
                    <w:rPr>
                      <w:b w:val="0"/>
                      <w:color w:val="000000"/>
                      <w:szCs w:val="21"/>
                      <w:highlight w:val="none"/>
                    </w:rPr>
                    <w:t>监测点位</w:t>
                  </w:r>
                </w:p>
              </w:tc>
              <w:tc>
                <w:tcPr>
                  <w:tcW w:w="2026" w:type="pct"/>
                  <w:tcBorders>
                    <w:top w:val="single" w:color="000000" w:sz="12" w:space="0"/>
                  </w:tcBorders>
                  <w:shd w:val="clear" w:color="auto" w:fill="FFFFFF"/>
                  <w:noWrap w:val="0"/>
                  <w:vAlign w:val="top"/>
                </w:tcPr>
                <w:p w14:paraId="75CB2569">
                  <w:pPr>
                    <w:jc w:val="center"/>
                    <w:rPr>
                      <w:b w:val="0"/>
                      <w:color w:val="000000"/>
                      <w:szCs w:val="21"/>
                      <w:highlight w:val="none"/>
                    </w:rPr>
                  </w:pPr>
                  <w:r>
                    <w:rPr>
                      <w:b w:val="0"/>
                      <w:color w:val="000000"/>
                      <w:szCs w:val="21"/>
                      <w:highlight w:val="none"/>
                    </w:rPr>
                    <w:t>监测项目</w:t>
                  </w:r>
                </w:p>
              </w:tc>
              <w:tc>
                <w:tcPr>
                  <w:tcW w:w="1465" w:type="pct"/>
                  <w:tcBorders>
                    <w:top w:val="single" w:color="000000" w:sz="12" w:space="0"/>
                    <w:right w:val="nil"/>
                  </w:tcBorders>
                  <w:shd w:val="clear" w:color="auto" w:fill="FFFFFF"/>
                  <w:noWrap w:val="0"/>
                  <w:vAlign w:val="top"/>
                </w:tcPr>
                <w:p w14:paraId="0E7ACBDD">
                  <w:pPr>
                    <w:jc w:val="center"/>
                    <w:rPr>
                      <w:b w:val="0"/>
                      <w:color w:val="000000"/>
                      <w:szCs w:val="21"/>
                      <w:highlight w:val="none"/>
                    </w:rPr>
                  </w:pPr>
                  <w:r>
                    <w:rPr>
                      <w:b w:val="0"/>
                      <w:color w:val="000000"/>
                      <w:szCs w:val="21"/>
                      <w:highlight w:val="none"/>
                    </w:rPr>
                    <w:t>监测频次</w:t>
                  </w:r>
                </w:p>
              </w:tc>
            </w:tr>
            <w:tr w14:paraId="4C0DE231">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0" w:type="dxa"/>
                  <w:bottom w:w="0" w:type="dxa"/>
                  <w:right w:w="0" w:type="dxa"/>
                </w:tblCellMar>
              </w:tblPrEx>
              <w:trPr>
                <w:trHeight w:val="347" w:hRule="atLeast"/>
              </w:trPr>
              <w:tc>
                <w:tcPr>
                  <w:tcW w:w="1507" w:type="pct"/>
                  <w:tcBorders>
                    <w:left w:val="nil"/>
                    <w:bottom w:val="single" w:color="000000" w:sz="12" w:space="0"/>
                  </w:tcBorders>
                  <w:shd w:val="clear" w:color="auto" w:fill="FFFFFF"/>
                  <w:noWrap w:val="0"/>
                  <w:vAlign w:val="top"/>
                </w:tcPr>
                <w:p w14:paraId="44CCBF17">
                  <w:pPr>
                    <w:jc w:val="center"/>
                    <w:rPr>
                      <w:b w:val="0"/>
                      <w:color w:val="000000"/>
                      <w:szCs w:val="21"/>
                      <w:highlight w:val="none"/>
                    </w:rPr>
                  </w:pPr>
                  <w:r>
                    <w:rPr>
                      <w:b w:val="0"/>
                      <w:color w:val="000000"/>
                      <w:szCs w:val="21"/>
                      <w:highlight w:val="none"/>
                    </w:rPr>
                    <w:t>厂界</w:t>
                  </w:r>
                </w:p>
              </w:tc>
              <w:tc>
                <w:tcPr>
                  <w:tcW w:w="2026" w:type="pct"/>
                  <w:tcBorders>
                    <w:bottom w:val="single" w:color="000000" w:sz="12" w:space="0"/>
                  </w:tcBorders>
                  <w:shd w:val="clear" w:color="auto" w:fill="FFFFFF"/>
                  <w:noWrap w:val="0"/>
                  <w:vAlign w:val="top"/>
                </w:tcPr>
                <w:p w14:paraId="4A333849">
                  <w:pPr>
                    <w:jc w:val="center"/>
                    <w:rPr>
                      <w:b w:val="0"/>
                      <w:color w:val="000000"/>
                      <w:szCs w:val="21"/>
                      <w:highlight w:val="none"/>
                    </w:rPr>
                  </w:pPr>
                  <w:r>
                    <w:rPr>
                      <w:b w:val="0"/>
                      <w:color w:val="000000"/>
                      <w:szCs w:val="21"/>
                      <w:highlight w:val="none"/>
                    </w:rPr>
                    <w:t>等效连续A声级</w:t>
                  </w:r>
                </w:p>
              </w:tc>
              <w:tc>
                <w:tcPr>
                  <w:tcW w:w="1465" w:type="pct"/>
                  <w:tcBorders>
                    <w:bottom w:val="single" w:color="000000" w:sz="12" w:space="0"/>
                    <w:right w:val="nil"/>
                  </w:tcBorders>
                  <w:shd w:val="clear" w:color="auto" w:fill="FFFFFF"/>
                  <w:noWrap w:val="0"/>
                  <w:vAlign w:val="top"/>
                </w:tcPr>
                <w:p w14:paraId="08493EB3">
                  <w:pPr>
                    <w:jc w:val="center"/>
                    <w:rPr>
                      <w:b w:val="0"/>
                      <w:color w:val="000000"/>
                      <w:szCs w:val="21"/>
                      <w:highlight w:val="none"/>
                    </w:rPr>
                  </w:pPr>
                  <w:r>
                    <w:rPr>
                      <w:b w:val="0"/>
                      <w:color w:val="000000"/>
                      <w:szCs w:val="21"/>
                      <w:highlight w:val="none"/>
                    </w:rPr>
                    <w:t>1季度1次</w:t>
                  </w:r>
                </w:p>
              </w:tc>
            </w:tr>
          </w:tbl>
          <w:p w14:paraId="11917A61">
            <w:pPr>
              <w:keepNext w:val="0"/>
              <w:keepLines w:val="0"/>
              <w:pageBreakBefore w:val="0"/>
              <w:widowControl w:val="0"/>
              <w:kinsoku/>
              <w:wordWrap/>
              <w:overflowPunct/>
              <w:topLinePunct w:val="0"/>
              <w:autoSpaceDE/>
              <w:autoSpaceDN/>
              <w:bidi w:val="0"/>
              <w:adjustRightInd/>
              <w:snapToGrid/>
              <w:spacing w:line="360" w:lineRule="auto"/>
              <w:textAlignment w:val="auto"/>
              <w:rPr>
                <w:b/>
                <w:bCs/>
                <w:color w:val="auto"/>
                <w:sz w:val="24"/>
                <w:highlight w:val="none"/>
              </w:rPr>
            </w:pPr>
            <w:r>
              <w:rPr>
                <w:b/>
                <w:bCs/>
                <w:color w:val="auto"/>
                <w:sz w:val="24"/>
                <w:highlight w:val="none"/>
              </w:rPr>
              <w:t>4、运营期固体废物环境影响和保护措施</w:t>
            </w:r>
          </w:p>
          <w:p w14:paraId="6062FC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highlight w:val="none"/>
              </w:rPr>
            </w:pPr>
            <w:r>
              <w:rPr>
                <w:color w:val="auto"/>
                <w:sz w:val="24"/>
                <w:highlight w:val="none"/>
              </w:rPr>
              <w:t>4.1固体废物产生情况</w:t>
            </w:r>
          </w:p>
          <w:p w14:paraId="7DFBA5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highlight w:val="none"/>
              </w:rPr>
            </w:pPr>
            <w:r>
              <w:rPr>
                <w:color w:val="auto"/>
                <w:sz w:val="24"/>
                <w:highlight w:val="none"/>
              </w:rPr>
              <w:t>1）生活垃圾</w:t>
            </w:r>
          </w:p>
          <w:p w14:paraId="425625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highlight w:val="none"/>
              </w:rPr>
            </w:pPr>
            <w:r>
              <w:rPr>
                <w:color w:val="auto"/>
                <w:sz w:val="24"/>
                <w:highlight w:val="none"/>
              </w:rPr>
              <w:t>生活垃圾产生量按每人每天平均产生量0.5kg计，本项目劳动定员</w:t>
            </w:r>
            <w:r>
              <w:rPr>
                <w:rFonts w:hint="eastAsia"/>
                <w:color w:val="auto"/>
                <w:sz w:val="24"/>
                <w:highlight w:val="none"/>
              </w:rPr>
              <w:t>6</w:t>
            </w:r>
            <w:r>
              <w:rPr>
                <w:color w:val="auto"/>
                <w:sz w:val="24"/>
                <w:highlight w:val="none"/>
              </w:rPr>
              <w:t>0人，年工作天数为</w:t>
            </w:r>
            <w:r>
              <w:rPr>
                <w:rFonts w:hint="eastAsia"/>
                <w:color w:val="auto"/>
                <w:sz w:val="24"/>
                <w:highlight w:val="none"/>
              </w:rPr>
              <w:t>300</w:t>
            </w:r>
            <w:r>
              <w:rPr>
                <w:color w:val="auto"/>
                <w:sz w:val="24"/>
                <w:highlight w:val="none"/>
              </w:rPr>
              <w:t>天，生活垃圾产生量为</w:t>
            </w:r>
            <w:r>
              <w:rPr>
                <w:rFonts w:hint="eastAsia"/>
                <w:color w:val="auto"/>
                <w:sz w:val="24"/>
                <w:highlight w:val="none"/>
              </w:rPr>
              <w:t>30</w:t>
            </w:r>
            <w:r>
              <w:rPr>
                <w:color w:val="auto"/>
                <w:sz w:val="24"/>
                <w:highlight w:val="none"/>
              </w:rPr>
              <w:t>kg/d，</w:t>
            </w:r>
            <w:r>
              <w:rPr>
                <w:rFonts w:hint="eastAsia"/>
                <w:color w:val="auto"/>
                <w:sz w:val="24"/>
                <w:highlight w:val="none"/>
              </w:rPr>
              <w:t>9</w:t>
            </w:r>
            <w:r>
              <w:rPr>
                <w:color w:val="auto"/>
                <w:sz w:val="24"/>
                <w:highlight w:val="none"/>
              </w:rPr>
              <w:t>t/a，由厂区垃圾</w:t>
            </w:r>
            <w:r>
              <w:rPr>
                <w:rFonts w:hint="eastAsia"/>
                <w:color w:val="auto"/>
                <w:sz w:val="24"/>
                <w:highlight w:val="none"/>
              </w:rPr>
              <w:t>桶</w:t>
            </w:r>
            <w:r>
              <w:rPr>
                <w:color w:val="auto"/>
                <w:sz w:val="24"/>
                <w:highlight w:val="none"/>
              </w:rPr>
              <w:t>收集后交环卫部门统一清运。</w:t>
            </w:r>
          </w:p>
          <w:p w14:paraId="73F63B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2）除尘灰</w:t>
            </w:r>
          </w:p>
          <w:p w14:paraId="2B3F2E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项目布袋除尘器配套有除尘灰灰库（容积30m</w:t>
            </w:r>
            <w:r>
              <w:rPr>
                <w:rFonts w:hint="eastAsia" w:ascii="Times New Roman" w:hAnsi="Times New Roman" w:eastAsia="宋体" w:cs="Times New Roman"/>
                <w:color w:val="auto"/>
                <w:kern w:val="2"/>
                <w:sz w:val="24"/>
                <w:szCs w:val="24"/>
                <w:highlight w:val="none"/>
                <w:vertAlign w:val="superscript"/>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），除尘灰主要来源于</w:t>
            </w:r>
            <w:r>
              <w:rPr>
                <w:rFonts w:ascii="宋体" w:hAnsi="宋体" w:cs="Calibri"/>
                <w:sz w:val="24"/>
                <w:szCs w:val="24"/>
                <w:highlight w:val="none"/>
              </w:rPr>
              <w:t>脱硫后</w:t>
            </w:r>
            <w:r>
              <w:rPr>
                <w:rFonts w:hint="eastAsia" w:ascii="宋体" w:hAnsi="宋体" w:cs="Calibri"/>
                <w:sz w:val="24"/>
                <w:szCs w:val="24"/>
                <w:highlight w:val="none"/>
                <w:lang w:val="en-US" w:eastAsia="zh-CN"/>
              </w:rPr>
              <w:t>产生的</w:t>
            </w:r>
            <w:r>
              <w:rPr>
                <w:rFonts w:hint="eastAsia" w:ascii="Times New Roman" w:hAnsi="Times New Roman" w:eastAsia="宋体" w:cs="Times New Roman"/>
                <w:color w:val="auto"/>
                <w:kern w:val="2"/>
                <w:sz w:val="24"/>
                <w:szCs w:val="24"/>
                <w:highlight w:val="none"/>
                <w:lang w:val="en-US" w:eastAsia="zh-CN" w:bidi="ar-SA"/>
              </w:rPr>
              <w:t>粉状颗粒，高活性钙基脱硫粉剂使用量720t/a。参考同类项目，产生除尘灰量按1.7-1.8倍估算。本次环评取1.8倍。除尘灰产生量为1296t/a。可作为建筑材料使用，收集后外售处理</w:t>
            </w:r>
          </w:p>
          <w:p w14:paraId="154706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rPr>
            </w:pPr>
            <w:r>
              <w:rPr>
                <w:rFonts w:hint="eastAsia"/>
                <w:color w:val="auto"/>
                <w:sz w:val="24"/>
                <w:lang w:val="en-US" w:eastAsia="zh-CN"/>
              </w:rPr>
              <w:t>3</w:t>
            </w:r>
            <w:r>
              <w:rPr>
                <w:color w:val="auto"/>
                <w:sz w:val="24"/>
              </w:rPr>
              <w:t>）危险废物</w:t>
            </w:r>
          </w:p>
          <w:p w14:paraId="224510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rPr>
            </w:pPr>
            <w:r>
              <w:rPr>
                <w:rFonts w:hint="eastAsia"/>
                <w:color w:val="auto"/>
                <w:sz w:val="24"/>
              </w:rPr>
              <w:t>项目产生的危险废物为</w:t>
            </w:r>
            <w:r>
              <w:rPr>
                <w:color w:val="auto"/>
                <w:sz w:val="24"/>
              </w:rPr>
              <w:t>废机油。</w:t>
            </w:r>
          </w:p>
          <w:p w14:paraId="5DDC88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rPr>
            </w:pPr>
            <w:r>
              <w:rPr>
                <w:color w:val="auto"/>
                <w:sz w:val="24"/>
              </w:rPr>
              <w:t>本项目</w:t>
            </w:r>
            <w:r>
              <w:rPr>
                <w:rFonts w:hint="eastAsia"/>
                <w:color w:val="auto"/>
                <w:sz w:val="24"/>
              </w:rPr>
              <w:t>废机油</w:t>
            </w:r>
            <w:r>
              <w:rPr>
                <w:color w:val="auto"/>
                <w:sz w:val="24"/>
              </w:rPr>
              <w:t>年</w:t>
            </w:r>
            <w:r>
              <w:rPr>
                <w:rFonts w:hint="eastAsia"/>
                <w:color w:val="auto"/>
                <w:sz w:val="24"/>
              </w:rPr>
              <w:t>产生</w:t>
            </w:r>
            <w:r>
              <w:rPr>
                <w:color w:val="auto"/>
                <w:sz w:val="24"/>
              </w:rPr>
              <w:t>量约为0.05t/a</w:t>
            </w:r>
            <w:r>
              <w:rPr>
                <w:rFonts w:hint="eastAsia"/>
                <w:color w:val="auto"/>
                <w:sz w:val="24"/>
              </w:rPr>
              <w:t>，废油桶年产生量为10个/a</w:t>
            </w:r>
            <w:r>
              <w:rPr>
                <w:color w:val="auto"/>
                <w:sz w:val="24"/>
              </w:rPr>
              <w:t>，主要</w:t>
            </w:r>
            <w:r>
              <w:rPr>
                <w:rFonts w:hint="eastAsia"/>
                <w:color w:val="auto"/>
                <w:sz w:val="24"/>
              </w:rPr>
              <w:t>来源于</w:t>
            </w:r>
            <w:r>
              <w:rPr>
                <w:color w:val="auto"/>
                <w:sz w:val="24"/>
              </w:rPr>
              <w:t>设备</w:t>
            </w:r>
            <w:r>
              <w:rPr>
                <w:rFonts w:hint="eastAsia"/>
                <w:color w:val="auto"/>
                <w:sz w:val="24"/>
              </w:rPr>
              <w:t>检修及</w:t>
            </w:r>
            <w:r>
              <w:rPr>
                <w:color w:val="auto"/>
                <w:sz w:val="24"/>
              </w:rPr>
              <w:t>润滑</w:t>
            </w:r>
            <w:r>
              <w:rPr>
                <w:rFonts w:hint="eastAsia"/>
                <w:color w:val="auto"/>
                <w:sz w:val="24"/>
                <w:lang w:eastAsia="zh-CN"/>
              </w:rPr>
              <w:t>保养</w:t>
            </w:r>
            <w:r>
              <w:rPr>
                <w:rFonts w:hint="eastAsia"/>
                <w:color w:val="auto"/>
                <w:sz w:val="24"/>
              </w:rPr>
              <w:t>过程。</w:t>
            </w:r>
          </w:p>
          <w:p w14:paraId="20DB764E">
            <w:pPr>
              <w:jc w:val="center"/>
              <w:rPr>
                <w:b/>
                <w:bCs/>
                <w:color w:val="auto"/>
                <w:sz w:val="21"/>
                <w:szCs w:val="21"/>
              </w:rPr>
            </w:pPr>
            <w:r>
              <w:rPr>
                <w:b/>
                <w:bCs/>
                <w:color w:val="auto"/>
                <w:sz w:val="21"/>
                <w:szCs w:val="21"/>
              </w:rPr>
              <w:t>4-</w:t>
            </w:r>
            <w:r>
              <w:rPr>
                <w:rFonts w:hint="eastAsia"/>
                <w:b/>
                <w:bCs/>
                <w:color w:val="auto"/>
                <w:sz w:val="21"/>
                <w:szCs w:val="21"/>
                <w:lang w:val="en-US" w:eastAsia="zh-CN"/>
              </w:rPr>
              <w:t>8</w:t>
            </w:r>
            <w:r>
              <w:rPr>
                <w:b/>
                <w:bCs/>
                <w:color w:val="auto"/>
                <w:sz w:val="21"/>
                <w:szCs w:val="21"/>
              </w:rPr>
              <w:t>本项目固体废物产生情况及处置措施（单位：t/a）</w:t>
            </w:r>
          </w:p>
          <w:tbl>
            <w:tblPr>
              <w:tblStyle w:val="26"/>
              <w:tblW w:w="4998" w:type="pct"/>
              <w:jc w:val="center"/>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1164"/>
              <w:gridCol w:w="1697"/>
              <w:gridCol w:w="1548"/>
              <w:gridCol w:w="1078"/>
              <w:gridCol w:w="2270"/>
            </w:tblGrid>
            <w:tr w14:paraId="3F38DDBC">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412" w:type="pct"/>
                  <w:tcBorders>
                    <w:top w:val="single" w:color="000000" w:sz="12" w:space="0"/>
                    <w:left w:val="nil"/>
                    <w:tl2br w:val="nil"/>
                  </w:tcBorders>
                  <w:shd w:val="clear" w:color="auto" w:fill="FFFFFF"/>
                  <w:noWrap w:val="0"/>
                  <w:vAlign w:val="center"/>
                </w:tcPr>
                <w:p w14:paraId="580F8C29">
                  <w:pPr>
                    <w:jc w:val="center"/>
                    <w:rPr>
                      <w:b w:val="0"/>
                      <w:color w:val="000000"/>
                      <w:spacing w:val="-1"/>
                      <w:szCs w:val="21"/>
                    </w:rPr>
                  </w:pPr>
                  <w:r>
                    <w:rPr>
                      <w:b w:val="0"/>
                      <w:color w:val="000000"/>
                      <w:szCs w:val="21"/>
                    </w:rPr>
                    <w:t>序号</w:t>
                  </w:r>
                </w:p>
              </w:tc>
              <w:tc>
                <w:tcPr>
                  <w:tcW w:w="688" w:type="pct"/>
                  <w:tcBorders>
                    <w:top w:val="single" w:color="000000" w:sz="12" w:space="0"/>
                  </w:tcBorders>
                  <w:shd w:val="clear" w:color="auto" w:fill="FFFFFF"/>
                  <w:noWrap w:val="0"/>
                  <w:vAlign w:val="center"/>
                </w:tcPr>
                <w:p w14:paraId="39B46D46">
                  <w:pPr>
                    <w:jc w:val="center"/>
                    <w:rPr>
                      <w:b w:val="0"/>
                      <w:color w:val="000000"/>
                      <w:spacing w:val="-1"/>
                      <w:szCs w:val="21"/>
                    </w:rPr>
                  </w:pPr>
                  <w:r>
                    <w:rPr>
                      <w:b w:val="0"/>
                      <w:color w:val="000000"/>
                      <w:szCs w:val="21"/>
                    </w:rPr>
                    <w:t>固体废物</w:t>
                  </w:r>
                </w:p>
              </w:tc>
              <w:tc>
                <w:tcPr>
                  <w:tcW w:w="1003" w:type="pct"/>
                  <w:tcBorders>
                    <w:top w:val="single" w:color="000000" w:sz="12" w:space="0"/>
                  </w:tcBorders>
                  <w:shd w:val="clear" w:color="auto" w:fill="FFFFFF"/>
                  <w:noWrap w:val="0"/>
                  <w:vAlign w:val="center"/>
                </w:tcPr>
                <w:p w14:paraId="4DF7D511">
                  <w:pPr>
                    <w:jc w:val="center"/>
                    <w:rPr>
                      <w:b w:val="0"/>
                      <w:color w:val="000000"/>
                      <w:spacing w:val="-1"/>
                      <w:szCs w:val="21"/>
                    </w:rPr>
                  </w:pPr>
                  <w:r>
                    <w:rPr>
                      <w:b w:val="0"/>
                      <w:color w:val="000000"/>
                      <w:szCs w:val="21"/>
                    </w:rPr>
                    <w:t>废物来源</w:t>
                  </w:r>
                </w:p>
              </w:tc>
              <w:tc>
                <w:tcPr>
                  <w:tcW w:w="915" w:type="pct"/>
                  <w:tcBorders>
                    <w:top w:val="single" w:color="000000" w:sz="12" w:space="0"/>
                  </w:tcBorders>
                  <w:shd w:val="clear" w:color="auto" w:fill="FFFFFF"/>
                  <w:noWrap w:val="0"/>
                  <w:vAlign w:val="center"/>
                </w:tcPr>
                <w:p w14:paraId="5F7938FD">
                  <w:pPr>
                    <w:jc w:val="center"/>
                    <w:rPr>
                      <w:b w:val="0"/>
                      <w:color w:val="000000"/>
                      <w:spacing w:val="-1"/>
                      <w:szCs w:val="21"/>
                    </w:rPr>
                  </w:pPr>
                  <w:r>
                    <w:rPr>
                      <w:b w:val="0"/>
                      <w:color w:val="000000"/>
                      <w:szCs w:val="21"/>
                    </w:rPr>
                    <w:t>废物属性</w:t>
                  </w:r>
                </w:p>
              </w:tc>
              <w:tc>
                <w:tcPr>
                  <w:tcW w:w="637" w:type="pct"/>
                  <w:tcBorders>
                    <w:top w:val="single" w:color="000000" w:sz="12" w:space="0"/>
                  </w:tcBorders>
                  <w:shd w:val="clear" w:color="auto" w:fill="FFFFFF"/>
                  <w:noWrap w:val="0"/>
                  <w:vAlign w:val="center"/>
                </w:tcPr>
                <w:p w14:paraId="781BC706">
                  <w:pPr>
                    <w:jc w:val="center"/>
                    <w:rPr>
                      <w:b w:val="0"/>
                      <w:color w:val="000000"/>
                      <w:szCs w:val="21"/>
                    </w:rPr>
                  </w:pPr>
                  <w:r>
                    <w:rPr>
                      <w:b w:val="0"/>
                      <w:color w:val="000000"/>
                      <w:szCs w:val="21"/>
                    </w:rPr>
                    <w:t>产生量</w:t>
                  </w:r>
                </w:p>
                <w:p w14:paraId="67E9DDB5">
                  <w:pPr>
                    <w:jc w:val="center"/>
                    <w:rPr>
                      <w:b w:val="0"/>
                      <w:color w:val="000000"/>
                      <w:spacing w:val="-1"/>
                      <w:szCs w:val="21"/>
                    </w:rPr>
                  </w:pPr>
                  <w:r>
                    <w:rPr>
                      <w:b w:val="0"/>
                      <w:color w:val="000000"/>
                      <w:szCs w:val="21"/>
                    </w:rPr>
                    <w:t>（t/a）</w:t>
                  </w:r>
                </w:p>
              </w:tc>
              <w:tc>
                <w:tcPr>
                  <w:tcW w:w="1342" w:type="pct"/>
                  <w:tcBorders>
                    <w:top w:val="single" w:color="000000" w:sz="12" w:space="0"/>
                    <w:right w:val="nil"/>
                  </w:tcBorders>
                  <w:shd w:val="clear" w:color="auto" w:fill="FFFFFF"/>
                  <w:noWrap w:val="0"/>
                  <w:vAlign w:val="center"/>
                </w:tcPr>
                <w:p w14:paraId="4E7D9F75">
                  <w:pPr>
                    <w:jc w:val="center"/>
                    <w:rPr>
                      <w:b w:val="0"/>
                      <w:color w:val="000000"/>
                      <w:spacing w:val="-1"/>
                      <w:szCs w:val="21"/>
                    </w:rPr>
                  </w:pPr>
                  <w:r>
                    <w:rPr>
                      <w:b w:val="0"/>
                      <w:color w:val="000000"/>
                      <w:szCs w:val="21"/>
                    </w:rPr>
                    <w:t>处置方式</w:t>
                  </w:r>
                </w:p>
              </w:tc>
            </w:tr>
            <w:tr w14:paraId="75B06953">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left w:val="nil"/>
                  </w:tcBorders>
                  <w:shd w:val="clear" w:color="auto" w:fill="FFFFFF"/>
                  <w:noWrap w:val="0"/>
                  <w:vAlign w:val="center"/>
                </w:tcPr>
                <w:p w14:paraId="2F132737">
                  <w:pPr>
                    <w:jc w:val="center"/>
                    <w:rPr>
                      <w:b w:val="0"/>
                      <w:color w:val="000000"/>
                      <w:szCs w:val="21"/>
                    </w:rPr>
                  </w:pPr>
                  <w:r>
                    <w:rPr>
                      <w:rFonts w:hint="eastAsia"/>
                      <w:b w:val="0"/>
                      <w:color w:val="000000"/>
                      <w:szCs w:val="21"/>
                    </w:rPr>
                    <w:t>1</w:t>
                  </w:r>
                </w:p>
              </w:tc>
              <w:tc>
                <w:tcPr>
                  <w:tcW w:w="688" w:type="pct"/>
                  <w:shd w:val="clear" w:color="auto" w:fill="FFFFFF"/>
                  <w:noWrap w:val="0"/>
                  <w:vAlign w:val="center"/>
                </w:tcPr>
                <w:p w14:paraId="4DEFA7E5">
                  <w:pPr>
                    <w:jc w:val="center"/>
                    <w:rPr>
                      <w:b w:val="0"/>
                      <w:color w:val="000000"/>
                      <w:spacing w:val="-1"/>
                      <w:szCs w:val="21"/>
                    </w:rPr>
                  </w:pPr>
                  <w:r>
                    <w:rPr>
                      <w:b w:val="0"/>
                      <w:color w:val="000000"/>
                      <w:szCs w:val="21"/>
                    </w:rPr>
                    <w:t>生活垃圾</w:t>
                  </w:r>
                </w:p>
              </w:tc>
              <w:tc>
                <w:tcPr>
                  <w:tcW w:w="1003" w:type="pct"/>
                  <w:shd w:val="clear" w:color="auto" w:fill="FFFFFF"/>
                  <w:noWrap w:val="0"/>
                  <w:vAlign w:val="center"/>
                </w:tcPr>
                <w:p w14:paraId="607F58C1">
                  <w:pPr>
                    <w:jc w:val="center"/>
                    <w:rPr>
                      <w:b w:val="0"/>
                      <w:color w:val="000000"/>
                      <w:spacing w:val="-1"/>
                      <w:szCs w:val="21"/>
                    </w:rPr>
                  </w:pPr>
                  <w:r>
                    <w:rPr>
                      <w:b w:val="0"/>
                      <w:color w:val="000000"/>
                      <w:szCs w:val="21"/>
                    </w:rPr>
                    <w:t>办公生活</w:t>
                  </w:r>
                </w:p>
              </w:tc>
              <w:tc>
                <w:tcPr>
                  <w:tcW w:w="915" w:type="pct"/>
                  <w:shd w:val="clear" w:color="auto" w:fill="FFFFFF"/>
                  <w:noWrap w:val="0"/>
                  <w:vAlign w:val="center"/>
                </w:tcPr>
                <w:p w14:paraId="16BBFA90">
                  <w:pPr>
                    <w:jc w:val="center"/>
                    <w:rPr>
                      <w:b w:val="0"/>
                      <w:color w:val="000000"/>
                      <w:spacing w:val="-1"/>
                      <w:szCs w:val="21"/>
                    </w:rPr>
                  </w:pPr>
                  <w:r>
                    <w:rPr>
                      <w:b w:val="0"/>
                      <w:color w:val="000000"/>
                      <w:szCs w:val="21"/>
                    </w:rPr>
                    <w:t>一般固废</w:t>
                  </w:r>
                </w:p>
              </w:tc>
              <w:tc>
                <w:tcPr>
                  <w:tcW w:w="637" w:type="pct"/>
                  <w:shd w:val="clear" w:color="auto" w:fill="FFFFFF"/>
                  <w:noWrap w:val="0"/>
                  <w:vAlign w:val="center"/>
                </w:tcPr>
                <w:p w14:paraId="7B9C7769">
                  <w:pPr>
                    <w:jc w:val="center"/>
                    <w:rPr>
                      <w:b w:val="0"/>
                      <w:color w:val="000000"/>
                      <w:spacing w:val="-1"/>
                      <w:szCs w:val="21"/>
                    </w:rPr>
                  </w:pPr>
                  <w:r>
                    <w:rPr>
                      <w:rFonts w:hint="eastAsia"/>
                      <w:b w:val="0"/>
                      <w:color w:val="000000"/>
                      <w:szCs w:val="21"/>
                    </w:rPr>
                    <w:t>3.0</w:t>
                  </w:r>
                </w:p>
              </w:tc>
              <w:tc>
                <w:tcPr>
                  <w:tcW w:w="1342" w:type="pct"/>
                  <w:tcBorders>
                    <w:right w:val="nil"/>
                  </w:tcBorders>
                  <w:shd w:val="clear" w:color="auto" w:fill="FFFFFF"/>
                  <w:noWrap w:val="0"/>
                  <w:vAlign w:val="center"/>
                </w:tcPr>
                <w:p w14:paraId="6F9A9676">
                  <w:pPr>
                    <w:jc w:val="center"/>
                    <w:rPr>
                      <w:b w:val="0"/>
                      <w:color w:val="000000"/>
                      <w:szCs w:val="21"/>
                      <w:lang w:val="zh-CN"/>
                    </w:rPr>
                  </w:pPr>
                  <w:r>
                    <w:rPr>
                      <w:b w:val="0"/>
                      <w:color w:val="000000"/>
                      <w:szCs w:val="21"/>
                    </w:rPr>
                    <w:t>集中收集后委托环卫部门定期清运</w:t>
                  </w:r>
                </w:p>
              </w:tc>
            </w:tr>
            <w:tr w14:paraId="217C742C">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left w:val="nil"/>
                  </w:tcBorders>
                  <w:shd w:val="clear" w:color="auto" w:fill="FFFFFF"/>
                  <w:noWrap w:val="0"/>
                  <w:vAlign w:val="center"/>
                </w:tcPr>
                <w:p w14:paraId="13410B5E">
                  <w:pPr>
                    <w:jc w:val="center"/>
                    <w:rPr>
                      <w:rFonts w:hint="eastAsia" w:ascii="Times New Roman" w:hAnsi="Times New Roman" w:eastAsia="宋体" w:cs="Times New Roman"/>
                      <w:b w:val="0"/>
                      <w:color w:val="000000"/>
                      <w:kern w:val="2"/>
                      <w:sz w:val="21"/>
                      <w:szCs w:val="21"/>
                      <w:lang w:val="en-US" w:eastAsia="zh-CN" w:bidi="ar-SA"/>
                    </w:rPr>
                  </w:pPr>
                  <w:r>
                    <w:rPr>
                      <w:rFonts w:hint="eastAsia"/>
                      <w:b w:val="0"/>
                      <w:color w:val="000000"/>
                      <w:szCs w:val="21"/>
                    </w:rPr>
                    <w:t>2</w:t>
                  </w:r>
                </w:p>
              </w:tc>
              <w:tc>
                <w:tcPr>
                  <w:tcW w:w="688" w:type="pct"/>
                  <w:shd w:val="clear" w:color="auto" w:fill="FFFFFF"/>
                  <w:noWrap w:val="0"/>
                  <w:vAlign w:val="center"/>
                </w:tcPr>
                <w:p w14:paraId="507AF064">
                  <w:pPr>
                    <w:jc w:val="center"/>
                    <w:rPr>
                      <w:rFonts w:hint="eastAsia" w:eastAsia="宋体"/>
                      <w:b w:val="0"/>
                      <w:color w:val="000000"/>
                      <w:szCs w:val="21"/>
                      <w:highlight w:val="none"/>
                      <w:lang w:val="en-US" w:eastAsia="zh-CN"/>
                    </w:rPr>
                  </w:pPr>
                  <w:r>
                    <w:rPr>
                      <w:rFonts w:hint="eastAsia"/>
                      <w:b w:val="0"/>
                      <w:color w:val="000000"/>
                      <w:szCs w:val="21"/>
                      <w:highlight w:val="none"/>
                      <w:lang w:val="en-US" w:eastAsia="zh-CN"/>
                    </w:rPr>
                    <w:t>除尘灰</w:t>
                  </w:r>
                </w:p>
              </w:tc>
              <w:tc>
                <w:tcPr>
                  <w:tcW w:w="1003" w:type="pct"/>
                  <w:shd w:val="clear" w:color="auto" w:fill="FFFFFF"/>
                  <w:noWrap w:val="0"/>
                  <w:vAlign w:val="center"/>
                </w:tcPr>
                <w:p w14:paraId="3ED80799">
                  <w:pPr>
                    <w:jc w:val="center"/>
                    <w:rPr>
                      <w:rFonts w:hint="default" w:eastAsia="宋体"/>
                      <w:b w:val="0"/>
                      <w:color w:val="000000"/>
                      <w:szCs w:val="21"/>
                      <w:highlight w:val="none"/>
                      <w:lang w:val="en-US" w:eastAsia="zh-CN"/>
                    </w:rPr>
                  </w:pPr>
                  <w:r>
                    <w:rPr>
                      <w:rFonts w:hint="eastAsia"/>
                      <w:b w:val="0"/>
                      <w:color w:val="000000"/>
                      <w:szCs w:val="21"/>
                      <w:highlight w:val="none"/>
                      <w:lang w:val="en-US" w:eastAsia="zh-CN"/>
                    </w:rPr>
                    <w:t>烟气脱硫除尘</w:t>
                  </w:r>
                </w:p>
              </w:tc>
              <w:tc>
                <w:tcPr>
                  <w:tcW w:w="915" w:type="pct"/>
                  <w:shd w:val="clear" w:color="auto" w:fill="FFFFFF"/>
                  <w:noWrap w:val="0"/>
                  <w:vAlign w:val="center"/>
                </w:tcPr>
                <w:p w14:paraId="658CC036">
                  <w:pPr>
                    <w:jc w:val="center"/>
                    <w:rPr>
                      <w:rFonts w:hint="eastAsia" w:eastAsia="宋体"/>
                      <w:b w:val="0"/>
                      <w:color w:val="000000"/>
                      <w:szCs w:val="21"/>
                      <w:highlight w:val="none"/>
                      <w:lang w:val="en-US" w:eastAsia="zh-CN"/>
                    </w:rPr>
                  </w:pPr>
                  <w:r>
                    <w:rPr>
                      <w:rFonts w:hint="eastAsia"/>
                      <w:b w:val="0"/>
                      <w:color w:val="000000"/>
                      <w:szCs w:val="21"/>
                      <w:highlight w:val="none"/>
                      <w:lang w:val="en-US" w:eastAsia="zh-CN"/>
                    </w:rPr>
                    <w:t>一般固废</w:t>
                  </w:r>
                </w:p>
              </w:tc>
              <w:tc>
                <w:tcPr>
                  <w:tcW w:w="637" w:type="pct"/>
                  <w:shd w:val="clear" w:color="auto" w:fill="FFFFFF"/>
                  <w:noWrap w:val="0"/>
                  <w:vAlign w:val="center"/>
                </w:tcPr>
                <w:p w14:paraId="7E760170">
                  <w:pPr>
                    <w:jc w:val="center"/>
                    <w:rPr>
                      <w:rFonts w:hint="default" w:eastAsia="宋体"/>
                      <w:b w:val="0"/>
                      <w:color w:val="000000"/>
                      <w:szCs w:val="21"/>
                      <w:highlight w:val="none"/>
                      <w:lang w:val="en-US" w:eastAsia="zh-CN"/>
                    </w:rPr>
                  </w:pPr>
                  <w:r>
                    <w:rPr>
                      <w:rFonts w:hint="eastAsia"/>
                      <w:b w:val="0"/>
                      <w:color w:val="000000"/>
                      <w:szCs w:val="21"/>
                      <w:highlight w:val="none"/>
                      <w:lang w:val="en-US" w:eastAsia="zh-CN"/>
                    </w:rPr>
                    <w:t>1296</w:t>
                  </w:r>
                </w:p>
              </w:tc>
              <w:tc>
                <w:tcPr>
                  <w:tcW w:w="1342" w:type="pct"/>
                  <w:tcBorders>
                    <w:right w:val="nil"/>
                  </w:tcBorders>
                  <w:shd w:val="clear" w:color="auto" w:fill="FFFFFF"/>
                  <w:noWrap w:val="0"/>
                  <w:vAlign w:val="center"/>
                </w:tcPr>
                <w:p w14:paraId="3402504D">
                  <w:pPr>
                    <w:jc w:val="center"/>
                    <w:rPr>
                      <w:rFonts w:hint="default" w:eastAsia="宋体"/>
                      <w:b w:val="0"/>
                      <w:color w:val="000000"/>
                      <w:szCs w:val="21"/>
                      <w:highlight w:val="none"/>
                      <w:lang w:val="en-US" w:eastAsia="zh-CN"/>
                    </w:rPr>
                  </w:pPr>
                  <w:r>
                    <w:rPr>
                      <w:rFonts w:hint="eastAsia"/>
                      <w:b w:val="0"/>
                      <w:color w:val="000000"/>
                      <w:szCs w:val="21"/>
                      <w:highlight w:val="none"/>
                      <w:lang w:val="en-US" w:eastAsia="zh-CN"/>
                    </w:rPr>
                    <w:t>收集后外售处理</w:t>
                  </w:r>
                </w:p>
              </w:tc>
            </w:tr>
            <w:tr w14:paraId="3C4809EC">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left w:val="nil"/>
                  </w:tcBorders>
                  <w:shd w:val="clear" w:color="auto" w:fill="FFFFFF"/>
                  <w:noWrap w:val="0"/>
                  <w:vAlign w:val="center"/>
                </w:tcPr>
                <w:p w14:paraId="43C19FE5">
                  <w:pPr>
                    <w:jc w:val="center"/>
                    <w:rPr>
                      <w:rFonts w:ascii="Times New Roman" w:hAnsi="Times New Roman" w:eastAsia="宋体" w:cs="Times New Roman"/>
                      <w:b w:val="0"/>
                      <w:color w:val="000000"/>
                      <w:kern w:val="2"/>
                      <w:sz w:val="21"/>
                      <w:szCs w:val="21"/>
                      <w:lang w:val="en-US" w:eastAsia="zh-CN" w:bidi="ar-SA"/>
                    </w:rPr>
                  </w:pPr>
                  <w:r>
                    <w:rPr>
                      <w:rFonts w:hint="eastAsia"/>
                      <w:b w:val="0"/>
                      <w:color w:val="000000"/>
                      <w:szCs w:val="21"/>
                    </w:rPr>
                    <w:t>3</w:t>
                  </w:r>
                </w:p>
              </w:tc>
              <w:tc>
                <w:tcPr>
                  <w:tcW w:w="688" w:type="pct"/>
                  <w:shd w:val="clear" w:color="auto" w:fill="FFFFFF"/>
                  <w:noWrap w:val="0"/>
                  <w:vAlign w:val="center"/>
                </w:tcPr>
                <w:p w14:paraId="32C33500">
                  <w:pPr>
                    <w:jc w:val="center"/>
                    <w:rPr>
                      <w:b w:val="0"/>
                      <w:color w:val="000000"/>
                      <w:szCs w:val="21"/>
                    </w:rPr>
                  </w:pPr>
                  <w:r>
                    <w:rPr>
                      <w:rFonts w:hint="eastAsia"/>
                      <w:b w:val="0"/>
                      <w:color w:val="000000"/>
                      <w:szCs w:val="21"/>
                    </w:rPr>
                    <w:t>废机油</w:t>
                  </w:r>
                </w:p>
              </w:tc>
              <w:tc>
                <w:tcPr>
                  <w:tcW w:w="1003" w:type="pct"/>
                  <w:shd w:val="clear" w:color="auto" w:fill="FFFFFF"/>
                  <w:noWrap w:val="0"/>
                  <w:vAlign w:val="center"/>
                </w:tcPr>
                <w:p w14:paraId="6E7F425A">
                  <w:pPr>
                    <w:jc w:val="center"/>
                    <w:rPr>
                      <w:b w:val="0"/>
                      <w:color w:val="000000"/>
                      <w:szCs w:val="21"/>
                    </w:rPr>
                  </w:pPr>
                  <w:r>
                    <w:rPr>
                      <w:b w:val="0"/>
                      <w:color w:val="000000"/>
                      <w:szCs w:val="21"/>
                    </w:rPr>
                    <w:t>设备</w:t>
                  </w:r>
                  <w:r>
                    <w:rPr>
                      <w:rFonts w:hint="eastAsia"/>
                      <w:b w:val="0"/>
                      <w:color w:val="000000"/>
                      <w:szCs w:val="21"/>
                    </w:rPr>
                    <w:t>保养</w:t>
                  </w:r>
                  <w:r>
                    <w:rPr>
                      <w:b w:val="0"/>
                      <w:color w:val="000000"/>
                      <w:szCs w:val="21"/>
                    </w:rPr>
                    <w:t>及维修</w:t>
                  </w:r>
                </w:p>
              </w:tc>
              <w:tc>
                <w:tcPr>
                  <w:tcW w:w="915" w:type="pct"/>
                  <w:shd w:val="clear" w:color="auto" w:fill="FFFFFF"/>
                  <w:noWrap w:val="0"/>
                  <w:vAlign w:val="center"/>
                </w:tcPr>
                <w:p w14:paraId="02C48C2F">
                  <w:pPr>
                    <w:jc w:val="center"/>
                    <w:rPr>
                      <w:b w:val="0"/>
                      <w:color w:val="000000"/>
                      <w:szCs w:val="21"/>
                    </w:rPr>
                  </w:pPr>
                  <w:r>
                    <w:rPr>
                      <w:b w:val="0"/>
                      <w:color w:val="000000"/>
                      <w:szCs w:val="21"/>
                    </w:rPr>
                    <w:t>危险废物HW08；</w:t>
                  </w:r>
                  <w:r>
                    <w:rPr>
                      <w:b w:val="0"/>
                      <w:color w:val="000000"/>
                      <w:spacing w:val="4"/>
                      <w:szCs w:val="21"/>
                    </w:rPr>
                    <w:t>900-21</w:t>
                  </w:r>
                  <w:r>
                    <w:rPr>
                      <w:rFonts w:hint="eastAsia"/>
                      <w:b w:val="0"/>
                      <w:color w:val="000000"/>
                      <w:spacing w:val="4"/>
                      <w:szCs w:val="21"/>
                    </w:rPr>
                    <w:t>4</w:t>
                  </w:r>
                  <w:r>
                    <w:rPr>
                      <w:b w:val="0"/>
                      <w:color w:val="000000"/>
                      <w:spacing w:val="4"/>
                      <w:szCs w:val="21"/>
                    </w:rPr>
                    <w:t>-08</w:t>
                  </w:r>
                </w:p>
              </w:tc>
              <w:tc>
                <w:tcPr>
                  <w:tcW w:w="637" w:type="pct"/>
                  <w:shd w:val="clear" w:color="auto" w:fill="FFFFFF"/>
                  <w:noWrap w:val="0"/>
                  <w:vAlign w:val="center"/>
                </w:tcPr>
                <w:p w14:paraId="3FD63FC6">
                  <w:pPr>
                    <w:jc w:val="center"/>
                    <w:rPr>
                      <w:b w:val="0"/>
                      <w:color w:val="000000"/>
                      <w:szCs w:val="21"/>
                    </w:rPr>
                  </w:pPr>
                  <w:r>
                    <w:rPr>
                      <w:rFonts w:hint="eastAsia"/>
                      <w:b w:val="0"/>
                      <w:color w:val="000000"/>
                      <w:szCs w:val="21"/>
                    </w:rPr>
                    <w:t>0.05</w:t>
                  </w:r>
                </w:p>
              </w:tc>
              <w:tc>
                <w:tcPr>
                  <w:tcW w:w="1342" w:type="pct"/>
                  <w:vMerge w:val="restart"/>
                  <w:tcBorders>
                    <w:right w:val="nil"/>
                  </w:tcBorders>
                  <w:shd w:val="clear" w:color="auto" w:fill="FFFFFF"/>
                  <w:noWrap w:val="0"/>
                  <w:vAlign w:val="center"/>
                </w:tcPr>
                <w:p w14:paraId="692235A8">
                  <w:pPr>
                    <w:jc w:val="center"/>
                    <w:rPr>
                      <w:b w:val="0"/>
                      <w:color w:val="000000"/>
                      <w:szCs w:val="21"/>
                      <w:lang w:val="zh-CN"/>
                    </w:rPr>
                  </w:pPr>
                  <w:r>
                    <w:rPr>
                      <w:rFonts w:hint="eastAsia"/>
                      <w:b w:val="0"/>
                      <w:color w:val="000000"/>
                      <w:szCs w:val="21"/>
                    </w:rPr>
                    <w:t>暂存厂区内现有危废贮存库</w:t>
                  </w:r>
                  <w:r>
                    <w:rPr>
                      <w:b w:val="0"/>
                      <w:color w:val="000000"/>
                      <w:szCs w:val="21"/>
                    </w:rPr>
                    <w:t>，定期交由有资质单位处置</w:t>
                  </w:r>
                </w:p>
              </w:tc>
            </w:tr>
            <w:tr w14:paraId="0FE3C4AD">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left w:val="nil"/>
                    <w:bottom w:val="single" w:color="000000" w:sz="12" w:space="0"/>
                  </w:tcBorders>
                  <w:shd w:val="clear" w:color="auto" w:fill="FFFFFF"/>
                  <w:noWrap w:val="0"/>
                  <w:vAlign w:val="center"/>
                </w:tcPr>
                <w:p w14:paraId="598CF1B8">
                  <w:pPr>
                    <w:jc w:val="center"/>
                    <w:rPr>
                      <w:rFonts w:hint="eastAsia" w:eastAsia="宋体"/>
                      <w:b w:val="0"/>
                      <w:color w:val="000000"/>
                      <w:szCs w:val="21"/>
                      <w:lang w:val="en-US" w:eastAsia="zh-CN"/>
                    </w:rPr>
                  </w:pPr>
                  <w:r>
                    <w:rPr>
                      <w:rFonts w:hint="eastAsia"/>
                      <w:b w:val="0"/>
                      <w:color w:val="000000"/>
                      <w:szCs w:val="21"/>
                      <w:lang w:val="en-US" w:eastAsia="zh-CN"/>
                    </w:rPr>
                    <w:t>4</w:t>
                  </w:r>
                </w:p>
              </w:tc>
              <w:tc>
                <w:tcPr>
                  <w:tcW w:w="688" w:type="pct"/>
                  <w:tcBorders>
                    <w:bottom w:val="single" w:color="000000" w:sz="12" w:space="0"/>
                  </w:tcBorders>
                  <w:shd w:val="clear" w:color="auto" w:fill="FFFFFF"/>
                  <w:noWrap w:val="0"/>
                  <w:vAlign w:val="center"/>
                </w:tcPr>
                <w:p w14:paraId="4CFFE2BD">
                  <w:pPr>
                    <w:jc w:val="center"/>
                    <w:rPr>
                      <w:b w:val="0"/>
                      <w:color w:val="000000"/>
                      <w:szCs w:val="21"/>
                    </w:rPr>
                  </w:pPr>
                  <w:r>
                    <w:rPr>
                      <w:rFonts w:hint="eastAsia"/>
                      <w:b w:val="0"/>
                      <w:color w:val="000000"/>
                      <w:szCs w:val="21"/>
                    </w:rPr>
                    <w:t>废油桶</w:t>
                  </w:r>
                </w:p>
              </w:tc>
              <w:tc>
                <w:tcPr>
                  <w:tcW w:w="1003" w:type="pct"/>
                  <w:tcBorders>
                    <w:bottom w:val="single" w:color="000000" w:sz="12" w:space="0"/>
                  </w:tcBorders>
                  <w:shd w:val="clear" w:color="auto" w:fill="FFFFFF"/>
                  <w:noWrap w:val="0"/>
                  <w:vAlign w:val="center"/>
                </w:tcPr>
                <w:p w14:paraId="293D10D2">
                  <w:pPr>
                    <w:jc w:val="center"/>
                    <w:rPr>
                      <w:b w:val="0"/>
                      <w:color w:val="000000"/>
                      <w:szCs w:val="21"/>
                    </w:rPr>
                  </w:pPr>
                  <w:r>
                    <w:rPr>
                      <w:b w:val="0"/>
                      <w:color w:val="000000"/>
                      <w:szCs w:val="21"/>
                    </w:rPr>
                    <w:t>设备</w:t>
                  </w:r>
                  <w:r>
                    <w:rPr>
                      <w:rFonts w:hint="eastAsia"/>
                      <w:b w:val="0"/>
                      <w:color w:val="000000"/>
                      <w:szCs w:val="21"/>
                    </w:rPr>
                    <w:t>保养</w:t>
                  </w:r>
                  <w:r>
                    <w:rPr>
                      <w:b w:val="0"/>
                      <w:color w:val="000000"/>
                      <w:szCs w:val="21"/>
                    </w:rPr>
                    <w:t>及维修</w:t>
                  </w:r>
                </w:p>
              </w:tc>
              <w:tc>
                <w:tcPr>
                  <w:tcW w:w="915" w:type="pct"/>
                  <w:tcBorders>
                    <w:bottom w:val="single" w:color="000000" w:sz="12" w:space="0"/>
                  </w:tcBorders>
                  <w:shd w:val="clear" w:color="auto" w:fill="FFFFFF"/>
                  <w:noWrap w:val="0"/>
                  <w:vAlign w:val="center"/>
                </w:tcPr>
                <w:p w14:paraId="4F182FF7">
                  <w:pPr>
                    <w:jc w:val="center"/>
                    <w:rPr>
                      <w:b w:val="0"/>
                      <w:color w:val="000000"/>
                      <w:szCs w:val="21"/>
                    </w:rPr>
                  </w:pPr>
                  <w:r>
                    <w:rPr>
                      <w:b w:val="0"/>
                      <w:color w:val="000000"/>
                      <w:szCs w:val="21"/>
                    </w:rPr>
                    <w:t>危险废物HW08；900-249-08</w:t>
                  </w:r>
                </w:p>
              </w:tc>
              <w:tc>
                <w:tcPr>
                  <w:tcW w:w="637" w:type="pct"/>
                  <w:tcBorders>
                    <w:bottom w:val="single" w:color="000000" w:sz="12" w:space="0"/>
                  </w:tcBorders>
                  <w:shd w:val="clear" w:color="auto" w:fill="FFFFFF"/>
                  <w:noWrap w:val="0"/>
                  <w:vAlign w:val="center"/>
                </w:tcPr>
                <w:p w14:paraId="2C8E03D1">
                  <w:pPr>
                    <w:jc w:val="center"/>
                    <w:rPr>
                      <w:b w:val="0"/>
                      <w:color w:val="000000"/>
                      <w:szCs w:val="21"/>
                    </w:rPr>
                  </w:pPr>
                  <w:r>
                    <w:rPr>
                      <w:rFonts w:hint="eastAsia"/>
                      <w:b w:val="0"/>
                      <w:color w:val="000000"/>
                      <w:szCs w:val="21"/>
                    </w:rPr>
                    <w:t>10个/a</w:t>
                  </w:r>
                </w:p>
              </w:tc>
              <w:tc>
                <w:tcPr>
                  <w:tcW w:w="1342" w:type="pct"/>
                  <w:vMerge w:val="continue"/>
                  <w:tcBorders>
                    <w:bottom w:val="single" w:color="000000" w:sz="12" w:space="0"/>
                    <w:right w:val="nil"/>
                  </w:tcBorders>
                  <w:shd w:val="clear" w:color="auto" w:fill="FFFFFF"/>
                  <w:noWrap w:val="0"/>
                  <w:vAlign w:val="center"/>
                </w:tcPr>
                <w:p w14:paraId="45799427">
                  <w:pPr>
                    <w:jc w:val="center"/>
                    <w:rPr>
                      <w:b w:val="0"/>
                      <w:color w:val="000000"/>
                      <w:szCs w:val="21"/>
                    </w:rPr>
                  </w:pPr>
                </w:p>
              </w:tc>
            </w:tr>
          </w:tbl>
          <w:p w14:paraId="52212CB5">
            <w:pPr>
              <w:spacing w:beforeLines="50"/>
              <w:jc w:val="center"/>
              <w:rPr>
                <w:b/>
                <w:color w:val="auto"/>
                <w:sz w:val="21"/>
                <w:szCs w:val="21"/>
              </w:rPr>
            </w:pPr>
            <w:r>
              <w:rPr>
                <w:b/>
                <w:color w:val="auto"/>
                <w:sz w:val="21"/>
                <w:szCs w:val="21"/>
              </w:rPr>
              <w:t>表4-</w:t>
            </w:r>
            <w:r>
              <w:rPr>
                <w:rFonts w:hint="eastAsia"/>
                <w:b/>
                <w:color w:val="auto"/>
                <w:sz w:val="21"/>
                <w:szCs w:val="21"/>
                <w:lang w:val="en-US" w:eastAsia="zh-CN"/>
              </w:rPr>
              <w:t>9</w:t>
            </w:r>
            <w:r>
              <w:rPr>
                <w:b/>
                <w:color w:val="auto"/>
                <w:sz w:val="21"/>
                <w:szCs w:val="21"/>
              </w:rPr>
              <w:t>本项目危险废物汇总表</w:t>
            </w:r>
          </w:p>
          <w:tbl>
            <w:tblPr>
              <w:tblStyle w:val="54"/>
              <w:tblW w:w="4999" w:type="pct"/>
              <w:tblInd w:w="2" w:type="dxa"/>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Layout w:type="autofit"/>
              <w:tblCellMar>
                <w:top w:w="0" w:type="dxa"/>
                <w:left w:w="0" w:type="dxa"/>
                <w:bottom w:w="0" w:type="dxa"/>
                <w:right w:w="0" w:type="dxa"/>
              </w:tblCellMar>
            </w:tblPr>
            <w:tblGrid>
              <w:gridCol w:w="282"/>
              <w:gridCol w:w="558"/>
              <w:gridCol w:w="1338"/>
              <w:gridCol w:w="1075"/>
              <w:gridCol w:w="688"/>
              <w:gridCol w:w="769"/>
              <w:gridCol w:w="284"/>
              <w:gridCol w:w="422"/>
              <w:gridCol w:w="422"/>
              <w:gridCol w:w="422"/>
              <w:gridCol w:w="422"/>
              <w:gridCol w:w="1778"/>
            </w:tblGrid>
            <w:tr w14:paraId="558EFE97">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7" w:type="pct"/>
                  <w:tcBorders>
                    <w:top w:val="single" w:color="000000" w:sz="12" w:space="0"/>
                    <w:left w:val="nil"/>
                    <w:tl2br w:val="nil"/>
                  </w:tcBorders>
                  <w:shd w:val="clear" w:color="auto" w:fill="FFFFFF"/>
                  <w:noWrap w:val="0"/>
                  <w:vAlign w:val="center"/>
                </w:tcPr>
                <w:p w14:paraId="32C2BF03">
                  <w:pPr>
                    <w:jc w:val="center"/>
                    <w:rPr>
                      <w:b w:val="0"/>
                      <w:color w:val="000000"/>
                      <w:szCs w:val="21"/>
                    </w:rPr>
                  </w:pPr>
                  <w:r>
                    <w:rPr>
                      <w:b w:val="0"/>
                      <w:color w:val="000000"/>
                      <w:szCs w:val="21"/>
                    </w:rPr>
                    <w:t>序号</w:t>
                  </w:r>
                </w:p>
              </w:tc>
              <w:tc>
                <w:tcPr>
                  <w:tcW w:w="330" w:type="pct"/>
                  <w:tcBorders>
                    <w:top w:val="single" w:color="000000" w:sz="12" w:space="0"/>
                  </w:tcBorders>
                  <w:shd w:val="clear" w:color="auto" w:fill="FFFFFF"/>
                  <w:noWrap w:val="0"/>
                  <w:vAlign w:val="center"/>
                </w:tcPr>
                <w:p w14:paraId="0DBDA7D5">
                  <w:pPr>
                    <w:jc w:val="center"/>
                    <w:rPr>
                      <w:b w:val="0"/>
                      <w:color w:val="000000"/>
                      <w:szCs w:val="21"/>
                    </w:rPr>
                  </w:pPr>
                  <w:r>
                    <w:rPr>
                      <w:b w:val="0"/>
                      <w:color w:val="000000"/>
                      <w:szCs w:val="21"/>
                    </w:rPr>
                    <w:t>危险废物名称</w:t>
                  </w:r>
                </w:p>
              </w:tc>
              <w:tc>
                <w:tcPr>
                  <w:tcW w:w="790" w:type="pct"/>
                  <w:tcBorders>
                    <w:top w:val="single" w:color="000000" w:sz="12" w:space="0"/>
                  </w:tcBorders>
                  <w:shd w:val="clear" w:color="auto" w:fill="FFFFFF"/>
                  <w:noWrap w:val="0"/>
                  <w:vAlign w:val="center"/>
                </w:tcPr>
                <w:p w14:paraId="00522726">
                  <w:pPr>
                    <w:jc w:val="center"/>
                    <w:rPr>
                      <w:b w:val="0"/>
                      <w:color w:val="000000"/>
                      <w:szCs w:val="21"/>
                    </w:rPr>
                  </w:pPr>
                  <w:r>
                    <w:rPr>
                      <w:b w:val="0"/>
                      <w:color w:val="000000"/>
                      <w:szCs w:val="21"/>
                    </w:rPr>
                    <w:t>危险废物类别</w:t>
                  </w:r>
                </w:p>
              </w:tc>
              <w:tc>
                <w:tcPr>
                  <w:tcW w:w="635" w:type="pct"/>
                  <w:tcBorders>
                    <w:top w:val="single" w:color="000000" w:sz="12" w:space="0"/>
                  </w:tcBorders>
                  <w:shd w:val="clear" w:color="auto" w:fill="FFFFFF"/>
                  <w:noWrap w:val="0"/>
                  <w:vAlign w:val="center"/>
                </w:tcPr>
                <w:p w14:paraId="79564D8E">
                  <w:pPr>
                    <w:jc w:val="center"/>
                    <w:rPr>
                      <w:b w:val="0"/>
                      <w:color w:val="000000"/>
                      <w:szCs w:val="21"/>
                    </w:rPr>
                  </w:pPr>
                  <w:r>
                    <w:rPr>
                      <w:b w:val="0"/>
                      <w:color w:val="000000"/>
                      <w:szCs w:val="21"/>
                    </w:rPr>
                    <w:t>危险废物代码</w:t>
                  </w:r>
                </w:p>
              </w:tc>
              <w:tc>
                <w:tcPr>
                  <w:tcW w:w="406" w:type="pct"/>
                  <w:tcBorders>
                    <w:top w:val="single" w:color="000000" w:sz="12" w:space="0"/>
                  </w:tcBorders>
                  <w:shd w:val="clear" w:color="auto" w:fill="FFFFFF"/>
                  <w:noWrap w:val="0"/>
                  <w:vAlign w:val="center"/>
                </w:tcPr>
                <w:p w14:paraId="6AB6B932">
                  <w:pPr>
                    <w:jc w:val="center"/>
                    <w:rPr>
                      <w:b w:val="0"/>
                      <w:color w:val="000000"/>
                      <w:szCs w:val="21"/>
                    </w:rPr>
                  </w:pPr>
                  <w:r>
                    <w:rPr>
                      <w:b w:val="0"/>
                      <w:color w:val="000000"/>
                      <w:szCs w:val="21"/>
                    </w:rPr>
                    <w:t>产生量</w:t>
                  </w:r>
                </w:p>
              </w:tc>
              <w:tc>
                <w:tcPr>
                  <w:tcW w:w="454" w:type="pct"/>
                  <w:tcBorders>
                    <w:top w:val="single" w:color="000000" w:sz="12" w:space="0"/>
                  </w:tcBorders>
                  <w:shd w:val="clear" w:color="auto" w:fill="FFFFFF"/>
                  <w:noWrap w:val="0"/>
                  <w:vAlign w:val="center"/>
                </w:tcPr>
                <w:p w14:paraId="16992311">
                  <w:pPr>
                    <w:jc w:val="center"/>
                    <w:rPr>
                      <w:b w:val="0"/>
                      <w:color w:val="000000"/>
                      <w:szCs w:val="21"/>
                    </w:rPr>
                  </w:pPr>
                  <w:r>
                    <w:rPr>
                      <w:b w:val="0"/>
                      <w:color w:val="000000"/>
                      <w:szCs w:val="21"/>
                    </w:rPr>
                    <w:t>产生工序及装置</w:t>
                  </w:r>
                </w:p>
              </w:tc>
              <w:tc>
                <w:tcPr>
                  <w:tcW w:w="168" w:type="pct"/>
                  <w:tcBorders>
                    <w:top w:val="single" w:color="000000" w:sz="12" w:space="0"/>
                  </w:tcBorders>
                  <w:shd w:val="clear" w:color="auto" w:fill="FFFFFF"/>
                  <w:noWrap w:val="0"/>
                  <w:vAlign w:val="center"/>
                </w:tcPr>
                <w:p w14:paraId="130446B6">
                  <w:pPr>
                    <w:jc w:val="center"/>
                    <w:rPr>
                      <w:b w:val="0"/>
                      <w:color w:val="000000"/>
                      <w:szCs w:val="21"/>
                    </w:rPr>
                  </w:pPr>
                  <w:r>
                    <w:rPr>
                      <w:b w:val="0"/>
                      <w:color w:val="000000"/>
                      <w:szCs w:val="21"/>
                    </w:rPr>
                    <w:t>形态</w:t>
                  </w:r>
                </w:p>
              </w:tc>
              <w:tc>
                <w:tcPr>
                  <w:tcW w:w="249" w:type="pct"/>
                  <w:tcBorders>
                    <w:top w:val="single" w:color="000000" w:sz="12" w:space="0"/>
                  </w:tcBorders>
                  <w:shd w:val="clear" w:color="auto" w:fill="FFFFFF"/>
                  <w:noWrap w:val="0"/>
                  <w:vAlign w:val="center"/>
                </w:tcPr>
                <w:p w14:paraId="01E1A6FE">
                  <w:pPr>
                    <w:jc w:val="center"/>
                    <w:rPr>
                      <w:b w:val="0"/>
                      <w:color w:val="000000"/>
                      <w:szCs w:val="21"/>
                    </w:rPr>
                  </w:pPr>
                  <w:r>
                    <w:rPr>
                      <w:b w:val="0"/>
                      <w:color w:val="000000"/>
                      <w:szCs w:val="21"/>
                    </w:rPr>
                    <w:t>主要成分</w:t>
                  </w:r>
                </w:p>
              </w:tc>
              <w:tc>
                <w:tcPr>
                  <w:tcW w:w="249" w:type="pct"/>
                  <w:tcBorders>
                    <w:top w:val="single" w:color="000000" w:sz="12" w:space="0"/>
                  </w:tcBorders>
                  <w:shd w:val="clear" w:color="auto" w:fill="FFFFFF"/>
                  <w:noWrap w:val="0"/>
                  <w:vAlign w:val="center"/>
                </w:tcPr>
                <w:p w14:paraId="2EDE6C6E">
                  <w:pPr>
                    <w:jc w:val="center"/>
                    <w:rPr>
                      <w:b w:val="0"/>
                      <w:color w:val="000000"/>
                      <w:szCs w:val="21"/>
                    </w:rPr>
                  </w:pPr>
                  <w:r>
                    <w:rPr>
                      <w:b w:val="0"/>
                      <w:color w:val="000000"/>
                      <w:szCs w:val="21"/>
                    </w:rPr>
                    <w:t>有害成分</w:t>
                  </w:r>
                </w:p>
              </w:tc>
              <w:tc>
                <w:tcPr>
                  <w:tcW w:w="249" w:type="pct"/>
                  <w:tcBorders>
                    <w:top w:val="single" w:color="000000" w:sz="12" w:space="0"/>
                  </w:tcBorders>
                  <w:shd w:val="clear" w:color="auto" w:fill="FFFFFF"/>
                  <w:noWrap w:val="0"/>
                  <w:vAlign w:val="center"/>
                </w:tcPr>
                <w:p w14:paraId="624C9BE4">
                  <w:pPr>
                    <w:jc w:val="center"/>
                    <w:rPr>
                      <w:b w:val="0"/>
                      <w:color w:val="000000"/>
                      <w:szCs w:val="21"/>
                    </w:rPr>
                  </w:pPr>
                  <w:r>
                    <w:rPr>
                      <w:b w:val="0"/>
                      <w:color w:val="000000"/>
                      <w:szCs w:val="21"/>
                    </w:rPr>
                    <w:t>产废周期</w:t>
                  </w:r>
                </w:p>
              </w:tc>
              <w:tc>
                <w:tcPr>
                  <w:tcW w:w="249" w:type="pct"/>
                  <w:tcBorders>
                    <w:top w:val="single" w:color="000000" w:sz="12" w:space="0"/>
                  </w:tcBorders>
                  <w:shd w:val="clear" w:color="auto" w:fill="FFFFFF"/>
                  <w:noWrap w:val="0"/>
                  <w:vAlign w:val="center"/>
                </w:tcPr>
                <w:p w14:paraId="73B95904">
                  <w:pPr>
                    <w:jc w:val="center"/>
                    <w:rPr>
                      <w:b w:val="0"/>
                      <w:color w:val="000000"/>
                      <w:szCs w:val="21"/>
                    </w:rPr>
                  </w:pPr>
                  <w:r>
                    <w:rPr>
                      <w:b w:val="0"/>
                      <w:color w:val="000000"/>
                      <w:szCs w:val="21"/>
                    </w:rPr>
                    <w:t>危险特性</w:t>
                  </w:r>
                </w:p>
              </w:tc>
              <w:tc>
                <w:tcPr>
                  <w:tcW w:w="1050" w:type="pct"/>
                  <w:tcBorders>
                    <w:top w:val="single" w:color="000000" w:sz="12" w:space="0"/>
                    <w:right w:val="nil"/>
                  </w:tcBorders>
                  <w:shd w:val="clear" w:color="auto" w:fill="FFFFFF"/>
                  <w:noWrap w:val="0"/>
                  <w:vAlign w:val="center"/>
                </w:tcPr>
                <w:p w14:paraId="0A971B3C">
                  <w:pPr>
                    <w:jc w:val="center"/>
                    <w:rPr>
                      <w:b w:val="0"/>
                      <w:color w:val="000000"/>
                    </w:rPr>
                  </w:pPr>
                  <w:r>
                    <w:rPr>
                      <w:b w:val="0"/>
                      <w:color w:val="000000"/>
                    </w:rPr>
                    <w:t>污染防治措施</w:t>
                  </w:r>
                </w:p>
              </w:tc>
            </w:tr>
            <w:tr w14:paraId="7D5CBFF6">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PrEx>
              <w:trPr>
                <w:trHeight w:val="340" w:hRule="atLeast"/>
              </w:trPr>
              <w:tc>
                <w:tcPr>
                  <w:tcW w:w="167" w:type="pct"/>
                  <w:tcBorders>
                    <w:left w:val="nil"/>
                  </w:tcBorders>
                  <w:shd w:val="clear" w:color="auto" w:fill="FFFFFF"/>
                  <w:noWrap w:val="0"/>
                  <w:vAlign w:val="center"/>
                </w:tcPr>
                <w:p w14:paraId="08748B3A">
                  <w:pPr>
                    <w:jc w:val="center"/>
                    <w:rPr>
                      <w:b w:val="0"/>
                      <w:color w:val="000000"/>
                      <w:szCs w:val="21"/>
                    </w:rPr>
                  </w:pPr>
                  <w:r>
                    <w:rPr>
                      <w:rFonts w:hint="eastAsia"/>
                      <w:b w:val="0"/>
                      <w:color w:val="000000"/>
                      <w:szCs w:val="21"/>
                    </w:rPr>
                    <w:t>1</w:t>
                  </w:r>
                </w:p>
              </w:tc>
              <w:tc>
                <w:tcPr>
                  <w:tcW w:w="330" w:type="pct"/>
                  <w:shd w:val="clear" w:color="auto" w:fill="FFFFFF"/>
                  <w:noWrap w:val="0"/>
                  <w:vAlign w:val="center"/>
                </w:tcPr>
                <w:p w14:paraId="2083F93A">
                  <w:pPr>
                    <w:jc w:val="center"/>
                    <w:rPr>
                      <w:b w:val="0"/>
                      <w:color w:val="000000"/>
                      <w:szCs w:val="21"/>
                    </w:rPr>
                  </w:pPr>
                  <w:r>
                    <w:rPr>
                      <w:rFonts w:hint="eastAsia"/>
                      <w:b w:val="0"/>
                      <w:color w:val="000000"/>
                      <w:szCs w:val="21"/>
                    </w:rPr>
                    <w:t>废机油</w:t>
                  </w:r>
                </w:p>
              </w:tc>
              <w:tc>
                <w:tcPr>
                  <w:tcW w:w="790" w:type="pct"/>
                  <w:shd w:val="clear" w:color="auto" w:fill="FFFFFF"/>
                  <w:noWrap w:val="0"/>
                  <w:vAlign w:val="center"/>
                </w:tcPr>
                <w:p w14:paraId="5976DEDD">
                  <w:pPr>
                    <w:jc w:val="center"/>
                    <w:rPr>
                      <w:b w:val="0"/>
                      <w:color w:val="000000"/>
                      <w:szCs w:val="21"/>
                    </w:rPr>
                  </w:pPr>
                  <w:r>
                    <w:rPr>
                      <w:b w:val="0"/>
                      <w:color w:val="000000"/>
                      <w:szCs w:val="21"/>
                    </w:rPr>
                    <w:t>HW08废矿物油与含矿物油废物</w:t>
                  </w:r>
                </w:p>
              </w:tc>
              <w:tc>
                <w:tcPr>
                  <w:tcW w:w="635" w:type="pct"/>
                  <w:shd w:val="clear" w:color="auto" w:fill="FFFFFF"/>
                  <w:noWrap w:val="0"/>
                  <w:vAlign w:val="center"/>
                </w:tcPr>
                <w:p w14:paraId="0ABD6B28">
                  <w:pPr>
                    <w:jc w:val="center"/>
                    <w:rPr>
                      <w:b w:val="0"/>
                      <w:color w:val="000000"/>
                      <w:szCs w:val="21"/>
                    </w:rPr>
                  </w:pPr>
                  <w:r>
                    <w:rPr>
                      <w:b w:val="0"/>
                      <w:color w:val="000000"/>
                      <w:szCs w:val="21"/>
                    </w:rPr>
                    <w:t>900-214-08</w:t>
                  </w:r>
                </w:p>
              </w:tc>
              <w:tc>
                <w:tcPr>
                  <w:tcW w:w="406" w:type="pct"/>
                  <w:shd w:val="clear" w:color="auto" w:fill="FFFFFF"/>
                  <w:noWrap w:val="0"/>
                  <w:vAlign w:val="center"/>
                </w:tcPr>
                <w:p w14:paraId="794DF165">
                  <w:pPr>
                    <w:jc w:val="center"/>
                    <w:rPr>
                      <w:b w:val="0"/>
                      <w:color w:val="000000"/>
                      <w:szCs w:val="21"/>
                    </w:rPr>
                  </w:pPr>
                  <w:r>
                    <w:rPr>
                      <w:b w:val="0"/>
                      <w:color w:val="000000"/>
                      <w:szCs w:val="21"/>
                    </w:rPr>
                    <w:t>0.</w:t>
                  </w:r>
                  <w:r>
                    <w:rPr>
                      <w:rFonts w:hint="eastAsia"/>
                      <w:b w:val="0"/>
                      <w:color w:val="000000"/>
                      <w:szCs w:val="21"/>
                    </w:rPr>
                    <w:t>05</w:t>
                  </w:r>
                  <w:r>
                    <w:rPr>
                      <w:b w:val="0"/>
                      <w:color w:val="000000"/>
                      <w:szCs w:val="21"/>
                    </w:rPr>
                    <w:t>t/a</w:t>
                  </w:r>
                </w:p>
              </w:tc>
              <w:tc>
                <w:tcPr>
                  <w:tcW w:w="454" w:type="pct"/>
                  <w:shd w:val="clear" w:color="auto" w:fill="FFFFFF"/>
                  <w:noWrap w:val="0"/>
                  <w:vAlign w:val="center"/>
                </w:tcPr>
                <w:p w14:paraId="620AF2F1">
                  <w:pPr>
                    <w:jc w:val="center"/>
                    <w:rPr>
                      <w:b w:val="0"/>
                      <w:color w:val="000000"/>
                      <w:szCs w:val="21"/>
                    </w:rPr>
                  </w:pPr>
                  <w:r>
                    <w:rPr>
                      <w:rFonts w:hint="eastAsia"/>
                      <w:b w:val="0"/>
                      <w:color w:val="000000"/>
                      <w:szCs w:val="21"/>
                    </w:rPr>
                    <w:t>设备润滑、维修</w:t>
                  </w:r>
                </w:p>
              </w:tc>
              <w:tc>
                <w:tcPr>
                  <w:tcW w:w="168" w:type="pct"/>
                  <w:shd w:val="clear" w:color="auto" w:fill="FFFFFF"/>
                  <w:noWrap w:val="0"/>
                  <w:vAlign w:val="center"/>
                </w:tcPr>
                <w:p w14:paraId="0CCBF532">
                  <w:pPr>
                    <w:jc w:val="center"/>
                    <w:rPr>
                      <w:b w:val="0"/>
                      <w:color w:val="000000"/>
                      <w:szCs w:val="21"/>
                    </w:rPr>
                  </w:pPr>
                  <w:r>
                    <w:rPr>
                      <w:b w:val="0"/>
                      <w:color w:val="000000"/>
                      <w:szCs w:val="21"/>
                    </w:rPr>
                    <w:t>液态</w:t>
                  </w:r>
                </w:p>
              </w:tc>
              <w:tc>
                <w:tcPr>
                  <w:tcW w:w="249" w:type="pct"/>
                  <w:shd w:val="clear" w:color="auto" w:fill="FFFFFF"/>
                  <w:noWrap w:val="0"/>
                  <w:vAlign w:val="center"/>
                </w:tcPr>
                <w:p w14:paraId="3473A474">
                  <w:pPr>
                    <w:jc w:val="center"/>
                    <w:rPr>
                      <w:b w:val="0"/>
                      <w:color w:val="000000"/>
                      <w:szCs w:val="21"/>
                    </w:rPr>
                  </w:pPr>
                  <w:r>
                    <w:rPr>
                      <w:b w:val="0"/>
                      <w:color w:val="000000"/>
                      <w:szCs w:val="21"/>
                    </w:rPr>
                    <w:t>矿物油</w:t>
                  </w:r>
                </w:p>
              </w:tc>
              <w:tc>
                <w:tcPr>
                  <w:tcW w:w="249" w:type="pct"/>
                  <w:shd w:val="clear" w:color="auto" w:fill="FFFFFF"/>
                  <w:noWrap w:val="0"/>
                  <w:vAlign w:val="center"/>
                </w:tcPr>
                <w:p w14:paraId="3D337FA8">
                  <w:pPr>
                    <w:jc w:val="center"/>
                    <w:rPr>
                      <w:b w:val="0"/>
                      <w:color w:val="000000"/>
                      <w:szCs w:val="21"/>
                    </w:rPr>
                  </w:pPr>
                  <w:r>
                    <w:rPr>
                      <w:b w:val="0"/>
                      <w:color w:val="000000"/>
                      <w:szCs w:val="21"/>
                    </w:rPr>
                    <w:t>油脂</w:t>
                  </w:r>
                </w:p>
              </w:tc>
              <w:tc>
                <w:tcPr>
                  <w:tcW w:w="249" w:type="pct"/>
                  <w:shd w:val="clear" w:color="auto" w:fill="FFFFFF"/>
                  <w:noWrap w:val="0"/>
                  <w:vAlign w:val="center"/>
                </w:tcPr>
                <w:p w14:paraId="274AA933">
                  <w:pPr>
                    <w:jc w:val="center"/>
                    <w:rPr>
                      <w:b w:val="0"/>
                      <w:color w:val="000000"/>
                      <w:szCs w:val="21"/>
                    </w:rPr>
                  </w:pPr>
                  <w:r>
                    <w:rPr>
                      <w:b w:val="0"/>
                      <w:color w:val="000000"/>
                      <w:szCs w:val="21"/>
                    </w:rPr>
                    <w:t>1年</w:t>
                  </w:r>
                </w:p>
              </w:tc>
              <w:tc>
                <w:tcPr>
                  <w:tcW w:w="249" w:type="pct"/>
                  <w:shd w:val="clear" w:color="auto" w:fill="FFFFFF"/>
                  <w:noWrap w:val="0"/>
                  <w:vAlign w:val="center"/>
                </w:tcPr>
                <w:p w14:paraId="2A9CF836">
                  <w:pPr>
                    <w:jc w:val="center"/>
                    <w:rPr>
                      <w:b w:val="0"/>
                      <w:color w:val="000000"/>
                      <w:szCs w:val="21"/>
                    </w:rPr>
                  </w:pPr>
                  <w:r>
                    <w:rPr>
                      <w:b w:val="0"/>
                      <w:color w:val="000000"/>
                      <w:szCs w:val="21"/>
                    </w:rPr>
                    <w:t>毒性</w:t>
                  </w:r>
                </w:p>
              </w:tc>
              <w:tc>
                <w:tcPr>
                  <w:tcW w:w="1050" w:type="pct"/>
                  <w:vMerge w:val="restart"/>
                  <w:tcBorders>
                    <w:right w:val="nil"/>
                  </w:tcBorders>
                  <w:shd w:val="clear" w:color="auto" w:fill="FFFFFF"/>
                  <w:noWrap w:val="0"/>
                  <w:vAlign w:val="center"/>
                </w:tcPr>
                <w:p w14:paraId="015E3628">
                  <w:pPr>
                    <w:jc w:val="center"/>
                    <w:rPr>
                      <w:b w:val="0"/>
                      <w:color w:val="000000"/>
                    </w:rPr>
                  </w:pPr>
                  <w:r>
                    <w:rPr>
                      <w:rFonts w:hint="eastAsia"/>
                      <w:b w:val="0"/>
                      <w:color w:val="000000"/>
                    </w:rPr>
                    <w:t>暂存厂区内现有危废贮存库</w:t>
                  </w:r>
                  <w:r>
                    <w:rPr>
                      <w:b w:val="0"/>
                      <w:color w:val="000000"/>
                    </w:rPr>
                    <w:t>，</w:t>
                  </w:r>
                  <w:r>
                    <w:rPr>
                      <w:rFonts w:hint="eastAsia"/>
                      <w:b w:val="0"/>
                      <w:color w:val="000000"/>
                    </w:rPr>
                    <w:t>定期委托有资质单位处理</w:t>
                  </w:r>
                </w:p>
              </w:tc>
            </w:tr>
            <w:tr w14:paraId="3DB89F71">
              <w:tblPrEx>
                <w:tblBorders>
                  <w:top w:val="single" w:color="000000" w:sz="2" w:space="0"/>
                  <w:left w:val="single" w:color="000000" w:sz="2" w:space="0"/>
                  <w:bottom w:val="single" w:color="000000" w:sz="2" w:space="0"/>
                  <w:right w:val="single" w:color="000000"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7" w:type="pct"/>
                  <w:tcBorders>
                    <w:left w:val="nil"/>
                    <w:bottom w:val="single" w:color="000000" w:sz="12" w:space="0"/>
                  </w:tcBorders>
                  <w:shd w:val="clear" w:color="auto" w:fill="FFFFFF"/>
                  <w:noWrap w:val="0"/>
                  <w:vAlign w:val="center"/>
                </w:tcPr>
                <w:p w14:paraId="4B4315BF">
                  <w:pPr>
                    <w:jc w:val="center"/>
                    <w:rPr>
                      <w:b w:val="0"/>
                      <w:color w:val="000000"/>
                      <w:szCs w:val="21"/>
                    </w:rPr>
                  </w:pPr>
                  <w:r>
                    <w:rPr>
                      <w:b w:val="0"/>
                      <w:color w:val="000000"/>
                      <w:szCs w:val="21"/>
                    </w:rPr>
                    <w:t>2</w:t>
                  </w:r>
                </w:p>
              </w:tc>
              <w:tc>
                <w:tcPr>
                  <w:tcW w:w="330" w:type="pct"/>
                  <w:tcBorders>
                    <w:bottom w:val="single" w:color="000000" w:sz="12" w:space="0"/>
                  </w:tcBorders>
                  <w:shd w:val="clear" w:color="auto" w:fill="FFFFFF"/>
                  <w:noWrap w:val="0"/>
                  <w:vAlign w:val="center"/>
                </w:tcPr>
                <w:p w14:paraId="3F406BC6">
                  <w:pPr>
                    <w:jc w:val="center"/>
                    <w:rPr>
                      <w:b w:val="0"/>
                      <w:color w:val="000000"/>
                      <w:szCs w:val="21"/>
                    </w:rPr>
                  </w:pPr>
                  <w:r>
                    <w:rPr>
                      <w:rFonts w:hint="eastAsia"/>
                      <w:b w:val="0"/>
                      <w:color w:val="000000"/>
                      <w:szCs w:val="21"/>
                    </w:rPr>
                    <w:t>废油桶</w:t>
                  </w:r>
                </w:p>
              </w:tc>
              <w:tc>
                <w:tcPr>
                  <w:tcW w:w="790" w:type="pct"/>
                  <w:tcBorders>
                    <w:bottom w:val="single" w:color="000000" w:sz="12" w:space="0"/>
                  </w:tcBorders>
                  <w:shd w:val="clear" w:color="auto" w:fill="FFFFFF"/>
                  <w:noWrap w:val="0"/>
                  <w:vAlign w:val="center"/>
                </w:tcPr>
                <w:p w14:paraId="7B64D13B">
                  <w:pPr>
                    <w:jc w:val="center"/>
                    <w:rPr>
                      <w:b w:val="0"/>
                      <w:color w:val="000000"/>
                      <w:szCs w:val="21"/>
                    </w:rPr>
                  </w:pPr>
                  <w:r>
                    <w:rPr>
                      <w:b w:val="0"/>
                      <w:color w:val="000000"/>
                      <w:szCs w:val="21"/>
                    </w:rPr>
                    <w:t>HW08废矿物油与含矿物油废物</w:t>
                  </w:r>
                </w:p>
              </w:tc>
              <w:tc>
                <w:tcPr>
                  <w:tcW w:w="635" w:type="pct"/>
                  <w:tcBorders>
                    <w:bottom w:val="single" w:color="000000" w:sz="12" w:space="0"/>
                  </w:tcBorders>
                  <w:shd w:val="clear" w:color="auto" w:fill="FFFFFF"/>
                  <w:noWrap w:val="0"/>
                  <w:vAlign w:val="center"/>
                </w:tcPr>
                <w:p w14:paraId="08C29E2D">
                  <w:pPr>
                    <w:jc w:val="center"/>
                    <w:rPr>
                      <w:b w:val="0"/>
                      <w:color w:val="000000"/>
                      <w:szCs w:val="21"/>
                    </w:rPr>
                  </w:pPr>
                  <w:r>
                    <w:rPr>
                      <w:b w:val="0"/>
                      <w:color w:val="000000"/>
                      <w:szCs w:val="21"/>
                    </w:rPr>
                    <w:t>900-249-08</w:t>
                  </w:r>
                </w:p>
              </w:tc>
              <w:tc>
                <w:tcPr>
                  <w:tcW w:w="406" w:type="pct"/>
                  <w:tcBorders>
                    <w:bottom w:val="single" w:color="000000" w:sz="12" w:space="0"/>
                  </w:tcBorders>
                  <w:shd w:val="clear" w:color="auto" w:fill="FFFFFF"/>
                  <w:noWrap w:val="0"/>
                  <w:vAlign w:val="center"/>
                </w:tcPr>
                <w:p w14:paraId="31375F61">
                  <w:pPr>
                    <w:jc w:val="center"/>
                    <w:rPr>
                      <w:b w:val="0"/>
                      <w:color w:val="000000"/>
                      <w:szCs w:val="21"/>
                    </w:rPr>
                  </w:pPr>
                  <w:r>
                    <w:rPr>
                      <w:rFonts w:hint="eastAsia"/>
                      <w:b w:val="0"/>
                      <w:color w:val="000000"/>
                      <w:szCs w:val="21"/>
                    </w:rPr>
                    <w:t>10个</w:t>
                  </w:r>
                </w:p>
              </w:tc>
              <w:tc>
                <w:tcPr>
                  <w:tcW w:w="454" w:type="pct"/>
                  <w:tcBorders>
                    <w:bottom w:val="single" w:color="000000" w:sz="12" w:space="0"/>
                  </w:tcBorders>
                  <w:shd w:val="clear" w:color="auto" w:fill="FFFFFF"/>
                  <w:noWrap w:val="0"/>
                  <w:vAlign w:val="center"/>
                </w:tcPr>
                <w:p w14:paraId="36D406FF">
                  <w:pPr>
                    <w:jc w:val="center"/>
                    <w:rPr>
                      <w:b w:val="0"/>
                      <w:color w:val="000000"/>
                      <w:szCs w:val="21"/>
                    </w:rPr>
                  </w:pPr>
                  <w:r>
                    <w:rPr>
                      <w:b w:val="0"/>
                      <w:color w:val="000000"/>
                      <w:szCs w:val="21"/>
                    </w:rPr>
                    <w:t>设备</w:t>
                  </w:r>
                  <w:r>
                    <w:rPr>
                      <w:rFonts w:hint="eastAsia"/>
                      <w:b w:val="0"/>
                      <w:color w:val="000000"/>
                      <w:szCs w:val="21"/>
                    </w:rPr>
                    <w:t>润滑、维修</w:t>
                  </w:r>
                </w:p>
              </w:tc>
              <w:tc>
                <w:tcPr>
                  <w:tcW w:w="168" w:type="pct"/>
                  <w:tcBorders>
                    <w:bottom w:val="single" w:color="000000" w:sz="12" w:space="0"/>
                  </w:tcBorders>
                  <w:shd w:val="clear" w:color="auto" w:fill="FFFFFF"/>
                  <w:noWrap w:val="0"/>
                  <w:vAlign w:val="center"/>
                </w:tcPr>
                <w:p w14:paraId="44A8E5CD">
                  <w:pPr>
                    <w:jc w:val="center"/>
                    <w:rPr>
                      <w:b w:val="0"/>
                      <w:color w:val="000000"/>
                      <w:szCs w:val="21"/>
                    </w:rPr>
                  </w:pPr>
                  <w:r>
                    <w:rPr>
                      <w:rFonts w:hint="eastAsia"/>
                      <w:b w:val="0"/>
                      <w:color w:val="000000"/>
                      <w:szCs w:val="21"/>
                    </w:rPr>
                    <w:t>固态</w:t>
                  </w:r>
                </w:p>
              </w:tc>
              <w:tc>
                <w:tcPr>
                  <w:tcW w:w="249" w:type="pct"/>
                  <w:tcBorders>
                    <w:bottom w:val="single" w:color="000000" w:sz="12" w:space="0"/>
                  </w:tcBorders>
                  <w:shd w:val="clear" w:color="auto" w:fill="FFFFFF"/>
                  <w:noWrap w:val="0"/>
                  <w:vAlign w:val="center"/>
                </w:tcPr>
                <w:p w14:paraId="55829A0C">
                  <w:pPr>
                    <w:jc w:val="center"/>
                    <w:rPr>
                      <w:b w:val="0"/>
                      <w:color w:val="000000"/>
                      <w:szCs w:val="21"/>
                    </w:rPr>
                  </w:pPr>
                  <w:r>
                    <w:rPr>
                      <w:rFonts w:hint="eastAsia"/>
                      <w:b w:val="0"/>
                      <w:color w:val="000000"/>
                      <w:szCs w:val="21"/>
                    </w:rPr>
                    <w:t>矿物油</w:t>
                  </w:r>
                </w:p>
              </w:tc>
              <w:tc>
                <w:tcPr>
                  <w:tcW w:w="249" w:type="pct"/>
                  <w:tcBorders>
                    <w:bottom w:val="single" w:color="000000" w:sz="12" w:space="0"/>
                  </w:tcBorders>
                  <w:shd w:val="clear" w:color="auto" w:fill="FFFFFF"/>
                  <w:noWrap w:val="0"/>
                  <w:vAlign w:val="center"/>
                </w:tcPr>
                <w:p w14:paraId="11DF0695">
                  <w:pPr>
                    <w:jc w:val="center"/>
                    <w:rPr>
                      <w:b w:val="0"/>
                      <w:color w:val="000000"/>
                      <w:szCs w:val="21"/>
                    </w:rPr>
                  </w:pPr>
                  <w:r>
                    <w:rPr>
                      <w:b w:val="0"/>
                      <w:color w:val="000000"/>
                      <w:szCs w:val="21"/>
                    </w:rPr>
                    <w:t>油脂</w:t>
                  </w:r>
                </w:p>
              </w:tc>
              <w:tc>
                <w:tcPr>
                  <w:tcW w:w="249" w:type="pct"/>
                  <w:tcBorders>
                    <w:bottom w:val="single" w:color="000000" w:sz="12" w:space="0"/>
                  </w:tcBorders>
                  <w:shd w:val="clear" w:color="auto" w:fill="FFFFFF"/>
                  <w:noWrap w:val="0"/>
                  <w:vAlign w:val="center"/>
                </w:tcPr>
                <w:p w14:paraId="54BF5E39">
                  <w:pPr>
                    <w:jc w:val="center"/>
                    <w:rPr>
                      <w:b w:val="0"/>
                      <w:color w:val="000000"/>
                      <w:szCs w:val="21"/>
                    </w:rPr>
                  </w:pPr>
                  <w:r>
                    <w:rPr>
                      <w:rFonts w:hint="eastAsia"/>
                      <w:b w:val="0"/>
                      <w:color w:val="000000"/>
                      <w:szCs w:val="21"/>
                    </w:rPr>
                    <w:t>1</w:t>
                  </w:r>
                  <w:r>
                    <w:rPr>
                      <w:b w:val="0"/>
                      <w:color w:val="000000"/>
                      <w:szCs w:val="21"/>
                    </w:rPr>
                    <w:t>年</w:t>
                  </w:r>
                </w:p>
              </w:tc>
              <w:tc>
                <w:tcPr>
                  <w:tcW w:w="249" w:type="pct"/>
                  <w:tcBorders>
                    <w:bottom w:val="single" w:color="000000" w:sz="12" w:space="0"/>
                  </w:tcBorders>
                  <w:shd w:val="clear" w:color="auto" w:fill="FFFFFF"/>
                  <w:noWrap w:val="0"/>
                  <w:vAlign w:val="center"/>
                </w:tcPr>
                <w:p w14:paraId="6F9B1DFB">
                  <w:pPr>
                    <w:jc w:val="center"/>
                    <w:rPr>
                      <w:b w:val="0"/>
                      <w:color w:val="000000"/>
                      <w:szCs w:val="21"/>
                    </w:rPr>
                  </w:pPr>
                  <w:r>
                    <w:rPr>
                      <w:b w:val="0"/>
                      <w:color w:val="000000"/>
                      <w:szCs w:val="21"/>
                    </w:rPr>
                    <w:t>毒性</w:t>
                  </w:r>
                </w:p>
              </w:tc>
              <w:tc>
                <w:tcPr>
                  <w:tcW w:w="1050" w:type="pct"/>
                  <w:vMerge w:val="continue"/>
                  <w:tcBorders>
                    <w:bottom w:val="single" w:color="000000" w:sz="12" w:space="0"/>
                    <w:right w:val="nil"/>
                  </w:tcBorders>
                  <w:shd w:val="clear" w:color="auto" w:fill="FFFFFF"/>
                  <w:noWrap w:val="0"/>
                  <w:vAlign w:val="center"/>
                </w:tcPr>
                <w:p w14:paraId="7D2C58AC">
                  <w:pPr>
                    <w:jc w:val="center"/>
                    <w:rPr>
                      <w:b w:val="0"/>
                      <w:color w:val="000000"/>
                    </w:rPr>
                  </w:pPr>
                </w:p>
              </w:tc>
            </w:tr>
          </w:tbl>
          <w:p w14:paraId="1C16DEEF">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ascii="宋体" w:hAnsi="宋体" w:cs="宋体"/>
                <w:color w:val="auto"/>
                <w:sz w:val="24"/>
              </w:rPr>
            </w:pPr>
            <w:r>
              <w:rPr>
                <w:color w:val="auto"/>
                <w:sz w:val="24"/>
              </w:rPr>
              <w:t>本</w:t>
            </w:r>
            <w:r>
              <w:rPr>
                <w:rFonts w:hint="eastAsia"/>
                <w:color w:val="auto"/>
                <w:sz w:val="24"/>
                <w:lang w:eastAsia="zh-CN"/>
              </w:rPr>
              <w:t>项目</w:t>
            </w:r>
            <w:r>
              <w:rPr>
                <w:rFonts w:hint="eastAsia"/>
                <w:color w:val="auto"/>
                <w:sz w:val="24"/>
              </w:rPr>
              <w:t>利用</w:t>
            </w:r>
            <w:r>
              <w:rPr>
                <w:color w:val="auto"/>
                <w:sz w:val="24"/>
              </w:rPr>
              <w:t>厂区</w:t>
            </w:r>
            <w:r>
              <w:rPr>
                <w:rFonts w:hint="eastAsia"/>
                <w:color w:val="auto"/>
                <w:sz w:val="24"/>
              </w:rPr>
              <w:t>内现有危废贮存库</w:t>
            </w:r>
            <w:r>
              <w:rPr>
                <w:color w:val="auto"/>
                <w:sz w:val="24"/>
              </w:rPr>
              <w:t>，用于暂存</w:t>
            </w:r>
            <w:r>
              <w:rPr>
                <w:rFonts w:hint="eastAsia"/>
                <w:color w:val="auto"/>
                <w:sz w:val="24"/>
              </w:rPr>
              <w:t>废机油和废油桶</w:t>
            </w:r>
            <w:r>
              <w:rPr>
                <w:color w:val="auto"/>
                <w:sz w:val="24"/>
                <w:highlight w:val="none"/>
              </w:rPr>
              <w:t>。</w:t>
            </w:r>
            <w:r>
              <w:rPr>
                <w:rFonts w:hint="eastAsia"/>
                <w:color w:val="auto"/>
                <w:sz w:val="24"/>
                <w:highlight w:val="none"/>
              </w:rPr>
              <w:t>其中危废间防渗参数为：①20厚耐酸砖用沥青胶泥铺砌，②5厚沥青胶</w:t>
            </w:r>
            <w:r>
              <w:rPr>
                <w:rFonts w:hint="eastAsia"/>
                <w:color w:val="auto"/>
                <w:sz w:val="24"/>
              </w:rPr>
              <w:t>泥结合层，③二层沥青玻璃布油毡，用沥青胶泥粘贴隔离层，④水泥浆一道（掺建筑胶）⑤C30素砼。</w:t>
            </w:r>
          </w:p>
          <w:p w14:paraId="5FAF0F1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bCs/>
                <w:color w:val="auto"/>
                <w:sz w:val="24"/>
              </w:rPr>
            </w:pPr>
            <w:r>
              <w:rPr>
                <w:rFonts w:ascii="宋体" w:hAnsi="宋体"/>
                <w:bCs/>
                <w:color w:val="auto"/>
                <w:sz w:val="24"/>
              </w:rPr>
              <w:t>综上所述，本项目固体废物按照废物的性质分别进行</w:t>
            </w:r>
            <w:r>
              <w:rPr>
                <w:rFonts w:hint="eastAsia" w:ascii="宋体" w:hAnsi="宋体"/>
                <w:bCs/>
                <w:color w:val="auto"/>
                <w:sz w:val="24"/>
              </w:rPr>
              <w:t>合理</w:t>
            </w:r>
            <w:r>
              <w:rPr>
                <w:rFonts w:ascii="宋体" w:hAnsi="宋体"/>
                <w:bCs/>
                <w:color w:val="auto"/>
                <w:sz w:val="24"/>
              </w:rPr>
              <w:t>处置，固废处置率100%，对周围环境影响不大。</w:t>
            </w:r>
          </w:p>
          <w:p w14:paraId="23F14D22">
            <w:pPr>
              <w:keepNext w:val="0"/>
              <w:keepLines w:val="0"/>
              <w:pageBreakBefore w:val="0"/>
              <w:widowControl w:val="0"/>
              <w:kinsoku/>
              <w:wordWrap/>
              <w:overflowPunct/>
              <w:topLinePunct w:val="0"/>
              <w:autoSpaceDE/>
              <w:autoSpaceDN/>
              <w:bidi w:val="0"/>
              <w:spacing w:line="360" w:lineRule="auto"/>
              <w:textAlignment w:val="auto"/>
              <w:rPr>
                <w:b/>
                <w:bCs/>
                <w:color w:val="auto"/>
                <w:sz w:val="24"/>
              </w:rPr>
            </w:pPr>
            <w:r>
              <w:rPr>
                <w:b/>
                <w:bCs/>
                <w:color w:val="auto"/>
                <w:sz w:val="24"/>
              </w:rPr>
              <w:t>5</w:t>
            </w:r>
            <w:r>
              <w:rPr>
                <w:rFonts w:hint="eastAsia"/>
                <w:b/>
                <w:bCs/>
                <w:color w:val="auto"/>
                <w:sz w:val="24"/>
              </w:rPr>
              <w:t>、</w:t>
            </w:r>
            <w:r>
              <w:rPr>
                <w:b/>
                <w:bCs/>
                <w:color w:val="auto"/>
                <w:sz w:val="24"/>
              </w:rPr>
              <w:t>运营期</w:t>
            </w:r>
            <w:r>
              <w:rPr>
                <w:rFonts w:hint="eastAsia"/>
                <w:b/>
                <w:bCs/>
                <w:color w:val="auto"/>
                <w:sz w:val="24"/>
              </w:rPr>
              <w:t>地下水、土壤</w:t>
            </w:r>
            <w:r>
              <w:rPr>
                <w:b/>
                <w:bCs/>
                <w:color w:val="auto"/>
                <w:sz w:val="24"/>
              </w:rPr>
              <w:t>环境影响和保护措施</w:t>
            </w:r>
          </w:p>
          <w:p w14:paraId="4514BA64">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color w:val="auto"/>
                <w:sz w:val="24"/>
                <w:highlight w:val="none"/>
              </w:rPr>
            </w:pPr>
            <w:r>
              <w:rPr>
                <w:rFonts w:hint="eastAsia"/>
                <w:color w:val="auto"/>
                <w:sz w:val="24"/>
              </w:rPr>
              <w:t>本项</w:t>
            </w:r>
            <w:r>
              <w:rPr>
                <w:rFonts w:hint="eastAsia"/>
                <w:color w:val="auto"/>
                <w:sz w:val="24"/>
                <w:lang w:eastAsia="zh-CN"/>
              </w:rPr>
              <w:t>目在</w:t>
            </w:r>
            <w:r>
              <w:rPr>
                <w:rFonts w:hint="eastAsia"/>
                <w:color w:val="auto"/>
                <w:sz w:val="24"/>
              </w:rPr>
              <w:t>正常生产情况下对周围地下水环境影响不大。但在运营过程中事故状态下，</w:t>
            </w:r>
            <w:r>
              <w:rPr>
                <w:rFonts w:hint="eastAsia"/>
                <w:color w:val="auto"/>
                <w:sz w:val="24"/>
                <w:lang w:val="en-US" w:eastAsia="zh-CN"/>
              </w:rPr>
              <w:t>汽轮机油</w:t>
            </w:r>
            <w:r>
              <w:rPr>
                <w:rFonts w:hint="eastAsia"/>
                <w:color w:val="auto"/>
                <w:sz w:val="24"/>
                <w:highlight w:val="none"/>
              </w:rPr>
              <w:t>渗漏也将会对区域地表水、地下水及土壤环境产生污染。</w:t>
            </w:r>
          </w:p>
          <w:p w14:paraId="2F16BF43">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color w:val="auto"/>
                <w:sz w:val="24"/>
                <w:lang w:val="en-US" w:eastAsia="zh-CN"/>
              </w:rPr>
            </w:pPr>
            <w:r>
              <w:rPr>
                <w:rFonts w:hint="eastAsia" w:ascii="Times New Roman" w:hAnsi="Times New Roman" w:eastAsia="宋体" w:cs="Times New Roman"/>
                <w:color w:val="auto"/>
                <w:sz w:val="24"/>
                <w:highlight w:val="none"/>
                <w:lang w:val="en-US" w:eastAsia="zh-CN"/>
              </w:rPr>
              <w:t>本项目汽轮机使用汽轮机油</w:t>
            </w:r>
            <w:r>
              <w:rPr>
                <w:rFonts w:hint="eastAsia" w:ascii="Times New Roman" w:hAnsi="Times New Roman" w:eastAsia="宋体" w:cs="Times New Roman"/>
                <w:color w:val="auto"/>
                <w:sz w:val="24"/>
                <w:highlight w:val="none"/>
                <w:vertAlign w:val="baseline"/>
                <w:lang w:val="en-US" w:eastAsia="zh-CN"/>
              </w:rPr>
              <w:t>10m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，密度为0.895t/m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vertAlign w:val="baseline"/>
                <w:lang w:val="en-US" w:eastAsia="zh-CN"/>
              </w:rPr>
              <w:t>，油质量为</w:t>
            </w:r>
            <w:r>
              <w:rPr>
                <w:rFonts w:hint="eastAsia" w:ascii="Times New Roman" w:hAnsi="Times New Roman" w:eastAsia="宋体" w:cs="Times New Roman"/>
                <w:color w:val="auto"/>
                <w:sz w:val="24"/>
                <w:highlight w:val="none"/>
                <w:lang w:val="en-US" w:eastAsia="zh-CN"/>
              </w:rPr>
              <w:t>11.17t</w:t>
            </w:r>
            <w:r>
              <w:rPr>
                <w:rFonts w:hint="eastAsia" w:ascii="Times New Roman" w:hAnsi="Times New Roman" w:eastAsia="宋体" w:cs="Times New Roman"/>
                <w:color w:val="auto"/>
                <w:sz w:val="24"/>
                <w:highlight w:val="none"/>
                <w:vertAlign w:val="baseline"/>
                <w:lang w:val="en-US" w:eastAsia="zh-CN"/>
              </w:rPr>
              <w:t>，</w:t>
            </w:r>
            <w:r>
              <w:rPr>
                <w:rFonts w:hint="eastAsia"/>
                <w:color w:val="auto"/>
                <w:sz w:val="24"/>
                <w:highlight w:val="none"/>
                <w:lang w:val="en-US" w:eastAsia="zh-CN"/>
              </w:rPr>
              <w:t>设置有15m</w:t>
            </w:r>
            <w:r>
              <w:rPr>
                <w:rFonts w:hint="eastAsia"/>
                <w:color w:val="auto"/>
                <w:sz w:val="24"/>
                <w:highlight w:val="none"/>
                <w:vertAlign w:val="superscript"/>
                <w:lang w:val="en-US" w:eastAsia="zh-CN"/>
              </w:rPr>
              <w:t>3</w:t>
            </w:r>
            <w:r>
              <w:rPr>
                <w:rFonts w:hint="eastAsia"/>
                <w:color w:val="auto"/>
                <w:sz w:val="24"/>
                <w:highlight w:val="none"/>
                <w:lang w:val="en-US" w:eastAsia="zh-CN"/>
              </w:rPr>
              <w:t>事故油池，用于暂存事故状态</w:t>
            </w:r>
            <w:r>
              <w:rPr>
                <w:rFonts w:hint="eastAsia"/>
                <w:color w:val="auto"/>
                <w:sz w:val="24"/>
                <w:lang w:val="en-US" w:eastAsia="zh-CN"/>
              </w:rPr>
              <w:t>下汽轮机油。</w:t>
            </w:r>
          </w:p>
          <w:p w14:paraId="0FD2FE78">
            <w:pPr>
              <w:pStyle w:val="11"/>
              <w:keepNext w:val="0"/>
              <w:keepLines w:val="0"/>
              <w:pageBreakBefore w:val="0"/>
              <w:widowControl w:val="0"/>
              <w:kinsoku/>
              <w:wordWrap/>
              <w:overflowPunct/>
              <w:topLinePunct w:val="0"/>
              <w:autoSpaceDE/>
              <w:autoSpaceDN/>
              <w:bidi w:val="0"/>
              <w:spacing w:line="360" w:lineRule="auto"/>
              <w:ind w:firstLine="480"/>
              <w:jc w:val="both"/>
              <w:textAlignment w:val="auto"/>
              <w:rPr>
                <w:color w:val="auto"/>
                <w:highlight w:val="none"/>
              </w:rPr>
            </w:pPr>
            <w:r>
              <w:rPr>
                <w:rFonts w:hint="eastAsia"/>
                <w:color w:val="auto"/>
                <w:sz w:val="24"/>
                <w:lang w:val="en-US" w:eastAsia="zh-CN"/>
              </w:rPr>
              <w:t>汽轮机排油槽、</w:t>
            </w:r>
            <w:r>
              <w:rPr>
                <w:rFonts w:hint="eastAsia"/>
                <w:color w:val="auto"/>
                <w:sz w:val="24"/>
              </w:rPr>
              <w:t>事故油池做防渗处理（</w:t>
            </w:r>
            <w:r>
              <w:rPr>
                <w:rFonts w:hint="eastAsia"/>
                <w:color w:val="auto"/>
                <w:sz w:val="24"/>
                <w:lang w:val="en-US" w:eastAsia="zh-CN"/>
              </w:rPr>
              <w:t>采用原土压实+20mmC30P8混凝土作为基层+2mm环氧树脂面层</w:t>
            </w:r>
            <w:r>
              <w:rPr>
                <w:rFonts w:hint="eastAsia"/>
                <w:color w:val="auto"/>
                <w:sz w:val="24"/>
              </w:rPr>
              <w:t>，渗透系数≤10</w:t>
            </w:r>
            <w:r>
              <w:rPr>
                <w:rFonts w:hint="eastAsia"/>
                <w:color w:val="auto"/>
                <w:sz w:val="24"/>
                <w:vertAlign w:val="superscript"/>
              </w:rPr>
              <w:t>-7</w:t>
            </w:r>
            <w:r>
              <w:rPr>
                <w:rFonts w:hint="eastAsia"/>
                <w:color w:val="auto"/>
                <w:sz w:val="24"/>
              </w:rPr>
              <w:t>cm/s），同时地面无裂缝</w:t>
            </w:r>
            <w:r>
              <w:rPr>
                <w:rFonts w:hint="eastAsia"/>
                <w:color w:val="auto"/>
                <w:sz w:val="24"/>
                <w:lang w:eastAsia="zh-CN"/>
              </w:rPr>
              <w:t>，</w:t>
            </w:r>
            <w:r>
              <w:rPr>
                <w:rFonts w:hint="eastAsia"/>
                <w:color w:val="auto"/>
                <w:sz w:val="24"/>
                <w:lang w:val="en-US" w:eastAsia="zh-CN"/>
              </w:rPr>
              <w:t>可确保</w:t>
            </w:r>
            <w:r>
              <w:rPr>
                <w:rFonts w:hint="eastAsia"/>
                <w:color w:val="auto"/>
                <w:sz w:val="24"/>
              </w:rPr>
              <w:t>区域地下水和土</w:t>
            </w:r>
            <w:r>
              <w:rPr>
                <w:rFonts w:hint="eastAsia" w:ascii="Times New Roman" w:hAnsi="Times New Roman" w:eastAsia="宋体" w:cs="Times New Roman"/>
                <w:color w:val="auto"/>
                <w:kern w:val="2"/>
                <w:sz w:val="24"/>
                <w:szCs w:val="24"/>
                <w:lang w:val="en-US" w:eastAsia="zh-CN" w:bidi="ar-SA"/>
              </w:rPr>
              <w:t>壤不受到本项目污染。详见分区防渗一览表见表4-10。</w:t>
            </w:r>
          </w:p>
          <w:p w14:paraId="11F9B108">
            <w:pPr>
              <w:spacing w:beforeLines="50"/>
              <w:jc w:val="center"/>
              <w:rPr>
                <w:rFonts w:ascii="Times New Roman" w:hAnsi="Times New Roman" w:eastAsia="宋体" w:cs="Times New Roman"/>
                <w:b/>
                <w:color w:val="auto"/>
                <w:sz w:val="21"/>
                <w:szCs w:val="21"/>
              </w:rPr>
            </w:pPr>
            <w:r>
              <w:rPr>
                <w:rFonts w:ascii="Times New Roman" w:hAnsi="Times New Roman" w:eastAsia="宋体" w:cs="Times New Roman"/>
                <w:b/>
                <w:color w:val="auto"/>
                <w:sz w:val="21"/>
                <w:szCs w:val="21"/>
              </w:rPr>
              <w:t>表</w:t>
            </w:r>
            <w:r>
              <w:rPr>
                <w:rFonts w:hint="eastAsia" w:ascii="Times New Roman" w:hAnsi="Times New Roman" w:eastAsia="宋体" w:cs="Times New Roman"/>
                <w:b/>
                <w:color w:val="auto"/>
                <w:sz w:val="21"/>
                <w:szCs w:val="21"/>
                <w:lang w:val="en-US" w:eastAsia="zh-CN"/>
              </w:rPr>
              <w:t>4-10</w:t>
            </w:r>
            <w:r>
              <w:rPr>
                <w:rFonts w:ascii="Times New Roman" w:hAnsi="Times New Roman" w:eastAsia="宋体" w:cs="Times New Roman"/>
                <w:b/>
                <w:color w:val="auto"/>
                <w:sz w:val="21"/>
                <w:szCs w:val="21"/>
              </w:rPr>
              <w:t xml:space="preserve">  防渗分区及防渗要求表</w:t>
            </w:r>
          </w:p>
          <w:tbl>
            <w:tblPr>
              <w:tblStyle w:val="26"/>
              <w:tblW w:w="494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84"/>
              <w:gridCol w:w="2772"/>
              <w:gridCol w:w="1004"/>
              <w:gridCol w:w="1004"/>
              <w:gridCol w:w="2484"/>
            </w:tblGrid>
            <w:tr w14:paraId="34B115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9" w:type="pct"/>
                  <w:tcBorders>
                    <w:top w:val="single" w:color="000000" w:sz="12" w:space="0"/>
                    <w:left w:val="nil"/>
                    <w:bottom w:val="single" w:color="auto" w:sz="4" w:space="0"/>
                    <w:right w:val="single" w:color="auto" w:sz="4" w:space="0"/>
                    <w:tl2br w:val="nil"/>
                    <w:tr2bl w:val="nil"/>
                  </w:tcBorders>
                  <w:shd w:val="clear" w:color="auto" w:fill="FFFFFF"/>
                  <w:noWrap w:val="0"/>
                  <w:vAlign w:val="center"/>
                </w:tcPr>
                <w:p w14:paraId="15758ECF">
                  <w:pPr>
                    <w:pStyle w:val="47"/>
                    <w:rPr>
                      <w:b w:val="0"/>
                      <w:bCs/>
                      <w:color w:val="000000"/>
                      <w:highlight w:val="none"/>
                    </w:rPr>
                  </w:pPr>
                  <w:r>
                    <w:rPr>
                      <w:rFonts w:hint="eastAsia"/>
                      <w:b w:val="0"/>
                      <w:bCs/>
                      <w:color w:val="000000"/>
                      <w:highlight w:val="none"/>
                    </w:rPr>
                    <w:t>防渗</w:t>
                  </w:r>
                </w:p>
                <w:p w14:paraId="532A3162">
                  <w:pPr>
                    <w:pStyle w:val="47"/>
                    <w:rPr>
                      <w:b w:val="0"/>
                      <w:bCs/>
                      <w:color w:val="000000"/>
                      <w:highlight w:val="none"/>
                    </w:rPr>
                  </w:pPr>
                  <w:r>
                    <w:rPr>
                      <w:rFonts w:hint="eastAsia"/>
                      <w:b w:val="0"/>
                      <w:bCs/>
                      <w:color w:val="000000"/>
                      <w:highlight w:val="none"/>
                    </w:rPr>
                    <w:t>级别</w:t>
                  </w:r>
                </w:p>
              </w:tc>
              <w:tc>
                <w:tcPr>
                  <w:tcW w:w="1659" w:type="pct"/>
                  <w:tcBorders>
                    <w:top w:val="single" w:color="000000" w:sz="12" w:space="0"/>
                    <w:left w:val="single" w:color="auto" w:sz="4" w:space="0"/>
                    <w:bottom w:val="single" w:color="auto" w:sz="4" w:space="0"/>
                    <w:right w:val="single" w:color="auto" w:sz="4" w:space="0"/>
                    <w:tl2br w:val="nil"/>
                    <w:tr2bl w:val="nil"/>
                  </w:tcBorders>
                  <w:shd w:val="clear" w:color="auto" w:fill="FFFFFF"/>
                  <w:noWrap w:val="0"/>
                  <w:vAlign w:val="center"/>
                </w:tcPr>
                <w:p w14:paraId="16908995">
                  <w:pPr>
                    <w:pStyle w:val="47"/>
                    <w:rPr>
                      <w:b w:val="0"/>
                      <w:bCs/>
                      <w:color w:val="000000"/>
                      <w:highlight w:val="none"/>
                    </w:rPr>
                  </w:pPr>
                  <w:r>
                    <w:rPr>
                      <w:rFonts w:hint="eastAsia"/>
                      <w:b w:val="0"/>
                      <w:bCs/>
                      <w:color w:val="000000"/>
                      <w:highlight w:val="none"/>
                    </w:rPr>
                    <w:t>装置、构筑物</w:t>
                  </w:r>
                </w:p>
              </w:tc>
              <w:tc>
                <w:tcPr>
                  <w:tcW w:w="601" w:type="pct"/>
                  <w:tcBorders>
                    <w:top w:val="single" w:color="000000" w:sz="12" w:space="0"/>
                    <w:left w:val="single" w:color="auto" w:sz="4" w:space="0"/>
                    <w:bottom w:val="single" w:color="auto" w:sz="4" w:space="0"/>
                    <w:right w:val="single" w:color="auto" w:sz="4" w:space="0"/>
                    <w:tl2br w:val="nil"/>
                    <w:tr2bl w:val="nil"/>
                  </w:tcBorders>
                  <w:shd w:val="clear" w:color="auto" w:fill="FFFFFF"/>
                  <w:noWrap w:val="0"/>
                  <w:vAlign w:val="center"/>
                </w:tcPr>
                <w:p w14:paraId="017BA10E">
                  <w:pPr>
                    <w:pStyle w:val="47"/>
                    <w:rPr>
                      <w:b w:val="0"/>
                      <w:bCs/>
                      <w:color w:val="000000"/>
                      <w:highlight w:val="none"/>
                    </w:rPr>
                  </w:pPr>
                  <w:r>
                    <w:rPr>
                      <w:rFonts w:hint="eastAsia"/>
                      <w:b w:val="0"/>
                      <w:bCs/>
                      <w:color w:val="000000"/>
                      <w:highlight w:val="none"/>
                    </w:rPr>
                    <w:t>防渗</w:t>
                  </w:r>
                  <w:r>
                    <w:rPr>
                      <w:b w:val="0"/>
                      <w:bCs/>
                      <w:color w:val="000000"/>
                      <w:highlight w:val="none"/>
                    </w:rPr>
                    <w:t>区域</w:t>
                  </w:r>
                </w:p>
              </w:tc>
              <w:tc>
                <w:tcPr>
                  <w:tcW w:w="601" w:type="pct"/>
                  <w:tcBorders>
                    <w:top w:val="single" w:color="000000" w:sz="12" w:space="0"/>
                    <w:left w:val="single" w:color="auto" w:sz="4" w:space="0"/>
                    <w:bottom w:val="single" w:color="auto" w:sz="4" w:space="0"/>
                    <w:right w:val="single" w:color="auto" w:sz="4" w:space="0"/>
                    <w:tl2br w:val="nil"/>
                    <w:tr2bl w:val="nil"/>
                  </w:tcBorders>
                  <w:shd w:val="clear" w:color="auto" w:fill="FFFFFF"/>
                  <w:noWrap w:val="0"/>
                  <w:vAlign w:val="center"/>
                </w:tcPr>
                <w:p w14:paraId="6E77EC7C">
                  <w:pPr>
                    <w:pStyle w:val="47"/>
                    <w:rPr>
                      <w:rFonts w:hint="eastAsia" w:eastAsia="宋体"/>
                      <w:b w:val="0"/>
                      <w:bCs/>
                      <w:color w:val="000000"/>
                      <w:highlight w:val="none"/>
                      <w:lang w:eastAsia="zh-CN"/>
                    </w:rPr>
                  </w:pPr>
                  <w:r>
                    <w:rPr>
                      <w:rFonts w:hint="eastAsia"/>
                      <w:b w:val="0"/>
                      <w:bCs/>
                      <w:color w:val="000000"/>
                      <w:highlight w:val="none"/>
                      <w:lang w:eastAsia="zh-CN"/>
                    </w:rPr>
                    <w:t>完成情况</w:t>
                  </w:r>
                </w:p>
              </w:tc>
              <w:tc>
                <w:tcPr>
                  <w:tcW w:w="1487" w:type="pct"/>
                  <w:tcBorders>
                    <w:top w:val="single" w:color="000000" w:sz="12" w:space="0"/>
                    <w:left w:val="single" w:color="auto" w:sz="4" w:space="0"/>
                    <w:bottom w:val="single" w:color="auto" w:sz="4" w:space="0"/>
                    <w:right w:val="nil"/>
                    <w:tl2br w:val="nil"/>
                    <w:tr2bl w:val="nil"/>
                  </w:tcBorders>
                  <w:shd w:val="clear" w:color="auto" w:fill="FFFFFF"/>
                  <w:noWrap w:val="0"/>
                  <w:vAlign w:val="center"/>
                </w:tcPr>
                <w:p w14:paraId="759F037B">
                  <w:pPr>
                    <w:pStyle w:val="47"/>
                    <w:rPr>
                      <w:b w:val="0"/>
                      <w:bCs/>
                      <w:color w:val="000000"/>
                      <w:highlight w:val="none"/>
                    </w:rPr>
                  </w:pPr>
                  <w:r>
                    <w:rPr>
                      <w:rFonts w:hint="eastAsia"/>
                      <w:b w:val="0"/>
                      <w:bCs/>
                      <w:color w:val="000000"/>
                      <w:highlight w:val="none"/>
                    </w:rPr>
                    <w:t>防渗</w:t>
                  </w:r>
                  <w:r>
                    <w:rPr>
                      <w:b w:val="0"/>
                      <w:bCs/>
                      <w:color w:val="000000"/>
                      <w:highlight w:val="none"/>
                    </w:rPr>
                    <w:t>技术</w:t>
                  </w:r>
                </w:p>
                <w:p w14:paraId="19ADFD34">
                  <w:pPr>
                    <w:pStyle w:val="47"/>
                    <w:rPr>
                      <w:b w:val="0"/>
                      <w:bCs/>
                      <w:color w:val="000000"/>
                      <w:highlight w:val="none"/>
                    </w:rPr>
                  </w:pPr>
                  <w:r>
                    <w:rPr>
                      <w:b w:val="0"/>
                      <w:bCs/>
                      <w:color w:val="000000"/>
                      <w:highlight w:val="none"/>
                    </w:rPr>
                    <w:t>要求</w:t>
                  </w:r>
                </w:p>
              </w:tc>
            </w:tr>
            <w:tr w14:paraId="0A2A9F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9" w:type="pct"/>
                  <w:vMerge w:val="restart"/>
                  <w:tcBorders>
                    <w:top w:val="single" w:color="auto" w:sz="4" w:space="0"/>
                    <w:left w:val="nil"/>
                    <w:bottom w:val="single" w:color="auto" w:sz="4" w:space="0"/>
                    <w:right w:val="single" w:color="auto" w:sz="4" w:space="0"/>
                    <w:tl2br w:val="nil"/>
                    <w:tr2bl w:val="nil"/>
                  </w:tcBorders>
                  <w:shd w:val="clear" w:color="auto" w:fill="FFFFFF"/>
                  <w:noWrap w:val="0"/>
                  <w:vAlign w:val="center"/>
                </w:tcPr>
                <w:p w14:paraId="4F3F99BC">
                  <w:pPr>
                    <w:pStyle w:val="47"/>
                    <w:rPr>
                      <w:b w:val="0"/>
                      <w:bCs/>
                      <w:color w:val="000000"/>
                      <w:highlight w:val="none"/>
                    </w:rPr>
                  </w:pPr>
                  <w:r>
                    <w:rPr>
                      <w:rFonts w:hint="eastAsia"/>
                      <w:b w:val="0"/>
                      <w:bCs/>
                      <w:color w:val="000000"/>
                      <w:highlight w:val="none"/>
                    </w:rPr>
                    <w:t>重点防渗区</w:t>
                  </w:r>
                </w:p>
              </w:tc>
              <w:tc>
                <w:tcPr>
                  <w:tcW w:w="1659" w:type="pct"/>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30AEC20D">
                  <w:pPr>
                    <w:pStyle w:val="47"/>
                    <w:rPr>
                      <w:rFonts w:hint="eastAsia" w:eastAsia="宋体"/>
                      <w:b w:val="0"/>
                      <w:color w:val="000000"/>
                      <w:highlight w:val="none"/>
                      <w:lang w:eastAsia="zh-CN"/>
                    </w:rPr>
                  </w:pPr>
                  <w:r>
                    <w:rPr>
                      <w:rFonts w:hint="eastAsia"/>
                      <w:b w:val="0"/>
                      <w:color w:val="000000"/>
                      <w:highlight w:val="none"/>
                      <w:lang w:val="en-US" w:eastAsia="zh-CN"/>
                    </w:rPr>
                    <w:t>危废贮存库</w:t>
                  </w:r>
                </w:p>
              </w:tc>
              <w:tc>
                <w:tcPr>
                  <w:tcW w:w="601" w:type="pct"/>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3341732F">
                  <w:pPr>
                    <w:pStyle w:val="47"/>
                    <w:rPr>
                      <w:b w:val="0"/>
                      <w:color w:val="000000"/>
                      <w:highlight w:val="none"/>
                    </w:rPr>
                  </w:pPr>
                  <w:r>
                    <w:rPr>
                      <w:rFonts w:hint="eastAsia"/>
                      <w:b w:val="0"/>
                      <w:color w:val="000000"/>
                      <w:highlight w:val="none"/>
                    </w:rPr>
                    <w:t>地面</w:t>
                  </w:r>
                </w:p>
              </w:tc>
              <w:tc>
                <w:tcPr>
                  <w:tcW w:w="601" w:type="pct"/>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7DFA5887">
                  <w:pPr>
                    <w:pStyle w:val="47"/>
                    <w:rPr>
                      <w:rFonts w:hint="eastAsia" w:eastAsia="宋体"/>
                      <w:b w:val="0"/>
                      <w:color w:val="000000"/>
                      <w:highlight w:val="none"/>
                      <w:lang w:eastAsia="zh-CN"/>
                    </w:rPr>
                  </w:pPr>
                  <w:r>
                    <w:rPr>
                      <w:rFonts w:hint="eastAsia"/>
                      <w:b w:val="0"/>
                      <w:color w:val="000000"/>
                      <w:highlight w:val="none"/>
                      <w:lang w:eastAsia="zh-CN"/>
                    </w:rPr>
                    <w:t>已完成防渗</w:t>
                  </w:r>
                </w:p>
              </w:tc>
              <w:tc>
                <w:tcPr>
                  <w:tcW w:w="1487" w:type="pct"/>
                  <w:vMerge w:val="restart"/>
                  <w:tcBorders>
                    <w:top w:val="single" w:color="auto" w:sz="4" w:space="0"/>
                    <w:left w:val="single" w:color="auto" w:sz="4" w:space="0"/>
                    <w:bottom w:val="single" w:color="auto" w:sz="4" w:space="0"/>
                    <w:right w:val="nil"/>
                    <w:tl2br w:val="nil"/>
                    <w:tr2bl w:val="nil"/>
                  </w:tcBorders>
                  <w:shd w:val="clear" w:color="auto" w:fill="FFFFFF"/>
                  <w:noWrap w:val="0"/>
                  <w:vAlign w:val="center"/>
                </w:tcPr>
                <w:p w14:paraId="0CC9473F">
                  <w:pPr>
                    <w:pStyle w:val="47"/>
                    <w:rPr>
                      <w:b w:val="0"/>
                      <w:color w:val="000000"/>
                      <w:highlight w:val="none"/>
                    </w:rPr>
                  </w:pPr>
                  <w:r>
                    <w:rPr>
                      <w:rFonts w:ascii="Times New Roman" w:hAnsi="Times New Roman"/>
                      <w:color w:val="auto"/>
                    </w:rPr>
                    <w:t>防渗层为至少1m厚黏土层（渗透系数不大于10</w:t>
                  </w:r>
                  <w:r>
                    <w:rPr>
                      <w:rFonts w:ascii="Times New Roman" w:hAnsi="Times New Roman"/>
                      <w:color w:val="auto"/>
                      <w:vertAlign w:val="superscript"/>
                    </w:rPr>
                    <w:t>-7</w:t>
                  </w:r>
                  <w:r>
                    <w:rPr>
                      <w:rFonts w:ascii="Times New Roman" w:hAnsi="Times New Roman"/>
                      <w:color w:val="auto"/>
                    </w:rPr>
                    <w:t>cm/s），或至少2mm厚高密度聚乙烯膜等人工防渗材料（渗透系数不大于10</w:t>
                  </w:r>
                  <w:r>
                    <w:rPr>
                      <w:rFonts w:ascii="Times New Roman" w:hAnsi="Times New Roman"/>
                      <w:color w:val="auto"/>
                      <w:vertAlign w:val="superscript"/>
                    </w:rPr>
                    <w:t>-10</w:t>
                  </w:r>
                  <w:r>
                    <w:rPr>
                      <w:rFonts w:ascii="Times New Roman" w:hAnsi="Times New Roman"/>
                      <w:color w:val="auto"/>
                    </w:rPr>
                    <w:t>cm/s）</w:t>
                  </w:r>
                </w:p>
              </w:tc>
            </w:tr>
            <w:tr w14:paraId="016490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9" w:type="pct"/>
                  <w:vMerge w:val="continue"/>
                  <w:tcBorders>
                    <w:top w:val="single" w:color="auto" w:sz="4" w:space="0"/>
                    <w:left w:val="nil"/>
                    <w:bottom w:val="single" w:color="auto" w:sz="4" w:space="0"/>
                    <w:right w:val="single" w:color="auto" w:sz="4" w:space="0"/>
                    <w:tl2br w:val="nil"/>
                    <w:tr2bl w:val="nil"/>
                  </w:tcBorders>
                  <w:shd w:val="clear" w:color="auto" w:fill="FFFFFF"/>
                  <w:noWrap w:val="0"/>
                  <w:vAlign w:val="center"/>
                </w:tcPr>
                <w:p w14:paraId="66AAA307">
                  <w:pPr>
                    <w:pStyle w:val="47"/>
                    <w:rPr>
                      <w:b w:val="0"/>
                      <w:bCs/>
                      <w:color w:val="000000"/>
                      <w:highlight w:val="none"/>
                    </w:rPr>
                  </w:pPr>
                </w:p>
              </w:tc>
              <w:tc>
                <w:tcPr>
                  <w:tcW w:w="1659" w:type="pct"/>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3F6CEFF9">
                  <w:pPr>
                    <w:pStyle w:val="47"/>
                    <w:rPr>
                      <w:rFonts w:hint="eastAsia" w:eastAsia="宋体"/>
                      <w:b w:val="0"/>
                      <w:color w:val="000000"/>
                      <w:highlight w:val="none"/>
                      <w:lang w:eastAsia="zh-CN"/>
                    </w:rPr>
                  </w:pPr>
                  <w:r>
                    <w:rPr>
                      <w:rFonts w:hint="eastAsia"/>
                      <w:color w:val="auto"/>
                      <w:sz w:val="24"/>
                      <w:lang w:val="en-US" w:eastAsia="zh-CN"/>
                    </w:rPr>
                    <w:t>汽轮机排油槽、</w:t>
                  </w:r>
                  <w:r>
                    <w:rPr>
                      <w:rFonts w:hint="eastAsia"/>
                      <w:color w:val="auto"/>
                      <w:sz w:val="24"/>
                    </w:rPr>
                    <w:t>事故油池</w:t>
                  </w:r>
                </w:p>
              </w:tc>
              <w:tc>
                <w:tcPr>
                  <w:tcW w:w="601" w:type="pct"/>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669EC207">
                  <w:pPr>
                    <w:pStyle w:val="47"/>
                    <w:rPr>
                      <w:b w:val="0"/>
                      <w:color w:val="000000"/>
                      <w:highlight w:val="none"/>
                    </w:rPr>
                  </w:pPr>
                  <w:r>
                    <w:rPr>
                      <w:rFonts w:hint="eastAsia"/>
                      <w:color w:val="auto"/>
                      <w:highlight w:val="none"/>
                    </w:rPr>
                    <w:t>池底及四周</w:t>
                  </w:r>
                </w:p>
              </w:tc>
              <w:tc>
                <w:tcPr>
                  <w:tcW w:w="601" w:type="pct"/>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18381981">
                  <w:pPr>
                    <w:pStyle w:val="47"/>
                    <w:rPr>
                      <w:rFonts w:hint="eastAsia"/>
                      <w:b w:val="0"/>
                      <w:color w:val="000000"/>
                      <w:highlight w:val="none"/>
                    </w:rPr>
                  </w:pPr>
                  <w:r>
                    <w:rPr>
                      <w:rFonts w:hint="eastAsia"/>
                      <w:b w:val="0"/>
                      <w:color w:val="000000"/>
                      <w:highlight w:val="none"/>
                      <w:lang w:eastAsia="zh-CN"/>
                    </w:rPr>
                    <w:t>新建</w:t>
                  </w:r>
                </w:p>
              </w:tc>
              <w:tc>
                <w:tcPr>
                  <w:tcW w:w="1487" w:type="pct"/>
                  <w:vMerge w:val="continue"/>
                  <w:tcBorders>
                    <w:top w:val="single" w:color="auto" w:sz="4" w:space="0"/>
                    <w:left w:val="single" w:color="auto" w:sz="4" w:space="0"/>
                    <w:bottom w:val="single" w:color="auto" w:sz="4" w:space="0"/>
                    <w:right w:val="nil"/>
                    <w:tl2br w:val="nil"/>
                    <w:tr2bl w:val="nil"/>
                  </w:tcBorders>
                  <w:shd w:val="clear" w:color="auto" w:fill="FFFFFF"/>
                  <w:noWrap w:val="0"/>
                  <w:vAlign w:val="center"/>
                </w:tcPr>
                <w:p w14:paraId="0E8C8E90">
                  <w:pPr>
                    <w:pStyle w:val="47"/>
                    <w:rPr>
                      <w:b w:val="0"/>
                      <w:color w:val="000000"/>
                      <w:highlight w:val="none"/>
                    </w:rPr>
                  </w:pPr>
                </w:p>
              </w:tc>
            </w:tr>
            <w:tr w14:paraId="0910B5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9" w:type="pct"/>
                  <w:tcBorders>
                    <w:top w:val="single" w:color="auto" w:sz="4" w:space="0"/>
                    <w:left w:val="nil"/>
                    <w:bottom w:val="single" w:color="auto" w:sz="4" w:space="0"/>
                    <w:right w:val="single" w:color="auto" w:sz="4" w:space="0"/>
                    <w:tl2br w:val="nil"/>
                    <w:tr2bl w:val="nil"/>
                  </w:tcBorders>
                  <w:shd w:val="clear" w:color="auto" w:fill="FFFFFF"/>
                  <w:noWrap w:val="0"/>
                  <w:vAlign w:val="center"/>
                </w:tcPr>
                <w:p w14:paraId="59AE34B5">
                  <w:pPr>
                    <w:pStyle w:val="47"/>
                    <w:rPr>
                      <w:b w:val="0"/>
                      <w:bCs/>
                      <w:color w:val="000000"/>
                      <w:highlight w:val="none"/>
                    </w:rPr>
                  </w:pPr>
                  <w:r>
                    <w:rPr>
                      <w:rFonts w:hint="eastAsia"/>
                      <w:b w:val="0"/>
                      <w:bCs/>
                      <w:color w:val="000000"/>
                      <w:highlight w:val="none"/>
                    </w:rPr>
                    <w:t>一般</w:t>
                  </w:r>
                  <w:r>
                    <w:rPr>
                      <w:b w:val="0"/>
                      <w:bCs/>
                      <w:color w:val="000000"/>
                      <w:highlight w:val="none"/>
                    </w:rPr>
                    <w:t>防渗区</w:t>
                  </w:r>
                </w:p>
              </w:tc>
              <w:tc>
                <w:tcPr>
                  <w:tcW w:w="1659" w:type="pct"/>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5892AE4D">
                  <w:pPr>
                    <w:pStyle w:val="47"/>
                    <w:rPr>
                      <w:b w:val="0"/>
                      <w:color w:val="000000"/>
                      <w:highlight w:val="none"/>
                    </w:rPr>
                  </w:pPr>
                  <w:r>
                    <w:rPr>
                      <w:rFonts w:hint="eastAsia"/>
                      <w:b w:val="0"/>
                      <w:color w:val="000000"/>
                      <w:highlight w:val="none"/>
                      <w:lang w:val="en-US" w:eastAsia="zh-CN"/>
                    </w:rPr>
                    <w:t>锅炉、汽轮机</w:t>
                  </w:r>
                  <w:r>
                    <w:rPr>
                      <w:rFonts w:hint="eastAsia"/>
                      <w:b w:val="0"/>
                      <w:color w:val="000000"/>
                      <w:highlight w:val="none"/>
                      <w:lang w:eastAsia="zh-CN"/>
                    </w:rPr>
                    <w:t>车间</w:t>
                  </w:r>
                  <w:r>
                    <w:rPr>
                      <w:rFonts w:hint="eastAsia"/>
                      <w:b w:val="0"/>
                      <w:color w:val="000000"/>
                      <w:highlight w:val="none"/>
                    </w:rPr>
                    <w:t>、</w:t>
                  </w:r>
                  <w:r>
                    <w:rPr>
                      <w:rFonts w:hint="eastAsia"/>
                      <w:b w:val="0"/>
                      <w:color w:val="000000"/>
                      <w:highlight w:val="none"/>
                      <w:lang w:val="en-US" w:eastAsia="zh-CN"/>
                    </w:rPr>
                    <w:t>综合水处理站</w:t>
                  </w:r>
                  <w:r>
                    <w:rPr>
                      <w:rFonts w:hint="eastAsia"/>
                      <w:b w:val="0"/>
                      <w:color w:val="000000"/>
                      <w:highlight w:val="none"/>
                    </w:rPr>
                    <w:t>等区域</w:t>
                  </w:r>
                </w:p>
              </w:tc>
              <w:tc>
                <w:tcPr>
                  <w:tcW w:w="601" w:type="pct"/>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78AB872B">
                  <w:pPr>
                    <w:pStyle w:val="47"/>
                    <w:rPr>
                      <w:b w:val="0"/>
                      <w:color w:val="000000"/>
                      <w:highlight w:val="none"/>
                    </w:rPr>
                  </w:pPr>
                  <w:r>
                    <w:rPr>
                      <w:rFonts w:hint="eastAsia"/>
                      <w:b w:val="0"/>
                      <w:color w:val="000000"/>
                      <w:highlight w:val="none"/>
                    </w:rPr>
                    <w:t>地面</w:t>
                  </w:r>
                </w:p>
              </w:tc>
              <w:tc>
                <w:tcPr>
                  <w:tcW w:w="601" w:type="pct"/>
                  <w:tcBorders>
                    <w:top w:val="single" w:color="auto" w:sz="4" w:space="0"/>
                    <w:left w:val="single" w:color="auto" w:sz="4" w:space="0"/>
                    <w:bottom w:val="single" w:color="auto" w:sz="4" w:space="0"/>
                    <w:right w:val="single" w:color="auto" w:sz="4" w:space="0"/>
                    <w:tl2br w:val="nil"/>
                    <w:tr2bl w:val="nil"/>
                  </w:tcBorders>
                  <w:shd w:val="clear" w:color="auto" w:fill="FFFFFF"/>
                  <w:noWrap w:val="0"/>
                  <w:vAlign w:val="center"/>
                </w:tcPr>
                <w:p w14:paraId="2007D3E1">
                  <w:pPr>
                    <w:pStyle w:val="47"/>
                    <w:rPr>
                      <w:rFonts w:hint="eastAsia"/>
                      <w:b w:val="0"/>
                      <w:color w:val="000000"/>
                      <w:highlight w:val="none"/>
                    </w:rPr>
                  </w:pPr>
                  <w:r>
                    <w:rPr>
                      <w:rFonts w:hint="eastAsia"/>
                      <w:b w:val="0"/>
                      <w:color w:val="000000"/>
                      <w:highlight w:val="none"/>
                      <w:lang w:eastAsia="zh-CN"/>
                    </w:rPr>
                    <w:t>新建</w:t>
                  </w:r>
                </w:p>
              </w:tc>
              <w:tc>
                <w:tcPr>
                  <w:tcW w:w="1487" w:type="pct"/>
                  <w:tcBorders>
                    <w:top w:val="single" w:color="auto" w:sz="4" w:space="0"/>
                    <w:left w:val="single" w:color="auto" w:sz="4" w:space="0"/>
                    <w:bottom w:val="single" w:color="auto" w:sz="4" w:space="0"/>
                    <w:right w:val="nil"/>
                    <w:tl2br w:val="nil"/>
                    <w:tr2bl w:val="nil"/>
                  </w:tcBorders>
                  <w:shd w:val="clear" w:color="auto" w:fill="FFFFFF"/>
                  <w:noWrap w:val="0"/>
                  <w:vAlign w:val="center"/>
                </w:tcPr>
                <w:p w14:paraId="51014406">
                  <w:pPr>
                    <w:pStyle w:val="47"/>
                    <w:rPr>
                      <w:b w:val="0"/>
                      <w:color w:val="000000"/>
                      <w:highlight w:val="none"/>
                    </w:rPr>
                  </w:pPr>
                  <w:r>
                    <w:rPr>
                      <w:rFonts w:hint="eastAsia"/>
                      <w:b w:val="0"/>
                      <w:color w:val="000000"/>
                      <w:highlight w:val="none"/>
                    </w:rPr>
                    <w:t>等效</w:t>
                  </w:r>
                  <w:r>
                    <w:rPr>
                      <w:b w:val="0"/>
                      <w:color w:val="000000"/>
                      <w:highlight w:val="none"/>
                    </w:rPr>
                    <w:t>粘土防渗层</w:t>
                  </w:r>
                  <w:r>
                    <w:rPr>
                      <w:rFonts w:hint="eastAsia"/>
                      <w:b w:val="0"/>
                      <w:color w:val="000000"/>
                      <w:highlight w:val="none"/>
                    </w:rPr>
                    <w:t>M</w:t>
                  </w:r>
                  <w:r>
                    <w:rPr>
                      <w:b w:val="0"/>
                      <w:color w:val="000000"/>
                      <w:highlight w:val="none"/>
                    </w:rPr>
                    <w:t>b≥1.5</w:t>
                  </w:r>
                  <w:r>
                    <w:rPr>
                      <w:rFonts w:hint="eastAsia"/>
                      <w:b w:val="0"/>
                      <w:color w:val="000000"/>
                      <w:highlight w:val="none"/>
                    </w:rPr>
                    <w:t>m，K≤1×10</w:t>
                  </w:r>
                  <w:r>
                    <w:rPr>
                      <w:b w:val="0"/>
                      <w:color w:val="000000"/>
                      <w:highlight w:val="none"/>
                      <w:vertAlign w:val="superscript"/>
                    </w:rPr>
                    <w:t>-7</w:t>
                  </w:r>
                  <w:r>
                    <w:rPr>
                      <w:b w:val="0"/>
                      <w:color w:val="000000"/>
                      <w:highlight w:val="none"/>
                    </w:rPr>
                    <w:t>cm/s</w:t>
                  </w:r>
                </w:p>
              </w:tc>
            </w:tr>
            <w:tr w14:paraId="6B9E7D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9" w:type="pct"/>
                  <w:tcBorders>
                    <w:top w:val="single" w:color="auto" w:sz="4" w:space="0"/>
                    <w:left w:val="nil"/>
                    <w:bottom w:val="single" w:color="000000" w:sz="12" w:space="0"/>
                    <w:right w:val="single" w:color="auto" w:sz="4" w:space="0"/>
                    <w:tl2br w:val="nil"/>
                    <w:tr2bl w:val="nil"/>
                  </w:tcBorders>
                  <w:shd w:val="clear" w:color="auto" w:fill="FFFFFF"/>
                  <w:noWrap w:val="0"/>
                  <w:vAlign w:val="center"/>
                </w:tcPr>
                <w:p w14:paraId="14AB9BFE">
                  <w:pPr>
                    <w:pStyle w:val="47"/>
                    <w:rPr>
                      <w:b w:val="0"/>
                      <w:bCs/>
                      <w:color w:val="000000"/>
                      <w:highlight w:val="none"/>
                    </w:rPr>
                  </w:pPr>
                  <w:r>
                    <w:rPr>
                      <w:rFonts w:hint="eastAsia"/>
                      <w:b w:val="0"/>
                      <w:bCs/>
                      <w:color w:val="000000"/>
                      <w:highlight w:val="none"/>
                    </w:rPr>
                    <w:t>简单防渗区</w:t>
                  </w:r>
                </w:p>
              </w:tc>
              <w:tc>
                <w:tcPr>
                  <w:tcW w:w="1659" w:type="pct"/>
                  <w:tcBorders>
                    <w:top w:val="single" w:color="auto" w:sz="4" w:space="0"/>
                    <w:left w:val="single" w:color="auto" w:sz="4" w:space="0"/>
                    <w:bottom w:val="single" w:color="000000" w:sz="12" w:space="0"/>
                    <w:right w:val="single" w:color="auto" w:sz="4" w:space="0"/>
                    <w:tl2br w:val="nil"/>
                    <w:tr2bl w:val="nil"/>
                  </w:tcBorders>
                  <w:shd w:val="clear" w:color="auto" w:fill="FFFFFF"/>
                  <w:noWrap w:val="0"/>
                  <w:vAlign w:val="center"/>
                </w:tcPr>
                <w:p w14:paraId="7326D437">
                  <w:pPr>
                    <w:pStyle w:val="47"/>
                    <w:rPr>
                      <w:b w:val="0"/>
                      <w:color w:val="000000"/>
                      <w:highlight w:val="none"/>
                    </w:rPr>
                  </w:pPr>
                  <w:r>
                    <w:rPr>
                      <w:rFonts w:hint="eastAsia"/>
                      <w:b w:val="0"/>
                      <w:color w:val="000000"/>
                      <w:highlight w:val="none"/>
                    </w:rPr>
                    <w:t>除了重点、一般防渗区外的区域，</w:t>
                  </w:r>
                  <w:r>
                    <w:rPr>
                      <w:b w:val="0"/>
                      <w:color w:val="000000"/>
                      <w:highlight w:val="none"/>
                    </w:rPr>
                    <w:t>包括管理区和绿化区</w:t>
                  </w:r>
                </w:p>
              </w:tc>
              <w:tc>
                <w:tcPr>
                  <w:tcW w:w="601" w:type="pct"/>
                  <w:tcBorders>
                    <w:top w:val="single" w:color="auto" w:sz="4" w:space="0"/>
                    <w:left w:val="single" w:color="auto" w:sz="4" w:space="0"/>
                    <w:bottom w:val="single" w:color="000000" w:sz="12" w:space="0"/>
                    <w:right w:val="single" w:color="auto" w:sz="4" w:space="0"/>
                    <w:tl2br w:val="nil"/>
                    <w:tr2bl w:val="nil"/>
                  </w:tcBorders>
                  <w:shd w:val="clear" w:color="auto" w:fill="FFFFFF"/>
                  <w:noWrap w:val="0"/>
                  <w:vAlign w:val="center"/>
                </w:tcPr>
                <w:p w14:paraId="28673865">
                  <w:pPr>
                    <w:pStyle w:val="47"/>
                    <w:rPr>
                      <w:b w:val="0"/>
                      <w:color w:val="000000"/>
                      <w:highlight w:val="none"/>
                    </w:rPr>
                  </w:pPr>
                  <w:r>
                    <w:rPr>
                      <w:rFonts w:hint="eastAsia"/>
                      <w:b w:val="0"/>
                      <w:color w:val="000000"/>
                      <w:highlight w:val="none"/>
                    </w:rPr>
                    <w:t>地面</w:t>
                  </w:r>
                </w:p>
              </w:tc>
              <w:tc>
                <w:tcPr>
                  <w:tcW w:w="601" w:type="pct"/>
                  <w:tcBorders>
                    <w:top w:val="single" w:color="auto" w:sz="4" w:space="0"/>
                    <w:left w:val="single" w:color="auto" w:sz="4" w:space="0"/>
                    <w:bottom w:val="single" w:color="000000" w:sz="12" w:space="0"/>
                    <w:right w:val="single" w:color="auto" w:sz="4" w:space="0"/>
                    <w:tl2br w:val="nil"/>
                    <w:tr2bl w:val="nil"/>
                  </w:tcBorders>
                  <w:shd w:val="clear" w:color="auto" w:fill="FFFFFF"/>
                  <w:noWrap w:val="0"/>
                  <w:vAlign w:val="center"/>
                </w:tcPr>
                <w:p w14:paraId="1D4B3BE6">
                  <w:pPr>
                    <w:pStyle w:val="47"/>
                    <w:rPr>
                      <w:rFonts w:hint="eastAsia"/>
                      <w:b w:val="0"/>
                      <w:color w:val="000000"/>
                      <w:highlight w:val="none"/>
                    </w:rPr>
                  </w:pPr>
                  <w:r>
                    <w:rPr>
                      <w:rFonts w:hint="eastAsia"/>
                      <w:b w:val="0"/>
                      <w:color w:val="000000"/>
                      <w:highlight w:val="none"/>
                      <w:lang w:val="en-US" w:eastAsia="zh-CN"/>
                    </w:rPr>
                    <w:t>新建</w:t>
                  </w:r>
                </w:p>
              </w:tc>
              <w:tc>
                <w:tcPr>
                  <w:tcW w:w="1487" w:type="pct"/>
                  <w:tcBorders>
                    <w:top w:val="single" w:color="auto" w:sz="4" w:space="0"/>
                    <w:left w:val="single" w:color="auto" w:sz="4" w:space="0"/>
                    <w:bottom w:val="single" w:color="000000" w:sz="12" w:space="0"/>
                    <w:right w:val="nil"/>
                    <w:tl2br w:val="nil"/>
                    <w:tr2bl w:val="nil"/>
                  </w:tcBorders>
                  <w:shd w:val="clear" w:color="auto" w:fill="FFFFFF"/>
                  <w:noWrap w:val="0"/>
                  <w:vAlign w:val="center"/>
                </w:tcPr>
                <w:p w14:paraId="177A9B77">
                  <w:pPr>
                    <w:pStyle w:val="47"/>
                    <w:rPr>
                      <w:b w:val="0"/>
                      <w:color w:val="000000"/>
                      <w:highlight w:val="none"/>
                    </w:rPr>
                  </w:pPr>
                  <w:r>
                    <w:rPr>
                      <w:rFonts w:hint="eastAsia"/>
                      <w:b w:val="0"/>
                      <w:color w:val="000000"/>
                      <w:highlight w:val="none"/>
                    </w:rPr>
                    <w:t>一般地面硬化</w:t>
                  </w:r>
                </w:p>
              </w:tc>
            </w:tr>
          </w:tbl>
          <w:p w14:paraId="2B033289">
            <w:pPr>
              <w:keepNext w:val="0"/>
              <w:keepLines w:val="0"/>
              <w:pageBreakBefore w:val="0"/>
              <w:widowControl w:val="0"/>
              <w:kinsoku/>
              <w:wordWrap/>
              <w:overflowPunct/>
              <w:topLinePunct w:val="0"/>
              <w:autoSpaceDE/>
              <w:autoSpaceDN/>
              <w:bidi w:val="0"/>
              <w:adjustRightInd/>
              <w:snapToGrid/>
              <w:spacing w:line="312" w:lineRule="auto"/>
              <w:textAlignment w:val="auto"/>
              <w:rPr>
                <w:b/>
                <w:bCs/>
                <w:color w:val="auto"/>
                <w:sz w:val="24"/>
              </w:rPr>
            </w:pPr>
            <w:r>
              <w:rPr>
                <w:b/>
                <w:bCs/>
                <w:color w:val="auto"/>
                <w:sz w:val="24"/>
              </w:rPr>
              <w:t>6</w:t>
            </w:r>
            <w:r>
              <w:rPr>
                <w:rFonts w:hint="eastAsia"/>
                <w:b/>
                <w:bCs/>
                <w:color w:val="auto"/>
                <w:sz w:val="24"/>
              </w:rPr>
              <w:t>、生态</w:t>
            </w:r>
          </w:p>
          <w:p w14:paraId="26A29DCE">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color w:val="auto"/>
                <w:sz w:val="24"/>
              </w:rPr>
            </w:pPr>
            <w:r>
              <w:rPr>
                <w:rFonts w:hint="eastAsia"/>
                <w:color w:val="auto"/>
                <w:sz w:val="24"/>
              </w:rPr>
              <w:t>本项目</w:t>
            </w:r>
            <w:r>
              <w:rPr>
                <w:rFonts w:hint="eastAsia"/>
                <w:color w:val="auto"/>
                <w:sz w:val="24"/>
                <w:lang w:val="en-US" w:eastAsia="zh-CN"/>
              </w:rPr>
              <w:t>于</w:t>
            </w:r>
            <w:r>
              <w:rPr>
                <w:rFonts w:hint="eastAsia"/>
                <w:color w:val="auto"/>
                <w:sz w:val="24"/>
              </w:rPr>
              <w:t>现有厂区内工业场地进行建设，现已基本建设完成，不进行大规模土建活动，周边主要为人工生态系统，不存在敏感生态物种，对周围生态环境影响较小。</w:t>
            </w:r>
          </w:p>
          <w:p w14:paraId="404D07D7">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7、环境风险</w:t>
            </w:r>
          </w:p>
          <w:p w14:paraId="3CD44064">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eastAsia="zh-CN"/>
              </w:rPr>
              <w:t>根据《建设项目环境风险评价技术导则》（HJ169-2018）风险识别要求，通过本项目物质危险性识别（调查范围主要原辅材料、燃料、产品、污染物等）及生产系统危险性识别（主要生产装置、储运设施、公用工程及辅助设施等），结合《导则》附录B确定本项目涉及风险物质为</w:t>
            </w:r>
            <w:r>
              <w:rPr>
                <w:rFonts w:hint="eastAsia" w:ascii="Times New Roman" w:hAnsi="Times New Roman" w:eastAsia="宋体" w:cs="Times New Roman"/>
                <w:color w:val="auto"/>
                <w:sz w:val="24"/>
                <w:lang w:val="en-US" w:eastAsia="zh-CN"/>
              </w:rPr>
              <w:t>汽轮机油</w:t>
            </w:r>
            <w:r>
              <w:rPr>
                <w:rFonts w:hint="eastAsia" w:ascii="Times New Roman" w:hAnsi="Times New Roman" w:eastAsia="宋体" w:cs="Times New Roman"/>
                <w:color w:val="auto"/>
                <w:sz w:val="24"/>
                <w:lang w:eastAsia="zh-CN"/>
              </w:rPr>
              <w:t>。</w:t>
            </w:r>
          </w:p>
          <w:p w14:paraId="52C1A297">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7.1</w:t>
            </w:r>
            <w:r>
              <w:rPr>
                <w:rFonts w:hint="eastAsia" w:ascii="Times New Roman" w:hAnsi="Times New Roman" w:eastAsia="宋体" w:cs="Times New Roman"/>
                <w:color w:val="auto"/>
                <w:sz w:val="24"/>
              </w:rPr>
              <w:t>环境风险物质数量和临界量比值（Q）</w:t>
            </w:r>
          </w:p>
          <w:p w14:paraId="5A55D842">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①本项目汽轮机使用汽轮机油11.17t，最大储存量为11.17t。</w:t>
            </w:r>
          </w:p>
          <w:p w14:paraId="5CD739B7">
            <w:pPr>
              <w:keepNext w:val="0"/>
              <w:keepLines w:val="0"/>
              <w:pageBreakBefore w:val="0"/>
              <w:widowControl w:val="0"/>
              <w:kinsoku/>
              <w:wordWrap/>
              <w:overflowPunct/>
              <w:topLinePunct w:val="0"/>
              <w:autoSpaceDE/>
              <w:autoSpaceDN/>
              <w:bidi w:val="0"/>
              <w:adjustRightInd/>
              <w:snapToGrid/>
              <w:spacing w:line="312" w:lineRule="auto"/>
              <w:ind w:firstLine="422" w:firstLineChars="200"/>
              <w:jc w:val="center"/>
              <w:textAlignment w:val="auto"/>
              <w:rPr>
                <w:b/>
                <w:color w:val="auto"/>
                <w:sz w:val="21"/>
                <w:szCs w:val="21"/>
              </w:rPr>
            </w:pPr>
          </w:p>
          <w:p w14:paraId="369FF4DF">
            <w:pPr>
              <w:keepNext w:val="0"/>
              <w:keepLines w:val="0"/>
              <w:pageBreakBefore w:val="0"/>
              <w:widowControl w:val="0"/>
              <w:kinsoku/>
              <w:wordWrap/>
              <w:overflowPunct/>
              <w:topLinePunct w:val="0"/>
              <w:autoSpaceDE/>
              <w:autoSpaceDN/>
              <w:bidi w:val="0"/>
              <w:adjustRightInd/>
              <w:snapToGrid/>
              <w:spacing w:line="312" w:lineRule="auto"/>
              <w:ind w:firstLine="422" w:firstLineChars="200"/>
              <w:jc w:val="center"/>
              <w:textAlignment w:val="auto"/>
              <w:rPr>
                <w:b/>
                <w:color w:val="auto"/>
                <w:sz w:val="21"/>
                <w:szCs w:val="21"/>
              </w:rPr>
            </w:pPr>
          </w:p>
          <w:p w14:paraId="387CFB7E">
            <w:pPr>
              <w:keepNext w:val="0"/>
              <w:keepLines w:val="0"/>
              <w:pageBreakBefore w:val="0"/>
              <w:widowControl w:val="0"/>
              <w:kinsoku/>
              <w:wordWrap/>
              <w:overflowPunct/>
              <w:topLinePunct w:val="0"/>
              <w:autoSpaceDE/>
              <w:autoSpaceDN/>
              <w:bidi w:val="0"/>
              <w:adjustRightInd/>
              <w:snapToGrid/>
              <w:spacing w:line="312" w:lineRule="auto"/>
              <w:ind w:firstLine="422" w:firstLineChars="200"/>
              <w:jc w:val="center"/>
              <w:textAlignment w:val="auto"/>
              <w:rPr>
                <w:b/>
                <w:color w:val="auto"/>
                <w:sz w:val="21"/>
                <w:szCs w:val="21"/>
              </w:rPr>
            </w:pPr>
            <w:r>
              <w:rPr>
                <w:b/>
                <w:color w:val="auto"/>
                <w:sz w:val="21"/>
                <w:szCs w:val="21"/>
              </w:rPr>
              <w:t>表4-</w:t>
            </w:r>
            <w:r>
              <w:rPr>
                <w:rFonts w:hint="eastAsia"/>
                <w:b/>
                <w:color w:val="auto"/>
                <w:sz w:val="21"/>
                <w:szCs w:val="21"/>
                <w:lang w:val="en-US" w:eastAsia="zh-CN"/>
              </w:rPr>
              <w:t>11危险物质与临界量比值（Q值）</w:t>
            </w:r>
            <w:r>
              <w:rPr>
                <w:b/>
                <w:color w:val="auto"/>
                <w:sz w:val="21"/>
                <w:szCs w:val="21"/>
              </w:rPr>
              <w:t>表</w:t>
            </w:r>
          </w:p>
          <w:tbl>
            <w:tblPr>
              <w:tblStyle w:val="54"/>
              <w:tblW w:w="499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82"/>
              <w:gridCol w:w="1567"/>
              <w:gridCol w:w="492"/>
              <w:gridCol w:w="1785"/>
              <w:gridCol w:w="983"/>
              <w:gridCol w:w="1229"/>
              <w:gridCol w:w="740"/>
              <w:gridCol w:w="679"/>
            </w:tblGrid>
            <w:tr w14:paraId="09784C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506" w:type="pct"/>
                  <w:gridSpan w:val="2"/>
                  <w:noWrap w:val="0"/>
                  <w:vAlign w:val="center"/>
                </w:tcPr>
                <w:p w14:paraId="2BABA29F">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环境风险</w:t>
                  </w:r>
                </w:p>
              </w:tc>
              <w:tc>
                <w:tcPr>
                  <w:tcW w:w="291" w:type="pct"/>
                  <w:noWrap w:val="0"/>
                  <w:vAlign w:val="center"/>
                </w:tcPr>
                <w:p w14:paraId="6DA8B591">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形态</w:t>
                  </w:r>
                </w:p>
              </w:tc>
              <w:tc>
                <w:tcPr>
                  <w:tcW w:w="1055" w:type="pct"/>
                  <w:noWrap w:val="0"/>
                  <w:vAlign w:val="center"/>
                </w:tcPr>
                <w:p w14:paraId="2D9E8C9C">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贮存场所</w:t>
                  </w:r>
                </w:p>
              </w:tc>
              <w:tc>
                <w:tcPr>
                  <w:tcW w:w="581" w:type="pct"/>
                  <w:noWrap w:val="0"/>
                  <w:vAlign w:val="center"/>
                </w:tcPr>
                <w:p w14:paraId="163C409E">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贮存能力</w:t>
                  </w:r>
                </w:p>
              </w:tc>
              <w:tc>
                <w:tcPr>
                  <w:tcW w:w="726" w:type="pct"/>
                  <w:noWrap w:val="0"/>
                  <w:vAlign w:val="center"/>
                </w:tcPr>
                <w:p w14:paraId="3E2C3704">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最大贮存量</w:t>
                  </w:r>
                </w:p>
              </w:tc>
              <w:tc>
                <w:tcPr>
                  <w:tcW w:w="437" w:type="pct"/>
                  <w:noWrap w:val="0"/>
                  <w:vAlign w:val="center"/>
                </w:tcPr>
                <w:p w14:paraId="78EE3496">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临界量</w:t>
                  </w:r>
                </w:p>
              </w:tc>
              <w:tc>
                <w:tcPr>
                  <w:tcW w:w="401" w:type="pct"/>
                  <w:noWrap w:val="0"/>
                  <w:vAlign w:val="center"/>
                </w:tcPr>
                <w:p w14:paraId="7C75A9E0">
                  <w:pPr>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Q值</w:t>
                  </w:r>
                </w:p>
              </w:tc>
            </w:tr>
            <w:tr w14:paraId="54D1A7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80" w:type="pct"/>
                  <w:noWrap w:val="0"/>
                  <w:vAlign w:val="center"/>
                </w:tcPr>
                <w:p w14:paraId="0F6249FE">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风险物质</w:t>
                  </w:r>
                </w:p>
              </w:tc>
              <w:tc>
                <w:tcPr>
                  <w:tcW w:w="925" w:type="pct"/>
                  <w:noWrap w:val="0"/>
                  <w:vAlign w:val="center"/>
                </w:tcPr>
                <w:p w14:paraId="4C95A955">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汽轮机油</w:t>
                  </w:r>
                </w:p>
              </w:tc>
              <w:tc>
                <w:tcPr>
                  <w:tcW w:w="291" w:type="pct"/>
                  <w:noWrap w:val="0"/>
                  <w:vAlign w:val="center"/>
                </w:tcPr>
                <w:p w14:paraId="1B8F69CE">
                  <w:pPr>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液态</w:t>
                  </w:r>
                </w:p>
              </w:tc>
              <w:tc>
                <w:tcPr>
                  <w:tcW w:w="1055" w:type="pct"/>
                  <w:noWrap w:val="0"/>
                  <w:vAlign w:val="center"/>
                </w:tcPr>
                <w:p w14:paraId="3BD2C9E2">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汽轮机/事故油池</w:t>
                  </w:r>
                </w:p>
              </w:tc>
              <w:tc>
                <w:tcPr>
                  <w:tcW w:w="581" w:type="pct"/>
                  <w:noWrap w:val="0"/>
                  <w:vAlign w:val="center"/>
                </w:tcPr>
                <w:p w14:paraId="731D79A4">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10m</w:t>
                  </w:r>
                  <w:r>
                    <w:rPr>
                      <w:rFonts w:hint="eastAsia" w:ascii="Times New Roman" w:hAnsi="Times New Roman" w:eastAsia="宋体" w:cs="Times New Roman"/>
                      <w:color w:val="auto"/>
                      <w:szCs w:val="21"/>
                      <w:vertAlign w:val="superscript"/>
                      <w:lang w:val="en-US" w:eastAsia="zh-CN"/>
                    </w:rPr>
                    <w:t>3</w:t>
                  </w:r>
                </w:p>
              </w:tc>
              <w:tc>
                <w:tcPr>
                  <w:tcW w:w="726" w:type="pct"/>
                  <w:noWrap w:val="0"/>
                  <w:vAlign w:val="center"/>
                </w:tcPr>
                <w:p w14:paraId="52E9269B">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11.17t</w:t>
                  </w:r>
                </w:p>
              </w:tc>
              <w:tc>
                <w:tcPr>
                  <w:tcW w:w="437" w:type="pct"/>
                  <w:noWrap w:val="0"/>
                  <w:vAlign w:val="center"/>
                </w:tcPr>
                <w:p w14:paraId="5C8E734A">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2500t</w:t>
                  </w:r>
                </w:p>
              </w:tc>
              <w:tc>
                <w:tcPr>
                  <w:tcW w:w="401" w:type="pct"/>
                  <w:noWrap w:val="0"/>
                  <w:vAlign w:val="center"/>
                </w:tcPr>
                <w:p w14:paraId="3B5544D7">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0.0045</w:t>
                  </w:r>
                </w:p>
              </w:tc>
            </w:tr>
          </w:tbl>
          <w:p w14:paraId="2A97D4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根据《建设项目环境风险技术导则》（HJ169-2018）Q总=0.</w:t>
            </w:r>
            <w:r>
              <w:rPr>
                <w:rFonts w:hint="eastAsia" w:ascii="Times New Roman" w:hAnsi="Times New Roman" w:eastAsia="宋体" w:cs="Times New Roman"/>
                <w:color w:val="auto"/>
                <w:sz w:val="24"/>
                <w:lang w:val="en-US" w:eastAsia="zh-CN"/>
              </w:rPr>
              <w:t>0045</w:t>
            </w:r>
            <w:r>
              <w:rPr>
                <w:rFonts w:hint="default" w:ascii="Times New Roman" w:hAnsi="Times New Roman" w:eastAsia="宋体" w:cs="Times New Roman"/>
                <w:color w:val="auto"/>
                <w:sz w:val="24"/>
              </w:rPr>
              <w:t>＜1，则该项目环境风险潜势为I级，评价等级为简单分析。</w:t>
            </w:r>
          </w:p>
          <w:p w14:paraId="08450122">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7.2</w:t>
            </w:r>
            <w:r>
              <w:rPr>
                <w:rFonts w:hint="eastAsia" w:ascii="Times New Roman" w:hAnsi="Times New Roman" w:eastAsia="宋体" w:cs="Times New Roman"/>
                <w:color w:val="auto"/>
                <w:sz w:val="24"/>
                <w:highlight w:val="none"/>
              </w:rPr>
              <w:t>环境风险防范措施及应急要求</w:t>
            </w:r>
          </w:p>
          <w:p w14:paraId="479432B0">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rPr>
              <w:t>①在</w:t>
            </w:r>
            <w:r>
              <w:rPr>
                <w:rFonts w:hint="eastAsia" w:ascii="Times New Roman" w:hAnsi="Times New Roman" w:eastAsia="宋体" w:cs="Times New Roman"/>
                <w:color w:val="auto"/>
                <w:sz w:val="24"/>
                <w:highlight w:val="none"/>
                <w:lang w:val="en-US" w:eastAsia="zh-CN"/>
              </w:rPr>
              <w:t>汽轮机</w:t>
            </w:r>
            <w:r>
              <w:rPr>
                <w:rFonts w:hint="eastAsia" w:ascii="Times New Roman" w:hAnsi="Times New Roman" w:eastAsia="宋体" w:cs="Times New Roman"/>
                <w:color w:val="auto"/>
                <w:sz w:val="24"/>
                <w:highlight w:val="none"/>
              </w:rPr>
              <w:t>四周设排油槽</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并接入</w:t>
            </w:r>
            <w:r>
              <w:rPr>
                <w:rFonts w:hint="eastAsia" w:ascii="Times New Roman" w:hAnsi="Times New Roman" w:eastAsia="宋体" w:cs="Times New Roman"/>
                <w:color w:val="auto"/>
                <w:sz w:val="24"/>
                <w:highlight w:val="none"/>
                <w:lang w:val="en-US" w:eastAsia="zh-CN"/>
              </w:rPr>
              <w:t>15m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rPr>
              <w:t>事故油池</w:t>
            </w:r>
            <w:r>
              <w:rPr>
                <w:rFonts w:hint="eastAsia" w:ascii="Times New Roman" w:hAnsi="Times New Roman" w:eastAsia="宋体" w:cs="Times New Roman"/>
                <w:color w:val="auto"/>
                <w:sz w:val="24"/>
                <w:highlight w:val="none"/>
                <w:lang w:eastAsia="zh-CN"/>
              </w:rPr>
              <w:t>。</w:t>
            </w:r>
          </w:p>
          <w:p w14:paraId="22643E45">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②评价要求排油槽、事故油池底部和四壁均做防渗处理，防渗漏材料</w:t>
            </w:r>
            <w:r>
              <w:rPr>
                <w:rFonts w:hint="eastAsia" w:ascii="Times New Roman" w:hAnsi="Times New Roman" w:eastAsia="宋体" w:cs="Times New Roman"/>
                <w:color w:val="auto"/>
                <w:sz w:val="24"/>
                <w:highlight w:val="none"/>
                <w:lang w:val="en-US" w:eastAsia="zh-CN"/>
              </w:rPr>
              <w:t>采用原土压实+20mmC30P8混凝土作为基层+2mm环氧树脂面层</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可保证事故时</w:t>
            </w:r>
            <w:r>
              <w:rPr>
                <w:rFonts w:hint="eastAsia" w:ascii="Times New Roman" w:hAnsi="Times New Roman" w:eastAsia="宋体" w:cs="Times New Roman"/>
                <w:color w:val="auto"/>
                <w:sz w:val="24"/>
                <w:highlight w:val="none"/>
                <w:lang w:val="en-US" w:eastAsia="zh-CN"/>
              </w:rPr>
              <w:t>风险物质</w:t>
            </w:r>
            <w:r>
              <w:rPr>
                <w:rFonts w:hint="eastAsia" w:ascii="Times New Roman" w:hAnsi="Times New Roman" w:eastAsia="宋体" w:cs="Times New Roman"/>
                <w:color w:val="auto"/>
                <w:sz w:val="24"/>
                <w:highlight w:val="none"/>
              </w:rPr>
              <w:t>不会下渗侵入土壤和地下水环境，绝缘油须尽快交由有资质的单位处置。</w:t>
            </w:r>
          </w:p>
          <w:p w14:paraId="0A4F9B9C">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③</w:t>
            </w:r>
            <w:r>
              <w:rPr>
                <w:rFonts w:hint="eastAsia" w:ascii="Times New Roman" w:hAnsi="Times New Roman" w:eastAsia="宋体" w:cs="Times New Roman"/>
                <w:color w:val="auto"/>
                <w:sz w:val="24"/>
                <w:highlight w:val="none"/>
                <w:lang w:val="en-US" w:eastAsia="zh-CN"/>
              </w:rPr>
              <w:t>设置有工业消防水池，事故下废水可</w:t>
            </w:r>
            <w:r>
              <w:rPr>
                <w:rFonts w:hint="eastAsia" w:ascii="Times New Roman" w:hAnsi="Times New Roman" w:eastAsia="宋体" w:cs="Times New Roman"/>
                <w:color w:val="auto"/>
                <w:sz w:val="24"/>
                <w:highlight w:val="none"/>
              </w:rPr>
              <w:t>经泵打入污水处理装置，处理后回用。保证洗消废水得到妥善处置，避免排至外环境。</w:t>
            </w:r>
          </w:p>
          <w:p w14:paraId="4851AAED">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（3）评价结论</w:t>
            </w:r>
          </w:p>
          <w:p w14:paraId="640746E0">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highlight w:val="none"/>
              </w:rPr>
              <w:t>本项目在严格落实评价提出的各项风险防范措施后，可将环境风险事故发生的概率和影响后果降到最低限度，故可知建设项目环境风险处于可接</w:t>
            </w:r>
            <w:r>
              <w:rPr>
                <w:rFonts w:hint="eastAsia" w:ascii="Times New Roman" w:hAnsi="Times New Roman" w:eastAsia="宋体" w:cs="Times New Roman"/>
                <w:color w:val="auto"/>
                <w:sz w:val="24"/>
              </w:rPr>
              <w:t>受水平。</w:t>
            </w:r>
          </w:p>
          <w:p w14:paraId="0912950F">
            <w:pPr>
              <w:pStyle w:val="2"/>
              <w:rPr>
                <w:rFonts w:hint="eastAsia" w:ascii="Times New Roman" w:hAnsi="Times New Roman" w:eastAsia="宋体" w:cs="Times New Roman"/>
                <w:color w:val="auto"/>
                <w:sz w:val="24"/>
              </w:rPr>
            </w:pPr>
          </w:p>
          <w:p w14:paraId="41132EED">
            <w:pPr>
              <w:pStyle w:val="4"/>
              <w:rPr>
                <w:rFonts w:hint="eastAsia" w:ascii="Times New Roman" w:hAnsi="Times New Roman" w:eastAsia="宋体" w:cs="Times New Roman"/>
                <w:color w:val="auto"/>
                <w:sz w:val="24"/>
              </w:rPr>
            </w:pPr>
          </w:p>
          <w:p w14:paraId="67335E81">
            <w:pPr>
              <w:rPr>
                <w:rFonts w:hint="eastAsia" w:ascii="Times New Roman" w:hAnsi="Times New Roman" w:eastAsia="宋体" w:cs="Times New Roman"/>
                <w:color w:val="auto"/>
                <w:sz w:val="24"/>
              </w:rPr>
            </w:pPr>
          </w:p>
          <w:p w14:paraId="00CC4200">
            <w:pPr>
              <w:pStyle w:val="2"/>
              <w:rPr>
                <w:rFonts w:hint="eastAsia" w:ascii="Times New Roman" w:hAnsi="Times New Roman" w:eastAsia="宋体" w:cs="Times New Roman"/>
                <w:color w:val="auto"/>
                <w:sz w:val="24"/>
              </w:rPr>
            </w:pPr>
          </w:p>
          <w:p w14:paraId="3B1357C4">
            <w:pPr>
              <w:pStyle w:val="4"/>
              <w:rPr>
                <w:rFonts w:hint="eastAsia" w:ascii="Times New Roman" w:hAnsi="Times New Roman" w:eastAsia="宋体" w:cs="Times New Roman"/>
                <w:color w:val="auto"/>
                <w:sz w:val="24"/>
              </w:rPr>
            </w:pPr>
          </w:p>
          <w:p w14:paraId="701531C4">
            <w:pPr>
              <w:rPr>
                <w:rFonts w:hint="eastAsia" w:ascii="Times New Roman" w:hAnsi="Times New Roman" w:eastAsia="宋体" w:cs="Times New Roman"/>
                <w:color w:val="auto"/>
                <w:sz w:val="24"/>
              </w:rPr>
            </w:pPr>
          </w:p>
          <w:p w14:paraId="1A1D32D1">
            <w:pPr>
              <w:pStyle w:val="2"/>
              <w:rPr>
                <w:rFonts w:hint="eastAsia" w:ascii="Times New Roman" w:hAnsi="Times New Roman" w:eastAsia="宋体" w:cs="Times New Roman"/>
                <w:color w:val="auto"/>
                <w:sz w:val="24"/>
              </w:rPr>
            </w:pPr>
          </w:p>
          <w:p w14:paraId="02C658F7">
            <w:pPr>
              <w:pStyle w:val="4"/>
              <w:rPr>
                <w:rFonts w:hint="eastAsia" w:ascii="Times New Roman" w:hAnsi="Times New Roman" w:eastAsia="宋体" w:cs="Times New Roman"/>
                <w:color w:val="auto"/>
                <w:sz w:val="24"/>
              </w:rPr>
            </w:pPr>
          </w:p>
          <w:p w14:paraId="40BE8A3D">
            <w:pPr>
              <w:rPr>
                <w:rFonts w:hint="eastAsia" w:ascii="Times New Roman" w:hAnsi="Times New Roman" w:eastAsia="宋体" w:cs="Times New Roman"/>
                <w:color w:val="auto"/>
                <w:sz w:val="24"/>
              </w:rPr>
            </w:pPr>
          </w:p>
          <w:p w14:paraId="26F05E86">
            <w:pPr>
              <w:pStyle w:val="2"/>
              <w:rPr>
                <w:rFonts w:hint="eastAsia" w:ascii="Times New Roman" w:hAnsi="Times New Roman" w:eastAsia="宋体" w:cs="Times New Roman"/>
                <w:color w:val="auto"/>
                <w:sz w:val="24"/>
              </w:rPr>
            </w:pPr>
          </w:p>
          <w:p w14:paraId="3E9E2502">
            <w:pPr>
              <w:pStyle w:val="4"/>
              <w:rPr>
                <w:rFonts w:hint="eastAsia" w:ascii="Times New Roman" w:hAnsi="Times New Roman" w:eastAsia="宋体" w:cs="Times New Roman"/>
                <w:color w:val="auto"/>
                <w:sz w:val="24"/>
              </w:rPr>
            </w:pPr>
          </w:p>
          <w:p w14:paraId="355A022F">
            <w:pPr>
              <w:rPr>
                <w:rFonts w:hint="eastAsia" w:ascii="Times New Roman" w:hAnsi="Times New Roman" w:eastAsia="宋体" w:cs="Times New Roman"/>
                <w:color w:val="auto"/>
                <w:sz w:val="24"/>
              </w:rPr>
            </w:pPr>
          </w:p>
          <w:p w14:paraId="009301BB">
            <w:pPr>
              <w:pStyle w:val="4"/>
              <w:rPr>
                <w:rFonts w:hint="eastAsia" w:ascii="Times New Roman" w:hAnsi="Times New Roman" w:eastAsia="宋体" w:cs="Times New Roman"/>
                <w:color w:val="auto"/>
                <w:sz w:val="24"/>
              </w:rPr>
            </w:pPr>
          </w:p>
          <w:p w14:paraId="4EC0BEB7">
            <w:pPr>
              <w:rPr>
                <w:rFonts w:hint="eastAsia" w:ascii="Times New Roman" w:hAnsi="Times New Roman" w:eastAsia="宋体" w:cs="Times New Roman"/>
                <w:color w:val="auto"/>
                <w:sz w:val="24"/>
              </w:rPr>
            </w:pPr>
          </w:p>
          <w:p w14:paraId="7CAA76D4">
            <w:pPr>
              <w:pStyle w:val="2"/>
              <w:rPr>
                <w:rFonts w:hint="eastAsia" w:ascii="Times New Roman" w:hAnsi="Times New Roman" w:eastAsia="宋体" w:cs="Times New Roman"/>
                <w:color w:val="auto"/>
                <w:sz w:val="24"/>
              </w:rPr>
            </w:pPr>
          </w:p>
          <w:p w14:paraId="712F8B11">
            <w:pPr>
              <w:pStyle w:val="4"/>
              <w:rPr>
                <w:rFonts w:hint="eastAsia" w:ascii="Times New Roman" w:hAnsi="Times New Roman" w:eastAsia="宋体" w:cs="Times New Roman"/>
                <w:color w:val="auto"/>
                <w:sz w:val="24"/>
              </w:rPr>
            </w:pPr>
          </w:p>
          <w:p w14:paraId="61F40AB9">
            <w:pPr>
              <w:rPr>
                <w:rFonts w:hint="eastAsia" w:ascii="Times New Roman" w:hAnsi="Times New Roman" w:eastAsia="宋体" w:cs="Times New Roman"/>
                <w:color w:val="auto"/>
                <w:sz w:val="24"/>
              </w:rPr>
            </w:pPr>
          </w:p>
          <w:p w14:paraId="1D4B715C">
            <w:pPr>
              <w:pStyle w:val="2"/>
              <w:rPr>
                <w:rFonts w:hint="eastAsia" w:ascii="Times New Roman" w:hAnsi="Times New Roman" w:eastAsia="宋体" w:cs="Times New Roman"/>
                <w:color w:val="auto"/>
                <w:sz w:val="24"/>
              </w:rPr>
            </w:pPr>
          </w:p>
          <w:p w14:paraId="6A6DD7FE">
            <w:pPr>
              <w:pStyle w:val="4"/>
              <w:rPr>
                <w:rFonts w:hint="eastAsia" w:ascii="Times New Roman" w:hAnsi="Times New Roman" w:eastAsia="宋体" w:cs="Times New Roman"/>
                <w:color w:val="auto"/>
                <w:sz w:val="24"/>
              </w:rPr>
            </w:pPr>
          </w:p>
          <w:p w14:paraId="3DB5799E"/>
        </w:tc>
      </w:tr>
    </w:tbl>
    <w:p w14:paraId="3313782C">
      <w:pPr>
        <w:adjustRightInd w:val="0"/>
        <w:snapToGrid w:val="0"/>
        <w:spacing w:line="360" w:lineRule="auto"/>
        <w:rPr>
          <w:rFonts w:ascii="宋体" w:cs="宋体"/>
          <w:b/>
          <w:color w:val="auto"/>
          <w:kern w:val="0"/>
          <w:sz w:val="28"/>
          <w:szCs w:val="28"/>
        </w:rPr>
        <w:sectPr>
          <w:pgSz w:w="11907" w:h="16840"/>
          <w:pgMar w:top="1701" w:right="1531" w:bottom="2127" w:left="1531" w:header="851" w:footer="851" w:gutter="0"/>
          <w:cols w:space="720" w:num="1"/>
          <w:docGrid w:linePitch="312" w:charSpace="0"/>
        </w:sectPr>
      </w:pPr>
    </w:p>
    <w:p w14:paraId="1D3C3C74">
      <w:pPr>
        <w:pStyle w:val="22"/>
        <w:jc w:val="center"/>
        <w:outlineLvl w:val="0"/>
        <w:rPr>
          <w:rFonts w:ascii="黑体" w:hAnsi="黑体" w:eastAsia="黑体"/>
          <w:snapToGrid w:val="0"/>
          <w:color w:val="auto"/>
          <w:sz w:val="30"/>
          <w:szCs w:val="30"/>
        </w:rPr>
      </w:pPr>
      <w:r>
        <w:rPr>
          <w:rFonts w:hint="eastAsia" w:ascii="黑体" w:hAnsi="黑体" w:eastAsia="黑体"/>
          <w:snapToGrid w:val="0"/>
          <w:color w:val="auto"/>
          <w:sz w:val="30"/>
          <w:szCs w:val="30"/>
        </w:rPr>
        <w:t>五、</w:t>
      </w:r>
      <w:bookmarkStart w:id="9" w:name="_Hlk54167917"/>
      <w:r>
        <w:rPr>
          <w:rFonts w:hint="eastAsia" w:ascii="黑体" w:hAnsi="黑体" w:eastAsia="黑体"/>
          <w:snapToGrid w:val="0"/>
          <w:color w:val="auto"/>
          <w:sz w:val="30"/>
          <w:szCs w:val="30"/>
        </w:rPr>
        <w:t>环境保护措施监督检查清单</w:t>
      </w:r>
      <w:bookmarkEnd w:id="9"/>
    </w:p>
    <w:tbl>
      <w:tblPr>
        <w:tblStyle w:val="26"/>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27"/>
        <w:gridCol w:w="1290"/>
        <w:gridCol w:w="1031"/>
        <w:gridCol w:w="2539"/>
        <w:gridCol w:w="3073"/>
      </w:tblGrid>
      <w:tr w14:paraId="26CB52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127" w:type="dxa"/>
            <w:tcBorders>
              <w:tl2br w:val="single" w:color="auto" w:sz="4" w:space="0"/>
            </w:tcBorders>
            <w:noWrap w:val="0"/>
            <w:vAlign w:val="top"/>
          </w:tcPr>
          <w:p w14:paraId="261B4028">
            <w:pPr>
              <w:adjustRightInd w:val="0"/>
              <w:snapToGrid w:val="0"/>
              <w:ind w:firstLine="440" w:firstLineChars="200"/>
              <w:rPr>
                <w:color w:val="auto"/>
                <w:sz w:val="22"/>
                <w:szCs w:val="22"/>
              </w:rPr>
            </w:pPr>
            <w:r>
              <w:rPr>
                <w:color w:val="auto"/>
                <w:sz w:val="22"/>
                <w:szCs w:val="22"/>
              </w:rPr>
              <w:t>内容</w:t>
            </w:r>
          </w:p>
          <w:p w14:paraId="7B22A4F9">
            <w:pPr>
              <w:pStyle w:val="25"/>
              <w:rPr>
                <w:color w:val="auto"/>
              </w:rPr>
            </w:pPr>
          </w:p>
          <w:p w14:paraId="11A71947">
            <w:pPr>
              <w:adjustRightInd w:val="0"/>
              <w:snapToGrid w:val="0"/>
              <w:rPr>
                <w:color w:val="auto"/>
                <w:sz w:val="22"/>
                <w:szCs w:val="22"/>
              </w:rPr>
            </w:pPr>
            <w:r>
              <w:rPr>
                <w:color w:val="auto"/>
                <w:sz w:val="22"/>
                <w:szCs w:val="22"/>
              </w:rPr>
              <w:t>要素</w:t>
            </w:r>
          </w:p>
        </w:tc>
        <w:tc>
          <w:tcPr>
            <w:tcW w:w="1290" w:type="dxa"/>
            <w:noWrap w:val="0"/>
            <w:vAlign w:val="center"/>
          </w:tcPr>
          <w:p w14:paraId="1769F1CE">
            <w:pPr>
              <w:adjustRightInd w:val="0"/>
              <w:snapToGrid w:val="0"/>
              <w:jc w:val="center"/>
              <w:rPr>
                <w:color w:val="auto"/>
                <w:sz w:val="22"/>
                <w:szCs w:val="22"/>
              </w:rPr>
            </w:pPr>
            <w:r>
              <w:rPr>
                <w:color w:val="auto"/>
                <w:sz w:val="22"/>
                <w:szCs w:val="22"/>
              </w:rPr>
              <w:t>排放口(编号、</w:t>
            </w:r>
          </w:p>
          <w:p w14:paraId="7891B83A">
            <w:pPr>
              <w:adjustRightInd w:val="0"/>
              <w:snapToGrid w:val="0"/>
              <w:jc w:val="center"/>
              <w:rPr>
                <w:color w:val="auto"/>
                <w:sz w:val="22"/>
                <w:szCs w:val="22"/>
              </w:rPr>
            </w:pPr>
            <w:r>
              <w:rPr>
                <w:color w:val="auto"/>
                <w:sz w:val="22"/>
                <w:szCs w:val="22"/>
              </w:rPr>
              <w:t>名称)/污染源</w:t>
            </w:r>
          </w:p>
        </w:tc>
        <w:tc>
          <w:tcPr>
            <w:tcW w:w="1031" w:type="dxa"/>
            <w:noWrap w:val="0"/>
            <w:vAlign w:val="center"/>
          </w:tcPr>
          <w:p w14:paraId="421B2AA5">
            <w:pPr>
              <w:adjustRightInd w:val="0"/>
              <w:snapToGrid w:val="0"/>
              <w:jc w:val="center"/>
              <w:rPr>
                <w:color w:val="auto"/>
                <w:sz w:val="22"/>
                <w:szCs w:val="22"/>
              </w:rPr>
            </w:pPr>
            <w:r>
              <w:rPr>
                <w:color w:val="auto"/>
                <w:sz w:val="22"/>
                <w:szCs w:val="22"/>
              </w:rPr>
              <w:t>污染物项目</w:t>
            </w:r>
          </w:p>
        </w:tc>
        <w:tc>
          <w:tcPr>
            <w:tcW w:w="2539" w:type="dxa"/>
            <w:noWrap w:val="0"/>
            <w:vAlign w:val="center"/>
          </w:tcPr>
          <w:p w14:paraId="7F9FE810">
            <w:pPr>
              <w:adjustRightInd w:val="0"/>
              <w:snapToGrid w:val="0"/>
              <w:jc w:val="center"/>
              <w:rPr>
                <w:color w:val="auto"/>
                <w:sz w:val="22"/>
                <w:szCs w:val="22"/>
              </w:rPr>
            </w:pPr>
            <w:r>
              <w:rPr>
                <w:color w:val="auto"/>
                <w:sz w:val="22"/>
                <w:szCs w:val="22"/>
              </w:rPr>
              <w:t>环境保护措施</w:t>
            </w:r>
          </w:p>
        </w:tc>
        <w:tc>
          <w:tcPr>
            <w:tcW w:w="3073" w:type="dxa"/>
            <w:noWrap w:val="0"/>
            <w:vAlign w:val="center"/>
          </w:tcPr>
          <w:p w14:paraId="5F97EDD9">
            <w:pPr>
              <w:adjustRightInd w:val="0"/>
              <w:snapToGrid w:val="0"/>
              <w:jc w:val="center"/>
              <w:rPr>
                <w:color w:val="auto"/>
                <w:sz w:val="22"/>
                <w:szCs w:val="22"/>
              </w:rPr>
            </w:pPr>
            <w:r>
              <w:rPr>
                <w:color w:val="auto"/>
                <w:sz w:val="22"/>
                <w:szCs w:val="22"/>
              </w:rPr>
              <w:t>执行标准</w:t>
            </w:r>
          </w:p>
        </w:tc>
      </w:tr>
      <w:tr w14:paraId="79F0E8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127" w:type="dxa"/>
            <w:noWrap w:val="0"/>
            <w:vAlign w:val="center"/>
          </w:tcPr>
          <w:p w14:paraId="7F2B38E2">
            <w:pPr>
              <w:adjustRightInd w:val="0"/>
              <w:snapToGrid w:val="0"/>
              <w:jc w:val="center"/>
              <w:rPr>
                <w:color w:val="auto"/>
                <w:sz w:val="22"/>
                <w:szCs w:val="22"/>
              </w:rPr>
            </w:pPr>
            <w:r>
              <w:rPr>
                <w:color w:val="auto"/>
                <w:sz w:val="22"/>
                <w:szCs w:val="22"/>
              </w:rPr>
              <w:t>大气环境</w:t>
            </w:r>
          </w:p>
        </w:tc>
        <w:tc>
          <w:tcPr>
            <w:tcW w:w="1290" w:type="dxa"/>
            <w:noWrap w:val="0"/>
            <w:vAlign w:val="center"/>
          </w:tcPr>
          <w:p w14:paraId="632CEBB8">
            <w:pPr>
              <w:adjustRightInd w:val="0"/>
              <w:snapToGrid w:val="0"/>
              <w:jc w:val="center"/>
              <w:rPr>
                <w:color w:val="auto"/>
                <w:sz w:val="22"/>
                <w:szCs w:val="22"/>
              </w:rPr>
            </w:pPr>
            <w:r>
              <w:rPr>
                <w:color w:val="auto"/>
                <w:sz w:val="22"/>
                <w:szCs w:val="22"/>
              </w:rPr>
              <w:t>DA001</w:t>
            </w:r>
          </w:p>
        </w:tc>
        <w:tc>
          <w:tcPr>
            <w:tcW w:w="1031" w:type="dxa"/>
            <w:noWrap w:val="0"/>
            <w:vAlign w:val="center"/>
          </w:tcPr>
          <w:p w14:paraId="0B628C90">
            <w:pPr>
              <w:adjustRightInd w:val="0"/>
              <w:snapToGrid w:val="0"/>
              <w:jc w:val="center"/>
              <w:rPr>
                <w:rFonts w:hint="default" w:eastAsia="宋体"/>
                <w:color w:val="auto"/>
                <w:sz w:val="22"/>
                <w:szCs w:val="22"/>
                <w:vertAlign w:val="subscript"/>
                <w:lang w:val="en-US" w:eastAsia="zh-CN"/>
              </w:rPr>
            </w:pPr>
            <w:r>
              <w:rPr>
                <w:color w:val="auto"/>
                <w:sz w:val="22"/>
                <w:szCs w:val="22"/>
              </w:rPr>
              <w:t>颗粒物</w:t>
            </w:r>
            <w:r>
              <w:rPr>
                <w:rFonts w:hint="eastAsia"/>
                <w:color w:val="auto"/>
                <w:sz w:val="22"/>
                <w:szCs w:val="22"/>
              </w:rPr>
              <w:t>、SO</w:t>
            </w:r>
            <w:r>
              <w:rPr>
                <w:rFonts w:hint="eastAsia"/>
                <w:color w:val="auto"/>
                <w:sz w:val="22"/>
                <w:szCs w:val="22"/>
                <w:vertAlign w:val="subscript"/>
              </w:rPr>
              <w:t>2</w:t>
            </w:r>
            <w:r>
              <w:rPr>
                <w:rFonts w:hint="eastAsia"/>
                <w:color w:val="auto"/>
                <w:sz w:val="22"/>
                <w:szCs w:val="22"/>
              </w:rPr>
              <w:t>、NOx</w:t>
            </w:r>
          </w:p>
        </w:tc>
        <w:tc>
          <w:tcPr>
            <w:tcW w:w="2539" w:type="dxa"/>
            <w:noWrap w:val="0"/>
            <w:vAlign w:val="center"/>
          </w:tcPr>
          <w:p w14:paraId="1CD9ECEC">
            <w:pPr>
              <w:adjustRightInd w:val="0"/>
              <w:snapToGrid w:val="0"/>
              <w:rPr>
                <w:rFonts w:hint="eastAsia"/>
                <w:color w:val="auto"/>
                <w:sz w:val="22"/>
                <w:szCs w:val="22"/>
              </w:rPr>
            </w:pPr>
            <w:r>
              <w:rPr>
                <w:rFonts w:hint="eastAsia"/>
                <w:color w:val="auto"/>
                <w:sz w:val="22"/>
                <w:szCs w:val="22"/>
              </w:rPr>
              <w:t>燃用</w:t>
            </w:r>
            <w:r>
              <w:rPr>
                <w:rFonts w:hint="eastAsia"/>
                <w:color w:val="auto"/>
                <w:sz w:val="22"/>
                <w:szCs w:val="22"/>
                <w:lang w:eastAsia="zh-CN"/>
              </w:rPr>
              <w:t>金烨钢铁</w:t>
            </w:r>
            <w:r>
              <w:rPr>
                <w:rFonts w:hint="eastAsia"/>
                <w:color w:val="auto"/>
                <w:sz w:val="22"/>
                <w:szCs w:val="22"/>
              </w:rPr>
              <w:t>集团有限公司的高炉煤气，安装低氮燃烧装置，设置干法脱硫+布袋除尘。</w:t>
            </w:r>
          </w:p>
          <w:p w14:paraId="73D1D26F">
            <w:pPr>
              <w:adjustRightInd w:val="0"/>
              <w:snapToGrid w:val="0"/>
              <w:rPr>
                <w:rFonts w:hint="eastAsia" w:ascii="Times New Roman" w:hAnsi="Times New Roman" w:eastAsia="宋体" w:cs="Times New Roman"/>
                <w:color w:val="auto"/>
                <w:sz w:val="22"/>
                <w:szCs w:val="22"/>
                <w:lang w:eastAsia="zh-CN"/>
              </w:rPr>
            </w:pPr>
            <w:r>
              <w:rPr>
                <w:rFonts w:hint="eastAsia" w:eastAsia="宋体"/>
                <w:color w:val="auto"/>
                <w:sz w:val="22"/>
                <w:szCs w:val="22"/>
                <w:lang w:val="en-US" w:eastAsia="zh-CN"/>
              </w:rPr>
              <w:t>脱硫剂仓颗粒物</w:t>
            </w:r>
            <w:r>
              <w:rPr>
                <w:rFonts w:hint="eastAsia" w:ascii="Times New Roman" w:hAnsi="Times New Roman" w:eastAsia="宋体" w:cs="Times New Roman"/>
                <w:color w:val="auto"/>
                <w:sz w:val="22"/>
                <w:szCs w:val="22"/>
              </w:rPr>
              <w:t>经仓顶除尘器处理后送至燃气锅炉烟气脉冲袋式除尘器前</w:t>
            </w:r>
            <w:r>
              <w:rPr>
                <w:rFonts w:hint="eastAsia" w:ascii="Times New Roman" w:hAnsi="Times New Roman" w:eastAsia="宋体" w:cs="Times New Roman"/>
                <w:color w:val="auto"/>
                <w:sz w:val="22"/>
                <w:szCs w:val="22"/>
                <w:lang w:eastAsia="zh-CN"/>
              </w:rPr>
              <w:t>。</w:t>
            </w:r>
          </w:p>
          <w:p w14:paraId="0D33C8E9">
            <w:pPr>
              <w:pStyle w:val="2"/>
              <w:rPr>
                <w:rFonts w:hint="default"/>
                <w:lang w:val="en-US" w:eastAsia="zh-CN"/>
              </w:rPr>
            </w:pPr>
            <w:r>
              <w:rPr>
                <w:rFonts w:hint="eastAsia" w:ascii="Times New Roman" w:hAnsi="Times New Roman" w:eastAsia="宋体" w:cs="Times New Roman"/>
                <w:color w:val="auto"/>
                <w:sz w:val="22"/>
                <w:szCs w:val="22"/>
                <w:lang w:val="en-US" w:eastAsia="zh-CN"/>
              </w:rPr>
              <w:t>通过50m高排气筒排放。</w:t>
            </w:r>
          </w:p>
        </w:tc>
        <w:tc>
          <w:tcPr>
            <w:tcW w:w="3073" w:type="dxa"/>
            <w:noWrap w:val="0"/>
            <w:vAlign w:val="center"/>
          </w:tcPr>
          <w:p w14:paraId="53F2D836">
            <w:pPr>
              <w:adjustRightInd w:val="0"/>
              <w:snapToGrid w:val="0"/>
              <w:jc w:val="center"/>
              <w:rPr>
                <w:rFonts w:hint="eastAsia"/>
                <w:color w:val="auto"/>
                <w:sz w:val="22"/>
                <w:szCs w:val="22"/>
                <w:lang w:eastAsia="zh-CN"/>
              </w:rPr>
            </w:pPr>
            <w:r>
              <w:rPr>
                <w:color w:val="auto"/>
                <w:sz w:val="22"/>
                <w:szCs w:val="22"/>
              </w:rPr>
              <w:t>颗粒物</w:t>
            </w:r>
            <w:r>
              <w:rPr>
                <w:rFonts w:hint="eastAsia"/>
                <w:color w:val="auto"/>
                <w:sz w:val="22"/>
                <w:szCs w:val="22"/>
              </w:rPr>
              <w:t>、SO</w:t>
            </w:r>
            <w:r>
              <w:rPr>
                <w:rFonts w:hint="eastAsia"/>
                <w:color w:val="auto"/>
                <w:sz w:val="22"/>
                <w:szCs w:val="22"/>
                <w:vertAlign w:val="subscript"/>
              </w:rPr>
              <w:t>2</w:t>
            </w:r>
            <w:r>
              <w:rPr>
                <w:rFonts w:hint="eastAsia"/>
                <w:color w:val="auto"/>
                <w:sz w:val="22"/>
                <w:szCs w:val="22"/>
              </w:rPr>
              <w:t>、NOx</w:t>
            </w:r>
            <w:r>
              <w:rPr>
                <w:rFonts w:hint="eastAsia"/>
                <w:color w:val="auto"/>
                <w:sz w:val="22"/>
                <w:szCs w:val="22"/>
                <w:lang w:val="en-US" w:eastAsia="zh-CN"/>
              </w:rPr>
              <w:t>执行</w:t>
            </w:r>
            <w:r>
              <w:rPr>
                <w:rFonts w:hint="eastAsia"/>
                <w:color w:val="auto"/>
                <w:sz w:val="22"/>
                <w:szCs w:val="22"/>
              </w:rPr>
              <w:t>山西省《锅炉大气污染物排放标准》（DB14/1929-2019）</w:t>
            </w:r>
          </w:p>
        </w:tc>
      </w:tr>
      <w:tr w14:paraId="5B15A8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45" w:hRule="atLeast"/>
        </w:trPr>
        <w:tc>
          <w:tcPr>
            <w:tcW w:w="1127" w:type="dxa"/>
            <w:vMerge w:val="restart"/>
            <w:noWrap w:val="0"/>
            <w:vAlign w:val="center"/>
          </w:tcPr>
          <w:p w14:paraId="309A211E">
            <w:pPr>
              <w:adjustRightInd w:val="0"/>
              <w:snapToGrid w:val="0"/>
              <w:jc w:val="center"/>
              <w:rPr>
                <w:color w:val="auto"/>
                <w:sz w:val="22"/>
                <w:szCs w:val="22"/>
              </w:rPr>
            </w:pPr>
            <w:r>
              <w:rPr>
                <w:color w:val="auto"/>
                <w:sz w:val="22"/>
                <w:szCs w:val="22"/>
              </w:rPr>
              <w:t>地表水环境</w:t>
            </w:r>
          </w:p>
        </w:tc>
        <w:tc>
          <w:tcPr>
            <w:tcW w:w="1290" w:type="dxa"/>
            <w:noWrap w:val="0"/>
            <w:vAlign w:val="center"/>
          </w:tcPr>
          <w:p w14:paraId="4137B5D3">
            <w:pPr>
              <w:adjustRightInd w:val="0"/>
              <w:snapToGrid w:val="0"/>
              <w:jc w:val="center"/>
              <w:rPr>
                <w:color w:val="auto"/>
                <w:sz w:val="22"/>
                <w:szCs w:val="22"/>
              </w:rPr>
            </w:pPr>
            <w:r>
              <w:rPr>
                <w:color w:val="auto"/>
                <w:sz w:val="22"/>
                <w:szCs w:val="22"/>
              </w:rPr>
              <w:t>生活污水</w:t>
            </w:r>
          </w:p>
        </w:tc>
        <w:tc>
          <w:tcPr>
            <w:tcW w:w="1031" w:type="dxa"/>
            <w:noWrap w:val="0"/>
            <w:vAlign w:val="center"/>
          </w:tcPr>
          <w:p w14:paraId="233A5BB6">
            <w:pPr>
              <w:adjustRightInd w:val="0"/>
              <w:snapToGrid w:val="0"/>
              <w:jc w:val="center"/>
              <w:rPr>
                <w:color w:val="auto"/>
                <w:sz w:val="22"/>
                <w:szCs w:val="22"/>
              </w:rPr>
            </w:pPr>
            <w:r>
              <w:rPr>
                <w:color w:val="auto"/>
                <w:sz w:val="22"/>
                <w:szCs w:val="22"/>
              </w:rPr>
              <w:t>COD、BOD</w:t>
            </w:r>
            <w:r>
              <w:rPr>
                <w:color w:val="auto"/>
                <w:sz w:val="22"/>
                <w:szCs w:val="22"/>
                <w:vertAlign w:val="subscript"/>
              </w:rPr>
              <w:t>5</w:t>
            </w:r>
            <w:r>
              <w:rPr>
                <w:color w:val="auto"/>
                <w:sz w:val="22"/>
                <w:szCs w:val="22"/>
              </w:rPr>
              <w:t>、SS、NH</w:t>
            </w:r>
            <w:r>
              <w:rPr>
                <w:color w:val="auto"/>
                <w:sz w:val="22"/>
                <w:szCs w:val="22"/>
                <w:vertAlign w:val="subscript"/>
              </w:rPr>
              <w:t>3</w:t>
            </w:r>
            <w:r>
              <w:rPr>
                <w:color w:val="auto"/>
                <w:sz w:val="22"/>
                <w:szCs w:val="22"/>
              </w:rPr>
              <w:t>-N</w:t>
            </w:r>
          </w:p>
        </w:tc>
        <w:tc>
          <w:tcPr>
            <w:tcW w:w="2539" w:type="dxa"/>
            <w:noWrap w:val="0"/>
            <w:vAlign w:val="center"/>
          </w:tcPr>
          <w:p w14:paraId="68997D1F">
            <w:pPr>
              <w:widowControl/>
              <w:rPr>
                <w:color w:val="auto"/>
                <w:sz w:val="22"/>
                <w:szCs w:val="22"/>
              </w:rPr>
            </w:pPr>
            <w:r>
              <w:rPr>
                <w:rFonts w:hint="eastAsia" w:ascii="宋体" w:hAnsi="宋体" w:cs="宋体"/>
                <w:color w:val="auto"/>
                <w:kern w:val="0"/>
                <w:sz w:val="22"/>
                <w:szCs w:val="22"/>
              </w:rPr>
              <w:t>排入</w:t>
            </w:r>
            <w:r>
              <w:rPr>
                <w:rFonts w:hint="eastAsia" w:ascii="宋体" w:hAnsi="宋体" w:cs="宋体"/>
                <w:color w:val="auto"/>
                <w:kern w:val="0"/>
                <w:sz w:val="22"/>
                <w:szCs w:val="22"/>
                <w:lang w:eastAsia="zh-CN"/>
              </w:rPr>
              <w:t>金烨钢铁</w:t>
            </w:r>
            <w:r>
              <w:rPr>
                <w:rFonts w:hint="eastAsia" w:ascii="宋体" w:hAnsi="宋体" w:cs="宋体"/>
                <w:color w:val="auto"/>
                <w:kern w:val="0"/>
                <w:sz w:val="22"/>
                <w:szCs w:val="22"/>
              </w:rPr>
              <w:t>集团有限公司生活污水</w:t>
            </w:r>
            <w:r>
              <w:rPr>
                <w:rFonts w:hint="eastAsia" w:ascii="宋体" w:hAnsi="宋体" w:cs="宋体"/>
                <w:color w:val="auto"/>
                <w:kern w:val="0"/>
                <w:sz w:val="22"/>
                <w:szCs w:val="22"/>
                <w:lang w:val="en-US" w:eastAsia="zh-CN"/>
              </w:rPr>
              <w:t>管网，最终进入壶关第一污水处理厂处理</w:t>
            </w:r>
            <w:r>
              <w:rPr>
                <w:rFonts w:hint="eastAsia" w:ascii="宋体" w:hAnsi="宋体" w:cs="宋体"/>
                <w:color w:val="auto"/>
                <w:kern w:val="0"/>
                <w:sz w:val="22"/>
                <w:szCs w:val="22"/>
              </w:rPr>
              <w:t>。</w:t>
            </w:r>
          </w:p>
        </w:tc>
        <w:tc>
          <w:tcPr>
            <w:tcW w:w="3073" w:type="dxa"/>
            <w:noWrap w:val="0"/>
            <w:vAlign w:val="center"/>
          </w:tcPr>
          <w:p w14:paraId="7214E9C1">
            <w:pPr>
              <w:adjustRightInd w:val="0"/>
              <w:snapToGrid w:val="0"/>
              <w:jc w:val="center"/>
              <w:rPr>
                <w:color w:val="auto"/>
                <w:sz w:val="22"/>
                <w:szCs w:val="22"/>
              </w:rPr>
            </w:pPr>
            <w:r>
              <w:rPr>
                <w:rFonts w:hint="eastAsia"/>
                <w:color w:val="auto"/>
                <w:sz w:val="22"/>
                <w:szCs w:val="22"/>
              </w:rPr>
              <w:t>不外排</w:t>
            </w:r>
          </w:p>
        </w:tc>
      </w:tr>
      <w:tr w14:paraId="6E79E1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7" w:type="dxa"/>
            <w:vMerge w:val="continue"/>
            <w:noWrap w:val="0"/>
            <w:vAlign w:val="center"/>
          </w:tcPr>
          <w:p w14:paraId="2B075B4C">
            <w:pPr>
              <w:adjustRightInd w:val="0"/>
              <w:snapToGrid w:val="0"/>
              <w:jc w:val="center"/>
              <w:rPr>
                <w:color w:val="auto"/>
                <w:sz w:val="22"/>
                <w:szCs w:val="22"/>
              </w:rPr>
            </w:pPr>
          </w:p>
        </w:tc>
        <w:tc>
          <w:tcPr>
            <w:tcW w:w="1290" w:type="dxa"/>
            <w:noWrap w:val="0"/>
            <w:vAlign w:val="center"/>
          </w:tcPr>
          <w:p w14:paraId="6F0A663C">
            <w:pPr>
              <w:widowControl/>
              <w:rPr>
                <w:color w:val="auto"/>
                <w:sz w:val="22"/>
                <w:szCs w:val="22"/>
                <w:highlight w:val="none"/>
              </w:rPr>
            </w:pPr>
            <w:r>
              <w:rPr>
                <w:rFonts w:ascii="宋体" w:hAnsi="宋体" w:cs="宋体"/>
                <w:color w:val="auto"/>
                <w:kern w:val="0"/>
                <w:sz w:val="22"/>
                <w:szCs w:val="22"/>
                <w:highlight w:val="none"/>
              </w:rPr>
              <w:t>锅炉排污水、化学水车间排水、循环冷却排污</w:t>
            </w:r>
            <w:r>
              <w:rPr>
                <w:rFonts w:hint="eastAsia" w:ascii="宋体" w:hAnsi="宋体" w:cs="宋体"/>
                <w:color w:val="auto"/>
                <w:kern w:val="0"/>
                <w:sz w:val="22"/>
                <w:szCs w:val="22"/>
                <w:highlight w:val="none"/>
              </w:rPr>
              <w:t>水</w:t>
            </w:r>
          </w:p>
        </w:tc>
        <w:tc>
          <w:tcPr>
            <w:tcW w:w="1031" w:type="dxa"/>
            <w:noWrap w:val="0"/>
            <w:vAlign w:val="center"/>
          </w:tcPr>
          <w:p w14:paraId="778B3C47">
            <w:pPr>
              <w:adjustRightInd w:val="0"/>
              <w:snapToGrid w:val="0"/>
              <w:jc w:val="center"/>
              <w:rPr>
                <w:color w:val="auto"/>
                <w:sz w:val="22"/>
                <w:szCs w:val="22"/>
                <w:highlight w:val="none"/>
              </w:rPr>
            </w:pPr>
            <w:r>
              <w:rPr>
                <w:rFonts w:hint="eastAsia"/>
                <w:color w:val="auto"/>
                <w:sz w:val="22"/>
                <w:szCs w:val="22"/>
                <w:highlight w:val="none"/>
              </w:rPr>
              <w:t>盐类</w:t>
            </w:r>
          </w:p>
        </w:tc>
        <w:tc>
          <w:tcPr>
            <w:tcW w:w="2539" w:type="dxa"/>
            <w:noWrap w:val="0"/>
            <w:vAlign w:val="center"/>
          </w:tcPr>
          <w:p w14:paraId="27ACAC6F">
            <w:pPr>
              <w:widowControl/>
              <w:rPr>
                <w:rFonts w:ascii="宋体" w:hAnsi="宋体" w:cs="宋体"/>
                <w:color w:val="auto"/>
                <w:kern w:val="0"/>
                <w:sz w:val="22"/>
                <w:szCs w:val="22"/>
                <w:highlight w:val="none"/>
              </w:rPr>
            </w:pPr>
            <w:r>
              <w:rPr>
                <w:rFonts w:hint="eastAsia" w:ascii="宋体" w:hAnsi="宋体" w:cs="宋体"/>
                <w:color w:val="auto"/>
                <w:kern w:val="0"/>
                <w:sz w:val="22"/>
                <w:szCs w:val="22"/>
                <w:highlight w:val="none"/>
                <w:lang w:val="en-US" w:eastAsia="zh-CN"/>
              </w:rPr>
              <w:t>生产用水采用中水，</w:t>
            </w:r>
            <w:r>
              <w:rPr>
                <w:rFonts w:hint="eastAsia" w:ascii="宋体" w:hAnsi="宋体" w:cs="宋体"/>
                <w:color w:val="auto"/>
                <w:kern w:val="0"/>
                <w:sz w:val="22"/>
                <w:szCs w:val="22"/>
                <w:highlight w:val="none"/>
              </w:rPr>
              <w:t>排入</w:t>
            </w:r>
            <w:r>
              <w:rPr>
                <w:rFonts w:hint="eastAsia" w:ascii="宋体" w:hAnsi="宋体" w:cs="宋体"/>
                <w:color w:val="auto"/>
                <w:kern w:val="0"/>
                <w:sz w:val="22"/>
                <w:szCs w:val="22"/>
                <w:highlight w:val="none"/>
                <w:lang w:eastAsia="zh-CN"/>
              </w:rPr>
              <w:t>金烨钢铁</w:t>
            </w:r>
            <w:r>
              <w:rPr>
                <w:rFonts w:hint="eastAsia" w:ascii="宋体" w:hAnsi="宋体" w:cs="宋体"/>
                <w:color w:val="auto"/>
                <w:kern w:val="0"/>
                <w:sz w:val="22"/>
                <w:szCs w:val="22"/>
                <w:highlight w:val="none"/>
              </w:rPr>
              <w:t>集团有限公司综合废水处理站，废水经处理后全部回用</w:t>
            </w:r>
            <w:r>
              <w:rPr>
                <w:rFonts w:hint="eastAsia" w:ascii="宋体" w:hAnsi="宋体" w:cs="宋体"/>
                <w:color w:val="auto"/>
                <w:kern w:val="0"/>
                <w:sz w:val="22"/>
                <w:szCs w:val="22"/>
                <w:highlight w:val="none"/>
                <w:lang w:eastAsia="zh-CN"/>
              </w:rPr>
              <w:t>，</w:t>
            </w:r>
            <w:r>
              <w:rPr>
                <w:rFonts w:hint="eastAsia" w:ascii="宋体" w:hAnsi="宋体" w:cs="宋体"/>
                <w:color w:val="auto"/>
                <w:kern w:val="0"/>
                <w:sz w:val="22"/>
                <w:szCs w:val="22"/>
                <w:highlight w:val="none"/>
                <w:lang w:val="en-US" w:eastAsia="zh-CN"/>
              </w:rPr>
              <w:t>不外排</w:t>
            </w:r>
            <w:r>
              <w:rPr>
                <w:rFonts w:hint="eastAsia" w:ascii="宋体" w:hAnsi="宋体" w:cs="宋体"/>
                <w:color w:val="auto"/>
                <w:kern w:val="0"/>
                <w:sz w:val="22"/>
                <w:szCs w:val="22"/>
                <w:highlight w:val="none"/>
              </w:rPr>
              <w:t>。</w:t>
            </w:r>
          </w:p>
        </w:tc>
        <w:tc>
          <w:tcPr>
            <w:tcW w:w="3073" w:type="dxa"/>
            <w:noWrap w:val="0"/>
            <w:vAlign w:val="center"/>
          </w:tcPr>
          <w:p w14:paraId="60307816">
            <w:pPr>
              <w:adjustRightInd w:val="0"/>
              <w:snapToGrid w:val="0"/>
              <w:jc w:val="center"/>
              <w:rPr>
                <w:color w:val="auto"/>
                <w:sz w:val="22"/>
                <w:szCs w:val="22"/>
                <w:highlight w:val="none"/>
              </w:rPr>
            </w:pPr>
            <w:r>
              <w:rPr>
                <w:rFonts w:hint="eastAsia"/>
                <w:color w:val="auto"/>
                <w:sz w:val="22"/>
                <w:szCs w:val="22"/>
                <w:highlight w:val="none"/>
              </w:rPr>
              <w:t>不外排</w:t>
            </w:r>
          </w:p>
        </w:tc>
      </w:tr>
      <w:tr w14:paraId="449032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127" w:type="dxa"/>
            <w:noWrap w:val="0"/>
            <w:vAlign w:val="center"/>
          </w:tcPr>
          <w:p w14:paraId="4B7C3EA6">
            <w:pPr>
              <w:adjustRightInd w:val="0"/>
              <w:snapToGrid w:val="0"/>
              <w:jc w:val="center"/>
              <w:rPr>
                <w:color w:val="auto"/>
                <w:sz w:val="22"/>
                <w:szCs w:val="22"/>
              </w:rPr>
            </w:pPr>
            <w:r>
              <w:rPr>
                <w:color w:val="auto"/>
                <w:sz w:val="22"/>
                <w:szCs w:val="22"/>
              </w:rPr>
              <w:t>声环境</w:t>
            </w:r>
          </w:p>
        </w:tc>
        <w:tc>
          <w:tcPr>
            <w:tcW w:w="1290" w:type="dxa"/>
            <w:noWrap w:val="0"/>
            <w:vAlign w:val="center"/>
          </w:tcPr>
          <w:p w14:paraId="485DD827">
            <w:pPr>
              <w:adjustRightInd w:val="0"/>
              <w:snapToGrid w:val="0"/>
              <w:jc w:val="center"/>
              <w:rPr>
                <w:color w:val="auto"/>
                <w:sz w:val="22"/>
                <w:szCs w:val="22"/>
              </w:rPr>
            </w:pPr>
            <w:r>
              <w:rPr>
                <w:color w:val="auto"/>
                <w:sz w:val="22"/>
                <w:szCs w:val="22"/>
              </w:rPr>
              <w:t>设备运行</w:t>
            </w:r>
          </w:p>
        </w:tc>
        <w:tc>
          <w:tcPr>
            <w:tcW w:w="1031" w:type="dxa"/>
            <w:noWrap w:val="0"/>
            <w:vAlign w:val="center"/>
          </w:tcPr>
          <w:p w14:paraId="7F6C41DA">
            <w:pPr>
              <w:adjustRightInd w:val="0"/>
              <w:snapToGrid w:val="0"/>
              <w:jc w:val="center"/>
              <w:rPr>
                <w:color w:val="auto"/>
                <w:sz w:val="22"/>
                <w:szCs w:val="22"/>
              </w:rPr>
            </w:pPr>
            <w:r>
              <w:rPr>
                <w:color w:val="auto"/>
                <w:sz w:val="22"/>
                <w:szCs w:val="22"/>
              </w:rPr>
              <w:t>噪声</w:t>
            </w:r>
          </w:p>
        </w:tc>
        <w:tc>
          <w:tcPr>
            <w:tcW w:w="2539" w:type="dxa"/>
            <w:noWrap w:val="0"/>
            <w:vAlign w:val="center"/>
          </w:tcPr>
          <w:p w14:paraId="27856CFF">
            <w:pPr>
              <w:adjustRightInd w:val="0"/>
              <w:snapToGrid w:val="0"/>
              <w:jc w:val="center"/>
              <w:rPr>
                <w:color w:val="auto"/>
                <w:sz w:val="22"/>
                <w:szCs w:val="22"/>
              </w:rPr>
            </w:pPr>
            <w:r>
              <w:rPr>
                <w:color w:val="auto"/>
                <w:sz w:val="22"/>
                <w:szCs w:val="22"/>
              </w:rPr>
              <w:t>选</w:t>
            </w:r>
            <w:r>
              <w:rPr>
                <w:rFonts w:hint="eastAsia"/>
                <w:color w:val="auto"/>
                <w:sz w:val="22"/>
                <w:szCs w:val="22"/>
                <w:lang w:val="en-US" w:eastAsia="zh-CN"/>
              </w:rPr>
              <w:t>用</w:t>
            </w:r>
            <w:r>
              <w:rPr>
                <w:color w:val="auto"/>
                <w:sz w:val="22"/>
                <w:szCs w:val="22"/>
              </w:rPr>
              <w:t>低噪设备、基础减振、建筑隔声、加强管理等</w:t>
            </w:r>
          </w:p>
        </w:tc>
        <w:tc>
          <w:tcPr>
            <w:tcW w:w="3073" w:type="dxa"/>
            <w:noWrap w:val="0"/>
            <w:vAlign w:val="center"/>
          </w:tcPr>
          <w:p w14:paraId="1C270D3E">
            <w:pPr>
              <w:adjustRightInd w:val="0"/>
              <w:snapToGrid w:val="0"/>
              <w:jc w:val="center"/>
              <w:rPr>
                <w:color w:val="auto"/>
                <w:sz w:val="22"/>
                <w:szCs w:val="22"/>
              </w:rPr>
            </w:pPr>
            <w:r>
              <w:rPr>
                <w:color w:val="auto"/>
                <w:sz w:val="22"/>
                <w:szCs w:val="22"/>
              </w:rPr>
              <w:t>《工业企业厂界环境噪声排放标准》（GB12348-2008）中</w:t>
            </w:r>
            <w:r>
              <w:rPr>
                <w:rFonts w:hint="eastAsia"/>
                <w:color w:val="auto"/>
                <w:sz w:val="22"/>
                <w:szCs w:val="22"/>
                <w:lang w:val="en-US" w:eastAsia="zh-CN"/>
              </w:rPr>
              <w:t>2</w:t>
            </w:r>
            <w:r>
              <w:rPr>
                <w:color w:val="auto"/>
                <w:sz w:val="22"/>
                <w:szCs w:val="22"/>
              </w:rPr>
              <w:t>类标准</w:t>
            </w:r>
          </w:p>
        </w:tc>
      </w:tr>
      <w:tr w14:paraId="37D790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127" w:type="dxa"/>
            <w:noWrap w:val="0"/>
            <w:vAlign w:val="center"/>
          </w:tcPr>
          <w:p w14:paraId="05E87D13">
            <w:pPr>
              <w:adjustRightInd w:val="0"/>
              <w:snapToGrid w:val="0"/>
              <w:jc w:val="center"/>
              <w:rPr>
                <w:color w:val="auto"/>
                <w:sz w:val="22"/>
                <w:szCs w:val="22"/>
              </w:rPr>
            </w:pPr>
            <w:r>
              <w:rPr>
                <w:color w:val="auto"/>
                <w:sz w:val="22"/>
                <w:szCs w:val="22"/>
              </w:rPr>
              <w:t>电磁辐射</w:t>
            </w:r>
          </w:p>
        </w:tc>
        <w:tc>
          <w:tcPr>
            <w:tcW w:w="7933" w:type="dxa"/>
            <w:gridSpan w:val="4"/>
            <w:noWrap w:val="0"/>
            <w:vAlign w:val="center"/>
          </w:tcPr>
          <w:p w14:paraId="4E7853EC">
            <w:pPr>
              <w:adjustRightInd w:val="0"/>
              <w:snapToGrid w:val="0"/>
              <w:jc w:val="center"/>
              <w:rPr>
                <w:color w:val="auto"/>
                <w:sz w:val="22"/>
                <w:szCs w:val="22"/>
              </w:rPr>
            </w:pPr>
            <w:r>
              <w:rPr>
                <w:color w:val="auto"/>
                <w:sz w:val="22"/>
                <w:szCs w:val="22"/>
              </w:rPr>
              <w:t>/</w:t>
            </w:r>
          </w:p>
        </w:tc>
      </w:tr>
      <w:tr w14:paraId="52D730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1127" w:type="dxa"/>
            <w:noWrap w:val="0"/>
            <w:vAlign w:val="center"/>
          </w:tcPr>
          <w:p w14:paraId="4A083813">
            <w:pPr>
              <w:adjustRightInd w:val="0"/>
              <w:snapToGrid w:val="0"/>
              <w:jc w:val="center"/>
              <w:rPr>
                <w:color w:val="auto"/>
                <w:sz w:val="22"/>
                <w:szCs w:val="22"/>
              </w:rPr>
            </w:pPr>
            <w:r>
              <w:rPr>
                <w:color w:val="auto"/>
                <w:sz w:val="22"/>
                <w:szCs w:val="22"/>
              </w:rPr>
              <w:t>固体废物</w:t>
            </w:r>
          </w:p>
        </w:tc>
        <w:tc>
          <w:tcPr>
            <w:tcW w:w="7933" w:type="dxa"/>
            <w:gridSpan w:val="4"/>
            <w:noWrap w:val="0"/>
            <w:vAlign w:val="center"/>
          </w:tcPr>
          <w:p w14:paraId="3FDE250B">
            <w:pPr>
              <w:adjustRightInd w:val="0"/>
              <w:snapToGrid w:val="0"/>
              <w:jc w:val="center"/>
              <w:rPr>
                <w:color w:val="auto"/>
                <w:sz w:val="22"/>
                <w:szCs w:val="22"/>
              </w:rPr>
            </w:pPr>
            <w:r>
              <w:rPr>
                <w:color w:val="auto"/>
                <w:sz w:val="22"/>
                <w:szCs w:val="22"/>
              </w:rPr>
              <w:t>员工生活产生的生活垃圾收集后交环卫部门清运妥善处置</w:t>
            </w:r>
            <w:r>
              <w:rPr>
                <w:rFonts w:hint="eastAsia"/>
                <w:color w:val="auto"/>
                <w:sz w:val="22"/>
                <w:szCs w:val="22"/>
                <w:lang w:eastAsia="zh-CN"/>
              </w:rPr>
              <w:t>；</w:t>
            </w:r>
            <w:r>
              <w:rPr>
                <w:rFonts w:hint="eastAsia"/>
                <w:color w:val="auto"/>
                <w:sz w:val="22"/>
                <w:szCs w:val="22"/>
                <w:lang w:val="en-US" w:eastAsia="zh-CN"/>
              </w:rPr>
              <w:t>除尘灰定期收集后外售</w:t>
            </w:r>
            <w:r>
              <w:rPr>
                <w:rFonts w:hint="eastAsia"/>
                <w:color w:val="auto"/>
                <w:sz w:val="22"/>
                <w:szCs w:val="22"/>
              </w:rPr>
              <w:t>；</w:t>
            </w:r>
            <w:r>
              <w:rPr>
                <w:color w:val="auto"/>
                <w:sz w:val="22"/>
                <w:szCs w:val="22"/>
              </w:rPr>
              <w:t>设备检修维护产生的废机油</w:t>
            </w:r>
            <w:r>
              <w:rPr>
                <w:rFonts w:hint="eastAsia"/>
                <w:color w:val="auto"/>
                <w:sz w:val="22"/>
                <w:szCs w:val="22"/>
              </w:rPr>
              <w:t>、废油桶暂存于危废贮存库</w:t>
            </w:r>
            <w:r>
              <w:rPr>
                <w:color w:val="auto"/>
                <w:sz w:val="22"/>
                <w:szCs w:val="22"/>
              </w:rPr>
              <w:t>，由有资质单位及时处理</w:t>
            </w:r>
          </w:p>
        </w:tc>
      </w:tr>
      <w:tr w14:paraId="7F18E1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127" w:type="dxa"/>
            <w:noWrap w:val="0"/>
            <w:vAlign w:val="center"/>
          </w:tcPr>
          <w:p w14:paraId="3D9A69EE">
            <w:pPr>
              <w:adjustRightInd w:val="0"/>
              <w:snapToGrid w:val="0"/>
              <w:jc w:val="center"/>
              <w:rPr>
                <w:color w:val="auto"/>
                <w:sz w:val="22"/>
                <w:szCs w:val="22"/>
              </w:rPr>
            </w:pPr>
            <w:r>
              <w:rPr>
                <w:color w:val="auto"/>
                <w:sz w:val="22"/>
                <w:szCs w:val="22"/>
              </w:rPr>
              <w:t>土壤及地下水</w:t>
            </w:r>
          </w:p>
          <w:p w14:paraId="7D8DC2CB">
            <w:pPr>
              <w:adjustRightInd w:val="0"/>
              <w:snapToGrid w:val="0"/>
              <w:jc w:val="center"/>
              <w:rPr>
                <w:color w:val="auto"/>
                <w:sz w:val="22"/>
                <w:szCs w:val="22"/>
              </w:rPr>
            </w:pPr>
            <w:r>
              <w:rPr>
                <w:color w:val="auto"/>
                <w:sz w:val="22"/>
                <w:szCs w:val="22"/>
              </w:rPr>
              <w:t>污染防治措施</w:t>
            </w:r>
          </w:p>
        </w:tc>
        <w:tc>
          <w:tcPr>
            <w:tcW w:w="7933" w:type="dxa"/>
            <w:gridSpan w:val="4"/>
            <w:noWrap w:val="0"/>
            <w:vAlign w:val="center"/>
          </w:tcPr>
          <w:p w14:paraId="5B8792F1">
            <w:pPr>
              <w:adjustRightInd w:val="0"/>
              <w:snapToGrid w:val="0"/>
              <w:jc w:val="center"/>
              <w:rPr>
                <w:color w:val="auto"/>
                <w:sz w:val="22"/>
                <w:szCs w:val="22"/>
              </w:rPr>
            </w:pPr>
            <w:r>
              <w:rPr>
                <w:color w:val="auto"/>
                <w:sz w:val="22"/>
                <w:szCs w:val="22"/>
              </w:rPr>
              <w:t>采用“源头控制</w:t>
            </w:r>
            <w:r>
              <w:rPr>
                <w:rFonts w:hint="eastAsia"/>
                <w:color w:val="auto"/>
                <w:sz w:val="22"/>
                <w:szCs w:val="22"/>
              </w:rPr>
              <w:t>”“</w:t>
            </w:r>
            <w:r>
              <w:rPr>
                <w:color w:val="auto"/>
                <w:sz w:val="22"/>
                <w:szCs w:val="22"/>
              </w:rPr>
              <w:t>分区防控”的防渗措施，主要包括污染区地面的防渗措施和泄漏、渗漏污染物收集措施，即在污染区地面进行防渗处理，防止洒落地面的污染物渗入地下，从而避免对地下水和土壤的污染。</w:t>
            </w:r>
          </w:p>
        </w:tc>
      </w:tr>
      <w:tr w14:paraId="3339BD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27" w:type="dxa"/>
            <w:noWrap w:val="0"/>
            <w:vAlign w:val="center"/>
          </w:tcPr>
          <w:p w14:paraId="17D25F03">
            <w:pPr>
              <w:adjustRightInd w:val="0"/>
              <w:snapToGrid w:val="0"/>
              <w:jc w:val="center"/>
              <w:rPr>
                <w:color w:val="auto"/>
                <w:sz w:val="22"/>
                <w:szCs w:val="22"/>
              </w:rPr>
            </w:pPr>
            <w:r>
              <w:rPr>
                <w:color w:val="auto"/>
                <w:sz w:val="22"/>
                <w:szCs w:val="22"/>
              </w:rPr>
              <w:t>生态保护措施</w:t>
            </w:r>
          </w:p>
        </w:tc>
        <w:tc>
          <w:tcPr>
            <w:tcW w:w="7933" w:type="dxa"/>
            <w:gridSpan w:val="4"/>
            <w:noWrap w:val="0"/>
            <w:vAlign w:val="center"/>
          </w:tcPr>
          <w:p w14:paraId="4A9AC176">
            <w:pPr>
              <w:adjustRightInd w:val="0"/>
              <w:snapToGrid w:val="0"/>
              <w:jc w:val="center"/>
              <w:rPr>
                <w:color w:val="auto"/>
                <w:sz w:val="22"/>
                <w:szCs w:val="22"/>
              </w:rPr>
            </w:pPr>
            <w:r>
              <w:rPr>
                <w:color w:val="auto"/>
                <w:sz w:val="22"/>
                <w:szCs w:val="22"/>
              </w:rPr>
              <w:t>厂区内进行绿化</w:t>
            </w:r>
          </w:p>
        </w:tc>
      </w:tr>
      <w:tr w14:paraId="643175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127" w:type="dxa"/>
            <w:noWrap w:val="0"/>
            <w:vAlign w:val="center"/>
          </w:tcPr>
          <w:p w14:paraId="2571AD10">
            <w:pPr>
              <w:adjustRightInd w:val="0"/>
              <w:snapToGrid w:val="0"/>
              <w:jc w:val="center"/>
              <w:rPr>
                <w:color w:val="auto"/>
                <w:spacing w:val="-8"/>
                <w:sz w:val="22"/>
                <w:szCs w:val="22"/>
              </w:rPr>
            </w:pPr>
            <w:r>
              <w:rPr>
                <w:color w:val="auto"/>
                <w:spacing w:val="-8"/>
                <w:sz w:val="22"/>
                <w:szCs w:val="22"/>
              </w:rPr>
              <w:t>环境风险防范措施</w:t>
            </w:r>
          </w:p>
        </w:tc>
        <w:tc>
          <w:tcPr>
            <w:tcW w:w="7933" w:type="dxa"/>
            <w:gridSpan w:val="4"/>
            <w:noWrap w:val="0"/>
            <w:vAlign w:val="center"/>
          </w:tcPr>
          <w:p w14:paraId="42B30BF2">
            <w:pPr>
              <w:widowControl/>
              <w:rPr>
                <w:color w:val="auto"/>
                <w:sz w:val="22"/>
                <w:szCs w:val="22"/>
              </w:rPr>
            </w:pPr>
            <w:r>
              <w:rPr>
                <w:rFonts w:hint="eastAsia" w:ascii="宋体" w:hAnsi="宋体" w:cs="宋体"/>
                <w:color w:val="auto"/>
                <w:kern w:val="0"/>
                <w:sz w:val="22"/>
                <w:szCs w:val="22"/>
                <w:lang w:val="en-US" w:eastAsia="zh-CN"/>
              </w:rPr>
              <w:t>汽轮机设置事故油池，采取防渗措施；</w:t>
            </w:r>
            <w:r>
              <w:rPr>
                <w:rFonts w:ascii="宋体" w:hAnsi="宋体" w:cs="宋体"/>
                <w:color w:val="auto"/>
                <w:kern w:val="0"/>
                <w:sz w:val="22"/>
                <w:szCs w:val="22"/>
              </w:rPr>
              <w:t>配备消防器材、火灾报警系统等</w:t>
            </w:r>
            <w:r>
              <w:rPr>
                <w:rFonts w:hint="eastAsia" w:ascii="宋体" w:hAnsi="宋体" w:cs="宋体"/>
                <w:color w:val="auto"/>
                <w:kern w:val="0"/>
                <w:sz w:val="22"/>
                <w:szCs w:val="22"/>
              </w:rPr>
              <w:t>。</w:t>
            </w:r>
            <w:r>
              <w:rPr>
                <w:rFonts w:ascii="宋体" w:hAnsi="宋体" w:cs="宋体"/>
                <w:color w:val="auto"/>
                <w:kern w:val="0"/>
                <w:sz w:val="22"/>
                <w:szCs w:val="22"/>
              </w:rPr>
              <w:t>加强安全管理，</w:t>
            </w:r>
            <w:r>
              <w:rPr>
                <w:rFonts w:hint="eastAsia" w:ascii="宋体" w:hAnsi="宋体" w:cs="宋体"/>
                <w:color w:val="auto"/>
                <w:kern w:val="0"/>
                <w:sz w:val="22"/>
                <w:szCs w:val="22"/>
                <w:lang w:eastAsia="zh-CN"/>
              </w:rPr>
              <w:t>强化</w:t>
            </w:r>
            <w:r>
              <w:rPr>
                <w:rFonts w:ascii="宋体" w:hAnsi="宋体" w:cs="宋体"/>
                <w:color w:val="auto"/>
                <w:kern w:val="0"/>
                <w:sz w:val="22"/>
                <w:szCs w:val="22"/>
              </w:rPr>
              <w:t>员工的安全管</w:t>
            </w:r>
            <w:r>
              <w:rPr>
                <w:rFonts w:hint="eastAsia" w:ascii="宋体" w:hAnsi="宋体" w:cs="宋体"/>
                <w:color w:val="auto"/>
                <w:kern w:val="0"/>
                <w:sz w:val="22"/>
                <w:szCs w:val="22"/>
                <w:lang w:eastAsia="zh-CN"/>
              </w:rPr>
              <w:t>理和</w:t>
            </w:r>
            <w:r>
              <w:rPr>
                <w:rFonts w:ascii="宋体" w:hAnsi="宋体" w:cs="宋体"/>
                <w:color w:val="auto"/>
                <w:kern w:val="0"/>
                <w:sz w:val="22"/>
                <w:szCs w:val="22"/>
              </w:rPr>
              <w:t>操作意识；加强对设备或设施的维护管理，避免设备故障，一旦发现要及时检修。</w:t>
            </w:r>
          </w:p>
        </w:tc>
      </w:tr>
      <w:tr w14:paraId="38B6A3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1127" w:type="dxa"/>
            <w:noWrap w:val="0"/>
            <w:vAlign w:val="center"/>
          </w:tcPr>
          <w:p w14:paraId="42F20476">
            <w:pPr>
              <w:adjustRightInd w:val="0"/>
              <w:snapToGrid w:val="0"/>
              <w:jc w:val="center"/>
              <w:rPr>
                <w:color w:val="auto"/>
                <w:spacing w:val="-8"/>
                <w:sz w:val="22"/>
                <w:szCs w:val="22"/>
              </w:rPr>
            </w:pPr>
            <w:r>
              <w:rPr>
                <w:color w:val="auto"/>
                <w:spacing w:val="-8"/>
                <w:sz w:val="22"/>
                <w:szCs w:val="22"/>
              </w:rPr>
              <w:t>其他环境管理要求</w:t>
            </w:r>
          </w:p>
        </w:tc>
        <w:tc>
          <w:tcPr>
            <w:tcW w:w="7933" w:type="dxa"/>
            <w:gridSpan w:val="4"/>
            <w:noWrap w:val="0"/>
            <w:vAlign w:val="center"/>
          </w:tcPr>
          <w:p w14:paraId="6DAE9242">
            <w:pPr>
              <w:widowControl/>
              <w:rPr>
                <w:rFonts w:hint="default" w:ascii="Times New Roman" w:hAnsi="Times New Roman" w:cs="Times New Roman"/>
                <w:color w:val="auto"/>
                <w:kern w:val="0"/>
                <w:sz w:val="22"/>
                <w:szCs w:val="22"/>
                <w:highlight w:val="none"/>
              </w:rPr>
            </w:pPr>
            <w:r>
              <w:rPr>
                <w:rFonts w:hint="eastAsia" w:ascii="宋体" w:hAnsi="宋体" w:cs="宋体"/>
                <w:color w:val="auto"/>
                <w:kern w:val="0"/>
                <w:sz w:val="22"/>
                <w:szCs w:val="22"/>
                <w:highlight w:val="none"/>
              </w:rPr>
              <w:t>①</w:t>
            </w:r>
            <w:r>
              <w:rPr>
                <w:rFonts w:ascii="宋体" w:hAnsi="宋体" w:cs="宋体"/>
                <w:color w:val="auto"/>
                <w:kern w:val="0"/>
                <w:sz w:val="22"/>
                <w:szCs w:val="22"/>
                <w:highlight w:val="none"/>
              </w:rPr>
              <w:t>厂区应建立完</w:t>
            </w:r>
            <w:r>
              <w:rPr>
                <w:rFonts w:hint="default" w:ascii="Times New Roman" w:hAnsi="Times New Roman" w:cs="Times New Roman"/>
                <w:color w:val="auto"/>
                <w:kern w:val="0"/>
                <w:sz w:val="22"/>
                <w:szCs w:val="22"/>
                <w:highlight w:val="none"/>
              </w:rPr>
              <w:t>备的检测、记录、存档和报告制度，并对各类固废的去向、用途、用量等进行跟踪、记录和报告，相关资料至少保存5年。</w:t>
            </w:r>
          </w:p>
          <w:p w14:paraId="49A28A4D">
            <w:pPr>
              <w:widowControl/>
              <w:rPr>
                <w:color w:val="auto"/>
                <w:sz w:val="22"/>
                <w:szCs w:val="22"/>
                <w:highlight w:val="none"/>
              </w:rPr>
            </w:pPr>
            <w:r>
              <w:rPr>
                <w:rFonts w:hint="default" w:ascii="Times New Roman" w:hAnsi="Times New Roman" w:cs="Times New Roman"/>
                <w:color w:val="auto"/>
                <w:kern w:val="0"/>
                <w:sz w:val="22"/>
                <w:szCs w:val="22"/>
                <w:highlight w:val="none"/>
              </w:rPr>
              <w:t>②制定环境监测计划：林格曼黑度</w:t>
            </w:r>
            <w:r>
              <w:rPr>
                <w:rFonts w:hint="default" w:ascii="Times New Roman" w:hAnsi="Times New Roman" w:cs="Times New Roman"/>
                <w:color w:val="auto"/>
                <w:kern w:val="0"/>
                <w:sz w:val="22"/>
                <w:szCs w:val="22"/>
                <w:highlight w:val="none"/>
                <w:lang w:val="en-US" w:eastAsia="zh-CN"/>
              </w:rPr>
              <w:t>每</w:t>
            </w:r>
            <w:r>
              <w:rPr>
                <w:rFonts w:hint="default" w:ascii="Times New Roman" w:hAnsi="Times New Roman" w:cs="Times New Roman"/>
                <w:color w:val="auto"/>
                <w:kern w:val="0"/>
                <w:sz w:val="22"/>
                <w:szCs w:val="22"/>
                <w:highlight w:val="none"/>
              </w:rPr>
              <w:t>季度</w:t>
            </w:r>
            <w:r>
              <w:rPr>
                <w:rFonts w:hint="default" w:ascii="Times New Roman" w:hAnsi="Times New Roman" w:cs="Times New Roman"/>
                <w:color w:val="auto"/>
                <w:kern w:val="0"/>
                <w:sz w:val="22"/>
                <w:szCs w:val="22"/>
                <w:highlight w:val="none"/>
                <w:lang w:val="en-US" w:eastAsia="zh-CN"/>
              </w:rPr>
              <w:t>一次，</w:t>
            </w:r>
            <w:r>
              <w:rPr>
                <w:rFonts w:hint="default" w:ascii="Times New Roman" w:hAnsi="Times New Roman" w:cs="Times New Roman"/>
                <w:color w:val="auto"/>
                <w:kern w:val="0"/>
                <w:sz w:val="22"/>
                <w:szCs w:val="22"/>
                <w:highlight w:val="none"/>
              </w:rPr>
              <w:t>颗粒物、SO</w:t>
            </w:r>
            <w:r>
              <w:rPr>
                <w:rFonts w:hint="default" w:ascii="Times New Roman" w:hAnsi="Times New Roman" w:cs="Times New Roman"/>
                <w:color w:val="auto"/>
                <w:kern w:val="0"/>
                <w:sz w:val="22"/>
                <w:szCs w:val="22"/>
                <w:highlight w:val="none"/>
                <w:vertAlign w:val="subscript"/>
              </w:rPr>
              <w:t>2</w:t>
            </w:r>
            <w:r>
              <w:rPr>
                <w:rFonts w:hint="eastAsia" w:ascii="Times New Roman" w:hAnsi="Times New Roman" w:cs="Times New Roman"/>
                <w:color w:val="auto"/>
                <w:kern w:val="0"/>
                <w:sz w:val="22"/>
                <w:szCs w:val="22"/>
                <w:highlight w:val="none"/>
                <w:vertAlign w:val="baseline"/>
                <w:lang w:eastAsia="zh-CN"/>
              </w:rPr>
              <w:t>、</w:t>
            </w:r>
            <w:r>
              <w:rPr>
                <w:rFonts w:hint="default" w:ascii="Times New Roman" w:hAnsi="Times New Roman" w:cs="Times New Roman"/>
                <w:color w:val="auto"/>
                <w:kern w:val="0"/>
                <w:sz w:val="22"/>
                <w:szCs w:val="22"/>
                <w:highlight w:val="none"/>
              </w:rPr>
              <w:t>NOx自动监测。噪声</w:t>
            </w:r>
            <w:r>
              <w:rPr>
                <w:rFonts w:hint="eastAsia" w:cs="Times New Roman"/>
                <w:color w:val="auto"/>
                <w:kern w:val="0"/>
                <w:sz w:val="22"/>
                <w:szCs w:val="22"/>
                <w:highlight w:val="none"/>
                <w:lang w:val="en-US" w:eastAsia="zh-CN"/>
              </w:rPr>
              <w:t>纳入全厂噪声管理，</w:t>
            </w:r>
            <w:r>
              <w:rPr>
                <w:rFonts w:hint="default" w:ascii="Times New Roman" w:hAnsi="Times New Roman" w:cs="Times New Roman"/>
                <w:color w:val="auto"/>
                <w:kern w:val="0"/>
                <w:sz w:val="22"/>
                <w:szCs w:val="22"/>
                <w:highlight w:val="none"/>
              </w:rPr>
              <w:t>每季度检测一次。</w:t>
            </w:r>
          </w:p>
        </w:tc>
      </w:tr>
    </w:tbl>
    <w:p w14:paraId="43D0155B">
      <w:pPr>
        <w:pStyle w:val="22"/>
        <w:jc w:val="center"/>
        <w:outlineLvl w:val="0"/>
        <w:rPr>
          <w:rFonts w:ascii="黑体" w:hAnsi="黑体" w:eastAsia="黑体"/>
          <w:snapToGrid w:val="0"/>
          <w:color w:val="auto"/>
          <w:sz w:val="30"/>
          <w:szCs w:val="30"/>
        </w:rPr>
      </w:pPr>
      <w:r>
        <w:rPr>
          <w:snapToGrid w:val="0"/>
          <w:color w:val="auto"/>
        </w:rPr>
        <w:br w:type="page"/>
      </w:r>
      <w:r>
        <w:rPr>
          <w:rFonts w:hint="eastAsia" w:ascii="黑体" w:hAnsi="黑体" w:eastAsia="黑体"/>
          <w:snapToGrid w:val="0"/>
          <w:color w:val="auto"/>
          <w:sz w:val="30"/>
          <w:szCs w:val="30"/>
        </w:rPr>
        <w:t>六、结论</w:t>
      </w:r>
    </w:p>
    <w:tbl>
      <w:tblPr>
        <w:tblStyle w:val="2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270395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top"/>
          </w:tcPr>
          <w:p w14:paraId="0FDD5A9E">
            <w:pPr>
              <w:spacing w:line="360" w:lineRule="auto"/>
              <w:rPr>
                <w:rFonts w:ascii="宋体" w:cs="宋体"/>
                <w:color w:val="auto"/>
                <w:sz w:val="24"/>
              </w:rPr>
            </w:pPr>
          </w:p>
          <w:p w14:paraId="32B40EDE">
            <w:pPr>
              <w:spacing w:line="360" w:lineRule="auto"/>
              <w:ind w:firstLine="480" w:firstLineChars="200"/>
              <w:rPr>
                <w:rFonts w:ascii="宋体" w:cs="宋体"/>
                <w:color w:val="auto"/>
                <w:sz w:val="24"/>
              </w:rPr>
            </w:pPr>
            <w:r>
              <w:rPr>
                <w:rFonts w:hint="eastAsia" w:ascii="宋体" w:cs="宋体"/>
                <w:color w:val="auto"/>
                <w:sz w:val="24"/>
              </w:rPr>
              <w:t>本</w:t>
            </w:r>
            <w:r>
              <w:rPr>
                <w:rFonts w:ascii="宋体" w:cs="宋体"/>
                <w:color w:val="auto"/>
                <w:sz w:val="24"/>
              </w:rPr>
              <w:t>项目的建设符合国家产业政策，厂址选择不涉及环境敏感区</w:t>
            </w:r>
            <w:r>
              <w:rPr>
                <w:rFonts w:hint="eastAsia" w:ascii="宋体" w:cs="宋体"/>
                <w:color w:val="auto"/>
                <w:sz w:val="24"/>
                <w:lang w:eastAsia="zh-CN"/>
              </w:rPr>
              <w:t>，</w:t>
            </w:r>
            <w:r>
              <w:rPr>
                <w:rFonts w:ascii="宋体" w:cs="宋体"/>
                <w:color w:val="auto"/>
                <w:sz w:val="24"/>
              </w:rPr>
              <w:t>在严格落实环评规定的各项环保措施</w:t>
            </w:r>
            <w:r>
              <w:rPr>
                <w:rFonts w:hint="eastAsia" w:ascii="宋体" w:cs="宋体"/>
                <w:color w:val="auto"/>
                <w:sz w:val="24"/>
              </w:rPr>
              <w:t>的前提下</w:t>
            </w:r>
            <w:r>
              <w:rPr>
                <w:rFonts w:ascii="宋体" w:cs="宋体"/>
                <w:color w:val="auto"/>
                <w:sz w:val="24"/>
              </w:rPr>
              <w:t>，</w:t>
            </w:r>
            <w:r>
              <w:rPr>
                <w:rFonts w:hint="eastAsia" w:ascii="宋体" w:cs="宋体"/>
                <w:color w:val="auto"/>
                <w:sz w:val="24"/>
              </w:rPr>
              <w:t>确保</w:t>
            </w:r>
            <w:r>
              <w:rPr>
                <w:rFonts w:ascii="宋体" w:cs="宋体"/>
                <w:color w:val="auto"/>
                <w:sz w:val="24"/>
              </w:rPr>
              <w:t>污染物达标排放，对周围环境影响较小。因此，从环保角度评价，本项目的建设是可行的</w:t>
            </w:r>
            <w:r>
              <w:rPr>
                <w:rFonts w:hint="eastAsia" w:ascii="宋体" w:cs="宋体"/>
                <w:color w:val="auto"/>
                <w:sz w:val="24"/>
              </w:rPr>
              <w:t>。</w:t>
            </w:r>
          </w:p>
        </w:tc>
      </w:tr>
    </w:tbl>
    <w:p w14:paraId="3827CFA7">
      <w:pPr>
        <w:rPr>
          <w:rFonts w:ascii="宋体"/>
          <w:color w:val="auto"/>
        </w:rPr>
        <w:sectPr>
          <w:pgSz w:w="11906" w:h="16838"/>
          <w:pgMar w:top="1701" w:right="1531" w:bottom="1701" w:left="1531" w:header="851" w:footer="851" w:gutter="0"/>
          <w:cols w:space="720" w:num="1"/>
          <w:docGrid w:linePitch="312" w:charSpace="0"/>
        </w:sectPr>
      </w:pPr>
    </w:p>
    <w:p w14:paraId="1708CE57">
      <w:pPr>
        <w:pStyle w:val="21"/>
        <w:adjustRightInd w:val="0"/>
        <w:snapToGrid w:val="0"/>
        <w:spacing w:line="648" w:lineRule="auto"/>
        <w:outlineLvl w:val="0"/>
        <w:rPr>
          <w:rFonts w:hint="default" w:ascii="Times New Roman" w:eastAsia="黑体"/>
          <w:snapToGrid w:val="0"/>
          <w:color w:val="auto"/>
          <w:sz w:val="32"/>
          <w:szCs w:val="32"/>
        </w:rPr>
      </w:pPr>
      <w:bookmarkStart w:id="10" w:name="_Toc2011"/>
      <w:bookmarkStart w:id="11" w:name="_Toc19015"/>
      <w:bookmarkStart w:id="12" w:name="_Toc118379012"/>
      <w:bookmarkStart w:id="13" w:name="_Toc3766"/>
      <w:r>
        <w:rPr>
          <w:rFonts w:hint="default" w:ascii="Times New Roman" w:eastAsia="黑体"/>
          <w:snapToGrid w:val="0"/>
          <w:color w:val="auto"/>
          <w:sz w:val="32"/>
          <w:szCs w:val="32"/>
        </w:rPr>
        <w:t>附表：</w:t>
      </w:r>
      <w:bookmarkEnd w:id="10"/>
      <w:bookmarkEnd w:id="11"/>
      <w:bookmarkEnd w:id="12"/>
      <w:bookmarkEnd w:id="13"/>
    </w:p>
    <w:p w14:paraId="57FB9C16">
      <w:pPr>
        <w:pStyle w:val="21"/>
        <w:adjustRightInd w:val="0"/>
        <w:snapToGrid w:val="0"/>
        <w:spacing w:line="360" w:lineRule="auto"/>
        <w:jc w:val="center"/>
        <w:outlineLvl w:val="0"/>
        <w:rPr>
          <w:rFonts w:hint="default" w:ascii="Times New Roman" w:eastAsia="方正小标宋_GBK"/>
          <w:snapToGrid w:val="0"/>
          <w:color w:val="auto"/>
          <w:sz w:val="38"/>
          <w:szCs w:val="38"/>
        </w:rPr>
      </w:pPr>
      <w:bookmarkStart w:id="14" w:name="_Toc118379013"/>
      <w:bookmarkStart w:id="15" w:name="_Toc3654"/>
      <w:bookmarkStart w:id="16" w:name="_Toc2396"/>
      <w:bookmarkStart w:id="17" w:name="_Toc29886"/>
      <w:r>
        <w:rPr>
          <w:rFonts w:hint="default" w:ascii="Times New Roman" w:eastAsia="方正小标宋_GBK"/>
          <w:snapToGrid w:val="0"/>
          <w:color w:val="auto"/>
          <w:sz w:val="38"/>
          <w:szCs w:val="38"/>
        </w:rPr>
        <w:t>建设项目污染物排放量汇总表</w:t>
      </w:r>
      <w:bookmarkEnd w:id="14"/>
      <w:bookmarkEnd w:id="15"/>
      <w:bookmarkEnd w:id="16"/>
      <w:bookmarkEnd w:id="17"/>
    </w:p>
    <w:tbl>
      <w:tblPr>
        <w:tblStyle w:val="26"/>
        <w:tblW w:w="1378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559"/>
        <w:gridCol w:w="1761"/>
        <w:gridCol w:w="1693"/>
        <w:gridCol w:w="1092"/>
      </w:tblGrid>
      <w:tr w14:paraId="7AA5B8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588" w:type="dxa"/>
            <w:tcBorders>
              <w:tl2br w:val="single" w:color="auto" w:sz="4" w:space="0"/>
            </w:tcBorders>
            <w:noWrap w:val="0"/>
            <w:tcMar>
              <w:left w:w="28" w:type="dxa"/>
              <w:right w:w="28" w:type="dxa"/>
            </w:tcMar>
            <w:vAlign w:val="center"/>
          </w:tcPr>
          <w:p w14:paraId="347A1F1B">
            <w:pPr>
              <w:jc w:val="center"/>
              <w:rPr>
                <w:snapToGrid w:val="0"/>
                <w:color w:val="auto"/>
                <w:spacing w:val="-6"/>
                <w:kern w:val="21"/>
                <w:szCs w:val="21"/>
              </w:rPr>
            </w:pPr>
            <w:r>
              <w:rPr>
                <w:snapToGrid w:val="0"/>
                <w:color w:val="auto"/>
                <w:spacing w:val="-6"/>
                <w:kern w:val="21"/>
                <w:szCs w:val="21"/>
              </w:rPr>
              <w:t>项目</w:t>
            </w:r>
          </w:p>
          <w:p w14:paraId="491C3B80">
            <w:pPr>
              <w:jc w:val="center"/>
              <w:rPr>
                <w:snapToGrid w:val="0"/>
                <w:color w:val="auto"/>
                <w:spacing w:val="-6"/>
                <w:kern w:val="21"/>
                <w:szCs w:val="21"/>
              </w:rPr>
            </w:pPr>
            <w:r>
              <w:rPr>
                <w:snapToGrid w:val="0"/>
                <w:color w:val="auto"/>
                <w:spacing w:val="-6"/>
                <w:kern w:val="21"/>
                <w:szCs w:val="21"/>
              </w:rPr>
              <w:t>分类</w:t>
            </w:r>
          </w:p>
        </w:tc>
        <w:tc>
          <w:tcPr>
            <w:tcW w:w="1417" w:type="dxa"/>
            <w:noWrap w:val="0"/>
            <w:tcMar>
              <w:left w:w="28" w:type="dxa"/>
              <w:right w:w="28" w:type="dxa"/>
            </w:tcMar>
            <w:vAlign w:val="center"/>
          </w:tcPr>
          <w:p w14:paraId="69B8EF02">
            <w:pPr>
              <w:jc w:val="center"/>
              <w:rPr>
                <w:snapToGrid w:val="0"/>
                <w:color w:val="auto"/>
                <w:spacing w:val="-6"/>
                <w:kern w:val="21"/>
                <w:szCs w:val="21"/>
              </w:rPr>
            </w:pPr>
            <w:r>
              <w:rPr>
                <w:snapToGrid w:val="0"/>
                <w:color w:val="auto"/>
                <w:spacing w:val="-6"/>
                <w:kern w:val="21"/>
                <w:szCs w:val="21"/>
              </w:rPr>
              <w:t>污染物名称</w:t>
            </w:r>
          </w:p>
        </w:tc>
        <w:tc>
          <w:tcPr>
            <w:tcW w:w="1701" w:type="dxa"/>
            <w:noWrap w:val="0"/>
            <w:tcMar>
              <w:left w:w="28" w:type="dxa"/>
              <w:right w:w="28" w:type="dxa"/>
            </w:tcMar>
            <w:vAlign w:val="center"/>
          </w:tcPr>
          <w:p w14:paraId="09A97E7C">
            <w:pPr>
              <w:jc w:val="center"/>
              <w:rPr>
                <w:snapToGrid w:val="0"/>
                <w:color w:val="auto"/>
                <w:spacing w:val="-6"/>
                <w:kern w:val="21"/>
                <w:szCs w:val="21"/>
              </w:rPr>
            </w:pPr>
            <w:r>
              <w:rPr>
                <w:snapToGrid w:val="0"/>
                <w:color w:val="auto"/>
                <w:spacing w:val="-6"/>
                <w:kern w:val="21"/>
                <w:szCs w:val="21"/>
              </w:rPr>
              <w:t>现有工程</w:t>
            </w:r>
          </w:p>
          <w:p w14:paraId="5115B1C9">
            <w:pPr>
              <w:jc w:val="center"/>
              <w:rPr>
                <w:snapToGrid w:val="0"/>
                <w:color w:val="auto"/>
                <w:spacing w:val="-6"/>
                <w:kern w:val="21"/>
                <w:szCs w:val="21"/>
              </w:rPr>
            </w:pPr>
            <w:r>
              <w:rPr>
                <w:snapToGrid w:val="0"/>
                <w:color w:val="auto"/>
                <w:spacing w:val="-6"/>
                <w:kern w:val="21"/>
                <w:szCs w:val="21"/>
              </w:rPr>
              <w:t>排放量（固体废物产生量）</w:t>
            </w:r>
            <w:r>
              <w:rPr>
                <w:snapToGrid w:val="0"/>
                <w:color w:val="auto"/>
                <w:spacing w:val="-6"/>
                <w:kern w:val="21"/>
                <w:szCs w:val="21"/>
              </w:rPr>
              <w:fldChar w:fldCharType="begin"/>
            </w:r>
            <w:r>
              <w:rPr>
                <w:snapToGrid w:val="0"/>
                <w:color w:val="auto"/>
                <w:spacing w:val="-6"/>
                <w:kern w:val="21"/>
                <w:szCs w:val="21"/>
              </w:rPr>
              <w:instrText xml:space="preserve"> = 1 \* GB3 \* MERGEFORMAT </w:instrText>
            </w:r>
            <w:r>
              <w:rPr>
                <w:snapToGrid w:val="0"/>
                <w:color w:val="auto"/>
                <w:spacing w:val="-6"/>
                <w:kern w:val="21"/>
                <w:szCs w:val="21"/>
              </w:rPr>
              <w:fldChar w:fldCharType="separate"/>
            </w:r>
            <w:r>
              <w:rPr>
                <w:rFonts w:hint="eastAsia" w:ascii="宋体" w:hAnsi="宋体" w:cs="宋体"/>
                <w:color w:val="auto"/>
                <w:szCs w:val="21"/>
              </w:rPr>
              <w:t>①</w:t>
            </w:r>
            <w:r>
              <w:rPr>
                <w:snapToGrid w:val="0"/>
                <w:color w:val="auto"/>
                <w:spacing w:val="-6"/>
                <w:kern w:val="21"/>
                <w:szCs w:val="21"/>
              </w:rPr>
              <w:fldChar w:fldCharType="end"/>
            </w:r>
          </w:p>
        </w:tc>
        <w:tc>
          <w:tcPr>
            <w:tcW w:w="1276" w:type="dxa"/>
            <w:noWrap w:val="0"/>
            <w:tcMar>
              <w:left w:w="28" w:type="dxa"/>
              <w:right w:w="28" w:type="dxa"/>
            </w:tcMar>
            <w:vAlign w:val="center"/>
          </w:tcPr>
          <w:p w14:paraId="3BE6F42E">
            <w:pPr>
              <w:jc w:val="center"/>
              <w:rPr>
                <w:snapToGrid w:val="0"/>
                <w:color w:val="auto"/>
                <w:spacing w:val="-6"/>
                <w:kern w:val="21"/>
                <w:szCs w:val="21"/>
              </w:rPr>
            </w:pPr>
            <w:r>
              <w:rPr>
                <w:snapToGrid w:val="0"/>
                <w:color w:val="auto"/>
                <w:spacing w:val="-6"/>
                <w:kern w:val="21"/>
                <w:szCs w:val="21"/>
              </w:rPr>
              <w:t>现有工程</w:t>
            </w:r>
          </w:p>
          <w:p w14:paraId="18698459">
            <w:pPr>
              <w:jc w:val="center"/>
              <w:rPr>
                <w:snapToGrid w:val="0"/>
                <w:color w:val="auto"/>
                <w:spacing w:val="-6"/>
                <w:kern w:val="21"/>
                <w:szCs w:val="21"/>
              </w:rPr>
            </w:pPr>
            <w:r>
              <w:rPr>
                <w:snapToGrid w:val="0"/>
                <w:color w:val="auto"/>
                <w:spacing w:val="-6"/>
                <w:kern w:val="21"/>
                <w:szCs w:val="21"/>
              </w:rPr>
              <w:t>许可排放量</w:t>
            </w:r>
          </w:p>
          <w:p w14:paraId="1149EC40">
            <w:pPr>
              <w:jc w:val="center"/>
              <w:rPr>
                <w:snapToGrid w:val="0"/>
                <w:color w:val="auto"/>
                <w:spacing w:val="-6"/>
                <w:kern w:val="21"/>
                <w:szCs w:val="21"/>
              </w:rPr>
            </w:pPr>
            <w:r>
              <w:rPr>
                <w:snapToGrid w:val="0"/>
                <w:color w:val="auto"/>
                <w:spacing w:val="-6"/>
                <w:kern w:val="21"/>
                <w:szCs w:val="21"/>
              </w:rPr>
              <w:fldChar w:fldCharType="begin"/>
            </w:r>
            <w:r>
              <w:rPr>
                <w:snapToGrid w:val="0"/>
                <w:color w:val="auto"/>
                <w:spacing w:val="-6"/>
                <w:kern w:val="21"/>
                <w:szCs w:val="21"/>
              </w:rPr>
              <w:instrText xml:space="preserve"> = 2 \* GB3 \* MERGEFORMAT </w:instrText>
            </w:r>
            <w:r>
              <w:rPr>
                <w:snapToGrid w:val="0"/>
                <w:color w:val="auto"/>
                <w:spacing w:val="-6"/>
                <w:kern w:val="21"/>
                <w:szCs w:val="21"/>
              </w:rPr>
              <w:fldChar w:fldCharType="separate"/>
            </w:r>
            <w:r>
              <w:rPr>
                <w:rFonts w:hint="eastAsia" w:ascii="宋体" w:hAnsi="宋体" w:cs="宋体"/>
                <w:snapToGrid w:val="0"/>
                <w:color w:val="auto"/>
                <w:spacing w:val="-6"/>
                <w:kern w:val="21"/>
                <w:szCs w:val="21"/>
              </w:rPr>
              <w:t>②</w:t>
            </w:r>
            <w:r>
              <w:rPr>
                <w:snapToGrid w:val="0"/>
                <w:color w:val="auto"/>
                <w:spacing w:val="-6"/>
                <w:kern w:val="21"/>
                <w:szCs w:val="21"/>
              </w:rPr>
              <w:fldChar w:fldCharType="end"/>
            </w:r>
          </w:p>
        </w:tc>
        <w:tc>
          <w:tcPr>
            <w:tcW w:w="1701" w:type="dxa"/>
            <w:noWrap w:val="0"/>
            <w:tcMar>
              <w:left w:w="28" w:type="dxa"/>
              <w:right w:w="28" w:type="dxa"/>
            </w:tcMar>
            <w:vAlign w:val="center"/>
          </w:tcPr>
          <w:p w14:paraId="3F50B02F">
            <w:pPr>
              <w:jc w:val="center"/>
              <w:rPr>
                <w:snapToGrid w:val="0"/>
                <w:color w:val="auto"/>
                <w:spacing w:val="-6"/>
                <w:kern w:val="21"/>
                <w:szCs w:val="21"/>
              </w:rPr>
            </w:pPr>
            <w:r>
              <w:rPr>
                <w:snapToGrid w:val="0"/>
                <w:color w:val="auto"/>
                <w:spacing w:val="-6"/>
                <w:kern w:val="21"/>
                <w:szCs w:val="21"/>
              </w:rPr>
              <w:t>在建工程</w:t>
            </w:r>
          </w:p>
          <w:p w14:paraId="7611B619">
            <w:pPr>
              <w:jc w:val="center"/>
              <w:rPr>
                <w:snapToGrid w:val="0"/>
                <w:color w:val="auto"/>
                <w:spacing w:val="-6"/>
                <w:kern w:val="21"/>
                <w:szCs w:val="21"/>
              </w:rPr>
            </w:pPr>
            <w:r>
              <w:rPr>
                <w:snapToGrid w:val="0"/>
                <w:color w:val="auto"/>
                <w:spacing w:val="-6"/>
                <w:kern w:val="21"/>
                <w:szCs w:val="21"/>
              </w:rPr>
              <w:t>排放量（固体废物产生量）</w:t>
            </w:r>
            <w:r>
              <w:rPr>
                <w:snapToGrid w:val="0"/>
                <w:color w:val="auto"/>
                <w:spacing w:val="-6"/>
                <w:kern w:val="21"/>
                <w:szCs w:val="21"/>
              </w:rPr>
              <w:fldChar w:fldCharType="begin"/>
            </w:r>
            <w:r>
              <w:rPr>
                <w:snapToGrid w:val="0"/>
                <w:color w:val="auto"/>
                <w:spacing w:val="-6"/>
                <w:kern w:val="21"/>
                <w:szCs w:val="21"/>
              </w:rPr>
              <w:instrText xml:space="preserve"> = 3 \* GB3 \* MERGEFORMAT </w:instrText>
            </w:r>
            <w:r>
              <w:rPr>
                <w:snapToGrid w:val="0"/>
                <w:color w:val="auto"/>
                <w:spacing w:val="-6"/>
                <w:kern w:val="21"/>
                <w:szCs w:val="21"/>
              </w:rPr>
              <w:fldChar w:fldCharType="separate"/>
            </w:r>
            <w:r>
              <w:rPr>
                <w:rFonts w:hint="eastAsia" w:ascii="宋体" w:hAnsi="宋体" w:cs="宋体"/>
                <w:color w:val="auto"/>
                <w:szCs w:val="21"/>
              </w:rPr>
              <w:t>③</w:t>
            </w:r>
            <w:r>
              <w:rPr>
                <w:snapToGrid w:val="0"/>
                <w:color w:val="auto"/>
                <w:spacing w:val="-6"/>
                <w:kern w:val="21"/>
                <w:szCs w:val="21"/>
              </w:rPr>
              <w:fldChar w:fldCharType="end"/>
            </w:r>
          </w:p>
        </w:tc>
        <w:tc>
          <w:tcPr>
            <w:tcW w:w="1559" w:type="dxa"/>
            <w:noWrap w:val="0"/>
            <w:tcMar>
              <w:left w:w="28" w:type="dxa"/>
              <w:right w:w="28" w:type="dxa"/>
            </w:tcMar>
            <w:vAlign w:val="center"/>
          </w:tcPr>
          <w:p w14:paraId="1699403E">
            <w:pPr>
              <w:jc w:val="center"/>
              <w:rPr>
                <w:snapToGrid w:val="0"/>
                <w:color w:val="auto"/>
                <w:spacing w:val="-6"/>
                <w:kern w:val="21"/>
                <w:szCs w:val="21"/>
              </w:rPr>
            </w:pPr>
            <w:r>
              <w:rPr>
                <w:snapToGrid w:val="0"/>
                <w:color w:val="auto"/>
                <w:spacing w:val="-6"/>
                <w:kern w:val="21"/>
                <w:szCs w:val="21"/>
              </w:rPr>
              <w:t>本项目</w:t>
            </w:r>
          </w:p>
          <w:p w14:paraId="6D962C7E">
            <w:pPr>
              <w:jc w:val="center"/>
              <w:rPr>
                <w:snapToGrid w:val="0"/>
                <w:color w:val="auto"/>
                <w:spacing w:val="-6"/>
                <w:kern w:val="21"/>
                <w:szCs w:val="21"/>
              </w:rPr>
            </w:pPr>
            <w:r>
              <w:rPr>
                <w:snapToGrid w:val="0"/>
                <w:color w:val="auto"/>
                <w:spacing w:val="-6"/>
                <w:kern w:val="21"/>
                <w:szCs w:val="21"/>
              </w:rPr>
              <w:t>排放量（固体废物产生量）</w:t>
            </w:r>
            <w:r>
              <w:rPr>
                <w:snapToGrid w:val="0"/>
                <w:color w:val="auto"/>
                <w:spacing w:val="-6"/>
                <w:kern w:val="21"/>
                <w:szCs w:val="21"/>
              </w:rPr>
              <w:fldChar w:fldCharType="begin"/>
            </w:r>
            <w:r>
              <w:rPr>
                <w:snapToGrid w:val="0"/>
                <w:color w:val="auto"/>
                <w:spacing w:val="-6"/>
                <w:kern w:val="21"/>
                <w:szCs w:val="21"/>
              </w:rPr>
              <w:instrText xml:space="preserve"> = 4 \* GB3 \* MERGEFORMAT </w:instrText>
            </w:r>
            <w:r>
              <w:rPr>
                <w:snapToGrid w:val="0"/>
                <w:color w:val="auto"/>
                <w:spacing w:val="-6"/>
                <w:kern w:val="21"/>
                <w:szCs w:val="21"/>
              </w:rPr>
              <w:fldChar w:fldCharType="separate"/>
            </w:r>
            <w:r>
              <w:rPr>
                <w:rFonts w:hint="eastAsia" w:ascii="宋体" w:hAnsi="宋体" w:cs="宋体"/>
                <w:color w:val="auto"/>
                <w:szCs w:val="21"/>
              </w:rPr>
              <w:t>④</w:t>
            </w:r>
            <w:r>
              <w:rPr>
                <w:snapToGrid w:val="0"/>
                <w:color w:val="auto"/>
                <w:spacing w:val="-6"/>
                <w:kern w:val="21"/>
                <w:szCs w:val="21"/>
              </w:rPr>
              <w:fldChar w:fldCharType="end"/>
            </w:r>
          </w:p>
        </w:tc>
        <w:tc>
          <w:tcPr>
            <w:tcW w:w="1761" w:type="dxa"/>
            <w:noWrap w:val="0"/>
            <w:tcMar>
              <w:left w:w="28" w:type="dxa"/>
              <w:right w:w="28" w:type="dxa"/>
            </w:tcMar>
            <w:vAlign w:val="center"/>
          </w:tcPr>
          <w:p w14:paraId="0A630884">
            <w:pPr>
              <w:jc w:val="center"/>
              <w:rPr>
                <w:snapToGrid w:val="0"/>
                <w:color w:val="auto"/>
                <w:spacing w:val="-16"/>
                <w:kern w:val="21"/>
                <w:szCs w:val="21"/>
              </w:rPr>
            </w:pPr>
            <w:r>
              <w:rPr>
                <w:snapToGrid w:val="0"/>
                <w:color w:val="auto"/>
                <w:spacing w:val="-16"/>
                <w:kern w:val="21"/>
                <w:szCs w:val="21"/>
              </w:rPr>
              <w:t>以新带老削减量</w:t>
            </w:r>
          </w:p>
          <w:p w14:paraId="357A3010">
            <w:pPr>
              <w:jc w:val="center"/>
              <w:rPr>
                <w:snapToGrid w:val="0"/>
                <w:color w:val="auto"/>
                <w:spacing w:val="-16"/>
                <w:kern w:val="21"/>
                <w:szCs w:val="21"/>
              </w:rPr>
            </w:pPr>
            <w:r>
              <w:rPr>
                <w:snapToGrid w:val="0"/>
                <w:color w:val="auto"/>
                <w:spacing w:val="-16"/>
                <w:kern w:val="21"/>
                <w:szCs w:val="21"/>
              </w:rPr>
              <w:t>（新建项目不填）</w:t>
            </w:r>
            <w:r>
              <w:rPr>
                <w:snapToGrid w:val="0"/>
                <w:color w:val="auto"/>
                <w:spacing w:val="-16"/>
                <w:kern w:val="21"/>
                <w:szCs w:val="21"/>
              </w:rPr>
              <w:fldChar w:fldCharType="begin"/>
            </w:r>
            <w:r>
              <w:rPr>
                <w:snapToGrid w:val="0"/>
                <w:color w:val="auto"/>
                <w:spacing w:val="-16"/>
                <w:kern w:val="21"/>
                <w:szCs w:val="21"/>
              </w:rPr>
              <w:instrText xml:space="preserve"> = 5 \* GB3 \* MERGEFORMAT </w:instrText>
            </w:r>
            <w:r>
              <w:rPr>
                <w:snapToGrid w:val="0"/>
                <w:color w:val="auto"/>
                <w:spacing w:val="-16"/>
                <w:kern w:val="21"/>
                <w:szCs w:val="21"/>
              </w:rPr>
              <w:fldChar w:fldCharType="separate"/>
            </w:r>
            <w:r>
              <w:rPr>
                <w:rFonts w:hint="eastAsia" w:ascii="宋体" w:hAnsi="宋体" w:cs="宋体"/>
                <w:color w:val="auto"/>
                <w:szCs w:val="21"/>
              </w:rPr>
              <w:t>⑤</w:t>
            </w:r>
            <w:r>
              <w:rPr>
                <w:snapToGrid w:val="0"/>
                <w:color w:val="auto"/>
                <w:spacing w:val="-16"/>
                <w:kern w:val="21"/>
                <w:szCs w:val="21"/>
              </w:rPr>
              <w:fldChar w:fldCharType="end"/>
            </w:r>
          </w:p>
        </w:tc>
        <w:tc>
          <w:tcPr>
            <w:tcW w:w="1693" w:type="dxa"/>
            <w:noWrap w:val="0"/>
            <w:tcMar>
              <w:left w:w="28" w:type="dxa"/>
              <w:right w:w="28" w:type="dxa"/>
            </w:tcMar>
            <w:vAlign w:val="center"/>
          </w:tcPr>
          <w:p w14:paraId="58AA3DDB">
            <w:pPr>
              <w:jc w:val="center"/>
              <w:rPr>
                <w:snapToGrid w:val="0"/>
                <w:color w:val="auto"/>
                <w:spacing w:val="-16"/>
                <w:kern w:val="21"/>
                <w:szCs w:val="21"/>
              </w:rPr>
            </w:pPr>
            <w:r>
              <w:rPr>
                <w:snapToGrid w:val="0"/>
                <w:color w:val="auto"/>
                <w:spacing w:val="-16"/>
                <w:kern w:val="21"/>
                <w:szCs w:val="21"/>
              </w:rPr>
              <w:t>本项目建成后</w:t>
            </w:r>
          </w:p>
          <w:p w14:paraId="0208C110">
            <w:pPr>
              <w:jc w:val="center"/>
              <w:rPr>
                <w:snapToGrid w:val="0"/>
                <w:color w:val="auto"/>
                <w:spacing w:val="-16"/>
                <w:kern w:val="21"/>
                <w:szCs w:val="21"/>
              </w:rPr>
            </w:pPr>
            <w:r>
              <w:rPr>
                <w:snapToGrid w:val="0"/>
                <w:color w:val="auto"/>
                <w:spacing w:val="-16"/>
                <w:kern w:val="21"/>
                <w:szCs w:val="21"/>
              </w:rPr>
              <w:t>全厂排放量（固体废物产生量）</w:t>
            </w:r>
            <w:r>
              <w:rPr>
                <w:snapToGrid w:val="0"/>
                <w:color w:val="auto"/>
                <w:spacing w:val="-16"/>
                <w:kern w:val="21"/>
                <w:szCs w:val="21"/>
              </w:rPr>
              <w:fldChar w:fldCharType="begin"/>
            </w:r>
            <w:r>
              <w:rPr>
                <w:snapToGrid w:val="0"/>
                <w:color w:val="auto"/>
                <w:spacing w:val="-16"/>
                <w:kern w:val="21"/>
                <w:szCs w:val="21"/>
              </w:rPr>
              <w:instrText xml:space="preserve"> = 6 \* GB3 \* MERGEFORMAT </w:instrText>
            </w:r>
            <w:r>
              <w:rPr>
                <w:snapToGrid w:val="0"/>
                <w:color w:val="auto"/>
                <w:spacing w:val="-16"/>
                <w:kern w:val="21"/>
                <w:szCs w:val="21"/>
              </w:rPr>
              <w:fldChar w:fldCharType="separate"/>
            </w:r>
            <w:r>
              <w:rPr>
                <w:rFonts w:hint="eastAsia" w:ascii="宋体" w:hAnsi="宋体" w:cs="宋体"/>
                <w:color w:val="auto"/>
                <w:szCs w:val="21"/>
              </w:rPr>
              <w:t>⑥</w:t>
            </w:r>
            <w:r>
              <w:rPr>
                <w:snapToGrid w:val="0"/>
                <w:color w:val="auto"/>
                <w:spacing w:val="-16"/>
                <w:kern w:val="21"/>
                <w:szCs w:val="21"/>
              </w:rPr>
              <w:fldChar w:fldCharType="end"/>
            </w:r>
          </w:p>
        </w:tc>
        <w:tc>
          <w:tcPr>
            <w:tcW w:w="1092" w:type="dxa"/>
            <w:noWrap w:val="0"/>
            <w:tcMar>
              <w:left w:w="28" w:type="dxa"/>
              <w:right w:w="28" w:type="dxa"/>
            </w:tcMar>
            <w:vAlign w:val="center"/>
          </w:tcPr>
          <w:p w14:paraId="4AB6E311">
            <w:pPr>
              <w:jc w:val="center"/>
              <w:rPr>
                <w:snapToGrid w:val="0"/>
                <w:color w:val="auto"/>
                <w:spacing w:val="-6"/>
                <w:kern w:val="21"/>
                <w:szCs w:val="21"/>
              </w:rPr>
            </w:pPr>
            <w:r>
              <w:rPr>
                <w:snapToGrid w:val="0"/>
                <w:color w:val="auto"/>
                <w:spacing w:val="-6"/>
                <w:kern w:val="21"/>
                <w:szCs w:val="21"/>
              </w:rPr>
              <w:t>变化量</w:t>
            </w:r>
          </w:p>
          <w:p w14:paraId="15B8393D">
            <w:pPr>
              <w:jc w:val="center"/>
              <w:rPr>
                <w:snapToGrid w:val="0"/>
                <w:color w:val="auto"/>
                <w:spacing w:val="-6"/>
                <w:kern w:val="21"/>
                <w:szCs w:val="21"/>
              </w:rPr>
            </w:pPr>
            <w:r>
              <w:rPr>
                <w:snapToGrid w:val="0"/>
                <w:color w:val="auto"/>
                <w:spacing w:val="-6"/>
                <w:kern w:val="21"/>
                <w:szCs w:val="21"/>
              </w:rPr>
              <w:fldChar w:fldCharType="begin"/>
            </w:r>
            <w:r>
              <w:rPr>
                <w:snapToGrid w:val="0"/>
                <w:color w:val="auto"/>
                <w:spacing w:val="-6"/>
                <w:kern w:val="21"/>
                <w:szCs w:val="21"/>
              </w:rPr>
              <w:instrText xml:space="preserve"> = 7 \* GB3 \* MERGEFORMAT </w:instrText>
            </w:r>
            <w:r>
              <w:rPr>
                <w:snapToGrid w:val="0"/>
                <w:color w:val="auto"/>
                <w:spacing w:val="-6"/>
                <w:kern w:val="21"/>
                <w:szCs w:val="21"/>
              </w:rPr>
              <w:fldChar w:fldCharType="separate"/>
            </w:r>
            <w:r>
              <w:rPr>
                <w:rFonts w:hint="eastAsia" w:ascii="宋体" w:hAnsi="宋体" w:cs="宋体"/>
                <w:color w:val="auto"/>
                <w:szCs w:val="21"/>
              </w:rPr>
              <w:t>⑦</w:t>
            </w:r>
            <w:r>
              <w:rPr>
                <w:snapToGrid w:val="0"/>
                <w:color w:val="auto"/>
                <w:spacing w:val="-6"/>
                <w:kern w:val="21"/>
                <w:szCs w:val="21"/>
              </w:rPr>
              <w:fldChar w:fldCharType="end"/>
            </w:r>
          </w:p>
        </w:tc>
      </w:tr>
      <w:tr w14:paraId="791428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588" w:type="dxa"/>
            <w:vMerge w:val="restart"/>
            <w:noWrap w:val="0"/>
            <w:vAlign w:val="center"/>
          </w:tcPr>
          <w:p w14:paraId="5F1F8ED3">
            <w:pPr>
              <w:jc w:val="center"/>
              <w:rPr>
                <w:snapToGrid w:val="0"/>
                <w:color w:val="auto"/>
                <w:kern w:val="21"/>
                <w:szCs w:val="21"/>
              </w:rPr>
            </w:pPr>
            <w:r>
              <w:rPr>
                <w:snapToGrid w:val="0"/>
                <w:color w:val="auto"/>
                <w:kern w:val="21"/>
                <w:szCs w:val="21"/>
              </w:rPr>
              <w:t>废气</w:t>
            </w:r>
          </w:p>
        </w:tc>
        <w:tc>
          <w:tcPr>
            <w:tcW w:w="1417" w:type="dxa"/>
            <w:noWrap w:val="0"/>
            <w:vAlign w:val="center"/>
          </w:tcPr>
          <w:p w14:paraId="250B21ED">
            <w:pPr>
              <w:jc w:val="center"/>
              <w:rPr>
                <w:snapToGrid w:val="0"/>
                <w:color w:val="auto"/>
                <w:kern w:val="21"/>
                <w:szCs w:val="21"/>
              </w:rPr>
            </w:pPr>
            <w:r>
              <w:rPr>
                <w:snapToGrid w:val="0"/>
                <w:color w:val="auto"/>
                <w:kern w:val="21"/>
                <w:szCs w:val="21"/>
              </w:rPr>
              <w:t>颗粒物</w:t>
            </w:r>
          </w:p>
        </w:tc>
        <w:tc>
          <w:tcPr>
            <w:tcW w:w="1701" w:type="dxa"/>
            <w:noWrap w:val="0"/>
            <w:vAlign w:val="center"/>
          </w:tcPr>
          <w:p w14:paraId="1CDB2AD5">
            <w:pPr>
              <w:jc w:val="center"/>
              <w:rPr>
                <w:snapToGrid w:val="0"/>
                <w:color w:val="auto"/>
                <w:kern w:val="21"/>
                <w:szCs w:val="21"/>
              </w:rPr>
            </w:pPr>
            <w:r>
              <w:rPr>
                <w:rFonts w:hint="eastAsia"/>
                <w:snapToGrid w:val="0"/>
                <w:color w:val="auto"/>
                <w:kern w:val="21"/>
                <w:szCs w:val="21"/>
              </w:rPr>
              <w:t>/</w:t>
            </w:r>
          </w:p>
        </w:tc>
        <w:tc>
          <w:tcPr>
            <w:tcW w:w="1276" w:type="dxa"/>
            <w:noWrap w:val="0"/>
            <w:vAlign w:val="center"/>
          </w:tcPr>
          <w:p w14:paraId="7F491DE8">
            <w:pPr>
              <w:jc w:val="center"/>
              <w:rPr>
                <w:snapToGrid w:val="0"/>
                <w:color w:val="auto"/>
                <w:kern w:val="21"/>
                <w:szCs w:val="21"/>
              </w:rPr>
            </w:pPr>
            <w:r>
              <w:rPr>
                <w:rFonts w:hint="eastAsia"/>
                <w:snapToGrid w:val="0"/>
                <w:color w:val="auto"/>
                <w:kern w:val="21"/>
                <w:szCs w:val="21"/>
              </w:rPr>
              <w:t>/</w:t>
            </w:r>
          </w:p>
        </w:tc>
        <w:tc>
          <w:tcPr>
            <w:tcW w:w="1701" w:type="dxa"/>
            <w:noWrap w:val="0"/>
            <w:vAlign w:val="center"/>
          </w:tcPr>
          <w:p w14:paraId="59823702">
            <w:pPr>
              <w:jc w:val="center"/>
              <w:rPr>
                <w:snapToGrid w:val="0"/>
                <w:color w:val="auto"/>
                <w:kern w:val="21"/>
                <w:szCs w:val="21"/>
              </w:rPr>
            </w:pPr>
            <w:r>
              <w:rPr>
                <w:rFonts w:hint="eastAsia"/>
                <w:snapToGrid w:val="0"/>
                <w:color w:val="auto"/>
                <w:kern w:val="21"/>
                <w:szCs w:val="21"/>
              </w:rPr>
              <w:t>/</w:t>
            </w:r>
          </w:p>
        </w:tc>
        <w:tc>
          <w:tcPr>
            <w:tcW w:w="1559" w:type="dxa"/>
            <w:noWrap w:val="0"/>
            <w:vAlign w:val="center"/>
          </w:tcPr>
          <w:p w14:paraId="28E01441">
            <w:pPr>
              <w:jc w:val="center"/>
              <w:rPr>
                <w:rFonts w:hint="default" w:eastAsia="宋体"/>
                <w:snapToGrid w:val="0"/>
                <w:color w:val="auto"/>
                <w:kern w:val="21"/>
                <w:szCs w:val="21"/>
                <w:lang w:val="en-US" w:eastAsia="zh-CN"/>
              </w:rPr>
            </w:pPr>
            <w:r>
              <w:rPr>
                <w:rFonts w:hint="eastAsia"/>
                <w:snapToGrid w:val="0"/>
                <w:color w:val="auto"/>
                <w:kern w:val="21"/>
                <w:szCs w:val="21"/>
                <w:lang w:val="en-US" w:eastAsia="zh-CN"/>
              </w:rPr>
              <w:t>2.324</w:t>
            </w:r>
          </w:p>
        </w:tc>
        <w:tc>
          <w:tcPr>
            <w:tcW w:w="1761" w:type="dxa"/>
            <w:noWrap w:val="0"/>
            <w:vAlign w:val="center"/>
          </w:tcPr>
          <w:p w14:paraId="5361D41A">
            <w:pPr>
              <w:jc w:val="center"/>
              <w:rPr>
                <w:snapToGrid w:val="0"/>
                <w:color w:val="auto"/>
                <w:kern w:val="21"/>
                <w:szCs w:val="21"/>
              </w:rPr>
            </w:pPr>
            <w:r>
              <w:rPr>
                <w:rFonts w:hint="eastAsia"/>
                <w:snapToGrid w:val="0"/>
                <w:color w:val="auto"/>
                <w:kern w:val="21"/>
                <w:szCs w:val="21"/>
              </w:rPr>
              <w:t>/</w:t>
            </w:r>
          </w:p>
        </w:tc>
        <w:tc>
          <w:tcPr>
            <w:tcW w:w="1693" w:type="dxa"/>
            <w:noWrap w:val="0"/>
            <w:vAlign w:val="center"/>
          </w:tcPr>
          <w:p w14:paraId="15E30DB3">
            <w:pPr>
              <w:jc w:val="center"/>
              <w:rPr>
                <w:snapToGrid w:val="0"/>
                <w:color w:val="auto"/>
                <w:kern w:val="21"/>
                <w:szCs w:val="21"/>
              </w:rPr>
            </w:pPr>
            <w:r>
              <w:rPr>
                <w:rFonts w:hint="eastAsia"/>
                <w:snapToGrid w:val="0"/>
                <w:color w:val="auto"/>
                <w:kern w:val="21"/>
                <w:szCs w:val="21"/>
                <w:lang w:val="en-US" w:eastAsia="zh-CN"/>
              </w:rPr>
              <w:t>2.324</w:t>
            </w:r>
          </w:p>
        </w:tc>
        <w:tc>
          <w:tcPr>
            <w:tcW w:w="1092" w:type="dxa"/>
            <w:noWrap w:val="0"/>
            <w:vAlign w:val="center"/>
          </w:tcPr>
          <w:p w14:paraId="2BE2E8E0">
            <w:pPr>
              <w:jc w:val="center"/>
              <w:rPr>
                <w:snapToGrid w:val="0"/>
                <w:color w:val="auto"/>
                <w:kern w:val="21"/>
                <w:szCs w:val="21"/>
              </w:rPr>
            </w:pPr>
            <w:r>
              <w:rPr>
                <w:rFonts w:hint="eastAsia"/>
                <w:snapToGrid w:val="0"/>
                <w:color w:val="auto"/>
                <w:kern w:val="21"/>
                <w:szCs w:val="21"/>
                <w:lang w:val="en-US" w:eastAsia="zh-CN"/>
              </w:rPr>
              <w:t>2.324</w:t>
            </w:r>
          </w:p>
        </w:tc>
      </w:tr>
      <w:tr w14:paraId="676139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588" w:type="dxa"/>
            <w:vMerge w:val="continue"/>
            <w:noWrap w:val="0"/>
            <w:vAlign w:val="center"/>
          </w:tcPr>
          <w:p w14:paraId="115079F5">
            <w:pPr>
              <w:jc w:val="center"/>
              <w:rPr>
                <w:snapToGrid w:val="0"/>
                <w:color w:val="auto"/>
                <w:kern w:val="21"/>
                <w:szCs w:val="21"/>
              </w:rPr>
            </w:pPr>
          </w:p>
        </w:tc>
        <w:tc>
          <w:tcPr>
            <w:tcW w:w="1417" w:type="dxa"/>
            <w:noWrap w:val="0"/>
            <w:vAlign w:val="center"/>
          </w:tcPr>
          <w:p w14:paraId="2B975827">
            <w:pPr>
              <w:jc w:val="center"/>
              <w:rPr>
                <w:snapToGrid w:val="0"/>
                <w:color w:val="auto"/>
                <w:kern w:val="21"/>
                <w:szCs w:val="21"/>
              </w:rPr>
            </w:pPr>
            <w:r>
              <w:rPr>
                <w:snapToGrid w:val="0"/>
                <w:color w:val="auto"/>
                <w:kern w:val="21"/>
                <w:szCs w:val="21"/>
              </w:rPr>
              <w:t>二氧化硫</w:t>
            </w:r>
          </w:p>
        </w:tc>
        <w:tc>
          <w:tcPr>
            <w:tcW w:w="1701" w:type="dxa"/>
            <w:noWrap w:val="0"/>
            <w:vAlign w:val="center"/>
          </w:tcPr>
          <w:p w14:paraId="3652B8CC">
            <w:pPr>
              <w:jc w:val="center"/>
              <w:rPr>
                <w:snapToGrid w:val="0"/>
                <w:color w:val="auto"/>
                <w:kern w:val="21"/>
                <w:szCs w:val="21"/>
              </w:rPr>
            </w:pPr>
            <w:r>
              <w:rPr>
                <w:rFonts w:hint="eastAsia"/>
                <w:snapToGrid w:val="0"/>
                <w:color w:val="auto"/>
                <w:kern w:val="21"/>
                <w:szCs w:val="21"/>
              </w:rPr>
              <w:t>/</w:t>
            </w:r>
          </w:p>
        </w:tc>
        <w:tc>
          <w:tcPr>
            <w:tcW w:w="1276" w:type="dxa"/>
            <w:noWrap w:val="0"/>
            <w:vAlign w:val="center"/>
          </w:tcPr>
          <w:p w14:paraId="5CE250B1">
            <w:pPr>
              <w:jc w:val="center"/>
              <w:rPr>
                <w:snapToGrid w:val="0"/>
                <w:color w:val="auto"/>
                <w:kern w:val="21"/>
                <w:szCs w:val="21"/>
              </w:rPr>
            </w:pPr>
            <w:r>
              <w:rPr>
                <w:rFonts w:hint="eastAsia"/>
                <w:snapToGrid w:val="0"/>
                <w:color w:val="auto"/>
                <w:kern w:val="21"/>
                <w:szCs w:val="21"/>
              </w:rPr>
              <w:t>/</w:t>
            </w:r>
          </w:p>
        </w:tc>
        <w:tc>
          <w:tcPr>
            <w:tcW w:w="1701" w:type="dxa"/>
            <w:noWrap w:val="0"/>
            <w:vAlign w:val="center"/>
          </w:tcPr>
          <w:p w14:paraId="57820D0E">
            <w:pPr>
              <w:jc w:val="center"/>
              <w:rPr>
                <w:snapToGrid w:val="0"/>
                <w:color w:val="auto"/>
                <w:kern w:val="21"/>
                <w:szCs w:val="21"/>
              </w:rPr>
            </w:pPr>
            <w:r>
              <w:rPr>
                <w:rFonts w:hint="eastAsia"/>
                <w:snapToGrid w:val="0"/>
                <w:color w:val="auto"/>
                <w:kern w:val="21"/>
                <w:szCs w:val="21"/>
              </w:rPr>
              <w:t>/</w:t>
            </w:r>
          </w:p>
        </w:tc>
        <w:tc>
          <w:tcPr>
            <w:tcW w:w="1559" w:type="dxa"/>
            <w:noWrap w:val="0"/>
            <w:vAlign w:val="center"/>
          </w:tcPr>
          <w:p w14:paraId="1DAF25D6">
            <w:pPr>
              <w:jc w:val="center"/>
              <w:rPr>
                <w:rFonts w:hint="default" w:eastAsia="宋体"/>
                <w:snapToGrid w:val="0"/>
                <w:color w:val="auto"/>
                <w:kern w:val="21"/>
                <w:szCs w:val="21"/>
                <w:lang w:val="en-US" w:eastAsia="zh-CN"/>
              </w:rPr>
            </w:pPr>
            <w:r>
              <w:rPr>
                <w:rFonts w:hint="eastAsia"/>
                <w:snapToGrid w:val="0"/>
                <w:color w:val="auto"/>
                <w:kern w:val="21"/>
                <w:szCs w:val="21"/>
                <w:lang w:val="en-US" w:eastAsia="zh-CN"/>
              </w:rPr>
              <w:t>16.265</w:t>
            </w:r>
          </w:p>
        </w:tc>
        <w:tc>
          <w:tcPr>
            <w:tcW w:w="1761" w:type="dxa"/>
            <w:noWrap w:val="0"/>
            <w:vAlign w:val="center"/>
          </w:tcPr>
          <w:p w14:paraId="7B670649">
            <w:pPr>
              <w:jc w:val="center"/>
              <w:rPr>
                <w:snapToGrid w:val="0"/>
                <w:color w:val="auto"/>
                <w:kern w:val="21"/>
                <w:szCs w:val="21"/>
              </w:rPr>
            </w:pPr>
            <w:r>
              <w:rPr>
                <w:rFonts w:hint="eastAsia"/>
                <w:snapToGrid w:val="0"/>
                <w:color w:val="auto"/>
                <w:kern w:val="21"/>
                <w:szCs w:val="21"/>
              </w:rPr>
              <w:t>/</w:t>
            </w:r>
          </w:p>
        </w:tc>
        <w:tc>
          <w:tcPr>
            <w:tcW w:w="1693" w:type="dxa"/>
            <w:noWrap w:val="0"/>
            <w:vAlign w:val="center"/>
          </w:tcPr>
          <w:p w14:paraId="52F88A6B">
            <w:pPr>
              <w:jc w:val="center"/>
              <w:rPr>
                <w:rFonts w:hint="eastAsia" w:eastAsia="宋体"/>
                <w:snapToGrid w:val="0"/>
                <w:color w:val="auto"/>
                <w:kern w:val="21"/>
                <w:szCs w:val="21"/>
                <w:lang w:eastAsia="zh-CN"/>
              </w:rPr>
            </w:pPr>
            <w:r>
              <w:rPr>
                <w:rFonts w:hint="eastAsia"/>
                <w:snapToGrid w:val="0"/>
                <w:color w:val="auto"/>
                <w:kern w:val="21"/>
                <w:szCs w:val="21"/>
                <w:lang w:val="en-US" w:eastAsia="zh-CN"/>
              </w:rPr>
              <w:t>16.265</w:t>
            </w:r>
          </w:p>
        </w:tc>
        <w:tc>
          <w:tcPr>
            <w:tcW w:w="1092" w:type="dxa"/>
            <w:noWrap w:val="0"/>
            <w:vAlign w:val="center"/>
          </w:tcPr>
          <w:p w14:paraId="6382707F">
            <w:pPr>
              <w:jc w:val="center"/>
              <w:rPr>
                <w:snapToGrid w:val="0"/>
                <w:color w:val="auto"/>
                <w:kern w:val="21"/>
                <w:szCs w:val="21"/>
              </w:rPr>
            </w:pPr>
            <w:r>
              <w:rPr>
                <w:rFonts w:hint="eastAsia"/>
                <w:snapToGrid w:val="0"/>
                <w:color w:val="auto"/>
                <w:kern w:val="21"/>
                <w:szCs w:val="21"/>
                <w:lang w:val="en-US" w:eastAsia="zh-CN"/>
              </w:rPr>
              <w:t>16.265</w:t>
            </w:r>
          </w:p>
        </w:tc>
      </w:tr>
      <w:tr w14:paraId="5CE81B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588" w:type="dxa"/>
            <w:vMerge w:val="continue"/>
            <w:noWrap w:val="0"/>
            <w:vAlign w:val="center"/>
          </w:tcPr>
          <w:p w14:paraId="6707CC4B">
            <w:pPr>
              <w:jc w:val="center"/>
              <w:rPr>
                <w:snapToGrid w:val="0"/>
                <w:color w:val="auto"/>
                <w:kern w:val="21"/>
                <w:szCs w:val="21"/>
              </w:rPr>
            </w:pPr>
          </w:p>
        </w:tc>
        <w:tc>
          <w:tcPr>
            <w:tcW w:w="1417" w:type="dxa"/>
            <w:noWrap w:val="0"/>
            <w:vAlign w:val="center"/>
          </w:tcPr>
          <w:p w14:paraId="7A1E98C7">
            <w:pPr>
              <w:jc w:val="center"/>
              <w:rPr>
                <w:snapToGrid w:val="0"/>
                <w:color w:val="auto"/>
                <w:kern w:val="21"/>
                <w:szCs w:val="21"/>
              </w:rPr>
            </w:pPr>
            <w:r>
              <w:rPr>
                <w:snapToGrid w:val="0"/>
                <w:color w:val="auto"/>
                <w:kern w:val="21"/>
                <w:szCs w:val="21"/>
              </w:rPr>
              <w:t>氮氧化物</w:t>
            </w:r>
          </w:p>
        </w:tc>
        <w:tc>
          <w:tcPr>
            <w:tcW w:w="1701" w:type="dxa"/>
            <w:noWrap w:val="0"/>
            <w:vAlign w:val="center"/>
          </w:tcPr>
          <w:p w14:paraId="24111692">
            <w:pPr>
              <w:jc w:val="center"/>
              <w:rPr>
                <w:snapToGrid w:val="0"/>
                <w:color w:val="auto"/>
                <w:kern w:val="21"/>
                <w:szCs w:val="21"/>
              </w:rPr>
            </w:pPr>
            <w:r>
              <w:rPr>
                <w:rFonts w:hint="eastAsia"/>
                <w:snapToGrid w:val="0"/>
                <w:color w:val="auto"/>
                <w:kern w:val="21"/>
                <w:szCs w:val="21"/>
              </w:rPr>
              <w:t>/</w:t>
            </w:r>
          </w:p>
        </w:tc>
        <w:tc>
          <w:tcPr>
            <w:tcW w:w="1276" w:type="dxa"/>
            <w:noWrap w:val="0"/>
            <w:vAlign w:val="center"/>
          </w:tcPr>
          <w:p w14:paraId="48C43922">
            <w:pPr>
              <w:jc w:val="center"/>
              <w:rPr>
                <w:snapToGrid w:val="0"/>
                <w:color w:val="auto"/>
                <w:kern w:val="21"/>
                <w:szCs w:val="21"/>
              </w:rPr>
            </w:pPr>
            <w:r>
              <w:rPr>
                <w:rFonts w:hint="eastAsia"/>
                <w:snapToGrid w:val="0"/>
                <w:color w:val="auto"/>
                <w:kern w:val="21"/>
                <w:szCs w:val="21"/>
              </w:rPr>
              <w:t>/</w:t>
            </w:r>
          </w:p>
        </w:tc>
        <w:tc>
          <w:tcPr>
            <w:tcW w:w="1701" w:type="dxa"/>
            <w:noWrap w:val="0"/>
            <w:vAlign w:val="center"/>
          </w:tcPr>
          <w:p w14:paraId="77308040">
            <w:pPr>
              <w:jc w:val="center"/>
              <w:rPr>
                <w:snapToGrid w:val="0"/>
                <w:color w:val="auto"/>
                <w:kern w:val="21"/>
                <w:szCs w:val="21"/>
              </w:rPr>
            </w:pPr>
            <w:r>
              <w:rPr>
                <w:rFonts w:hint="eastAsia"/>
                <w:snapToGrid w:val="0"/>
                <w:color w:val="auto"/>
                <w:kern w:val="21"/>
                <w:szCs w:val="21"/>
              </w:rPr>
              <w:t>/</w:t>
            </w:r>
          </w:p>
        </w:tc>
        <w:tc>
          <w:tcPr>
            <w:tcW w:w="1559" w:type="dxa"/>
            <w:noWrap w:val="0"/>
            <w:vAlign w:val="center"/>
          </w:tcPr>
          <w:p w14:paraId="04A5F5BE">
            <w:pPr>
              <w:jc w:val="center"/>
              <w:rPr>
                <w:rFonts w:hint="default" w:eastAsia="宋体"/>
                <w:bCs/>
                <w:color w:val="auto"/>
                <w:szCs w:val="21"/>
                <w:lang w:val="en-US" w:eastAsia="zh-CN"/>
              </w:rPr>
            </w:pPr>
            <w:r>
              <w:rPr>
                <w:rFonts w:hint="eastAsia"/>
                <w:bCs/>
                <w:color w:val="auto"/>
                <w:szCs w:val="21"/>
                <w:lang w:val="en-US" w:eastAsia="zh-CN"/>
              </w:rPr>
              <w:t>23.235</w:t>
            </w:r>
          </w:p>
        </w:tc>
        <w:tc>
          <w:tcPr>
            <w:tcW w:w="1761" w:type="dxa"/>
            <w:noWrap w:val="0"/>
            <w:vAlign w:val="center"/>
          </w:tcPr>
          <w:p w14:paraId="3DD5EED3">
            <w:pPr>
              <w:jc w:val="center"/>
              <w:rPr>
                <w:snapToGrid w:val="0"/>
                <w:color w:val="auto"/>
                <w:kern w:val="21"/>
                <w:szCs w:val="21"/>
              </w:rPr>
            </w:pPr>
            <w:r>
              <w:rPr>
                <w:rFonts w:hint="eastAsia"/>
                <w:snapToGrid w:val="0"/>
                <w:color w:val="auto"/>
                <w:kern w:val="21"/>
                <w:szCs w:val="21"/>
              </w:rPr>
              <w:t>/</w:t>
            </w:r>
          </w:p>
        </w:tc>
        <w:tc>
          <w:tcPr>
            <w:tcW w:w="1693" w:type="dxa"/>
            <w:noWrap w:val="0"/>
            <w:vAlign w:val="center"/>
          </w:tcPr>
          <w:p w14:paraId="7544BF76">
            <w:pPr>
              <w:jc w:val="center"/>
              <w:rPr>
                <w:bCs/>
                <w:color w:val="auto"/>
                <w:szCs w:val="21"/>
              </w:rPr>
            </w:pPr>
            <w:r>
              <w:rPr>
                <w:rFonts w:hint="eastAsia"/>
                <w:bCs/>
                <w:color w:val="auto"/>
                <w:szCs w:val="21"/>
                <w:lang w:val="en-US" w:eastAsia="zh-CN"/>
              </w:rPr>
              <w:t>23.235</w:t>
            </w:r>
          </w:p>
        </w:tc>
        <w:tc>
          <w:tcPr>
            <w:tcW w:w="1092" w:type="dxa"/>
            <w:noWrap w:val="0"/>
            <w:vAlign w:val="center"/>
          </w:tcPr>
          <w:p w14:paraId="64BCC9ED">
            <w:pPr>
              <w:jc w:val="center"/>
              <w:rPr>
                <w:snapToGrid w:val="0"/>
                <w:color w:val="auto"/>
                <w:kern w:val="21"/>
                <w:szCs w:val="21"/>
              </w:rPr>
            </w:pPr>
            <w:r>
              <w:rPr>
                <w:rFonts w:hint="eastAsia"/>
                <w:bCs/>
                <w:color w:val="auto"/>
                <w:szCs w:val="21"/>
                <w:lang w:val="en-US" w:eastAsia="zh-CN"/>
              </w:rPr>
              <w:t>23.235</w:t>
            </w:r>
          </w:p>
        </w:tc>
      </w:tr>
      <w:tr w14:paraId="06FA46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588" w:type="dxa"/>
            <w:noWrap w:val="0"/>
            <w:vAlign w:val="center"/>
          </w:tcPr>
          <w:p w14:paraId="19232B3A">
            <w:pPr>
              <w:jc w:val="center"/>
              <w:rPr>
                <w:snapToGrid w:val="0"/>
                <w:color w:val="auto"/>
                <w:kern w:val="21"/>
                <w:szCs w:val="21"/>
              </w:rPr>
            </w:pPr>
            <w:r>
              <w:rPr>
                <w:snapToGrid w:val="0"/>
                <w:color w:val="auto"/>
                <w:kern w:val="21"/>
                <w:szCs w:val="21"/>
              </w:rPr>
              <w:t>废水</w:t>
            </w:r>
          </w:p>
        </w:tc>
        <w:tc>
          <w:tcPr>
            <w:tcW w:w="1417" w:type="dxa"/>
            <w:noWrap w:val="0"/>
            <w:vAlign w:val="center"/>
          </w:tcPr>
          <w:p w14:paraId="08749053">
            <w:pPr>
              <w:jc w:val="center"/>
              <w:rPr>
                <w:snapToGrid w:val="0"/>
                <w:color w:val="auto"/>
                <w:kern w:val="21"/>
                <w:szCs w:val="21"/>
              </w:rPr>
            </w:pPr>
            <w:r>
              <w:rPr>
                <w:rFonts w:hint="eastAsia"/>
                <w:snapToGrid w:val="0"/>
                <w:color w:val="auto"/>
                <w:kern w:val="21"/>
                <w:szCs w:val="21"/>
              </w:rPr>
              <w:t>/</w:t>
            </w:r>
          </w:p>
        </w:tc>
        <w:tc>
          <w:tcPr>
            <w:tcW w:w="1701" w:type="dxa"/>
            <w:noWrap w:val="0"/>
            <w:vAlign w:val="center"/>
          </w:tcPr>
          <w:p w14:paraId="4D4DB7C8">
            <w:pPr>
              <w:jc w:val="center"/>
              <w:rPr>
                <w:snapToGrid w:val="0"/>
                <w:color w:val="auto"/>
                <w:kern w:val="21"/>
                <w:szCs w:val="21"/>
              </w:rPr>
            </w:pPr>
            <w:r>
              <w:rPr>
                <w:rFonts w:hint="eastAsia"/>
                <w:snapToGrid w:val="0"/>
                <w:color w:val="auto"/>
                <w:kern w:val="21"/>
                <w:szCs w:val="21"/>
              </w:rPr>
              <w:t>/</w:t>
            </w:r>
          </w:p>
        </w:tc>
        <w:tc>
          <w:tcPr>
            <w:tcW w:w="1276" w:type="dxa"/>
            <w:noWrap w:val="0"/>
            <w:vAlign w:val="center"/>
          </w:tcPr>
          <w:p w14:paraId="4BE42ED9">
            <w:pPr>
              <w:jc w:val="center"/>
              <w:rPr>
                <w:snapToGrid w:val="0"/>
                <w:color w:val="auto"/>
                <w:kern w:val="21"/>
                <w:szCs w:val="21"/>
              </w:rPr>
            </w:pPr>
            <w:r>
              <w:rPr>
                <w:rFonts w:hint="eastAsia"/>
                <w:snapToGrid w:val="0"/>
                <w:color w:val="auto"/>
                <w:kern w:val="21"/>
                <w:szCs w:val="21"/>
              </w:rPr>
              <w:t>/</w:t>
            </w:r>
          </w:p>
        </w:tc>
        <w:tc>
          <w:tcPr>
            <w:tcW w:w="1701" w:type="dxa"/>
            <w:noWrap w:val="0"/>
            <w:vAlign w:val="center"/>
          </w:tcPr>
          <w:p w14:paraId="761AACEB">
            <w:pPr>
              <w:jc w:val="center"/>
              <w:rPr>
                <w:snapToGrid w:val="0"/>
                <w:color w:val="auto"/>
                <w:kern w:val="21"/>
                <w:szCs w:val="21"/>
              </w:rPr>
            </w:pPr>
            <w:r>
              <w:rPr>
                <w:rFonts w:hint="eastAsia"/>
                <w:snapToGrid w:val="0"/>
                <w:color w:val="auto"/>
                <w:kern w:val="21"/>
                <w:szCs w:val="21"/>
              </w:rPr>
              <w:t>/</w:t>
            </w:r>
          </w:p>
        </w:tc>
        <w:tc>
          <w:tcPr>
            <w:tcW w:w="1559" w:type="dxa"/>
            <w:noWrap w:val="0"/>
            <w:vAlign w:val="center"/>
          </w:tcPr>
          <w:p w14:paraId="497323FD">
            <w:pPr>
              <w:jc w:val="center"/>
              <w:rPr>
                <w:snapToGrid w:val="0"/>
                <w:color w:val="auto"/>
                <w:kern w:val="21"/>
                <w:szCs w:val="21"/>
              </w:rPr>
            </w:pPr>
            <w:r>
              <w:rPr>
                <w:rFonts w:hint="eastAsia"/>
                <w:snapToGrid w:val="0"/>
                <w:color w:val="auto"/>
                <w:kern w:val="21"/>
                <w:szCs w:val="21"/>
              </w:rPr>
              <w:t>/</w:t>
            </w:r>
          </w:p>
        </w:tc>
        <w:tc>
          <w:tcPr>
            <w:tcW w:w="1761" w:type="dxa"/>
            <w:noWrap w:val="0"/>
            <w:vAlign w:val="center"/>
          </w:tcPr>
          <w:p w14:paraId="0AC94742">
            <w:pPr>
              <w:jc w:val="center"/>
              <w:rPr>
                <w:snapToGrid w:val="0"/>
                <w:color w:val="auto"/>
                <w:kern w:val="21"/>
                <w:szCs w:val="21"/>
              </w:rPr>
            </w:pPr>
            <w:r>
              <w:rPr>
                <w:rFonts w:hint="eastAsia"/>
                <w:snapToGrid w:val="0"/>
                <w:color w:val="auto"/>
                <w:kern w:val="21"/>
                <w:szCs w:val="21"/>
              </w:rPr>
              <w:t>/</w:t>
            </w:r>
          </w:p>
        </w:tc>
        <w:tc>
          <w:tcPr>
            <w:tcW w:w="1693" w:type="dxa"/>
            <w:noWrap w:val="0"/>
            <w:vAlign w:val="center"/>
          </w:tcPr>
          <w:p w14:paraId="37E02388">
            <w:pPr>
              <w:jc w:val="center"/>
              <w:rPr>
                <w:snapToGrid w:val="0"/>
                <w:color w:val="auto"/>
                <w:kern w:val="21"/>
                <w:szCs w:val="21"/>
              </w:rPr>
            </w:pPr>
            <w:r>
              <w:rPr>
                <w:rFonts w:hint="eastAsia"/>
                <w:snapToGrid w:val="0"/>
                <w:color w:val="auto"/>
                <w:kern w:val="21"/>
                <w:szCs w:val="21"/>
              </w:rPr>
              <w:t>/</w:t>
            </w:r>
          </w:p>
        </w:tc>
        <w:tc>
          <w:tcPr>
            <w:tcW w:w="1092" w:type="dxa"/>
            <w:noWrap w:val="0"/>
            <w:vAlign w:val="center"/>
          </w:tcPr>
          <w:p w14:paraId="6B77FBC1">
            <w:pPr>
              <w:jc w:val="center"/>
              <w:rPr>
                <w:snapToGrid w:val="0"/>
                <w:color w:val="auto"/>
                <w:kern w:val="21"/>
                <w:szCs w:val="21"/>
              </w:rPr>
            </w:pPr>
            <w:r>
              <w:rPr>
                <w:rFonts w:hint="eastAsia"/>
                <w:snapToGrid w:val="0"/>
                <w:color w:val="auto"/>
                <w:kern w:val="21"/>
                <w:szCs w:val="21"/>
              </w:rPr>
              <w:t>/</w:t>
            </w:r>
          </w:p>
        </w:tc>
      </w:tr>
      <w:tr w14:paraId="38ABCC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1588" w:type="dxa"/>
            <w:vMerge w:val="restart"/>
            <w:noWrap w:val="0"/>
            <w:vAlign w:val="center"/>
          </w:tcPr>
          <w:p w14:paraId="1B03136F">
            <w:pPr>
              <w:jc w:val="center"/>
              <w:rPr>
                <w:snapToGrid w:val="0"/>
                <w:color w:val="auto"/>
                <w:kern w:val="21"/>
                <w:szCs w:val="21"/>
              </w:rPr>
            </w:pPr>
            <w:r>
              <w:rPr>
                <w:snapToGrid w:val="0"/>
                <w:color w:val="auto"/>
                <w:kern w:val="21"/>
                <w:szCs w:val="21"/>
              </w:rPr>
              <w:t>一般工业</w:t>
            </w:r>
          </w:p>
          <w:p w14:paraId="354D0BFF">
            <w:pPr>
              <w:jc w:val="center"/>
              <w:rPr>
                <w:snapToGrid w:val="0"/>
                <w:color w:val="auto"/>
                <w:kern w:val="21"/>
                <w:szCs w:val="21"/>
              </w:rPr>
            </w:pPr>
            <w:r>
              <w:rPr>
                <w:snapToGrid w:val="0"/>
                <w:color w:val="auto"/>
                <w:kern w:val="21"/>
                <w:szCs w:val="21"/>
              </w:rPr>
              <w:t>固体废物</w:t>
            </w:r>
          </w:p>
        </w:tc>
        <w:tc>
          <w:tcPr>
            <w:tcW w:w="1417" w:type="dxa"/>
            <w:noWrap w:val="0"/>
            <w:vAlign w:val="center"/>
          </w:tcPr>
          <w:p w14:paraId="60EC992D">
            <w:pPr>
              <w:jc w:val="center"/>
              <w:rPr>
                <w:rFonts w:hint="eastAsia" w:eastAsia="宋体"/>
                <w:color w:val="auto"/>
                <w:szCs w:val="21"/>
                <w:lang w:eastAsia="zh-CN"/>
              </w:rPr>
            </w:pPr>
            <w:r>
              <w:rPr>
                <w:rFonts w:hint="eastAsia"/>
                <w:color w:val="auto"/>
                <w:szCs w:val="21"/>
                <w:lang w:val="en-US" w:eastAsia="zh-CN"/>
              </w:rPr>
              <w:t>除尘灰</w:t>
            </w:r>
          </w:p>
        </w:tc>
        <w:tc>
          <w:tcPr>
            <w:tcW w:w="1701" w:type="dxa"/>
            <w:noWrap w:val="0"/>
            <w:vAlign w:val="center"/>
          </w:tcPr>
          <w:p w14:paraId="198DAFCA">
            <w:pPr>
              <w:jc w:val="center"/>
              <w:rPr>
                <w:snapToGrid w:val="0"/>
                <w:color w:val="auto"/>
                <w:kern w:val="21"/>
                <w:szCs w:val="21"/>
              </w:rPr>
            </w:pPr>
            <w:r>
              <w:rPr>
                <w:rFonts w:hint="eastAsia"/>
                <w:snapToGrid w:val="0"/>
                <w:color w:val="auto"/>
                <w:kern w:val="21"/>
                <w:szCs w:val="21"/>
              </w:rPr>
              <w:t>/</w:t>
            </w:r>
          </w:p>
        </w:tc>
        <w:tc>
          <w:tcPr>
            <w:tcW w:w="1276" w:type="dxa"/>
            <w:noWrap w:val="0"/>
            <w:vAlign w:val="center"/>
          </w:tcPr>
          <w:p w14:paraId="4D5A3266">
            <w:pPr>
              <w:jc w:val="center"/>
              <w:rPr>
                <w:snapToGrid w:val="0"/>
                <w:color w:val="auto"/>
                <w:kern w:val="21"/>
                <w:szCs w:val="21"/>
              </w:rPr>
            </w:pPr>
            <w:r>
              <w:rPr>
                <w:rFonts w:hint="eastAsia"/>
                <w:snapToGrid w:val="0"/>
                <w:color w:val="auto"/>
                <w:kern w:val="21"/>
                <w:szCs w:val="21"/>
              </w:rPr>
              <w:t>/</w:t>
            </w:r>
          </w:p>
        </w:tc>
        <w:tc>
          <w:tcPr>
            <w:tcW w:w="1701" w:type="dxa"/>
            <w:noWrap w:val="0"/>
            <w:vAlign w:val="center"/>
          </w:tcPr>
          <w:p w14:paraId="12B3A97A">
            <w:pPr>
              <w:jc w:val="center"/>
              <w:rPr>
                <w:snapToGrid w:val="0"/>
                <w:color w:val="auto"/>
                <w:kern w:val="21"/>
                <w:szCs w:val="21"/>
              </w:rPr>
            </w:pPr>
            <w:r>
              <w:rPr>
                <w:rFonts w:hint="eastAsia"/>
                <w:snapToGrid w:val="0"/>
                <w:color w:val="auto"/>
                <w:kern w:val="21"/>
                <w:szCs w:val="21"/>
              </w:rPr>
              <w:t>/</w:t>
            </w:r>
          </w:p>
        </w:tc>
        <w:tc>
          <w:tcPr>
            <w:tcW w:w="1559" w:type="dxa"/>
            <w:noWrap w:val="0"/>
            <w:vAlign w:val="center"/>
          </w:tcPr>
          <w:p w14:paraId="23B1E2A8">
            <w:pPr>
              <w:jc w:val="center"/>
              <w:rPr>
                <w:rFonts w:hint="default" w:eastAsia="宋体"/>
                <w:snapToGrid w:val="0"/>
                <w:color w:val="auto"/>
                <w:kern w:val="21"/>
                <w:szCs w:val="21"/>
                <w:lang w:val="en-US" w:eastAsia="zh-CN"/>
              </w:rPr>
            </w:pPr>
            <w:r>
              <w:rPr>
                <w:rFonts w:hint="eastAsia"/>
                <w:color w:val="auto"/>
                <w:szCs w:val="21"/>
                <w:lang w:val="en-US" w:eastAsia="zh-CN"/>
              </w:rPr>
              <w:t>1296</w:t>
            </w:r>
          </w:p>
        </w:tc>
        <w:tc>
          <w:tcPr>
            <w:tcW w:w="1761" w:type="dxa"/>
            <w:noWrap w:val="0"/>
            <w:vAlign w:val="center"/>
          </w:tcPr>
          <w:p w14:paraId="4CF838AF">
            <w:pPr>
              <w:jc w:val="center"/>
              <w:rPr>
                <w:snapToGrid w:val="0"/>
                <w:color w:val="auto"/>
                <w:kern w:val="21"/>
                <w:szCs w:val="21"/>
              </w:rPr>
            </w:pPr>
            <w:r>
              <w:rPr>
                <w:rFonts w:hint="eastAsia"/>
                <w:snapToGrid w:val="0"/>
                <w:color w:val="auto"/>
                <w:kern w:val="21"/>
                <w:szCs w:val="21"/>
              </w:rPr>
              <w:t>/</w:t>
            </w:r>
          </w:p>
        </w:tc>
        <w:tc>
          <w:tcPr>
            <w:tcW w:w="1693" w:type="dxa"/>
            <w:noWrap w:val="0"/>
            <w:vAlign w:val="center"/>
          </w:tcPr>
          <w:p w14:paraId="02AFB887">
            <w:pPr>
              <w:jc w:val="center"/>
              <w:rPr>
                <w:rFonts w:hint="default" w:eastAsia="宋体"/>
                <w:snapToGrid w:val="0"/>
                <w:color w:val="auto"/>
                <w:kern w:val="21"/>
                <w:szCs w:val="21"/>
                <w:lang w:val="en-US" w:eastAsia="zh-CN"/>
              </w:rPr>
            </w:pPr>
            <w:r>
              <w:rPr>
                <w:rFonts w:hint="eastAsia"/>
                <w:snapToGrid w:val="0"/>
                <w:color w:val="auto"/>
                <w:kern w:val="21"/>
                <w:szCs w:val="21"/>
                <w:lang w:val="en-US" w:eastAsia="zh-CN"/>
              </w:rPr>
              <w:t>1296</w:t>
            </w:r>
          </w:p>
        </w:tc>
        <w:tc>
          <w:tcPr>
            <w:tcW w:w="1092" w:type="dxa"/>
            <w:noWrap w:val="0"/>
            <w:vAlign w:val="center"/>
          </w:tcPr>
          <w:p w14:paraId="36A63510">
            <w:pPr>
              <w:jc w:val="center"/>
              <w:rPr>
                <w:rFonts w:hint="default" w:eastAsia="宋体"/>
                <w:snapToGrid w:val="0"/>
                <w:color w:val="auto"/>
                <w:kern w:val="21"/>
                <w:szCs w:val="21"/>
                <w:lang w:val="en-US" w:eastAsia="zh-CN"/>
              </w:rPr>
            </w:pPr>
            <w:r>
              <w:rPr>
                <w:rFonts w:hint="eastAsia"/>
                <w:snapToGrid w:val="0"/>
                <w:color w:val="auto"/>
                <w:kern w:val="21"/>
                <w:szCs w:val="21"/>
                <w:lang w:val="en-US" w:eastAsia="zh-CN"/>
              </w:rPr>
              <w:t>1296</w:t>
            </w:r>
          </w:p>
        </w:tc>
      </w:tr>
      <w:tr w14:paraId="5C21A0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1588" w:type="dxa"/>
            <w:vMerge w:val="continue"/>
            <w:noWrap w:val="0"/>
            <w:vAlign w:val="center"/>
          </w:tcPr>
          <w:p w14:paraId="21BEF54D">
            <w:pPr>
              <w:jc w:val="center"/>
              <w:rPr>
                <w:snapToGrid w:val="0"/>
                <w:color w:val="auto"/>
                <w:kern w:val="21"/>
                <w:szCs w:val="21"/>
              </w:rPr>
            </w:pPr>
          </w:p>
        </w:tc>
        <w:tc>
          <w:tcPr>
            <w:tcW w:w="1417" w:type="dxa"/>
            <w:noWrap w:val="0"/>
            <w:vAlign w:val="center"/>
          </w:tcPr>
          <w:p w14:paraId="057169CD">
            <w:pPr>
              <w:jc w:val="center"/>
              <w:rPr>
                <w:color w:val="auto"/>
                <w:szCs w:val="21"/>
              </w:rPr>
            </w:pPr>
            <w:r>
              <w:rPr>
                <w:rFonts w:hint="eastAsia"/>
                <w:color w:val="auto"/>
                <w:szCs w:val="21"/>
              </w:rPr>
              <w:t>/</w:t>
            </w:r>
          </w:p>
        </w:tc>
        <w:tc>
          <w:tcPr>
            <w:tcW w:w="1701" w:type="dxa"/>
            <w:noWrap w:val="0"/>
            <w:vAlign w:val="center"/>
          </w:tcPr>
          <w:p w14:paraId="058D63DA">
            <w:pPr>
              <w:jc w:val="center"/>
              <w:rPr>
                <w:snapToGrid w:val="0"/>
                <w:color w:val="auto"/>
                <w:kern w:val="21"/>
                <w:szCs w:val="21"/>
              </w:rPr>
            </w:pPr>
            <w:r>
              <w:rPr>
                <w:rFonts w:hint="eastAsia"/>
                <w:snapToGrid w:val="0"/>
                <w:color w:val="auto"/>
                <w:kern w:val="21"/>
                <w:szCs w:val="21"/>
              </w:rPr>
              <w:t>/</w:t>
            </w:r>
          </w:p>
        </w:tc>
        <w:tc>
          <w:tcPr>
            <w:tcW w:w="1276" w:type="dxa"/>
            <w:noWrap w:val="0"/>
            <w:vAlign w:val="center"/>
          </w:tcPr>
          <w:p w14:paraId="5233D06E">
            <w:pPr>
              <w:jc w:val="center"/>
              <w:rPr>
                <w:snapToGrid w:val="0"/>
                <w:color w:val="auto"/>
                <w:kern w:val="21"/>
                <w:szCs w:val="21"/>
              </w:rPr>
            </w:pPr>
            <w:r>
              <w:rPr>
                <w:rFonts w:hint="eastAsia"/>
                <w:snapToGrid w:val="0"/>
                <w:color w:val="auto"/>
                <w:kern w:val="21"/>
                <w:szCs w:val="21"/>
              </w:rPr>
              <w:t>/</w:t>
            </w:r>
          </w:p>
        </w:tc>
        <w:tc>
          <w:tcPr>
            <w:tcW w:w="1701" w:type="dxa"/>
            <w:noWrap w:val="0"/>
            <w:vAlign w:val="center"/>
          </w:tcPr>
          <w:p w14:paraId="2F2E5853">
            <w:pPr>
              <w:jc w:val="center"/>
              <w:rPr>
                <w:snapToGrid w:val="0"/>
                <w:color w:val="auto"/>
                <w:kern w:val="21"/>
                <w:szCs w:val="21"/>
              </w:rPr>
            </w:pPr>
            <w:r>
              <w:rPr>
                <w:rFonts w:hint="eastAsia"/>
                <w:snapToGrid w:val="0"/>
                <w:color w:val="auto"/>
                <w:kern w:val="21"/>
                <w:szCs w:val="21"/>
              </w:rPr>
              <w:t>/</w:t>
            </w:r>
          </w:p>
        </w:tc>
        <w:tc>
          <w:tcPr>
            <w:tcW w:w="1559" w:type="dxa"/>
            <w:noWrap w:val="0"/>
            <w:vAlign w:val="center"/>
          </w:tcPr>
          <w:p w14:paraId="41004E84">
            <w:pPr>
              <w:jc w:val="center"/>
              <w:rPr>
                <w:snapToGrid w:val="0"/>
                <w:color w:val="auto"/>
                <w:kern w:val="21"/>
                <w:szCs w:val="21"/>
              </w:rPr>
            </w:pPr>
            <w:r>
              <w:rPr>
                <w:rFonts w:hint="eastAsia"/>
                <w:snapToGrid w:val="0"/>
                <w:color w:val="auto"/>
                <w:kern w:val="21"/>
                <w:szCs w:val="21"/>
              </w:rPr>
              <w:t>/</w:t>
            </w:r>
          </w:p>
        </w:tc>
        <w:tc>
          <w:tcPr>
            <w:tcW w:w="1761" w:type="dxa"/>
            <w:noWrap w:val="0"/>
            <w:vAlign w:val="center"/>
          </w:tcPr>
          <w:p w14:paraId="5423ACE4">
            <w:pPr>
              <w:jc w:val="center"/>
              <w:rPr>
                <w:snapToGrid w:val="0"/>
                <w:color w:val="auto"/>
                <w:kern w:val="21"/>
                <w:szCs w:val="21"/>
              </w:rPr>
            </w:pPr>
            <w:r>
              <w:rPr>
                <w:rFonts w:hint="eastAsia"/>
                <w:snapToGrid w:val="0"/>
                <w:color w:val="auto"/>
                <w:kern w:val="21"/>
                <w:szCs w:val="21"/>
              </w:rPr>
              <w:t>/</w:t>
            </w:r>
          </w:p>
        </w:tc>
        <w:tc>
          <w:tcPr>
            <w:tcW w:w="1693" w:type="dxa"/>
            <w:noWrap w:val="0"/>
            <w:vAlign w:val="center"/>
          </w:tcPr>
          <w:p w14:paraId="7D5845D8">
            <w:pPr>
              <w:jc w:val="center"/>
              <w:rPr>
                <w:snapToGrid w:val="0"/>
                <w:color w:val="auto"/>
                <w:kern w:val="21"/>
                <w:szCs w:val="21"/>
              </w:rPr>
            </w:pPr>
            <w:r>
              <w:rPr>
                <w:rFonts w:hint="eastAsia"/>
                <w:snapToGrid w:val="0"/>
                <w:color w:val="auto"/>
                <w:kern w:val="21"/>
                <w:szCs w:val="21"/>
              </w:rPr>
              <w:t>/</w:t>
            </w:r>
          </w:p>
        </w:tc>
        <w:tc>
          <w:tcPr>
            <w:tcW w:w="1092" w:type="dxa"/>
            <w:noWrap w:val="0"/>
            <w:vAlign w:val="center"/>
          </w:tcPr>
          <w:p w14:paraId="41FC9404">
            <w:pPr>
              <w:jc w:val="center"/>
              <w:rPr>
                <w:snapToGrid w:val="0"/>
                <w:color w:val="auto"/>
                <w:kern w:val="21"/>
                <w:szCs w:val="21"/>
              </w:rPr>
            </w:pPr>
            <w:r>
              <w:rPr>
                <w:rFonts w:hint="eastAsia"/>
                <w:snapToGrid w:val="0"/>
                <w:color w:val="auto"/>
                <w:kern w:val="21"/>
                <w:szCs w:val="21"/>
              </w:rPr>
              <w:t>/</w:t>
            </w:r>
          </w:p>
        </w:tc>
      </w:tr>
      <w:tr w14:paraId="02EC5A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588" w:type="dxa"/>
            <w:vMerge w:val="restart"/>
            <w:noWrap w:val="0"/>
            <w:vAlign w:val="center"/>
          </w:tcPr>
          <w:p w14:paraId="7EE92AFB">
            <w:pPr>
              <w:jc w:val="center"/>
              <w:rPr>
                <w:snapToGrid w:val="0"/>
                <w:color w:val="auto"/>
                <w:kern w:val="21"/>
                <w:szCs w:val="21"/>
              </w:rPr>
            </w:pPr>
            <w:r>
              <w:rPr>
                <w:snapToGrid w:val="0"/>
                <w:color w:val="auto"/>
                <w:kern w:val="21"/>
                <w:szCs w:val="21"/>
              </w:rPr>
              <w:t>危险废物</w:t>
            </w:r>
          </w:p>
        </w:tc>
        <w:tc>
          <w:tcPr>
            <w:tcW w:w="1417" w:type="dxa"/>
            <w:noWrap w:val="0"/>
            <w:vAlign w:val="center"/>
          </w:tcPr>
          <w:p w14:paraId="797D8859">
            <w:pPr>
              <w:jc w:val="center"/>
              <w:rPr>
                <w:color w:val="auto"/>
                <w:szCs w:val="21"/>
              </w:rPr>
            </w:pPr>
            <w:r>
              <w:rPr>
                <w:rFonts w:hint="eastAsia"/>
                <w:color w:val="auto"/>
                <w:szCs w:val="21"/>
              </w:rPr>
              <w:t>废机油</w:t>
            </w:r>
          </w:p>
        </w:tc>
        <w:tc>
          <w:tcPr>
            <w:tcW w:w="1701" w:type="dxa"/>
            <w:noWrap w:val="0"/>
            <w:vAlign w:val="center"/>
          </w:tcPr>
          <w:p w14:paraId="5B43BFF9">
            <w:pPr>
              <w:jc w:val="center"/>
              <w:rPr>
                <w:snapToGrid w:val="0"/>
                <w:color w:val="auto"/>
                <w:kern w:val="21"/>
                <w:szCs w:val="21"/>
              </w:rPr>
            </w:pPr>
            <w:r>
              <w:rPr>
                <w:rFonts w:hint="eastAsia"/>
                <w:snapToGrid w:val="0"/>
                <w:color w:val="auto"/>
                <w:kern w:val="21"/>
                <w:szCs w:val="21"/>
              </w:rPr>
              <w:t>/</w:t>
            </w:r>
          </w:p>
        </w:tc>
        <w:tc>
          <w:tcPr>
            <w:tcW w:w="1276" w:type="dxa"/>
            <w:noWrap w:val="0"/>
            <w:vAlign w:val="center"/>
          </w:tcPr>
          <w:p w14:paraId="7FD42986">
            <w:pPr>
              <w:jc w:val="center"/>
              <w:rPr>
                <w:snapToGrid w:val="0"/>
                <w:color w:val="auto"/>
                <w:kern w:val="21"/>
                <w:szCs w:val="21"/>
              </w:rPr>
            </w:pPr>
            <w:r>
              <w:rPr>
                <w:rFonts w:hint="eastAsia"/>
                <w:snapToGrid w:val="0"/>
                <w:color w:val="auto"/>
                <w:kern w:val="21"/>
                <w:szCs w:val="21"/>
              </w:rPr>
              <w:t>/</w:t>
            </w:r>
          </w:p>
        </w:tc>
        <w:tc>
          <w:tcPr>
            <w:tcW w:w="1701" w:type="dxa"/>
            <w:noWrap w:val="0"/>
            <w:vAlign w:val="center"/>
          </w:tcPr>
          <w:p w14:paraId="0642163C">
            <w:pPr>
              <w:jc w:val="center"/>
              <w:rPr>
                <w:snapToGrid w:val="0"/>
                <w:color w:val="auto"/>
                <w:kern w:val="21"/>
                <w:szCs w:val="21"/>
              </w:rPr>
            </w:pPr>
            <w:r>
              <w:rPr>
                <w:rFonts w:hint="eastAsia"/>
                <w:snapToGrid w:val="0"/>
                <w:color w:val="auto"/>
                <w:kern w:val="21"/>
                <w:szCs w:val="21"/>
              </w:rPr>
              <w:t>/</w:t>
            </w:r>
          </w:p>
        </w:tc>
        <w:tc>
          <w:tcPr>
            <w:tcW w:w="1559" w:type="dxa"/>
            <w:noWrap w:val="0"/>
            <w:vAlign w:val="center"/>
          </w:tcPr>
          <w:p w14:paraId="17D9AF61">
            <w:pPr>
              <w:jc w:val="center"/>
              <w:rPr>
                <w:snapToGrid w:val="0"/>
                <w:color w:val="auto"/>
                <w:kern w:val="21"/>
                <w:szCs w:val="21"/>
              </w:rPr>
            </w:pPr>
            <w:r>
              <w:rPr>
                <w:rFonts w:hint="eastAsia"/>
                <w:snapToGrid w:val="0"/>
                <w:color w:val="auto"/>
                <w:kern w:val="21"/>
                <w:szCs w:val="21"/>
              </w:rPr>
              <w:t>0.05</w:t>
            </w:r>
            <w:r>
              <w:rPr>
                <w:rFonts w:hint="eastAsia"/>
                <w:snapToGrid w:val="0"/>
                <w:color w:val="auto"/>
                <w:kern w:val="21"/>
                <w:szCs w:val="21"/>
                <w:lang w:val="en-US" w:eastAsia="zh-CN"/>
              </w:rPr>
              <w:t>t/a</w:t>
            </w:r>
          </w:p>
        </w:tc>
        <w:tc>
          <w:tcPr>
            <w:tcW w:w="1761" w:type="dxa"/>
            <w:noWrap w:val="0"/>
            <w:vAlign w:val="center"/>
          </w:tcPr>
          <w:p w14:paraId="482089BF">
            <w:pPr>
              <w:jc w:val="center"/>
              <w:rPr>
                <w:snapToGrid w:val="0"/>
                <w:color w:val="auto"/>
                <w:kern w:val="21"/>
                <w:szCs w:val="21"/>
              </w:rPr>
            </w:pPr>
            <w:r>
              <w:rPr>
                <w:rFonts w:hint="eastAsia"/>
                <w:snapToGrid w:val="0"/>
                <w:color w:val="auto"/>
                <w:kern w:val="21"/>
                <w:szCs w:val="21"/>
              </w:rPr>
              <w:t>/</w:t>
            </w:r>
          </w:p>
        </w:tc>
        <w:tc>
          <w:tcPr>
            <w:tcW w:w="1693" w:type="dxa"/>
            <w:noWrap w:val="0"/>
            <w:vAlign w:val="center"/>
          </w:tcPr>
          <w:p w14:paraId="2987BB1E">
            <w:pPr>
              <w:jc w:val="center"/>
              <w:rPr>
                <w:snapToGrid w:val="0"/>
                <w:color w:val="auto"/>
                <w:kern w:val="21"/>
                <w:szCs w:val="21"/>
              </w:rPr>
            </w:pPr>
            <w:r>
              <w:rPr>
                <w:rFonts w:hint="eastAsia"/>
                <w:snapToGrid w:val="0"/>
                <w:color w:val="auto"/>
                <w:kern w:val="21"/>
                <w:szCs w:val="21"/>
              </w:rPr>
              <w:t>0.05</w:t>
            </w:r>
            <w:r>
              <w:rPr>
                <w:rFonts w:hint="eastAsia"/>
                <w:snapToGrid w:val="0"/>
                <w:color w:val="auto"/>
                <w:kern w:val="21"/>
                <w:szCs w:val="21"/>
                <w:lang w:val="en-US" w:eastAsia="zh-CN"/>
              </w:rPr>
              <w:t>t/a</w:t>
            </w:r>
          </w:p>
        </w:tc>
        <w:tc>
          <w:tcPr>
            <w:tcW w:w="1092" w:type="dxa"/>
            <w:noWrap w:val="0"/>
            <w:vAlign w:val="center"/>
          </w:tcPr>
          <w:p w14:paraId="268B2D00">
            <w:pPr>
              <w:jc w:val="center"/>
              <w:rPr>
                <w:snapToGrid w:val="0"/>
                <w:color w:val="auto"/>
                <w:kern w:val="21"/>
                <w:szCs w:val="21"/>
              </w:rPr>
            </w:pPr>
            <w:r>
              <w:rPr>
                <w:rFonts w:hint="eastAsia"/>
                <w:snapToGrid w:val="0"/>
                <w:color w:val="auto"/>
                <w:kern w:val="21"/>
                <w:szCs w:val="21"/>
              </w:rPr>
              <w:t>+0.05</w:t>
            </w:r>
            <w:r>
              <w:rPr>
                <w:rFonts w:hint="eastAsia"/>
                <w:snapToGrid w:val="0"/>
                <w:color w:val="auto"/>
                <w:kern w:val="21"/>
                <w:szCs w:val="21"/>
                <w:lang w:val="en-US" w:eastAsia="zh-CN"/>
              </w:rPr>
              <w:t>t/a</w:t>
            </w:r>
          </w:p>
        </w:tc>
      </w:tr>
      <w:tr w14:paraId="4CE7F9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588" w:type="dxa"/>
            <w:vMerge w:val="continue"/>
            <w:noWrap w:val="0"/>
            <w:vAlign w:val="center"/>
          </w:tcPr>
          <w:p w14:paraId="0D70FA48">
            <w:pPr>
              <w:jc w:val="center"/>
              <w:rPr>
                <w:snapToGrid w:val="0"/>
                <w:color w:val="auto"/>
                <w:kern w:val="21"/>
                <w:szCs w:val="21"/>
              </w:rPr>
            </w:pPr>
            <w:bookmarkStart w:id="18" w:name="_Toc7772"/>
          </w:p>
        </w:tc>
        <w:tc>
          <w:tcPr>
            <w:tcW w:w="1417" w:type="dxa"/>
            <w:noWrap w:val="0"/>
            <w:vAlign w:val="center"/>
          </w:tcPr>
          <w:p w14:paraId="171A1C67">
            <w:pPr>
              <w:jc w:val="center"/>
              <w:rPr>
                <w:color w:val="auto"/>
                <w:szCs w:val="21"/>
              </w:rPr>
            </w:pPr>
            <w:r>
              <w:rPr>
                <w:rFonts w:hint="eastAsia"/>
                <w:color w:val="auto"/>
                <w:szCs w:val="21"/>
              </w:rPr>
              <w:t>废油桶</w:t>
            </w:r>
          </w:p>
        </w:tc>
        <w:tc>
          <w:tcPr>
            <w:tcW w:w="1701" w:type="dxa"/>
            <w:noWrap w:val="0"/>
            <w:vAlign w:val="center"/>
          </w:tcPr>
          <w:p w14:paraId="06981DE8">
            <w:pPr>
              <w:jc w:val="center"/>
              <w:rPr>
                <w:snapToGrid w:val="0"/>
                <w:color w:val="auto"/>
                <w:kern w:val="21"/>
                <w:szCs w:val="21"/>
              </w:rPr>
            </w:pPr>
            <w:r>
              <w:rPr>
                <w:rFonts w:hint="eastAsia"/>
                <w:snapToGrid w:val="0"/>
                <w:color w:val="auto"/>
                <w:kern w:val="21"/>
                <w:szCs w:val="21"/>
              </w:rPr>
              <w:t>/</w:t>
            </w:r>
          </w:p>
        </w:tc>
        <w:tc>
          <w:tcPr>
            <w:tcW w:w="1276" w:type="dxa"/>
            <w:noWrap w:val="0"/>
            <w:vAlign w:val="center"/>
          </w:tcPr>
          <w:p w14:paraId="0D7DEFF0">
            <w:pPr>
              <w:jc w:val="center"/>
              <w:rPr>
                <w:snapToGrid w:val="0"/>
                <w:color w:val="auto"/>
                <w:kern w:val="21"/>
                <w:szCs w:val="21"/>
              </w:rPr>
            </w:pPr>
            <w:r>
              <w:rPr>
                <w:rFonts w:hint="eastAsia"/>
                <w:snapToGrid w:val="0"/>
                <w:color w:val="auto"/>
                <w:kern w:val="21"/>
                <w:szCs w:val="21"/>
              </w:rPr>
              <w:t>/</w:t>
            </w:r>
          </w:p>
        </w:tc>
        <w:tc>
          <w:tcPr>
            <w:tcW w:w="1701" w:type="dxa"/>
            <w:noWrap w:val="0"/>
            <w:vAlign w:val="center"/>
          </w:tcPr>
          <w:p w14:paraId="57C1FB87">
            <w:pPr>
              <w:jc w:val="center"/>
              <w:rPr>
                <w:snapToGrid w:val="0"/>
                <w:color w:val="auto"/>
                <w:kern w:val="21"/>
                <w:szCs w:val="21"/>
              </w:rPr>
            </w:pPr>
            <w:r>
              <w:rPr>
                <w:rFonts w:hint="eastAsia"/>
                <w:snapToGrid w:val="0"/>
                <w:color w:val="auto"/>
                <w:kern w:val="21"/>
                <w:szCs w:val="21"/>
              </w:rPr>
              <w:t>/</w:t>
            </w:r>
          </w:p>
        </w:tc>
        <w:tc>
          <w:tcPr>
            <w:tcW w:w="1559" w:type="dxa"/>
            <w:noWrap w:val="0"/>
            <w:vAlign w:val="center"/>
          </w:tcPr>
          <w:p w14:paraId="5CD8BFAF">
            <w:pPr>
              <w:jc w:val="center"/>
              <w:rPr>
                <w:snapToGrid w:val="0"/>
                <w:color w:val="auto"/>
                <w:kern w:val="21"/>
                <w:szCs w:val="21"/>
              </w:rPr>
            </w:pPr>
            <w:r>
              <w:rPr>
                <w:rFonts w:hint="eastAsia"/>
                <w:snapToGrid w:val="0"/>
                <w:color w:val="auto"/>
                <w:kern w:val="21"/>
                <w:szCs w:val="21"/>
              </w:rPr>
              <w:t>10个</w:t>
            </w:r>
          </w:p>
        </w:tc>
        <w:tc>
          <w:tcPr>
            <w:tcW w:w="1761" w:type="dxa"/>
            <w:noWrap w:val="0"/>
            <w:vAlign w:val="center"/>
          </w:tcPr>
          <w:p w14:paraId="7556F4A2">
            <w:pPr>
              <w:jc w:val="center"/>
              <w:rPr>
                <w:snapToGrid w:val="0"/>
                <w:color w:val="auto"/>
                <w:kern w:val="21"/>
                <w:szCs w:val="21"/>
              </w:rPr>
            </w:pPr>
            <w:r>
              <w:rPr>
                <w:rFonts w:hint="eastAsia"/>
                <w:snapToGrid w:val="0"/>
                <w:color w:val="auto"/>
                <w:kern w:val="21"/>
                <w:szCs w:val="21"/>
              </w:rPr>
              <w:t>/</w:t>
            </w:r>
          </w:p>
        </w:tc>
        <w:tc>
          <w:tcPr>
            <w:tcW w:w="1693" w:type="dxa"/>
            <w:noWrap w:val="0"/>
            <w:vAlign w:val="center"/>
          </w:tcPr>
          <w:p w14:paraId="6474A457">
            <w:pPr>
              <w:jc w:val="center"/>
              <w:rPr>
                <w:snapToGrid w:val="0"/>
                <w:color w:val="auto"/>
                <w:kern w:val="21"/>
                <w:szCs w:val="21"/>
              </w:rPr>
            </w:pPr>
            <w:r>
              <w:rPr>
                <w:rFonts w:hint="eastAsia"/>
                <w:snapToGrid w:val="0"/>
                <w:color w:val="auto"/>
                <w:kern w:val="21"/>
                <w:szCs w:val="21"/>
              </w:rPr>
              <w:t>10个</w:t>
            </w:r>
          </w:p>
        </w:tc>
        <w:tc>
          <w:tcPr>
            <w:tcW w:w="1092" w:type="dxa"/>
            <w:noWrap w:val="0"/>
            <w:vAlign w:val="center"/>
          </w:tcPr>
          <w:p w14:paraId="699B4B48">
            <w:pPr>
              <w:jc w:val="center"/>
              <w:rPr>
                <w:snapToGrid w:val="0"/>
                <w:color w:val="auto"/>
                <w:kern w:val="21"/>
                <w:szCs w:val="21"/>
              </w:rPr>
            </w:pPr>
            <w:r>
              <w:rPr>
                <w:rFonts w:hint="eastAsia"/>
                <w:snapToGrid w:val="0"/>
                <w:color w:val="auto"/>
                <w:kern w:val="21"/>
                <w:szCs w:val="21"/>
              </w:rPr>
              <w:t>+10个</w:t>
            </w:r>
          </w:p>
        </w:tc>
      </w:tr>
    </w:tbl>
    <w:p w14:paraId="14AED601">
      <w:pPr>
        <w:spacing w:beforeLines="80" w:after="24" w:line="260" w:lineRule="auto"/>
        <w:jc w:val="left"/>
        <w:rPr>
          <w:snapToGrid w:val="0"/>
          <w:color w:val="auto"/>
          <w:spacing w:val="-6"/>
          <w:kern w:val="21"/>
          <w:szCs w:val="21"/>
        </w:rPr>
      </w:pPr>
      <w:r>
        <w:rPr>
          <w:snapToGrid w:val="0"/>
          <w:color w:val="auto"/>
          <w:kern w:val="21"/>
          <w:szCs w:val="21"/>
        </w:rPr>
        <w:t>注：</w:t>
      </w:r>
      <w:r>
        <w:rPr>
          <w:snapToGrid w:val="0"/>
          <w:color w:val="auto"/>
          <w:spacing w:val="-16"/>
          <w:kern w:val="21"/>
          <w:szCs w:val="21"/>
        </w:rPr>
        <w:fldChar w:fldCharType="begin"/>
      </w:r>
      <w:r>
        <w:rPr>
          <w:snapToGrid w:val="0"/>
          <w:color w:val="auto"/>
          <w:spacing w:val="-16"/>
          <w:kern w:val="21"/>
          <w:szCs w:val="21"/>
        </w:rPr>
        <w:instrText xml:space="preserve"> = 6 \* GB3 \* MERGEFORMAT </w:instrText>
      </w:r>
      <w:r>
        <w:rPr>
          <w:snapToGrid w:val="0"/>
          <w:color w:val="auto"/>
          <w:spacing w:val="-16"/>
          <w:kern w:val="21"/>
          <w:szCs w:val="21"/>
        </w:rPr>
        <w:fldChar w:fldCharType="separate"/>
      </w:r>
      <w:r>
        <w:rPr>
          <w:rFonts w:hint="eastAsia" w:ascii="宋体" w:hAnsi="宋体" w:cs="宋体"/>
          <w:color w:val="auto"/>
          <w:szCs w:val="21"/>
        </w:rPr>
        <w:t>⑥</w:t>
      </w:r>
      <w:r>
        <w:rPr>
          <w:snapToGrid w:val="0"/>
          <w:color w:val="auto"/>
          <w:spacing w:val="-16"/>
          <w:kern w:val="21"/>
          <w:szCs w:val="21"/>
        </w:rPr>
        <w:fldChar w:fldCharType="end"/>
      </w:r>
      <w:r>
        <w:rPr>
          <w:snapToGrid w:val="0"/>
          <w:color w:val="auto"/>
          <w:spacing w:val="-16"/>
          <w:kern w:val="21"/>
          <w:szCs w:val="21"/>
        </w:rPr>
        <w:t>=</w:t>
      </w:r>
      <w:r>
        <w:rPr>
          <w:snapToGrid w:val="0"/>
          <w:color w:val="auto"/>
          <w:spacing w:val="-6"/>
          <w:kern w:val="21"/>
          <w:szCs w:val="21"/>
        </w:rPr>
        <w:fldChar w:fldCharType="begin"/>
      </w:r>
      <w:r>
        <w:rPr>
          <w:snapToGrid w:val="0"/>
          <w:color w:val="auto"/>
          <w:spacing w:val="-6"/>
          <w:kern w:val="21"/>
          <w:szCs w:val="21"/>
        </w:rPr>
        <w:instrText xml:space="preserve"> = 1 \* GB3 \* MERGEFORMAT </w:instrText>
      </w:r>
      <w:r>
        <w:rPr>
          <w:snapToGrid w:val="0"/>
          <w:color w:val="auto"/>
          <w:spacing w:val="-6"/>
          <w:kern w:val="21"/>
          <w:szCs w:val="21"/>
        </w:rPr>
        <w:fldChar w:fldCharType="separate"/>
      </w:r>
      <w:r>
        <w:rPr>
          <w:rFonts w:hint="eastAsia" w:ascii="宋体" w:hAnsi="宋体" w:cs="宋体"/>
          <w:color w:val="auto"/>
          <w:szCs w:val="21"/>
        </w:rPr>
        <w:t>①</w:t>
      </w:r>
      <w:r>
        <w:rPr>
          <w:snapToGrid w:val="0"/>
          <w:color w:val="auto"/>
          <w:spacing w:val="-6"/>
          <w:kern w:val="21"/>
          <w:szCs w:val="21"/>
        </w:rPr>
        <w:fldChar w:fldCharType="end"/>
      </w:r>
      <w:r>
        <w:rPr>
          <w:snapToGrid w:val="0"/>
          <w:color w:val="auto"/>
          <w:spacing w:val="-6"/>
          <w:kern w:val="21"/>
          <w:szCs w:val="21"/>
        </w:rPr>
        <w:t>+</w:t>
      </w:r>
      <w:r>
        <w:rPr>
          <w:snapToGrid w:val="0"/>
          <w:color w:val="auto"/>
          <w:spacing w:val="-6"/>
          <w:kern w:val="21"/>
          <w:szCs w:val="21"/>
        </w:rPr>
        <w:fldChar w:fldCharType="begin"/>
      </w:r>
      <w:r>
        <w:rPr>
          <w:snapToGrid w:val="0"/>
          <w:color w:val="auto"/>
          <w:spacing w:val="-6"/>
          <w:kern w:val="21"/>
          <w:szCs w:val="21"/>
        </w:rPr>
        <w:instrText xml:space="preserve"> = 3 \* GB3 \* MERGEFORMAT </w:instrText>
      </w:r>
      <w:r>
        <w:rPr>
          <w:snapToGrid w:val="0"/>
          <w:color w:val="auto"/>
          <w:spacing w:val="-6"/>
          <w:kern w:val="21"/>
          <w:szCs w:val="21"/>
        </w:rPr>
        <w:fldChar w:fldCharType="separate"/>
      </w:r>
      <w:r>
        <w:rPr>
          <w:rFonts w:hint="eastAsia" w:ascii="宋体" w:hAnsi="宋体" w:cs="宋体"/>
          <w:color w:val="auto"/>
          <w:szCs w:val="21"/>
        </w:rPr>
        <w:t>③</w:t>
      </w:r>
      <w:r>
        <w:rPr>
          <w:snapToGrid w:val="0"/>
          <w:color w:val="auto"/>
          <w:spacing w:val="-6"/>
          <w:kern w:val="21"/>
          <w:szCs w:val="21"/>
        </w:rPr>
        <w:fldChar w:fldCharType="end"/>
      </w:r>
      <w:r>
        <w:rPr>
          <w:snapToGrid w:val="0"/>
          <w:color w:val="auto"/>
          <w:spacing w:val="-6"/>
          <w:kern w:val="21"/>
          <w:szCs w:val="21"/>
        </w:rPr>
        <w:t>+</w:t>
      </w:r>
      <w:r>
        <w:rPr>
          <w:snapToGrid w:val="0"/>
          <w:color w:val="auto"/>
          <w:spacing w:val="-6"/>
          <w:kern w:val="21"/>
          <w:szCs w:val="21"/>
        </w:rPr>
        <w:fldChar w:fldCharType="begin"/>
      </w:r>
      <w:r>
        <w:rPr>
          <w:snapToGrid w:val="0"/>
          <w:color w:val="auto"/>
          <w:spacing w:val="-6"/>
          <w:kern w:val="21"/>
          <w:szCs w:val="21"/>
        </w:rPr>
        <w:instrText xml:space="preserve"> = 4 \* GB3 \* MERGEFORMAT </w:instrText>
      </w:r>
      <w:r>
        <w:rPr>
          <w:snapToGrid w:val="0"/>
          <w:color w:val="auto"/>
          <w:spacing w:val="-6"/>
          <w:kern w:val="21"/>
          <w:szCs w:val="21"/>
        </w:rPr>
        <w:fldChar w:fldCharType="separate"/>
      </w:r>
      <w:r>
        <w:rPr>
          <w:rFonts w:hint="eastAsia" w:ascii="宋体" w:hAnsi="宋体" w:cs="宋体"/>
          <w:color w:val="auto"/>
          <w:szCs w:val="21"/>
        </w:rPr>
        <w:t>④</w:t>
      </w:r>
      <w:r>
        <w:rPr>
          <w:snapToGrid w:val="0"/>
          <w:color w:val="auto"/>
          <w:spacing w:val="-6"/>
          <w:kern w:val="21"/>
          <w:szCs w:val="21"/>
        </w:rPr>
        <w:fldChar w:fldCharType="end"/>
      </w:r>
      <w:r>
        <w:rPr>
          <w:snapToGrid w:val="0"/>
          <w:color w:val="auto"/>
          <w:spacing w:val="-6"/>
          <w:kern w:val="21"/>
          <w:szCs w:val="21"/>
        </w:rPr>
        <w:t>-</w:t>
      </w:r>
      <w:r>
        <w:rPr>
          <w:snapToGrid w:val="0"/>
          <w:color w:val="auto"/>
          <w:spacing w:val="-16"/>
          <w:kern w:val="21"/>
          <w:szCs w:val="21"/>
        </w:rPr>
        <w:fldChar w:fldCharType="begin"/>
      </w:r>
      <w:r>
        <w:rPr>
          <w:snapToGrid w:val="0"/>
          <w:color w:val="auto"/>
          <w:spacing w:val="-16"/>
          <w:kern w:val="21"/>
          <w:szCs w:val="21"/>
        </w:rPr>
        <w:instrText xml:space="preserve"> = 5 \* GB3 \* MERGEFORMAT </w:instrText>
      </w:r>
      <w:r>
        <w:rPr>
          <w:snapToGrid w:val="0"/>
          <w:color w:val="auto"/>
          <w:spacing w:val="-16"/>
          <w:kern w:val="21"/>
          <w:szCs w:val="21"/>
        </w:rPr>
        <w:fldChar w:fldCharType="separate"/>
      </w:r>
      <w:r>
        <w:rPr>
          <w:rFonts w:hint="eastAsia" w:ascii="宋体" w:hAnsi="宋体" w:cs="宋体"/>
          <w:color w:val="auto"/>
          <w:szCs w:val="21"/>
        </w:rPr>
        <w:t>⑤</w:t>
      </w:r>
      <w:r>
        <w:rPr>
          <w:snapToGrid w:val="0"/>
          <w:color w:val="auto"/>
          <w:spacing w:val="-16"/>
          <w:kern w:val="21"/>
          <w:szCs w:val="21"/>
        </w:rPr>
        <w:fldChar w:fldCharType="end"/>
      </w:r>
      <w:r>
        <w:rPr>
          <w:snapToGrid w:val="0"/>
          <w:color w:val="auto"/>
          <w:spacing w:val="-16"/>
          <w:kern w:val="21"/>
          <w:szCs w:val="21"/>
        </w:rPr>
        <w:t>；</w:t>
      </w:r>
      <w:r>
        <w:rPr>
          <w:snapToGrid w:val="0"/>
          <w:color w:val="auto"/>
          <w:spacing w:val="-6"/>
          <w:kern w:val="21"/>
          <w:szCs w:val="21"/>
        </w:rPr>
        <w:fldChar w:fldCharType="begin"/>
      </w:r>
      <w:r>
        <w:rPr>
          <w:snapToGrid w:val="0"/>
          <w:color w:val="auto"/>
          <w:spacing w:val="-6"/>
          <w:kern w:val="21"/>
          <w:szCs w:val="21"/>
        </w:rPr>
        <w:instrText xml:space="preserve"> = 7 \* GB3 \* MERGEFORMAT </w:instrText>
      </w:r>
      <w:r>
        <w:rPr>
          <w:snapToGrid w:val="0"/>
          <w:color w:val="auto"/>
          <w:spacing w:val="-6"/>
          <w:kern w:val="21"/>
          <w:szCs w:val="21"/>
        </w:rPr>
        <w:fldChar w:fldCharType="separate"/>
      </w:r>
      <w:r>
        <w:rPr>
          <w:rFonts w:hint="eastAsia" w:ascii="宋体" w:hAnsi="宋体" w:cs="宋体"/>
          <w:color w:val="auto"/>
          <w:szCs w:val="21"/>
        </w:rPr>
        <w:t>⑦</w:t>
      </w:r>
      <w:r>
        <w:rPr>
          <w:snapToGrid w:val="0"/>
          <w:color w:val="auto"/>
          <w:spacing w:val="-6"/>
          <w:kern w:val="21"/>
          <w:szCs w:val="21"/>
        </w:rPr>
        <w:fldChar w:fldCharType="end"/>
      </w:r>
      <w:r>
        <w:rPr>
          <w:snapToGrid w:val="0"/>
          <w:color w:val="auto"/>
          <w:spacing w:val="-6"/>
          <w:kern w:val="21"/>
          <w:szCs w:val="21"/>
        </w:rPr>
        <w:t>=</w:t>
      </w:r>
      <w:r>
        <w:rPr>
          <w:snapToGrid w:val="0"/>
          <w:color w:val="auto"/>
          <w:spacing w:val="-16"/>
          <w:kern w:val="21"/>
          <w:szCs w:val="21"/>
        </w:rPr>
        <w:fldChar w:fldCharType="begin"/>
      </w:r>
      <w:r>
        <w:rPr>
          <w:snapToGrid w:val="0"/>
          <w:color w:val="auto"/>
          <w:spacing w:val="-16"/>
          <w:kern w:val="21"/>
          <w:szCs w:val="21"/>
        </w:rPr>
        <w:instrText xml:space="preserve"> = 6 \* GB3 \* MERGEFORMAT </w:instrText>
      </w:r>
      <w:r>
        <w:rPr>
          <w:snapToGrid w:val="0"/>
          <w:color w:val="auto"/>
          <w:spacing w:val="-16"/>
          <w:kern w:val="21"/>
          <w:szCs w:val="21"/>
        </w:rPr>
        <w:fldChar w:fldCharType="separate"/>
      </w:r>
      <w:r>
        <w:rPr>
          <w:rFonts w:hint="eastAsia" w:ascii="宋体" w:hAnsi="宋体" w:cs="宋体"/>
          <w:color w:val="auto"/>
          <w:szCs w:val="21"/>
        </w:rPr>
        <w:t>⑥</w:t>
      </w:r>
      <w:r>
        <w:rPr>
          <w:snapToGrid w:val="0"/>
          <w:color w:val="auto"/>
          <w:spacing w:val="-16"/>
          <w:kern w:val="21"/>
          <w:szCs w:val="21"/>
        </w:rPr>
        <w:fldChar w:fldCharType="end"/>
      </w:r>
      <w:r>
        <w:rPr>
          <w:snapToGrid w:val="0"/>
          <w:color w:val="auto"/>
          <w:spacing w:val="-16"/>
          <w:kern w:val="21"/>
          <w:szCs w:val="21"/>
        </w:rPr>
        <w:t>-</w:t>
      </w:r>
      <w:r>
        <w:rPr>
          <w:snapToGrid w:val="0"/>
          <w:color w:val="auto"/>
          <w:spacing w:val="-6"/>
          <w:kern w:val="21"/>
          <w:szCs w:val="21"/>
        </w:rPr>
        <w:fldChar w:fldCharType="begin"/>
      </w:r>
      <w:r>
        <w:rPr>
          <w:snapToGrid w:val="0"/>
          <w:color w:val="auto"/>
          <w:spacing w:val="-6"/>
          <w:kern w:val="21"/>
          <w:szCs w:val="21"/>
        </w:rPr>
        <w:instrText xml:space="preserve"> = 1 \* GB3 \* MERGEFORMAT </w:instrText>
      </w:r>
      <w:r>
        <w:rPr>
          <w:snapToGrid w:val="0"/>
          <w:color w:val="auto"/>
          <w:spacing w:val="-6"/>
          <w:kern w:val="21"/>
          <w:szCs w:val="21"/>
        </w:rPr>
        <w:fldChar w:fldCharType="separate"/>
      </w:r>
      <w:r>
        <w:rPr>
          <w:rFonts w:hint="eastAsia" w:ascii="宋体" w:hAnsi="宋体" w:cs="宋体"/>
          <w:color w:val="auto"/>
          <w:szCs w:val="21"/>
        </w:rPr>
        <w:t>①</w:t>
      </w:r>
      <w:r>
        <w:rPr>
          <w:snapToGrid w:val="0"/>
          <w:color w:val="auto"/>
          <w:spacing w:val="-6"/>
          <w:kern w:val="21"/>
          <w:szCs w:val="21"/>
        </w:rPr>
        <w:fldChar w:fldCharType="end"/>
      </w:r>
      <w:bookmarkEnd w:id="18"/>
    </w:p>
    <w:p w14:paraId="41CED388">
      <w:pPr>
        <w:pStyle w:val="2"/>
        <w:rPr>
          <w:snapToGrid w:val="0"/>
          <w:color w:val="auto"/>
          <w:spacing w:val="-6"/>
          <w:kern w:val="21"/>
          <w:szCs w:val="21"/>
        </w:rPr>
      </w:pPr>
    </w:p>
    <w:p w14:paraId="2308E1D7">
      <w:pPr>
        <w:pStyle w:val="4"/>
        <w:rPr>
          <w:snapToGrid w:val="0"/>
          <w:color w:val="auto"/>
          <w:spacing w:val="-6"/>
          <w:kern w:val="21"/>
          <w:szCs w:val="21"/>
        </w:rPr>
      </w:pPr>
    </w:p>
    <w:p w14:paraId="3B60162F">
      <w:pPr>
        <w:rPr>
          <w:snapToGrid w:val="0"/>
          <w:color w:val="auto"/>
          <w:spacing w:val="-6"/>
          <w:kern w:val="21"/>
          <w:szCs w:val="21"/>
        </w:rPr>
      </w:pPr>
    </w:p>
    <w:p w14:paraId="42E80EA6">
      <w:pPr>
        <w:pStyle w:val="2"/>
        <w:rPr>
          <w:snapToGrid w:val="0"/>
          <w:color w:val="auto"/>
          <w:spacing w:val="-6"/>
          <w:kern w:val="21"/>
          <w:szCs w:val="21"/>
        </w:rPr>
      </w:pPr>
    </w:p>
    <w:p w14:paraId="21766CF3">
      <w:pPr>
        <w:pStyle w:val="4"/>
        <w:rPr>
          <w:snapToGrid w:val="0"/>
          <w:color w:val="auto"/>
          <w:spacing w:val="-6"/>
          <w:kern w:val="21"/>
          <w:szCs w:val="21"/>
        </w:rPr>
      </w:pPr>
    </w:p>
    <w:p w14:paraId="4E44A829">
      <w:pPr>
        <w:rPr>
          <w:rFonts w:hint="default"/>
          <w:snapToGrid w:val="0"/>
          <w:color w:val="auto"/>
          <w:spacing w:val="-6"/>
          <w:kern w:val="21"/>
          <w:szCs w:val="21"/>
          <w:lang w:val="en-US" w:eastAsia="zh-CN"/>
        </w:rPr>
      </w:pPr>
    </w:p>
    <w:sectPr>
      <w:headerReference r:id="rId6" w:type="default"/>
      <w:footerReference r:id="rId7" w:type="default"/>
      <w:pgSz w:w="16838" w:h="11906" w:orient="landscape"/>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Wingdings 2">
    <w:panose1 w:val="05020102010507070707"/>
    <w:charset w:val="02"/>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82B08">
    <w:pPr>
      <w:pStyle w:val="19"/>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62593">
    <w:pPr>
      <w:pStyle w:val="19"/>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6" name="文本框 20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20F2CA0">
                          <w:pPr>
                            <w:pStyle w:val="19"/>
                          </w:pPr>
                          <w:r>
                            <w:fldChar w:fldCharType="begin"/>
                          </w:r>
                          <w:r>
                            <w:instrText xml:space="preserve"> PAGE  \* MERGEFORMAT </w:instrText>
                          </w:r>
                          <w:r>
                            <w:fldChar w:fldCharType="separate"/>
                          </w:r>
                          <w:r>
                            <w:t>9</w:t>
                          </w:r>
                          <w:r>
                            <w:fldChar w:fldCharType="end"/>
                          </w:r>
                        </w:p>
                      </w:txbxContent>
                    </wps:txbx>
                    <wps:bodyPr wrap="none" lIns="0" tIns="0" rIns="0" bIns="0" upright="0">
                      <a:spAutoFit/>
                    </wps:bodyPr>
                  </wps:wsp>
                </a:graphicData>
              </a:graphic>
            </wp:anchor>
          </w:drawing>
        </mc:Choice>
        <mc:Fallback>
          <w:pict>
            <v:shape id="文本框 205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Xv6ZNNABAACsAwAADgAAAAAAAAABACAAAAAeAQAAZHJz&#10;L2Uyb0RvYy54bWxQSwUGAAAAAAYABgBZAQAAYAUAAAAA&#10;">
              <v:fill on="f" focussize="0,0"/>
              <v:stroke on="f"/>
              <v:imagedata o:title=""/>
              <o:lock v:ext="edit" aspectratio="f"/>
              <v:textbox inset="0mm,0mm,0mm,0mm" style="mso-fit-shape-to-text:t;">
                <w:txbxContent>
                  <w:p w14:paraId="320F2CA0">
                    <w:pPr>
                      <w:pStyle w:val="19"/>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8A047">
    <w:pPr>
      <w:pStyle w:val="19"/>
      <w:ind w:right="360"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7" name="文本框 20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67FD698">
                          <w:pPr>
                            <w:pStyle w:val="19"/>
                          </w:pPr>
                          <w:r>
                            <w:fldChar w:fldCharType="begin"/>
                          </w:r>
                          <w:r>
                            <w:instrText xml:space="preserve"> PAGE  \* MERGEFORMAT </w:instrText>
                          </w:r>
                          <w:r>
                            <w:fldChar w:fldCharType="separate"/>
                          </w:r>
                          <w:r>
                            <w:t>39</w:t>
                          </w:r>
                          <w:r>
                            <w:fldChar w:fldCharType="end"/>
                          </w:r>
                        </w:p>
                      </w:txbxContent>
                    </wps:txbx>
                    <wps:bodyPr wrap="none" lIns="0" tIns="0" rIns="0" bIns="0" upright="0">
                      <a:spAutoFit/>
                    </wps:bodyPr>
                  </wps:wsp>
                </a:graphicData>
              </a:graphic>
            </wp:anchor>
          </w:drawing>
        </mc:Choice>
        <mc:Fallback>
          <w:pict>
            <v:shape id="文本框 205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es47ydABAACsAwAADgAAAAAAAAABACAAAAAeAQAAZHJz&#10;L2Uyb0RvYy54bWxQSwUGAAAAAAYABgBZAQAAYAUAAAAA&#10;">
              <v:fill on="f" focussize="0,0"/>
              <v:stroke on="f"/>
              <v:imagedata o:title=""/>
              <o:lock v:ext="edit" aspectratio="f"/>
              <v:textbox inset="0mm,0mm,0mm,0mm" style="mso-fit-shape-to-text:t;">
                <w:txbxContent>
                  <w:p w14:paraId="267FD698">
                    <w:pPr>
                      <w:pStyle w:val="19"/>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8BF48">
    <w:pPr>
      <w:pStyle w:val="19"/>
      <w:ind w:right="360" w:firstLine="360"/>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74465">
    <w:pPr>
      <w:pStyle w:val="2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7497D1"/>
    <w:multiLevelType w:val="singleLevel"/>
    <w:tmpl w:val="E27497D1"/>
    <w:lvl w:ilvl="0" w:tentative="0">
      <w:start w:val="1"/>
      <w:numFmt w:val="decimal"/>
      <w:suff w:val="nothing"/>
      <w:lvlText w:val="（%1）"/>
      <w:lvlJc w:val="left"/>
    </w:lvl>
  </w:abstractNum>
  <w:abstractNum w:abstractNumId="1">
    <w:nsid w:val="E35A724C"/>
    <w:multiLevelType w:val="singleLevel"/>
    <w:tmpl w:val="E35A724C"/>
    <w:lvl w:ilvl="0" w:tentative="0">
      <w:start w:val="2"/>
      <w:numFmt w:val="chineseCounting"/>
      <w:lvlText w:val="(%1)"/>
      <w:lvlJc w:val="left"/>
      <w:pPr>
        <w:tabs>
          <w:tab w:val="left" w:pos="312"/>
        </w:tabs>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0"/>
  <w:bordersDoNotSurroundFooter w:val="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ZlNjgyNjU3ZjM5NjY4YjVmODliNmRlMzA4NWU5MDUifQ=="/>
  </w:docVars>
  <w:rsids>
    <w:rsidRoot w:val="00A1494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97233"/>
    <w:rsid w:val="002A168C"/>
    <w:rsid w:val="002A3DC7"/>
    <w:rsid w:val="002B49E2"/>
    <w:rsid w:val="002B7B00"/>
    <w:rsid w:val="002B7C44"/>
    <w:rsid w:val="002C2B17"/>
    <w:rsid w:val="002D3DD0"/>
    <w:rsid w:val="002E1F3A"/>
    <w:rsid w:val="002E298A"/>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83F46"/>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032A"/>
    <w:rsid w:val="00594D77"/>
    <w:rsid w:val="005969E4"/>
    <w:rsid w:val="005A06B7"/>
    <w:rsid w:val="005A1759"/>
    <w:rsid w:val="005A68A7"/>
    <w:rsid w:val="005D36AB"/>
    <w:rsid w:val="00617CC3"/>
    <w:rsid w:val="0063594B"/>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1295A"/>
    <w:rsid w:val="00B20A45"/>
    <w:rsid w:val="00B22C5C"/>
    <w:rsid w:val="00B24F30"/>
    <w:rsid w:val="00B31ABF"/>
    <w:rsid w:val="00B33BE3"/>
    <w:rsid w:val="00B427BF"/>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77754"/>
    <w:rsid w:val="00C80057"/>
    <w:rsid w:val="00C82232"/>
    <w:rsid w:val="00C82913"/>
    <w:rsid w:val="00C972B1"/>
    <w:rsid w:val="00CA2CCE"/>
    <w:rsid w:val="00CA43FD"/>
    <w:rsid w:val="00CA7EF8"/>
    <w:rsid w:val="00CC489B"/>
    <w:rsid w:val="00CD2BCD"/>
    <w:rsid w:val="00CD3A4C"/>
    <w:rsid w:val="00CE10E9"/>
    <w:rsid w:val="00CE2910"/>
    <w:rsid w:val="00CE5393"/>
    <w:rsid w:val="00CF36BE"/>
    <w:rsid w:val="00CF6000"/>
    <w:rsid w:val="00D003F3"/>
    <w:rsid w:val="00D0364F"/>
    <w:rsid w:val="00D06834"/>
    <w:rsid w:val="00D308ED"/>
    <w:rsid w:val="00D36D86"/>
    <w:rsid w:val="00D428AA"/>
    <w:rsid w:val="00D50A34"/>
    <w:rsid w:val="00D53EFA"/>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2985"/>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290F7E"/>
    <w:rsid w:val="0154562B"/>
    <w:rsid w:val="015D1E09"/>
    <w:rsid w:val="02697903"/>
    <w:rsid w:val="02F96569"/>
    <w:rsid w:val="03D251BA"/>
    <w:rsid w:val="03EA7B21"/>
    <w:rsid w:val="05133A51"/>
    <w:rsid w:val="055C75DC"/>
    <w:rsid w:val="059F472A"/>
    <w:rsid w:val="05D97E8A"/>
    <w:rsid w:val="05F83EAE"/>
    <w:rsid w:val="063E7D85"/>
    <w:rsid w:val="064D57E5"/>
    <w:rsid w:val="069A0BF9"/>
    <w:rsid w:val="06AA4286"/>
    <w:rsid w:val="06D56DED"/>
    <w:rsid w:val="07151A0D"/>
    <w:rsid w:val="07293586"/>
    <w:rsid w:val="07295285"/>
    <w:rsid w:val="07636392"/>
    <w:rsid w:val="076E3F95"/>
    <w:rsid w:val="07770C56"/>
    <w:rsid w:val="08234384"/>
    <w:rsid w:val="092217DD"/>
    <w:rsid w:val="093A7294"/>
    <w:rsid w:val="0A263993"/>
    <w:rsid w:val="0A2D3AC2"/>
    <w:rsid w:val="0AA755DF"/>
    <w:rsid w:val="0B120D44"/>
    <w:rsid w:val="0B347670"/>
    <w:rsid w:val="0B754B00"/>
    <w:rsid w:val="0BA67C3C"/>
    <w:rsid w:val="0BD27BF6"/>
    <w:rsid w:val="0C3B3C7D"/>
    <w:rsid w:val="0CAB2EAE"/>
    <w:rsid w:val="0D621C7D"/>
    <w:rsid w:val="0DB96B75"/>
    <w:rsid w:val="0E73034D"/>
    <w:rsid w:val="0EF6229A"/>
    <w:rsid w:val="0F13775A"/>
    <w:rsid w:val="0F5F45FE"/>
    <w:rsid w:val="0F6F67E3"/>
    <w:rsid w:val="0F937F62"/>
    <w:rsid w:val="0F9A112B"/>
    <w:rsid w:val="106D2F64"/>
    <w:rsid w:val="10B63710"/>
    <w:rsid w:val="10F10820"/>
    <w:rsid w:val="111C2F7A"/>
    <w:rsid w:val="11665CA1"/>
    <w:rsid w:val="124E6382"/>
    <w:rsid w:val="12937E5A"/>
    <w:rsid w:val="13951726"/>
    <w:rsid w:val="13D23785"/>
    <w:rsid w:val="14396509"/>
    <w:rsid w:val="148F7048"/>
    <w:rsid w:val="14DC7147"/>
    <w:rsid w:val="14DD2C3C"/>
    <w:rsid w:val="151B46AD"/>
    <w:rsid w:val="154A7BC0"/>
    <w:rsid w:val="16087E1D"/>
    <w:rsid w:val="165303D9"/>
    <w:rsid w:val="16721C9F"/>
    <w:rsid w:val="17701D14"/>
    <w:rsid w:val="17735226"/>
    <w:rsid w:val="17AD3166"/>
    <w:rsid w:val="18144513"/>
    <w:rsid w:val="189F624C"/>
    <w:rsid w:val="19C72AD7"/>
    <w:rsid w:val="1A1C66C0"/>
    <w:rsid w:val="1A42393B"/>
    <w:rsid w:val="1A4676B1"/>
    <w:rsid w:val="1A951111"/>
    <w:rsid w:val="1AAD45DE"/>
    <w:rsid w:val="1B046F80"/>
    <w:rsid w:val="1B3267B5"/>
    <w:rsid w:val="1B40161D"/>
    <w:rsid w:val="1B441859"/>
    <w:rsid w:val="1B6606B1"/>
    <w:rsid w:val="1BD276B4"/>
    <w:rsid w:val="1C463FB8"/>
    <w:rsid w:val="1C5E7925"/>
    <w:rsid w:val="1C8D4160"/>
    <w:rsid w:val="1CFD070F"/>
    <w:rsid w:val="1D5F6196"/>
    <w:rsid w:val="1D6132A5"/>
    <w:rsid w:val="1D8E56D5"/>
    <w:rsid w:val="1E7A43DA"/>
    <w:rsid w:val="1FC14756"/>
    <w:rsid w:val="1FE7539E"/>
    <w:rsid w:val="20671BE0"/>
    <w:rsid w:val="20963CB8"/>
    <w:rsid w:val="20A81A1B"/>
    <w:rsid w:val="20B07FB6"/>
    <w:rsid w:val="20B646FB"/>
    <w:rsid w:val="213B74B1"/>
    <w:rsid w:val="215A2310"/>
    <w:rsid w:val="21B535DD"/>
    <w:rsid w:val="21D0518B"/>
    <w:rsid w:val="21DE318A"/>
    <w:rsid w:val="21EF5B80"/>
    <w:rsid w:val="22576990"/>
    <w:rsid w:val="22603984"/>
    <w:rsid w:val="22D81BDA"/>
    <w:rsid w:val="22F47480"/>
    <w:rsid w:val="23362D72"/>
    <w:rsid w:val="23AF6FD0"/>
    <w:rsid w:val="23DE1C48"/>
    <w:rsid w:val="240210CD"/>
    <w:rsid w:val="245C01F1"/>
    <w:rsid w:val="24BF09F7"/>
    <w:rsid w:val="252D53FE"/>
    <w:rsid w:val="25EC2D81"/>
    <w:rsid w:val="265C0D35"/>
    <w:rsid w:val="26864004"/>
    <w:rsid w:val="277057A2"/>
    <w:rsid w:val="27F33115"/>
    <w:rsid w:val="28182745"/>
    <w:rsid w:val="28E026ED"/>
    <w:rsid w:val="29206EB8"/>
    <w:rsid w:val="29595666"/>
    <w:rsid w:val="29874881"/>
    <w:rsid w:val="29DD60BB"/>
    <w:rsid w:val="29E325E0"/>
    <w:rsid w:val="2A452503"/>
    <w:rsid w:val="2A4720FB"/>
    <w:rsid w:val="2BA936A8"/>
    <w:rsid w:val="2C315A5A"/>
    <w:rsid w:val="2C4B1C25"/>
    <w:rsid w:val="2CD74B1F"/>
    <w:rsid w:val="2D9E56F5"/>
    <w:rsid w:val="2DBE739B"/>
    <w:rsid w:val="2E2E717E"/>
    <w:rsid w:val="2E667F96"/>
    <w:rsid w:val="2E8226AB"/>
    <w:rsid w:val="2ECF2A5B"/>
    <w:rsid w:val="2EDB7807"/>
    <w:rsid w:val="2F4642C4"/>
    <w:rsid w:val="2FB76B0E"/>
    <w:rsid w:val="2FD065E6"/>
    <w:rsid w:val="2FD96870"/>
    <w:rsid w:val="2FEA2C15"/>
    <w:rsid w:val="30032221"/>
    <w:rsid w:val="30580BC9"/>
    <w:rsid w:val="305E0BE8"/>
    <w:rsid w:val="311E2ED7"/>
    <w:rsid w:val="315619EE"/>
    <w:rsid w:val="315C449C"/>
    <w:rsid w:val="31B82709"/>
    <w:rsid w:val="31D05482"/>
    <w:rsid w:val="32400B34"/>
    <w:rsid w:val="329E6876"/>
    <w:rsid w:val="32EC251B"/>
    <w:rsid w:val="333015F2"/>
    <w:rsid w:val="334B6320"/>
    <w:rsid w:val="33C466C2"/>
    <w:rsid w:val="33D934D4"/>
    <w:rsid w:val="33FE2F6A"/>
    <w:rsid w:val="340E07E5"/>
    <w:rsid w:val="34235BF7"/>
    <w:rsid w:val="358C5FA8"/>
    <w:rsid w:val="35C15DF1"/>
    <w:rsid w:val="36074A7F"/>
    <w:rsid w:val="36923549"/>
    <w:rsid w:val="36B75FBF"/>
    <w:rsid w:val="36BD0C45"/>
    <w:rsid w:val="37E00298"/>
    <w:rsid w:val="38B302F9"/>
    <w:rsid w:val="38F12CD3"/>
    <w:rsid w:val="38F94775"/>
    <w:rsid w:val="392971ED"/>
    <w:rsid w:val="39325651"/>
    <w:rsid w:val="3991581B"/>
    <w:rsid w:val="3A872856"/>
    <w:rsid w:val="3AE422AB"/>
    <w:rsid w:val="3AF239DE"/>
    <w:rsid w:val="3B3763D1"/>
    <w:rsid w:val="3C2F6E1E"/>
    <w:rsid w:val="3C4F64BA"/>
    <w:rsid w:val="3CDA245A"/>
    <w:rsid w:val="3D1E06B7"/>
    <w:rsid w:val="3D666AC7"/>
    <w:rsid w:val="3E3C1BE9"/>
    <w:rsid w:val="3EDA0523"/>
    <w:rsid w:val="3EF45213"/>
    <w:rsid w:val="40464242"/>
    <w:rsid w:val="407A6407"/>
    <w:rsid w:val="40B9510B"/>
    <w:rsid w:val="40F10D5A"/>
    <w:rsid w:val="412F778F"/>
    <w:rsid w:val="4200449D"/>
    <w:rsid w:val="423A3BCC"/>
    <w:rsid w:val="42416EAD"/>
    <w:rsid w:val="424E57D2"/>
    <w:rsid w:val="428D1912"/>
    <w:rsid w:val="42B26C49"/>
    <w:rsid w:val="432D5ADB"/>
    <w:rsid w:val="433A6FE6"/>
    <w:rsid w:val="43480868"/>
    <w:rsid w:val="4350713C"/>
    <w:rsid w:val="436653E0"/>
    <w:rsid w:val="43C4431A"/>
    <w:rsid w:val="43D02F26"/>
    <w:rsid w:val="446B1222"/>
    <w:rsid w:val="44B951CC"/>
    <w:rsid w:val="44CD14E0"/>
    <w:rsid w:val="44F20B0B"/>
    <w:rsid w:val="44FF683E"/>
    <w:rsid w:val="452E5F4C"/>
    <w:rsid w:val="453C63AB"/>
    <w:rsid w:val="45612018"/>
    <w:rsid w:val="458946E9"/>
    <w:rsid w:val="45A47C0E"/>
    <w:rsid w:val="46577FD6"/>
    <w:rsid w:val="468F1EAE"/>
    <w:rsid w:val="46D955A7"/>
    <w:rsid w:val="47133957"/>
    <w:rsid w:val="47A07E0C"/>
    <w:rsid w:val="4870272E"/>
    <w:rsid w:val="49DC7715"/>
    <w:rsid w:val="4A023139"/>
    <w:rsid w:val="4A621064"/>
    <w:rsid w:val="4A7B576F"/>
    <w:rsid w:val="4AF561A9"/>
    <w:rsid w:val="4B124C8E"/>
    <w:rsid w:val="4B1906C2"/>
    <w:rsid w:val="4B951BBF"/>
    <w:rsid w:val="4C19674E"/>
    <w:rsid w:val="4C4A0649"/>
    <w:rsid w:val="4C7E5ECA"/>
    <w:rsid w:val="4C876AA5"/>
    <w:rsid w:val="4D0E00FB"/>
    <w:rsid w:val="4D176606"/>
    <w:rsid w:val="4DEC4FB0"/>
    <w:rsid w:val="4E075D8A"/>
    <w:rsid w:val="4EC00FAD"/>
    <w:rsid w:val="4F0C0E13"/>
    <w:rsid w:val="4F9843DC"/>
    <w:rsid w:val="4FC62A8C"/>
    <w:rsid w:val="4FE20F0D"/>
    <w:rsid w:val="4FE51552"/>
    <w:rsid w:val="50504C4B"/>
    <w:rsid w:val="5074560B"/>
    <w:rsid w:val="509C6E7C"/>
    <w:rsid w:val="50E5474D"/>
    <w:rsid w:val="50EB4483"/>
    <w:rsid w:val="5121552E"/>
    <w:rsid w:val="5162104E"/>
    <w:rsid w:val="52AC344B"/>
    <w:rsid w:val="5309391E"/>
    <w:rsid w:val="53A039CC"/>
    <w:rsid w:val="53A1505A"/>
    <w:rsid w:val="54063E08"/>
    <w:rsid w:val="543437E8"/>
    <w:rsid w:val="54F73313"/>
    <w:rsid w:val="54F80955"/>
    <w:rsid w:val="555170A7"/>
    <w:rsid w:val="5587536D"/>
    <w:rsid w:val="559B174B"/>
    <w:rsid w:val="559B337F"/>
    <w:rsid w:val="559D6882"/>
    <w:rsid w:val="55CE0CF4"/>
    <w:rsid w:val="55E16072"/>
    <w:rsid w:val="560B273A"/>
    <w:rsid w:val="568A3C2E"/>
    <w:rsid w:val="56B22A9C"/>
    <w:rsid w:val="57B72A76"/>
    <w:rsid w:val="57C3426C"/>
    <w:rsid w:val="57CA5576"/>
    <w:rsid w:val="57CE1F93"/>
    <w:rsid w:val="57D949AF"/>
    <w:rsid w:val="588743D1"/>
    <w:rsid w:val="5887701A"/>
    <w:rsid w:val="59417CFE"/>
    <w:rsid w:val="59C0439F"/>
    <w:rsid w:val="5ABE2233"/>
    <w:rsid w:val="5BDF5D95"/>
    <w:rsid w:val="5BFE7528"/>
    <w:rsid w:val="5D86580B"/>
    <w:rsid w:val="5E2467F1"/>
    <w:rsid w:val="5F1A2B43"/>
    <w:rsid w:val="5F5C5FB8"/>
    <w:rsid w:val="5FB837BB"/>
    <w:rsid w:val="60CC405A"/>
    <w:rsid w:val="60D657EB"/>
    <w:rsid w:val="61051BBD"/>
    <w:rsid w:val="61E215D8"/>
    <w:rsid w:val="621B3775"/>
    <w:rsid w:val="62364782"/>
    <w:rsid w:val="623C55B8"/>
    <w:rsid w:val="6394356A"/>
    <w:rsid w:val="63C61B2C"/>
    <w:rsid w:val="63D40BE9"/>
    <w:rsid w:val="64102431"/>
    <w:rsid w:val="64295A26"/>
    <w:rsid w:val="64A123A9"/>
    <w:rsid w:val="64A5243A"/>
    <w:rsid w:val="64F531DE"/>
    <w:rsid w:val="65373578"/>
    <w:rsid w:val="66A358C1"/>
    <w:rsid w:val="66C801A0"/>
    <w:rsid w:val="66D42DC0"/>
    <w:rsid w:val="671F124A"/>
    <w:rsid w:val="677A33C6"/>
    <w:rsid w:val="681F6961"/>
    <w:rsid w:val="68610A2F"/>
    <w:rsid w:val="68805514"/>
    <w:rsid w:val="69316E2F"/>
    <w:rsid w:val="694E2071"/>
    <w:rsid w:val="69766163"/>
    <w:rsid w:val="69792201"/>
    <w:rsid w:val="697A3B33"/>
    <w:rsid w:val="69940731"/>
    <w:rsid w:val="69D44760"/>
    <w:rsid w:val="6A192804"/>
    <w:rsid w:val="6A520EC7"/>
    <w:rsid w:val="6AF87E20"/>
    <w:rsid w:val="6B322639"/>
    <w:rsid w:val="6B757FB1"/>
    <w:rsid w:val="6C636C38"/>
    <w:rsid w:val="6D201119"/>
    <w:rsid w:val="6DB34098"/>
    <w:rsid w:val="6DB545B6"/>
    <w:rsid w:val="6DDE6F4D"/>
    <w:rsid w:val="6DE02FB4"/>
    <w:rsid w:val="6DE97A6F"/>
    <w:rsid w:val="6E514CED"/>
    <w:rsid w:val="6EB563D5"/>
    <w:rsid w:val="6ED92677"/>
    <w:rsid w:val="6F225983"/>
    <w:rsid w:val="6F437969"/>
    <w:rsid w:val="6FFC5590"/>
    <w:rsid w:val="70517B64"/>
    <w:rsid w:val="706D1DD0"/>
    <w:rsid w:val="70856B87"/>
    <w:rsid w:val="70D527EE"/>
    <w:rsid w:val="71224B2C"/>
    <w:rsid w:val="715B5300"/>
    <w:rsid w:val="71D27F8A"/>
    <w:rsid w:val="721D433A"/>
    <w:rsid w:val="72553024"/>
    <w:rsid w:val="72E46DB5"/>
    <w:rsid w:val="73122968"/>
    <w:rsid w:val="731F5D5E"/>
    <w:rsid w:val="734B1036"/>
    <w:rsid w:val="73C51AD5"/>
    <w:rsid w:val="74003C5F"/>
    <w:rsid w:val="741E793C"/>
    <w:rsid w:val="745E3944"/>
    <w:rsid w:val="75842A89"/>
    <w:rsid w:val="75F1698E"/>
    <w:rsid w:val="7635099D"/>
    <w:rsid w:val="76AA163F"/>
    <w:rsid w:val="76C46966"/>
    <w:rsid w:val="77762421"/>
    <w:rsid w:val="77B56B1F"/>
    <w:rsid w:val="780F09F4"/>
    <w:rsid w:val="785B7D01"/>
    <w:rsid w:val="78A90480"/>
    <w:rsid w:val="78A95882"/>
    <w:rsid w:val="78EC6DF3"/>
    <w:rsid w:val="792D0059"/>
    <w:rsid w:val="7A364017"/>
    <w:rsid w:val="7A8265E1"/>
    <w:rsid w:val="7B686D42"/>
    <w:rsid w:val="7B841746"/>
    <w:rsid w:val="7C6C5AC7"/>
    <w:rsid w:val="7CC6544B"/>
    <w:rsid w:val="7D0239FF"/>
    <w:rsid w:val="7D0F1D0F"/>
    <w:rsid w:val="7D5E40CD"/>
    <w:rsid w:val="7DCD56F2"/>
    <w:rsid w:val="7EAD7A05"/>
    <w:rsid w:val="7F001CE7"/>
    <w:rsid w:val="7FE47E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1"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qFormat/>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6">
    <w:name w:val="heading 2"/>
    <w:basedOn w:val="1"/>
    <w:next w:val="1"/>
    <w:qFormat/>
    <w:uiPriority w:val="1"/>
    <w:pPr>
      <w:keepNext/>
      <w:keepLines/>
      <w:spacing w:beforeLines="50"/>
      <w:jc w:val="left"/>
      <w:outlineLvl w:val="1"/>
    </w:pPr>
    <w:rPr>
      <w:rFonts w:eastAsia="黑体"/>
      <w:b/>
      <w:bCs/>
      <w:sz w:val="32"/>
      <w:szCs w:val="32"/>
    </w:rPr>
  </w:style>
  <w:style w:type="paragraph" w:styleId="7">
    <w:name w:val="heading 3"/>
    <w:basedOn w:val="1"/>
    <w:next w:val="1"/>
    <w:unhideWhenUsed/>
    <w:qFormat/>
    <w:uiPriority w:val="0"/>
    <w:pPr>
      <w:keepNext/>
      <w:keepLines/>
      <w:spacing w:line="360" w:lineRule="auto"/>
      <w:jc w:val="left"/>
      <w:outlineLvl w:val="2"/>
    </w:pPr>
    <w:rPr>
      <w:sz w:val="30"/>
      <w:szCs w:val="20"/>
    </w:rPr>
  </w:style>
  <w:style w:type="paragraph" w:styleId="8">
    <w:name w:val="heading 4"/>
    <w:basedOn w:val="7"/>
    <w:next w:val="1"/>
    <w:unhideWhenUsed/>
    <w:qFormat/>
    <w:uiPriority w:val="0"/>
    <w:pPr>
      <w:outlineLvl w:val="3"/>
    </w:pPr>
  </w:style>
  <w:style w:type="character" w:default="1" w:styleId="28">
    <w:name w:val="Default Paragraph Font"/>
    <w:unhideWhenUsed/>
    <w:qFormat/>
    <w:uiPriority w:val="1"/>
  </w:style>
  <w:style w:type="table" w:default="1" w:styleId="26">
    <w:name w:val="Normal Table"/>
    <w:unhideWhenUsed/>
    <w:qFormat/>
    <w:uiPriority w:val="99"/>
    <w:tblPr>
      <w:tblCellMar>
        <w:top w:w="0" w:type="dxa"/>
        <w:left w:w="108" w:type="dxa"/>
        <w:bottom w:w="0" w:type="dxa"/>
        <w:right w:w="108" w:type="dxa"/>
      </w:tblCellMar>
    </w:tblPr>
  </w:style>
  <w:style w:type="paragraph" w:customStyle="1" w:styleId="2">
    <w:name w:val="Default"/>
    <w:basedOn w:val="3"/>
    <w:next w:val="4"/>
    <w:qFormat/>
    <w:uiPriority w:val="99"/>
    <w:pPr>
      <w:autoSpaceDE w:val="0"/>
      <w:autoSpaceDN w:val="0"/>
      <w:adjustRightInd w:val="0"/>
    </w:pPr>
    <w:rPr>
      <w:rFonts w:ascii="幼圆" w:eastAsia="幼圆" w:cs="幼圆"/>
      <w:sz w:val="24"/>
    </w:rPr>
  </w:style>
  <w:style w:type="paragraph" w:customStyle="1" w:styleId="3">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4">
    <w:name w:val="表格文字"/>
    <w:basedOn w:val="1"/>
    <w:next w:val="1"/>
    <w:qFormat/>
    <w:uiPriority w:val="0"/>
    <w:pPr>
      <w:tabs>
        <w:tab w:val="center" w:pos="1053"/>
      </w:tabs>
      <w:adjustRightInd/>
      <w:spacing w:line="360" w:lineRule="exact"/>
      <w:ind w:firstLine="0" w:firstLineChars="0"/>
      <w:jc w:val="center"/>
    </w:pPr>
    <w:rPr>
      <w:rFonts w:ascii="宋体" w:hAnsi="宋体"/>
      <w:kern w:val="21"/>
    </w:rPr>
  </w:style>
  <w:style w:type="paragraph" w:styleId="9">
    <w:name w:val="Normal Indent"/>
    <w:basedOn w:val="1"/>
    <w:qFormat/>
    <w:uiPriority w:val="0"/>
    <w:pPr>
      <w:ind w:firstLine="420"/>
    </w:pPr>
    <w:rPr>
      <w:sz w:val="28"/>
      <w:szCs w:val="20"/>
    </w:rPr>
  </w:style>
  <w:style w:type="paragraph" w:styleId="10">
    <w:name w:val="annotation text"/>
    <w:basedOn w:val="1"/>
    <w:link w:val="34"/>
    <w:semiHidden/>
    <w:qFormat/>
    <w:uiPriority w:val="0"/>
    <w:pPr>
      <w:jc w:val="left"/>
    </w:pPr>
    <w:rPr>
      <w:kern w:val="0"/>
      <w:sz w:val="24"/>
      <w:szCs w:val="20"/>
    </w:rPr>
  </w:style>
  <w:style w:type="paragraph" w:styleId="11">
    <w:name w:val="Body Text"/>
    <w:basedOn w:val="1"/>
    <w:next w:val="1"/>
    <w:link w:val="35"/>
    <w:qFormat/>
    <w:uiPriority w:val="0"/>
    <w:pPr>
      <w:widowControl/>
      <w:snapToGrid w:val="0"/>
      <w:spacing w:before="60" w:after="160" w:line="259" w:lineRule="auto"/>
      <w:ind w:right="113"/>
    </w:pPr>
    <w:rPr>
      <w:kern w:val="0"/>
      <w:sz w:val="18"/>
      <w:szCs w:val="20"/>
    </w:rPr>
  </w:style>
  <w:style w:type="paragraph" w:styleId="12">
    <w:name w:val="Body Text Indent"/>
    <w:basedOn w:val="1"/>
    <w:link w:val="36"/>
    <w:qFormat/>
    <w:uiPriority w:val="0"/>
    <w:pPr>
      <w:spacing w:after="120"/>
      <w:ind w:left="420" w:leftChars="200"/>
    </w:pPr>
    <w:rPr>
      <w:kern w:val="0"/>
      <w:sz w:val="24"/>
      <w:szCs w:val="20"/>
    </w:rPr>
  </w:style>
  <w:style w:type="paragraph" w:styleId="13">
    <w:name w:val="Block Text"/>
    <w:basedOn w:val="1"/>
    <w:qFormat/>
    <w:uiPriority w:val="0"/>
    <w:pPr>
      <w:snapToGrid w:val="0"/>
      <w:spacing w:line="420" w:lineRule="exact"/>
      <w:ind w:left="101" w:leftChars="48" w:right="149" w:rightChars="71" w:firstLine="426" w:firstLineChars="202"/>
    </w:pPr>
  </w:style>
  <w:style w:type="paragraph" w:styleId="14">
    <w:name w:val="toc 3"/>
    <w:basedOn w:val="1"/>
    <w:next w:val="1"/>
    <w:qFormat/>
    <w:uiPriority w:val="39"/>
    <w:pPr>
      <w:ind w:left="840" w:leftChars="400"/>
    </w:pPr>
  </w:style>
  <w:style w:type="paragraph" w:styleId="15">
    <w:name w:val="Plain Text"/>
    <w:basedOn w:val="1"/>
    <w:next w:val="1"/>
    <w:qFormat/>
    <w:uiPriority w:val="0"/>
    <w:rPr>
      <w:rFonts w:ascii="宋体" w:hAnsi="Courier New"/>
    </w:rPr>
  </w:style>
  <w:style w:type="paragraph" w:styleId="16">
    <w:name w:val="Date"/>
    <w:basedOn w:val="1"/>
    <w:next w:val="1"/>
    <w:link w:val="37"/>
    <w:qFormat/>
    <w:uiPriority w:val="0"/>
    <w:pPr>
      <w:ind w:left="100" w:leftChars="2500"/>
    </w:pPr>
    <w:rPr>
      <w:kern w:val="0"/>
      <w:sz w:val="24"/>
      <w:szCs w:val="20"/>
    </w:rPr>
  </w:style>
  <w:style w:type="paragraph" w:styleId="17">
    <w:name w:val="Body Text Indent 2"/>
    <w:basedOn w:val="1"/>
    <w:next w:val="1"/>
    <w:qFormat/>
    <w:uiPriority w:val="0"/>
    <w:pPr>
      <w:spacing w:line="360" w:lineRule="exact"/>
      <w:ind w:firstLine="562" w:firstLineChars="200"/>
    </w:pPr>
    <w:rPr>
      <w:rFonts w:eastAsia="楷体_GB2312"/>
      <w:b/>
      <w:bCs/>
      <w:sz w:val="28"/>
    </w:rPr>
  </w:style>
  <w:style w:type="paragraph" w:styleId="18">
    <w:name w:val="Balloon Text"/>
    <w:basedOn w:val="1"/>
    <w:link w:val="38"/>
    <w:semiHidden/>
    <w:qFormat/>
    <w:uiPriority w:val="0"/>
    <w:rPr>
      <w:kern w:val="0"/>
      <w:sz w:val="18"/>
      <w:szCs w:val="20"/>
    </w:rPr>
  </w:style>
  <w:style w:type="paragraph" w:styleId="19">
    <w:name w:val="footer"/>
    <w:basedOn w:val="1"/>
    <w:link w:val="39"/>
    <w:qFormat/>
    <w:uiPriority w:val="99"/>
    <w:pPr>
      <w:tabs>
        <w:tab w:val="center" w:pos="4153"/>
        <w:tab w:val="right" w:pos="8306"/>
      </w:tabs>
      <w:snapToGrid w:val="0"/>
      <w:jc w:val="left"/>
    </w:pPr>
    <w:rPr>
      <w:kern w:val="0"/>
      <w:sz w:val="18"/>
      <w:szCs w:val="20"/>
    </w:rPr>
  </w:style>
  <w:style w:type="paragraph" w:styleId="20">
    <w:name w:val="header"/>
    <w:basedOn w:val="1"/>
    <w:link w:val="40"/>
    <w:qFormat/>
    <w:uiPriority w:val="0"/>
    <w:pPr>
      <w:pBdr>
        <w:bottom w:val="single" w:color="auto" w:sz="6" w:space="1"/>
      </w:pBdr>
      <w:tabs>
        <w:tab w:val="center" w:pos="4153"/>
        <w:tab w:val="right" w:pos="8306"/>
      </w:tabs>
      <w:snapToGrid w:val="0"/>
      <w:jc w:val="center"/>
    </w:pPr>
    <w:rPr>
      <w:kern w:val="0"/>
      <w:sz w:val="18"/>
      <w:szCs w:val="20"/>
    </w:rPr>
  </w:style>
  <w:style w:type="paragraph" w:styleId="21">
    <w:name w:val="Body Text 2"/>
    <w:basedOn w:val="1"/>
    <w:qFormat/>
    <w:uiPriority w:val="99"/>
    <w:pPr>
      <w:jc w:val="left"/>
    </w:pPr>
    <w:rPr>
      <w:rFonts w:hint="eastAsia" w:ascii="楷体_GB2312" w:eastAsia="楷体_GB2312"/>
      <w:sz w:val="18"/>
    </w:rPr>
  </w:style>
  <w:style w:type="paragraph" w:styleId="22">
    <w:name w:val="Normal (Web)"/>
    <w:basedOn w:val="1"/>
    <w:link w:val="41"/>
    <w:qFormat/>
    <w:uiPriority w:val="0"/>
    <w:pPr>
      <w:widowControl/>
      <w:spacing w:before="100" w:beforeAutospacing="1" w:after="100" w:afterAutospacing="1"/>
      <w:jc w:val="left"/>
    </w:pPr>
    <w:rPr>
      <w:rFonts w:ascii="宋体" w:hAnsi="宋体"/>
      <w:kern w:val="0"/>
      <w:sz w:val="24"/>
      <w:szCs w:val="20"/>
    </w:rPr>
  </w:style>
  <w:style w:type="paragraph" w:styleId="23">
    <w:name w:val="annotation subject"/>
    <w:basedOn w:val="10"/>
    <w:next w:val="10"/>
    <w:link w:val="42"/>
    <w:semiHidden/>
    <w:qFormat/>
    <w:uiPriority w:val="0"/>
    <w:rPr>
      <w:b/>
    </w:rPr>
  </w:style>
  <w:style w:type="paragraph" w:styleId="24">
    <w:name w:val="Body Text First Indent"/>
    <w:basedOn w:val="11"/>
    <w:qFormat/>
    <w:uiPriority w:val="0"/>
    <w:pPr>
      <w:ind w:firstLine="210" w:firstLineChars="100"/>
      <w:jc w:val="center"/>
    </w:pPr>
  </w:style>
  <w:style w:type="paragraph" w:styleId="25">
    <w:name w:val="Body Text First Indent 2"/>
    <w:basedOn w:val="12"/>
    <w:next w:val="2"/>
    <w:qFormat/>
    <w:uiPriority w:val="0"/>
    <w:pPr>
      <w:spacing w:after="120"/>
      <w:ind w:left="420" w:leftChars="200" w:firstLine="420"/>
    </w:pPr>
    <w:rPr>
      <w:rFonts w:eastAsia="楷体_GB2312"/>
    </w:rPr>
  </w:style>
  <w:style w:type="table" w:styleId="27">
    <w:name w:val="Table Grid"/>
    <w:basedOn w:val="2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basedOn w:val="28"/>
    <w:qFormat/>
    <w:uiPriority w:val="0"/>
    <w:rPr>
      <w:b/>
    </w:rPr>
  </w:style>
  <w:style w:type="character" w:styleId="30">
    <w:name w:val="page number"/>
    <w:basedOn w:val="28"/>
    <w:qFormat/>
    <w:uiPriority w:val="0"/>
  </w:style>
  <w:style w:type="character" w:styleId="31">
    <w:name w:val="Hyperlink"/>
    <w:basedOn w:val="28"/>
    <w:qFormat/>
    <w:uiPriority w:val="0"/>
    <w:rPr>
      <w:color w:val="0000FF"/>
      <w:u w:val="single"/>
    </w:rPr>
  </w:style>
  <w:style w:type="character" w:styleId="32">
    <w:name w:val="HTML Code"/>
    <w:basedOn w:val="28"/>
    <w:qFormat/>
    <w:uiPriority w:val="0"/>
    <w:rPr>
      <w:rFonts w:ascii="Courier New" w:hAnsi="Courier New"/>
      <w:sz w:val="20"/>
    </w:rPr>
  </w:style>
  <w:style w:type="character" w:styleId="33">
    <w:name w:val="annotation reference"/>
    <w:semiHidden/>
    <w:qFormat/>
    <w:uiPriority w:val="0"/>
    <w:rPr>
      <w:sz w:val="21"/>
    </w:rPr>
  </w:style>
  <w:style w:type="character" w:customStyle="1" w:styleId="34">
    <w:name w:val="批注文字 Char"/>
    <w:link w:val="10"/>
    <w:qFormat/>
    <w:uiPriority w:val="0"/>
    <w:rPr>
      <w:rFonts w:ascii="Times New Roman" w:hAnsi="Times New Roman" w:eastAsia="宋体"/>
      <w:sz w:val="24"/>
    </w:rPr>
  </w:style>
  <w:style w:type="character" w:customStyle="1" w:styleId="35">
    <w:name w:val="正文文本 Char"/>
    <w:link w:val="11"/>
    <w:qFormat/>
    <w:uiPriority w:val="0"/>
    <w:rPr>
      <w:sz w:val="18"/>
    </w:rPr>
  </w:style>
  <w:style w:type="character" w:customStyle="1" w:styleId="36">
    <w:name w:val="正文文本缩进 Char"/>
    <w:link w:val="12"/>
    <w:semiHidden/>
    <w:qFormat/>
    <w:uiPriority w:val="0"/>
    <w:rPr>
      <w:rFonts w:ascii="Times New Roman" w:hAnsi="Times New Roman" w:eastAsia="宋体"/>
      <w:sz w:val="24"/>
    </w:rPr>
  </w:style>
  <w:style w:type="character" w:customStyle="1" w:styleId="37">
    <w:name w:val="日期 Char"/>
    <w:link w:val="16"/>
    <w:qFormat/>
    <w:uiPriority w:val="0"/>
    <w:rPr>
      <w:rFonts w:ascii="Times New Roman" w:hAnsi="Times New Roman" w:eastAsia="宋体"/>
      <w:sz w:val="24"/>
    </w:rPr>
  </w:style>
  <w:style w:type="character" w:customStyle="1" w:styleId="38">
    <w:name w:val="批注框文本 Char"/>
    <w:link w:val="18"/>
    <w:semiHidden/>
    <w:qFormat/>
    <w:uiPriority w:val="0"/>
    <w:rPr>
      <w:rFonts w:ascii="Times New Roman" w:hAnsi="Times New Roman" w:eastAsia="宋体"/>
      <w:sz w:val="18"/>
    </w:rPr>
  </w:style>
  <w:style w:type="character" w:customStyle="1" w:styleId="39">
    <w:name w:val="页脚 Char"/>
    <w:link w:val="19"/>
    <w:qFormat/>
    <w:uiPriority w:val="99"/>
    <w:rPr>
      <w:sz w:val="18"/>
    </w:rPr>
  </w:style>
  <w:style w:type="character" w:customStyle="1" w:styleId="40">
    <w:name w:val="页眉 Char"/>
    <w:link w:val="20"/>
    <w:qFormat/>
    <w:uiPriority w:val="0"/>
    <w:rPr>
      <w:sz w:val="18"/>
    </w:rPr>
  </w:style>
  <w:style w:type="character" w:customStyle="1" w:styleId="41">
    <w:name w:val="普通(网站) Char"/>
    <w:link w:val="22"/>
    <w:qFormat/>
    <w:uiPriority w:val="0"/>
    <w:rPr>
      <w:rFonts w:ascii="宋体" w:hAnsi="宋体" w:eastAsia="宋体"/>
      <w:sz w:val="24"/>
    </w:rPr>
  </w:style>
  <w:style w:type="character" w:customStyle="1" w:styleId="42">
    <w:name w:val="批注主题 Char"/>
    <w:link w:val="23"/>
    <w:semiHidden/>
    <w:qFormat/>
    <w:uiPriority w:val="0"/>
    <w:rPr>
      <w:rFonts w:ascii="Times New Roman" w:hAnsi="Times New Roman" w:eastAsia="宋体"/>
      <w:b/>
      <w:kern w:val="2"/>
      <w:sz w:val="24"/>
    </w:rPr>
  </w:style>
  <w:style w:type="paragraph" w:customStyle="1" w:styleId="43">
    <w:name w:val="Char Char Char Char Char Char1 Char Char Char Char"/>
    <w:basedOn w:val="1"/>
    <w:next w:val="1"/>
    <w:qFormat/>
    <w:uiPriority w:val="0"/>
    <w:pPr>
      <w:spacing w:line="360" w:lineRule="auto"/>
      <w:ind w:firstLine="200"/>
    </w:pPr>
  </w:style>
  <w:style w:type="character" w:customStyle="1" w:styleId="44">
    <w:name w:val="页脚 字符"/>
    <w:basedOn w:val="28"/>
    <w:qFormat/>
    <w:uiPriority w:val="99"/>
  </w:style>
  <w:style w:type="character" w:customStyle="1" w:styleId="45">
    <w:name w:val="正文文本 字符1"/>
    <w:semiHidden/>
    <w:qFormat/>
    <w:uiPriority w:val="0"/>
    <w:rPr>
      <w:rFonts w:ascii="Times New Roman" w:hAnsi="Times New Roman" w:eastAsia="宋体"/>
      <w:sz w:val="24"/>
    </w:rPr>
  </w:style>
  <w:style w:type="character" w:customStyle="1" w:styleId="46">
    <w:name w:val="表格 Char"/>
    <w:link w:val="47"/>
    <w:qFormat/>
    <w:uiPriority w:val="0"/>
    <w:rPr>
      <w:rFonts w:ascii="宋体"/>
      <w:sz w:val="21"/>
    </w:rPr>
  </w:style>
  <w:style w:type="paragraph" w:customStyle="1" w:styleId="47">
    <w:name w:val="表格"/>
    <w:basedOn w:val="15"/>
    <w:next w:val="1"/>
    <w:link w:val="46"/>
    <w:qFormat/>
    <w:uiPriority w:val="0"/>
    <w:pPr>
      <w:adjustRightInd w:val="0"/>
      <w:snapToGrid w:val="0"/>
      <w:spacing w:beforeLines="10" w:afterLines="10" w:line="259" w:lineRule="auto"/>
      <w:jc w:val="center"/>
    </w:pPr>
    <w:rPr>
      <w:kern w:val="0"/>
      <w:szCs w:val="20"/>
    </w:rPr>
  </w:style>
  <w:style w:type="character" w:customStyle="1" w:styleId="48">
    <w:name w:val="日期 字符"/>
    <w:semiHidden/>
    <w:qFormat/>
    <w:uiPriority w:val="0"/>
    <w:rPr>
      <w:rFonts w:ascii="Times New Roman" w:hAnsi="Times New Roman" w:eastAsia="宋体"/>
      <w:sz w:val="24"/>
    </w:rPr>
  </w:style>
  <w:style w:type="character" w:customStyle="1" w:styleId="49">
    <w:name w:val="批注文字 字符1"/>
    <w:semiHidden/>
    <w:qFormat/>
    <w:uiPriority w:val="0"/>
    <w:rPr>
      <w:rFonts w:ascii="Times New Roman" w:hAnsi="Times New Roman" w:eastAsia="宋体"/>
      <w:sz w:val="24"/>
    </w:rPr>
  </w:style>
  <w:style w:type="paragraph" w:customStyle="1" w:styleId="50">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1">
    <w:name w:val="普通(网站)2"/>
    <w:basedOn w:val="1"/>
    <w:qFormat/>
    <w:uiPriority w:val="0"/>
    <w:pPr>
      <w:widowControl/>
      <w:spacing w:before="100" w:beforeAutospacing="1" w:after="100" w:afterAutospacing="1"/>
      <w:jc w:val="left"/>
    </w:pPr>
    <w:rPr>
      <w:rFonts w:ascii="宋体" w:hAnsi="宋体"/>
      <w:sz w:val="24"/>
      <w:szCs w:val="20"/>
    </w:rPr>
  </w:style>
  <w:style w:type="character" w:customStyle="1" w:styleId="52">
    <w:name w:val="字体--自建"/>
    <w:basedOn w:val="28"/>
    <w:qFormat/>
    <w:uiPriority w:val="0"/>
    <w:rPr>
      <w:rFonts w:eastAsia="宋体"/>
      <w:sz w:val="28"/>
      <w:szCs w:val="28"/>
    </w:rPr>
  </w:style>
  <w:style w:type="paragraph" w:customStyle="1" w:styleId="53">
    <w:name w:val="Table Text"/>
    <w:basedOn w:val="1"/>
    <w:semiHidden/>
    <w:qFormat/>
    <w:uiPriority w:val="0"/>
    <w:rPr>
      <w:rFonts w:ascii="宋体" w:hAnsi="宋体" w:cs="宋体"/>
      <w:sz w:val="20"/>
      <w:szCs w:val="20"/>
      <w:lang w:eastAsia="en-US"/>
    </w:rPr>
  </w:style>
  <w:style w:type="table" w:customStyle="1" w:styleId="54">
    <w:name w:val="Table Normal"/>
    <w:unhideWhenUsed/>
    <w:qFormat/>
    <w:uiPriority w:val="0"/>
    <w:tblPr>
      <w:tblCellMar>
        <w:top w:w="0" w:type="dxa"/>
        <w:left w:w="0" w:type="dxa"/>
        <w:bottom w:w="0" w:type="dxa"/>
        <w:right w:w="0" w:type="dxa"/>
      </w:tblCellMar>
    </w:tblPr>
  </w:style>
  <w:style w:type="paragraph" w:styleId="55">
    <w:name w:val="No Spacing"/>
    <w:qFormat/>
    <w:uiPriority w:val="1"/>
    <w:pPr>
      <w:widowControl w:val="0"/>
      <w:jc w:val="center"/>
    </w:pPr>
    <w:rPr>
      <w:rFonts w:ascii="Times New Roman" w:hAnsi="Times New Roman" w:eastAsia="宋体" w:cs="Times New Roman"/>
      <w:kern w:val="2"/>
      <w:sz w:val="21"/>
      <w:szCs w:val="24"/>
      <w:lang w:val="en-US" w:eastAsia="zh-CN" w:bidi="ar-SA"/>
    </w:rPr>
  </w:style>
  <w:style w:type="character" w:customStyle="1" w:styleId="56">
    <w:name w:val="font101"/>
    <w:basedOn w:val="28"/>
    <w:qFormat/>
    <w:uiPriority w:val="0"/>
    <w:rPr>
      <w:rFonts w:hint="eastAsia" w:ascii="等线" w:hAnsi="等线" w:eastAsia="等线" w:cs="等线"/>
      <w:color w:val="000000"/>
      <w:sz w:val="24"/>
      <w:szCs w:val="24"/>
      <w:u w:val="none"/>
    </w:rPr>
  </w:style>
  <w:style w:type="character" w:customStyle="1" w:styleId="57">
    <w:name w:val="font141"/>
    <w:basedOn w:val="28"/>
    <w:qFormat/>
    <w:uiPriority w:val="0"/>
    <w:rPr>
      <w:rFonts w:ascii="微软雅黑" w:hAnsi="微软雅黑" w:eastAsia="微软雅黑" w:cs="微软雅黑"/>
      <w:color w:val="000000"/>
      <w:sz w:val="24"/>
      <w:szCs w:val="24"/>
      <w:u w:val="none"/>
    </w:rPr>
  </w:style>
  <w:style w:type="paragraph" w:customStyle="1" w:styleId="58">
    <w:name w:val="Other|1"/>
    <w:basedOn w:val="1"/>
    <w:qFormat/>
    <w:uiPriority w:val="0"/>
    <w:pPr>
      <w:spacing w:line="247" w:lineRule="exact"/>
    </w:pPr>
    <w:rPr>
      <w:rFonts w:ascii="宋体" w:hAnsi="宋体" w:cs="宋体"/>
      <w:sz w:val="20"/>
      <w:szCs w:val="20"/>
      <w:lang w:val="zh-TW" w:eastAsia="zh-TW" w:bidi="zh-TW"/>
    </w:rPr>
  </w:style>
  <w:style w:type="paragraph" w:customStyle="1" w:styleId="59">
    <w:name w:val="表格标题"/>
    <w:basedOn w:val="47"/>
    <w:qFormat/>
    <w:uiPriority w:val="0"/>
    <w:rPr>
      <w:rFonts w:ascii="Times New Roman" w:hAnsi="Times New Roman"/>
      <w:b/>
    </w:rPr>
  </w:style>
  <w:style w:type="paragraph" w:customStyle="1" w:styleId="60">
    <w:name w:val="新正文"/>
    <w:basedOn w:val="1"/>
    <w:qFormat/>
    <w:uiPriority w:val="0"/>
    <w:pPr>
      <w:spacing w:before="60" w:line="460" w:lineRule="exact"/>
      <w:ind w:firstLine="200" w:firstLineChars="200"/>
    </w:pPr>
    <w:rPr>
      <w:szCs w:val="20"/>
    </w:rPr>
  </w:style>
  <w:style w:type="paragraph" w:customStyle="1" w:styleId="61">
    <w:name w:val="报告表正文"/>
    <w:basedOn w:val="1"/>
    <w:qFormat/>
    <w:uiPriority w:val="0"/>
    <w:pPr>
      <w:adjustRightInd w:val="0"/>
      <w:spacing w:line="312" w:lineRule="auto"/>
      <w:ind w:left="113" w:right="113" w:firstLine="482"/>
      <w:jc w:val="left"/>
      <w:textAlignment w:val="baseline"/>
    </w:pPr>
    <w:rPr>
      <w:kern w:val="0"/>
      <w:sz w:val="24"/>
    </w:rPr>
  </w:style>
  <w:style w:type="paragraph" w:customStyle="1" w:styleId="62">
    <w:name w:val="正文-环评"/>
    <w:basedOn w:val="9"/>
    <w:qFormat/>
    <w:uiPriority w:val="0"/>
    <w:pPr>
      <w:spacing w:line="480" w:lineRule="exact"/>
    </w:pPr>
    <w:rPr>
      <w:rFonts w:eastAsia="仿宋"/>
      <w:bCs/>
      <w:szCs w:val="28"/>
    </w:rPr>
  </w:style>
  <w:style w:type="paragraph" w:customStyle="1" w:styleId="63">
    <w:name w:val="默认段落字体 Para Char"/>
    <w:basedOn w:val="1"/>
    <w:next w:val="1"/>
    <w:qFormat/>
    <w:uiPriority w:val="0"/>
    <w:pPr>
      <w:keepNext/>
      <w:keepLines/>
      <w:widowControl/>
      <w:adjustRightInd w:val="0"/>
      <w:spacing w:before="360" w:after="480" w:line="360" w:lineRule="auto"/>
      <w:ind w:firstLine="200" w:firstLineChars="200"/>
      <w:jc w:val="left"/>
      <w:textAlignment w:val="baseline"/>
      <w:outlineLvl w:val="1"/>
    </w:pPr>
    <w:rPr>
      <w:szCs w:val="20"/>
    </w:rPr>
  </w:style>
  <w:style w:type="paragraph" w:customStyle="1" w:styleId="64">
    <w:name w:val="样式 正文11 + 首行缩进:  2 字符"/>
    <w:basedOn w:val="1"/>
    <w:qFormat/>
    <w:uiPriority w:val="0"/>
    <w:pPr>
      <w:spacing w:line="500" w:lineRule="exact"/>
      <w:ind w:firstLine="560" w:firstLineChars="200"/>
    </w:pPr>
    <w:rPr>
      <w:rFonts w:ascii="宋体" w:hAnsi="宋体" w:cs="宋体"/>
      <w:color w:val="FF0000"/>
      <w:sz w:val="28"/>
      <w:szCs w:val="20"/>
    </w:rPr>
  </w:style>
  <w:style w:type="paragraph" w:customStyle="1" w:styleId="65">
    <w:name w:val="Table Paragraph"/>
    <w:basedOn w:val="1"/>
    <w:qFormat/>
    <w:uiPriority w:val="1"/>
    <w:pPr>
      <w:autoSpaceDE w:val="0"/>
      <w:autoSpaceDN w:val="0"/>
      <w:adjustRightInd w:val="0"/>
      <w:jc w:val="left"/>
    </w:pPr>
    <w:rPr>
      <w:kern w:val="0"/>
    </w:rPr>
  </w:style>
  <w:style w:type="paragraph" w:customStyle="1" w:styleId="66">
    <w:name w:val="李表头常用格式"/>
    <w:basedOn w:val="13"/>
    <w:qFormat/>
    <w:uiPriority w:val="0"/>
    <w:pPr>
      <w:spacing w:line="320" w:lineRule="exact"/>
      <w:ind w:left="0" w:leftChars="0" w:right="0" w:rightChars="0"/>
      <w:jc w:val="center"/>
    </w:pPr>
    <w:rPr>
      <w:rFonts w:eastAsia="黑体"/>
      <w:color w:val="000000"/>
      <w:szCs w:val="21"/>
    </w:rPr>
  </w:style>
  <w:style w:type="paragraph" w:customStyle="1" w:styleId="67">
    <w:name w:val="正文01"/>
    <w:basedOn w:val="1"/>
    <w:qFormat/>
    <w:uiPriority w:val="0"/>
    <w:pPr>
      <w:spacing w:before="60" w:line="460" w:lineRule="exact"/>
      <w:ind w:firstLine="200" w:firstLineChars="200"/>
    </w:pPr>
    <w:rPr>
      <w:rFonts w:ascii="Arial" w:hAnsi="Arial"/>
      <w:kern w:val="0"/>
      <w:sz w:val="24"/>
    </w:rPr>
  </w:style>
  <w:style w:type="paragraph" w:customStyle="1" w:styleId="68">
    <w:name w:val="正文段落"/>
    <w:basedOn w:val="1"/>
    <w:qFormat/>
    <w:uiPriority w:val="0"/>
    <w:pPr>
      <w:spacing w:line="500" w:lineRule="exact"/>
      <w:ind w:firstLine="720" w:firstLineChars="200"/>
    </w:pPr>
    <w:rPr>
      <w:rFonts w:hint="eastAsia"/>
      <w:sz w:val="24"/>
    </w:rPr>
  </w:style>
  <w:style w:type="paragraph" w:customStyle="1" w:styleId="69">
    <w:name w:val="图表标题"/>
    <w:basedOn w:val="1"/>
    <w:qFormat/>
    <w:uiPriority w:val="0"/>
    <w:pPr>
      <w:adjustRightInd w:val="0"/>
      <w:snapToGrid w:val="0"/>
      <w:jc w:val="center"/>
    </w:pPr>
    <w:rPr>
      <w:b/>
      <w:bCs/>
      <w:color w:val="000000"/>
    </w:rPr>
  </w:style>
  <w:style w:type="paragraph" w:customStyle="1" w:styleId="70">
    <w:name w:val="报告正文"/>
    <w:basedOn w:val="1"/>
    <w:qFormat/>
    <w:uiPriority w:val="0"/>
    <w:pPr>
      <w:adjustRightInd w:val="0"/>
      <w:snapToGrid w:val="0"/>
      <w:spacing w:line="360" w:lineRule="auto"/>
      <w:ind w:firstLine="200" w:firstLineChars="200"/>
    </w:pPr>
    <w:rPr>
      <w:sz w:val="24"/>
    </w:rPr>
  </w:style>
  <w:style w:type="character" w:customStyle="1" w:styleId="71">
    <w:name w:val="NormalCharacter"/>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5.wmf"/><Relationship Id="rId14" Type="http://schemas.openxmlformats.org/officeDocument/2006/relationships/oleObject" Target="embeddings/oleObject2.bin"/><Relationship Id="rId13" Type="http://schemas.openxmlformats.org/officeDocument/2006/relationships/image" Target="media/image4.wmf"/><Relationship Id="rId12" Type="http://schemas.openxmlformats.org/officeDocument/2006/relationships/oleObject" Target="embeddings/oleObject1.bin"/><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extobjs>
    <extobj name="ECB019B1-382A-4266-B25C-5B523AA43C14-1">
      <extobjdata type="ECB019B1-382A-4266-B25C-5B523AA43C14" data="ewoJIkZpbGVJZCIgOiAiNTQ3NTM1NDgyNTI3IiwKCSJHcm91cElkIiA6ICIzMDg4OTkzMDMiLAoJIkltYWdlIiA6ICIiLAoJIlRoZW1lIiA6ICIiLAoJIlR5cGUiIDogImZsb3ciLAoJIlVzZXJJZCIgOiAiIiwKCSJWZXJzaW9uIiA6ICIiCn0K"/>
    </extobj>
    <extobj name="ECB019B1-382A-4266-B25C-5B523AA43C14-2">
      <extobjdata type="ECB019B1-382A-4266-B25C-5B523AA43C14" data="ewoJIkZpbGVJZCIgOiAiNDUzOTY1MzMwNTk0IiwKCSJHcm91cElkIiA6ICIzMDg4OTkzMDMiLAoJIkltYWdlIiA6ICIiLAoJIlRoZW1lIiA6ICIiLAoJIlR5cGUiIDogImZsb3ciLAoJIlVzZXJJZCIgOiAiIiwKCSJWZXJzaW9uIiA6ICIiCn0K"/>
    </extobj>
  </extobjs>
</s:customData>
</file>

<file path=customXml/item2.xml><?xml version="1.0" encoding="utf-8"?>
<contractReview xmlns="http://schemas.wps.cn/vas-ai-hub/contract-review">
  <reviewItems>
    <reviewItem>
      <errorID>e1e7d211-59f6-48bf-9fa7-ff7a71745dff</errorID>
      <errorWord>度</errorWord>
      <group>L1_Word</group>
      <groupName>字词问题</groupName>
      <ability>L2_Typo</ability>
      <abilityName>字词错误</abilityName>
      <candidateList>
        <item>°</item>
      </candidateList>
      <explain/>
      <paraID>7A91D7FD</paraID>
      <start>6</start>
      <end>7</end>
      <status>unmodified</status>
      <modifiedWord/>
      <trackRevisions>false</trackRevisions>
    </reviewItem>
    <reviewItem>
      <errorID>0acd4d03-0461-4561-acb2-58862ae4b3c5</errorID>
      <errorWord>分</errorWord>
      <group>L1_Word</group>
      <groupName>字词问题</groupName>
      <ability>L2_Typo</ability>
      <abilityName>字词错误</abilityName>
      <candidateList>
        <item>′</item>
      </candidateList>
      <explain/>
      <paraID>7A91D7FD</paraID>
      <start>9</start>
      <end>10</end>
      <status>unmodified</status>
      <modifiedWord/>
      <trackRevisions>false</trackRevisions>
    </reviewItem>
    <reviewItem>
      <errorID>5471e302-d8b3-4853-bc73-68b0a20ca02c</errorID>
      <errorWord>秒</errorWord>
      <group>L1_Word</group>
      <groupName>字词问题</groupName>
      <ability>L2_Typo</ability>
      <abilityName>字词错误</abilityName>
      <candidateList>
        <item>″</item>
      </candidateList>
      <explain/>
      <paraID>7A91D7FD</paraID>
      <start>15</start>
      <end>16</end>
      <status>unmodified</status>
      <modifiedWord/>
      <trackRevisions>false</trackRevisions>
    </reviewItem>
    <reviewItem>
      <errorID>77c6ea62-1b6e-4f21-b5b7-17b9c4ce3ba1</errorID>
      <errorWord>度</errorWord>
      <group>L1_Word</group>
      <groupName>字词问题</groupName>
      <ability>L2_Typo</ability>
      <abilityName>字词错误</abilityName>
      <candidateList>
        <item>°</item>
      </candidateList>
      <explain/>
      <paraID>7A91D7FD</paraID>
      <start>21</start>
      <end>22</end>
      <status>unmodified</status>
      <modifiedWord/>
      <trackRevisions>false</trackRevisions>
    </reviewItem>
    <reviewItem>
      <errorID>1feffc06-1868-43c1-bef2-d03ffc407dda</errorID>
      <errorWord>分</errorWord>
      <group>L1_Word</group>
      <groupName>字词问题</groupName>
      <ability>L2_Typo</ability>
      <abilityName>字词错误</abilityName>
      <candidateList>
        <item>′</item>
      </candidateList>
      <explain/>
      <paraID>7A91D7FD</paraID>
      <start>23</start>
      <end>24</end>
      <status>unmodified</status>
      <modifiedWord/>
      <trackRevisions>false</trackRevisions>
    </reviewItem>
    <reviewItem>
      <errorID>fbafe22b-e194-4c33-95aa-f4c0047bf062</errorID>
      <errorWord>秒</errorWord>
      <group>L1_Word</group>
      <groupName>字词问题</groupName>
      <ability>L2_Typo</ability>
      <abilityName>字词错误</abilityName>
      <candidateList>
        <item>″</item>
      </candidateList>
      <explain/>
      <paraID>7A91D7FD</paraID>
      <start>30</start>
      <end>31</end>
      <status>unmodified</status>
      <modifiedWord/>
      <trackRevisions>false</trackRevisions>
    </reviewItem>
    <reviewItem>
      <errorID>e5425ab3-5649-44f2-ae78-2eca2512bd66</errorID>
      <errorWord>占地面积4000m2</errorWord>
      <group>L1_Other</group>
      <groupName>其他问题</groupName>
      <ability>L2_Consistency</ability>
      <abilityName>一致性检查</abilityName>
      <candidateList>
        <item>占地面积6500m2</item>
      </candidateList>
      <explain>数字一致性，一、建设项目基本情况中项目用地面积与后文选址合理性分析中的项目占地面积表述不一致</explain>
      <paraID>13975BB5</paraID>
      <start>0</start>
      <end>10</end>
      <status>ignored</status>
      <modifiedWord/>
      <trackRevisions>false</trackRevisions>
    </reviewItem>
    <reviewItem>
      <errorID>657029e4-bc77-4d19-ac73-42490134e7c6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1EE4C00E</paraID>
      <start>0</start>
      <end>2</end>
      <status>unmodified</status>
      <modifiedWord/>
      <trackRevisions>false</trackRevisions>
    </reviewItem>
    <reviewItem>
      <errorID>fad47375-bce6-4f82-bcd1-c3058f8719a5</errorID>
      <errorWord>由山西省</errorWord>
      <group>L1_Word</group>
      <groupName>字词问题</groupName>
      <ability>L2_Typo</ability>
      <abilityName>字词错误</abilityName>
      <candidateList>
        <item>山西省</item>
      </candidateList>
      <explain/>
      <paraID>193ED568</paraID>
      <start>72</start>
      <end>75</end>
      <status>modified</status>
      <modifiedWord>山西省</modifiedWord>
      <trackRevisions>false</trackRevisions>
    </reviewItem>
    <reviewItem>
      <errorID>29bc6f90-438a-4a4b-b8a4-af1ee577eda3</errorID>
      <errorWord>、</errorWord>
      <group>L1_Punc</group>
      <groupName>标点问题</groupName>
      <ability>L2_Punc_CN</ability>
      <abilityName>标点符号问题</abilityName>
      <candidateList>
        <item>，</item>
      </candidateList>
      <explain/>
      <paraID>4C3F5F7C</paraID>
      <start>105</start>
      <end>106</end>
      <status>unmodified</status>
      <modifiedWord/>
      <trackRevisions>false</trackRevisions>
    </reviewItem>
    <reviewItem>
      <errorID>1a756c66-fdb0-47ed-964a-f082ba786120</errorID>
      <errorWord>旅游发展</errorWord>
      <group>L1_Grammar</group>
      <groupName>语法问题</groupName>
      <ability>L2_Grammar</ability>
      <abilityName>语法错误</abilityName>
      <candidateList>
        <item>旅游</item>
      </candidateList>
      <explain/>
      <paraID> 92CD0D3</paraID>
      <start>36</start>
      <end>40</end>
      <status>unmodified</status>
      <modifiedWord/>
      <trackRevisions>false</trackRevisions>
    </reviewItem>
    <reviewItem>
      <errorID>2f317485-413f-488d-b873-a30bca165c0a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2D8AD07</paraID>
      <start>0</start>
      <end>2</end>
      <status>unmodified</status>
      <modifiedWord/>
      <trackRevisions>false</trackRevisions>
    </reviewItem>
    <reviewItem>
      <errorID>38b5c3c3-c449-44a6-bc1d-7e8f918f4d1b</errorID>
      <errorWord>与</errorWord>
      <group>L1_Word</group>
      <groupName>字词问题</groupName>
      <ability>L2_Typo</ability>
      <abilityName>字词错误</abilityName>
      <candidateList>
        <item> </item>
      </candidateList>
      <explain/>
      <paraID>43385B04</paraID>
      <start>4</start>
      <end>5</end>
      <status>unmodified</status>
      <modifiedWord/>
      <trackRevisions>false</trackRevisions>
    </reviewItem>
    <reviewItem>
      <errorID>a63bce49-9a7e-4433-b0d4-52590e6eb2f4</errorID>
      <errorWord>。</errorWord>
      <group>L1_Word</group>
      <groupName>字词问题</groupName>
      <ability>L2_Typo</ability>
      <abilityName>字词错误</abilityName>
      <candidateList>
        <item>制。</item>
      </candidateList>
      <explain/>
      <paraID>4C150E3C</paraID>
      <start>126</start>
      <end>127</end>
      <status>unmodified</status>
      <modifiedWord/>
      <trackRevisions>false</trackRevisions>
    </reviewItem>
    <reviewItem>
      <errorID>527608f0-969f-44b6-afe4-301f0b8ae8df</errorID>
      <errorWord>建</errorWord>
      <group>L1_Word</group>
      <groupName>字词问题</groupName>
      <ability>L2_Typo</ability>
      <abilityName>字词错误</abilityName>
      <candidateList>
        <item>建设</item>
      </candidateList>
      <explain/>
      <paraID>4E3DB0CE</paraID>
      <start>39</start>
      <end>40</end>
      <status>unmodified</status>
      <modifiedWord/>
      <trackRevisions>false</trackRevisions>
    </reviewItem>
    <reviewItem>
      <errorID>dd4c9f16-820c-469a-bcd4-33616e149c2d</errorID>
      <errorWord>隔声</errorWord>
      <group>L1_Grammar</group>
      <groupName>语法问题</groupName>
      <ability>L2_Grammar</ability>
      <abilityName>语法错误</abilityName>
      <candidateList>
        <item>安装隔声</item>
      </candidateList>
      <explain/>
      <paraID>4E3DB0CE</paraID>
      <start>44</start>
      <end>46</end>
      <status>unmodified</status>
      <modifiedWord/>
      <trackRevisions>false</trackRevisions>
    </reviewItem>
    <reviewItem>
      <errorID>831d4b80-b51d-45da-ab0a-3948b612cb83</errorID>
      <errorWord>车间</errorWord>
      <group>L1_Word</group>
      <groupName>字词问题</groupName>
      <ability>L2_Typo</ability>
      <abilityName>字词错误</abilityName>
      <candidateList>
        <item>在车间</item>
      </candidateList>
      <explain/>
      <paraID>4E3DB0CE</paraID>
      <start>49</start>
      <end>51</end>
      <status>unmodified</status>
      <modifiedWord/>
      <trackRevisions>false</trackRevisions>
    </reviewItem>
    <reviewItem>
      <errorID>deb4ca41-d285-4e78-b833-a377d3f36274</errorID>
      <errorWord>废金属</errorWord>
      <group>L1_Grammar</group>
      <groupName>语法问题</groupName>
      <ability>L2_Grammar</ability>
      <abilityName>语法错误</abilityName>
      <candidateList>
        <item>推进废金属</item>
      </candidateList>
      <explain/>
      <paraID>1A8718C1</paraID>
      <start>13</start>
      <end>16</end>
      <status>unmodified</status>
      <modifiedWord/>
      <trackRevisions>false</trackRevisions>
    </reviewItem>
    <reviewItem>
      <errorID>eca2da5a-f52e-4775-b8da-1e6a1108e025</errorID>
      <errorWord>与</errorWord>
      <group>L1_Word</group>
      <groupName>字词问题</groupName>
      <ability>L2_Typo</ability>
      <abilityName>字词错误</abilityName>
      <candidateList>
        <item> </item>
      </candidateList>
      <explain/>
      <paraID>62E6D40A</paraID>
      <start>4</start>
      <end>5</end>
      <status>unmodified</status>
      <modifiedWord/>
      <trackRevisions>false</trackRevisions>
    </reviewItem>
    <reviewItem>
      <errorID>4444407d-684b-4c25-9b1f-98f831ce4995</errorID>
      <errorWord>，</errorWord>
      <group>L1_Grammar</group>
      <groupName>语法问题</groupName>
      <ability>L2_Grammar</ability>
      <abilityName>语法错误</abilityName>
      <candidateList>
        <item>要求，</item>
      </candidateList>
      <explain/>
      <paraID>6504525B</paraID>
      <start>56</start>
      <end>57</end>
      <status>unmodified</status>
      <modifiedWord/>
      <trackRevisions>false</trackRevisions>
    </reviewItem>
    <reviewItem>
      <errorID>461f5f16-2705-411d-b4b0-1c651b7ebb8f</errorID>
      <errorWord>式的</errorWord>
      <group>L1_Word</group>
      <groupName>字词问题</groupName>
      <ability>L2_Typo</ability>
      <abilityName>字词错误</abilityName>
      <candidateList>
        <item>式</item>
      </candidateList>
      <explain/>
      <paraID>536EA763</paraID>
      <start>157</start>
      <end>159</end>
      <status>unmodified</status>
      <modifiedWord/>
      <trackRevisions>false</trackRevisions>
    </reviewItem>
    <reviewItem>
      <errorID>dc670182-05e0-4a60-82d8-f8c6247085f2</errorID>
      <errorWord>，</errorWord>
      <group>L1_Grammar</group>
      <groupName>语法问题</groupName>
      <ability>L2_Grammar</ability>
      <abilityName>语法错误</abilityName>
      <candidateList>
        <item>要求，</item>
      </candidateList>
      <explain/>
      <paraID>536EA763</paraID>
      <start>165</start>
      <end>166</end>
      <status>unmodified</status>
      <modifiedWord/>
      <trackRevisions>false</trackRevisions>
    </reviewItem>
    <reviewItem>
      <errorID>6d8201e6-65b4-480c-a1ca-29b78a38335b</errorID>
      <errorWord>，</errorWord>
      <group>L1_Word</group>
      <groupName>字词问题</groupName>
      <ability>L2_Typo</ability>
      <abilityName>字词错误</abilityName>
      <candidateList>
        <item>，在</item>
      </candidateList>
      <explain/>
      <paraID>4342C2C1</paraID>
      <start>83</start>
      <end>84</end>
      <status>unmodified</status>
      <modifiedWord/>
      <trackRevisions>false</trackRevisions>
    </reviewItem>
    <reviewItem>
      <errorID>14bdcd76-0d7f-4fbc-a938-737e74f0b712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6A3EEEED</paraID>
      <start>0</start>
      <end>2</end>
      <status>unmodified</status>
      <modifiedWord/>
      <trackRevisions>false</trackRevisions>
    </reviewItem>
    <reviewItem>
      <errorID>43b238a7-1f0c-4c44-aeec-b52744290fae</errorID>
      <errorWord>及配套管网布设</errorWord>
      <group>L1_Word</group>
      <groupName>字词问题</groupName>
      <ability>L2_Typo</ability>
      <abilityName>字词错误</abilityName>
      <candidateList>
        <item>并布设配套管网</item>
      </candidateList>
      <explain/>
      <paraID>2CD089BB</paraID>
      <start>27</start>
      <end>34</end>
      <status>unmodified</status>
      <modifiedWord/>
      <trackRevisions>false</trackRevisions>
    </reviewItem>
    <reviewItem>
      <errorID>97e89cc6-50b7-474e-bc24-04a732a98765</errorID>
      <errorWord>设计做好</errorWord>
      <group>L1_Word</group>
      <groupName>字词问题</groupName>
      <ability>L2_Typo</ability>
      <abilityName>字词错误</abilityName>
      <candidateList>
        <item>做好设计</item>
      </candidateList>
      <explain/>
      <paraID>5BB608B0</paraID>
      <start>85</start>
      <end>89</end>
      <status>unmodified</status>
      <modifiedWord/>
      <trackRevisions>false</trackRevisions>
    </reviewItem>
    <reviewItem>
      <errorID>38ac7cfb-c01c-4745-8df5-3b1b16c45465</errorID>
      <errorWord>防治</errorWord>
      <group>L1_Word</group>
      <groupName>字词问题</groupName>
      <ability>L2_Typo</ability>
      <abilityName>字词错误</abilityName>
      <candidateList>
        <item>防止</item>
      </candidateList>
      <explain>存在发音相同字词的误用。</explain>
      <paraID>5BB608B0</paraID>
      <start>100</start>
      <end>102</end>
      <status>unmodified</status>
      <modifiedWord/>
      <trackRevisions>false</trackRevisions>
    </reviewItem>
    <reviewItem>
      <errorID>ced28ee4-cea6-419c-9ea4-43e1e5537342</errorID>
      <errorWord>SO2</errorWord>
      <group>L1_Word</group>
      <groupName>字词问题</groupName>
      <ability>L2_Typo</ability>
      <abilityName>字词错误</abilityName>
      <candidateList>
        <item>SO₂</item>
      </candidateList>
      <explain/>
      <paraID> F0566C1</paraID>
      <start>29</start>
      <end>32</end>
      <status>unmodified</status>
      <modifiedWord/>
      <trackRevisions>false</trackRevisions>
    </reviewItem>
    <reviewItem>
      <errorID>8878d664-4892-48c0-8fb0-42e3ae310ce0</errorID>
      <errorWord>NO2</errorWord>
      <group>L1_Word</group>
      <groupName>字词问题</groupName>
      <ability>L2_Typo</ability>
      <abilityName>字词错误</abilityName>
      <candidateList>
        <item>NO₂</item>
      </candidateList>
      <explain/>
      <paraID> F0566C1</paraID>
      <start>33</start>
      <end>36</end>
      <status>unmodified</status>
      <modifiedWord/>
      <trackRevisions>false</trackRevisions>
    </reviewItem>
    <reviewItem>
      <errorID>8c2e7dbb-cf1c-42ca-ab39-562e091e11bd</errorID>
      <errorWord>O3</errorWord>
      <group>L1_Word</group>
      <groupName>字词问题</groupName>
      <ability>L2_Typo</ability>
      <abilityName>字词错误</abilityName>
      <candidateList>
        <item>O₃</item>
      </candidateList>
      <explain/>
      <paraID> F0566C1</paraID>
      <start>40</start>
      <end>42</end>
      <status>unmodified</status>
      <modifiedWord/>
      <trackRevisions>false</trackRevisions>
    </reviewItem>
    <reviewItem>
      <errorID>3ee6597e-48a9-48c7-8480-073c9a48a9b6</errorID>
      <errorWord>PM2</errorWord>
      <group>L1_Word</group>
      <groupName>字词问题</groupName>
      <ability>L2_Typo</ability>
      <abilityName>字词错误</abilityName>
      <candidateList>
        <item>PM₂</item>
      </candidateList>
      <explain/>
      <paraID> F0566C1</paraID>
      <start>43</start>
      <end>46</end>
      <status>unmodified</status>
      <modifiedWord/>
      <trackRevisions>false</trackRevisions>
    </reviewItem>
    <reviewItem>
      <errorID>f9c6a755-6a5e-41f9-bec0-c06ce19ec1c8</errorID>
      <errorWord>5</errorWord>
      <group>L1_Word</group>
      <groupName>字词问题</groupName>
      <ability>L2_Typo</ability>
      <abilityName>字词错误</abilityName>
      <candidateList>
        <item>₅</item>
      </candidateList>
      <explain/>
      <paraID> F0566C1</paraID>
      <start>47</start>
      <end>48</end>
      <status>unmodified</status>
      <modifiedWord/>
      <trackRevisions>false</trackRevisions>
    </reviewItem>
    <reviewItem>
      <errorID>6ecc7898-2024-415d-abee-3a305ab58137</errorID>
      <errorWord>PM10</errorWord>
      <group>L1_Word</group>
      <groupName>字词问题</groupName>
      <ability>L2_Typo</ability>
      <abilityName>字词错误</abilityName>
      <candidateList>
        <item>PM₁₀</item>
      </candidateList>
      <explain/>
      <paraID> F0566C1</paraID>
      <start>49</start>
      <end>53</end>
      <status>unmodified</status>
      <modifiedWord/>
      <trackRevisions>false</trackRevisions>
    </reviewItem>
    <reviewItem>
      <errorID>587cfe4e-05f8-4eca-8e26-94c7c78c39b8</errorID>
      <errorWord>GB3095</errorWord>
      <group>L1_Word</group>
      <groupName>字词问题</groupName>
      <ability>L2_Typo</ability>
      <abilityName>字词错误</abilityName>
      <candidateList>
        <item>GB 3095</item>
      </candidateList>
      <explain/>
      <paraID> F0566C1</paraID>
      <start>66</start>
      <end>72</end>
      <status>unmodified</status>
      <modifiedWord/>
      <trackRevisions>false</trackRevisions>
    </reviewItem>
    <reviewItem>
      <errorID>1004cd75-c8d2-4d3f-acb0-02caa564f0bf</errorID>
      <errorWord>，</errorWord>
      <group>L1_Punc</group>
      <groupName>标点问题</groupName>
      <ability>L2_Punc_CN</ability>
      <abilityName>标点符号问题</abilityName>
      <candidateList>
        <item>。</item>
      </candidateList>
      <explain/>
      <paraID> F0566C1</paraID>
      <start>94</start>
      <end>95</end>
      <status>unmodified</status>
      <modifiedWord/>
      <trackRevisions>false</trackRevisions>
    </reviewItem>
    <reviewItem>
      <errorID>3eddc18c-0542-42ef-8e29-af16954d649a</errorID>
      <errorWord>179mg</errorWord>
      <group>L1_Word</group>
      <groupName>字词问题</groupName>
      <ability>L2_Typo</ability>
      <abilityName>字词错误</abilityName>
      <candidateList>
        <item>179 mg</item>
      </candidateList>
      <explain/>
      <paraID> F0566C1</paraID>
      <start>144</start>
      <end>149</end>
      <status>unmodified</status>
      <modifiedWord/>
      <trackRevisions>false</trackRevisions>
    </reviewItem>
    <reviewItem>
      <errorID>423055e6-cfb5-4c36-8a49-669769e0d19a</errorID>
      <errorWord>m3</errorWord>
      <group>L1_Word</group>
      <groupName>字词问题</groupName>
      <ability>L2_Typo</ability>
      <abilityName>字词错误</abilityName>
      <candidateList>
        <item>m³</item>
      </candidateList>
      <explain/>
      <paraID> F0566C1</paraID>
      <start>150</start>
      <end>152</end>
      <status>unmodified</status>
      <modifiedWord/>
      <trackRevisions>false</trackRevisions>
    </reviewItem>
    <reviewItem>
      <errorID>8ca1a91d-3042-443e-b094-af4e289370b8</errorID>
      <errorWord>GB3095-</errorWord>
      <group>L1_Word</group>
      <groupName>字词问题</groupName>
      <ability>L2_Typo</ability>
      <abilityName>字词错误</abilityName>
      <candidateList>
        <item>GB 3095—</item>
      </candidateList>
      <explain/>
      <paraID> F0566C1</paraID>
      <start>166</start>
      <end>173</end>
      <status>unmodified</status>
      <modifiedWord/>
      <trackRevisions>false</trackRevisions>
    </reviewItem>
    <reviewItem>
      <errorID>32a21580-5e3e-46fe-9ead-9dca514c4196</errorID>
      <errorWord>上线</errorWord>
      <group>L1_Word</group>
      <groupName>字词问题</groupName>
      <ability>L2_Typo</ability>
      <abilityName>字词错误</abilityName>
      <candidateList>
        <item>上限</item>
      </candidateList>
      <explain/>
      <paraID>3FC2C39C</paraID>
      <start>35</start>
      <end>37</end>
      <status>unmodified</status>
      <modifiedWord/>
      <trackRevisions>false</trackRevisions>
    </reviewItem>
    <reviewItem>
      <errorID>9005e59c-4893-4393-8c6a-ab8fd269b3f6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37301AAE</paraID>
      <start>0</start>
      <end>2</end>
      <status>unmodified</status>
      <modifiedWord/>
      <trackRevisions>false</trackRevisions>
    </reviewItem>
    <reviewItem>
      <errorID>a0c5d823-0ce1-41bb-9603-595d0638bfd9</errorID>
      <errorWord>落实保护</errorWord>
      <group>L1_Grammar</group>
      <groupName>语法问题</groupName>
      <ability>L2_Grammar</ability>
      <abilityName>语法错误</abilityName>
      <candidateList>
        <item>落实</item>
      </candidateList>
      <explain/>
      <paraID>762E449E</paraID>
      <start>1</start>
      <end>5</end>
      <status>unmodified</status>
      <modifiedWord/>
      <trackRevisions>false</trackRevisions>
    </reviewItem>
    <reviewItem>
      <errorID>6b090453-77bb-4d29-8f30-5157efb085b6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4949E95E</paraID>
      <start>0</start>
      <end>2</end>
      <status>unmodified</status>
      <modifiedWord/>
      <trackRevisions>false</trackRevisions>
    </reviewItem>
    <reviewItem>
      <errorID>6cf2d4f1-9957-4c5c-856b-05a7337afffc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4948378C</paraID>
      <start>0</start>
      <end>2</end>
      <status>unmodified</status>
      <modifiedWord/>
      <trackRevisions>false</trackRevisions>
    </reviewItem>
    <reviewItem>
      <errorID>eb202b08-345d-48d2-8d9d-fada2e528a1c</errorID>
      <errorWord>(</errorWord>
      <group>L1_Format</group>
      <groupName>格式问题</groupName>
      <ability>L2_HalfPunc_CN</ability>
      <abilityName>全半角问题</abilityName>
      <candidateList>
        <item>（</item>
      </candidateList>
      <explain>文本全半角错误。</explain>
      <paraID>10995259</paraID>
      <start>29</start>
      <end>30</end>
      <status>unmodified</status>
      <modifiedWord/>
      <trackRevisions>false</trackRevisions>
    </reviewItem>
    <reviewItem>
      <errorID>63806a2b-cd6e-4233-a6ee-132befbff67a</errorID>
      <errorWord>404m3</errorWord>
      <group>L1_Word</group>
      <groupName>字词问题</groupName>
      <ability>L2_Typo</ability>
      <abilityName>字词错误</abilityName>
      <candidateList>
        <item>404m³</item>
      </candidateList>
      <explain/>
      <paraID>10995259</paraID>
      <start>41</start>
      <end>46</end>
      <status>unmodified</status>
      <modifiedWord/>
      <trackRevisions>false</trackRevisions>
    </reviewItem>
    <reviewItem>
      <errorID>f19d2e9a-6c0c-451a-aeb3-511e2e8275f0</errorID>
      <errorWord>)</errorWord>
      <group>L1_Format</group>
      <groupName>格式问题</groupName>
      <ability>L2_HalfPunc_CN</ability>
      <abilityName>全半角问题</abilityName>
      <candidateList>
        <item>）</item>
      </candidateList>
      <explain>文本全半角错误。</explain>
      <paraID>10995259</paraID>
      <start>48</start>
      <end>49</end>
      <status>unmodified</status>
      <modifiedWord/>
      <trackRevisions>false</trackRevisions>
    </reviewItem>
    <reviewItem>
      <errorID>0652f0fb-8004-4b76-a2d6-21337b3fc22c</errorID>
      <errorWord>一台265m2</errorWord>
      <group>L1_Word</group>
      <groupName>字词问题</groupName>
      <ability>L2_Typo</ability>
      <abilityName>字词错误</abilityName>
      <candidateList>
        <item>1台265m²</item>
      </candidateList>
      <explain/>
      <paraID>10995259</paraID>
      <start>50</start>
      <end>57</end>
      <status>unmodified</status>
      <modifiedWord/>
      <trackRevisions>false</trackRevisions>
    </reviewItem>
    <reviewItem>
      <errorID>584d85c1-b76d-42fb-9575-e04e8641185f</errorID>
      <errorWord>环境保护局</errorWord>
      <group>L1_Political</group>
      <groupName>政治性问题</groupName>
      <ability>L2_Keyword</ability>
      <abilityName>固定表述</abilityName>
      <candidateList>
        <item>生态环境局</item>
      </candidateList>
      <explain>此处内容疑似含有固定表述相关错误，建议核查。</explain>
      <paraID>10995259</paraID>
      <start>188</start>
      <end>193</end>
      <status>unmodified</status>
      <modifiedWord/>
      <trackRevisions>false</trackRevisions>
    </reviewItem>
    <reviewItem>
      <errorID>6fec85e0-5617-4f0c-b12e-6c281f5924f1</errorID>
      <errorWord>404m3</errorWord>
      <group>L1_Word</group>
      <groupName>字词问题</groupName>
      <ability>L2_Typo</ability>
      <abilityName>字词错误</abilityName>
      <candidateList>
        <item>404m³</item>
      </candidateList>
      <explain/>
      <paraID>10995259</paraID>
      <start>228</start>
      <end>233</end>
      <status>unmodified</status>
      <modifiedWord/>
      <trackRevisions>false</trackRevisions>
    </reviewItem>
    <reviewItem>
      <errorID>f73963d8-3293-4c53-ad69-4982e95f45b0</errorID>
      <errorWord>-</errorWord>
      <group>L1_Format</group>
      <groupName>格式问题</groupName>
      <ability>L2_HalfPunc_CN</ability>
      <abilityName>全半角问题</abilityName>
      <candidateList>
        <item>－</item>
      </candidateList>
      <explain>文本全半角错误。</explain>
      <paraID>2F2B0C69</paraID>
      <start>4</start>
      <end>5</end>
      <status>unmodified</status>
      <modifiedWord/>
      <trackRevisions>false</trackRevisions>
    </reviewItem>
    <reviewItem>
      <errorID>4af34397-eb86-452d-8c44-ad496773a4b6</errorID>
      <errorWord>-</errorWord>
      <group>L1_Format</group>
      <groupName>格式问题</groupName>
      <ability>L2_HalfPunc_CN</ability>
      <abilityName>全半角问题</abilityName>
      <candidateList>
        <item>－</item>
      </candidateList>
      <explain>文本全半角错误。</explain>
      <paraID>2F2B0C69</paraID>
      <start>7</start>
      <end>8</end>
      <status>unmodified</status>
      <modifiedWord/>
      <trackRevisions>false</trackRevisions>
    </reviewItem>
    <reviewItem>
      <errorID>9e13fcd8-4729-41f0-859d-f1da8271fc2f</errorID>
      <errorWord>-</errorWord>
      <group>L1_Format</group>
      <groupName>格式问题</groupName>
      <ability>L2_HalfPunc_CN</ability>
      <abilityName>全半角问题</abilityName>
      <candidateList>
        <item>－</item>
      </candidateList>
      <explain>文本全半角错误。</explain>
      <paraID>2CA1D203</paraID>
      <start>18</start>
      <end>19</end>
      <status>unmodified</status>
      <modifiedWord/>
      <trackRevisions>false</trackRevisions>
    </reviewItem>
    <reviewItem>
      <errorID>7438b5f4-dbcc-45f0-bfe3-65d488bf1eaa</errorID>
      <errorWord>无色</errorWord>
      <group>L1_Word</group>
      <groupName>字词问题</groupName>
      <ability>L2_Typo</ability>
      <abilityName>字词错误</abilityName>
      <candidateList>
        <item>是无色</item>
      </candidateList>
      <explain/>
      <paraID> 5DC9E13</paraID>
      <start>94</start>
      <end>96</end>
      <status>unmodified</status>
      <modifiedWord/>
      <trackRevisions>false</trackRevisions>
    </reviewItem>
    <reviewItem>
      <errorID>9d67a02c-74b4-4adf-afa6-d3c8db30f8d2</errorID>
      <errorWord>金</errorWord>
      <group>L1_Punc</group>
      <groupName>标点问题</groupName>
      <ability>L2_Punc_CN</ability>
      <abilityName>标点符号问题</abilityName>
      <candidateList>
        <item>，金</item>
      </candidateList>
      <explain/>
      <paraID>5D24152E</paraID>
      <start>210</start>
      <end>212</end>
      <status>modified</status>
      <modifiedWord>，金</modifiedWord>
      <trackRevisions>false</trackRevisions>
    </reviewItem>
    <reviewItem>
      <errorID>778c4af2-5bb7-44f3-a7fb-bcabb6d844db</errorID>
      <errorWord>”</errorWord>
      <group>L1_Punc</group>
      <groupName>标点问题</groupName>
      <ability>L2_Punc_CN</ability>
      <abilityName>标点符号问题</abilityName>
      <candidateList>
        <item>”。</item>
      </candidateList>
      <explain/>
      <paraID>5D24152E</paraID>
      <start>240</start>
      <end>241</end>
      <status>unmodified</status>
      <modifiedWord/>
      <trackRevisions>false</trackRevisions>
    </reviewItem>
    <reviewItem>
      <errorID>cded5f11-2c9f-437e-b59d-7db426202efe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3D54545F</paraID>
      <start>0</start>
      <end>2</end>
      <status>unmodified</status>
      <modifiedWord/>
      <trackRevisions>false</trackRevisions>
    </reviewItem>
    <reviewItem>
      <errorID>c457dff3-04cb-4649-9f39-2390f762f6c6</errorID>
      <errorWord>带</errorWord>
      <group>L1_Word</group>
      <groupName>字词问题</groupName>
      <ability>L2_Typo</ability>
      <abilityName>字词错误</abilityName>
      <candidateList>
        <item>并带</item>
      </candidateList>
      <explain/>
      <paraID>5B133099</paraID>
      <start>32</start>
      <end>33</end>
      <status>unmodified</status>
      <modifiedWord/>
      <trackRevisions>false</trackRevisions>
    </reviewItem>
    <reviewItem>
      <errorID>3fddda06-fb49-486e-ac4b-1378ac622f1f</errorID>
      <errorWord>0m</errorWord>
      <group>L1_Word</group>
      <groupName>字词问题</groupName>
      <ability>L2_Typo</ability>
      <abilityName>字词错误</abilityName>
      <candidateList>
        <item>00m</item>
      </candidateList>
      <explain/>
      <paraID>28F20040</paraID>
      <start>29</start>
      <end>31</end>
      <status>unmodified</status>
      <modifiedWord/>
      <trackRevisions>false</trackRevisions>
    </reviewItem>
    <reviewItem>
      <errorID>77732fa7-d7a7-4e92-802b-1d8bec235593</errorID>
      <errorWord>等设备</errorWord>
      <group>L1_Grammar</group>
      <groupName>语法问题</groupName>
      <ability>L2_Grammar</ability>
      <abilityName>语法错误</abilityName>
      <candidateList>
        <item>等</item>
      </candidateList>
      <explain/>
      <paraID>4E2EB4CD</paraID>
      <start>42</start>
      <end>43</end>
      <status>modified</status>
      <modifiedWord>等</modifiedWord>
      <trackRevisions>false</trackRevisions>
    </reviewItem>
    <reviewItem>
      <errorID>2c859f2e-fd57-4aef-aa37-d33d6a0fd17a</errorID>
      <errorWord>。</errorWord>
      <group>L1_Punc</group>
      <groupName>标点问题</groupName>
      <ability>L2_Punc_CN</ability>
      <abilityName>标点符号问题</abilityName>
      <candidateList>
        <item>，</item>
      </candidateList>
      <explain/>
      <paraID>6CFB12BA</paraID>
      <start>22</start>
      <end>23</end>
      <status>unmodified</status>
      <modifiedWord/>
      <trackRevisions>false</trackRevisions>
    </reviewItem>
    <reviewItem>
      <errorID>e4cc9e04-ce85-48b9-9ad4-d54b49e090e1</errorID>
      <errorWord>0</errorWord>
      <group>L1_Word</group>
      <groupName>字词问题</groupName>
      <ability>L2_Typo</ability>
      <abilityName>字词错误</abilityName>
      <candidateList>
        <item>±0</item>
      </candidateList>
      <explain/>
      <paraID> 4093A86</paraID>
      <start>8</start>
      <end>9</end>
      <status>unmodified</status>
      <modifiedWord/>
      <trackRevisions>false</trackRevisions>
    </reviewItem>
    <reviewItem>
      <errorID>88d0f6e8-3ad1-43bf-9370-c37e00ae7e87</errorID>
      <errorWord>0m</errorWord>
      <group>L1_Word</group>
      <groupName>字词问题</groupName>
      <ability>L2_Typo</ability>
      <abilityName>字词错误</abilityName>
      <candidateList>
        <item>00m</item>
      </candidateList>
      <explain/>
      <paraID> 4093A86</paraID>
      <start>10</start>
      <end>12</end>
      <status>unmodified</status>
      <modifiedWord/>
      <trackRevisions>false</trackRevisions>
    </reviewItem>
    <reviewItem>
      <errorID>0cfe2ef9-dd38-48ad-9eba-e5518104ed4e</errorID>
      <errorWord>70m3</errorWord>
      <group>L1_Word</group>
      <groupName>字词问题</groupName>
      <ability>L2_Typo</ability>
      <abilityName>字词错误</abilityName>
      <candidateList>
        <item>70m³</item>
      </candidateList>
      <explain/>
      <paraID> 4093A86</paraID>
      <start>149</start>
      <end>153</end>
      <status>unmodified</status>
      <modifiedWord/>
      <trackRevisions>false</trackRevisions>
    </reviewItem>
    <reviewItem>
      <errorID>0f86cc90-df0e-42b8-88aa-32069524e9b0</errorID>
      <errorWord>,</errorWord>
      <group>L1_Format</group>
      <groupName>格式问题</groupName>
      <ability>L2_HalfPunc_CN</ability>
      <abilityName>全半角问题</abilityName>
      <candidateList>
        <item>，</item>
      </candidateList>
      <explain>文本全半角错误。</explain>
      <paraID>769F2911</paraID>
      <start>32</start>
      <end>33</end>
      <status>unmodified</status>
      <modifiedWord/>
      <trackRevisions>false</trackRevisions>
    </reviewItem>
    <reviewItem>
      <errorID>df1188cf-ab8c-4b79-abb1-02ccc6b27a2e</errorID>
      <errorWord>达标排放</errorWord>
      <group>L1_Punc</group>
      <groupName>标点问题</groupName>
      <ability>L2_Punc_CN</ability>
      <abilityName>标点符号问题</abilityName>
      <candidateList>
        <item>达标排放。</item>
      </candidateList>
      <explain/>
      <paraID>49F1AA7C</paraID>
      <start>42</start>
      <end>46</end>
      <status>unmodified</status>
      <modifiedWord/>
      <trackRevisions>false</trackRevisions>
    </reviewItem>
    <reviewItem>
      <errorID>4e07a88d-6dc4-48d5-beca-d265da54cd09</errorID>
      <errorWord>2m2</errorWord>
      <group>L1_Word</group>
      <groupName>字词问题</groupName>
      <ability>L2_Typo</ability>
      <abilityName>字词错误</abilityName>
      <candidateList>
        <item>2m²</item>
      </candidateList>
      <explain/>
      <paraID> 8F6FC4A</paraID>
      <start>53</start>
      <end>56</end>
      <status>unmodified</status>
      <modifiedWord/>
      <trackRevisions>false</trackRevisions>
    </reviewItem>
    <reviewItem>
      <errorID>1abaf76b-d57a-4bbf-8054-3d6ae3e01e7a</errorID>
      <errorWord>处理</errorWord>
      <group>L1_Punc</group>
      <groupName>标点问题</groupName>
      <ability>L2_Punc_CN</ability>
      <abilityName>标点符号问题</abilityName>
      <candidateList>
        <item>处理。</item>
      </candidateList>
      <explain/>
      <paraID> 8F6FC4A</paraID>
      <start>90</start>
      <end>92</end>
      <status>unmodified</status>
      <modifiedWord/>
      <trackRevisions>false</trackRevisions>
    </reviewItem>
    <reviewItem>
      <errorID>cc203e6e-fcd6-46fa-9863-1cae9503a8d3</errorID>
      <errorWord>15m3</errorWord>
      <group>L1_Word</group>
      <groupName>字词问题</groupName>
      <ability>L2_Typo</ability>
      <abilityName>字词错误</abilityName>
      <candidateList>
        <item>15m³</item>
      </candidateList>
      <explain/>
      <paraID>705214F1</paraID>
      <start>3</start>
      <end>7</end>
      <status>unmodified</status>
      <modifiedWord/>
      <trackRevisions>false</trackRevisions>
    </reviewItem>
    <reviewItem>
      <errorID>c28d142d-a978-40df-aa93-971b57cf6401</errorID>
      <errorWord>汽轮机油</errorWord>
      <group>L1_Punc</group>
      <groupName>标点问题</groupName>
      <ability>L2_Punc_CN</ability>
      <abilityName>标点符号问题</abilityName>
      <candidateList>
        <item>汽轮机油。</item>
      </candidateList>
      <explain/>
      <paraID>705214F1</paraID>
      <start>22</start>
      <end>26</end>
      <status>unmodified</status>
      <modifiedWord/>
      <trackRevisions>false</trackRevisions>
    </reviewItem>
    <reviewItem>
      <errorID>51a0a8d3-7cd1-4f0a-adc0-481b1ad4b662</errorID>
      <errorWord>措施</errorWord>
      <group>L1_Punc</group>
      <groupName>标点问题</groupName>
      <ability>L2_Punc_CN</ability>
      <abilityName>标点符号问题</abilityName>
      <candidateList>
        <item>措施。</item>
      </candidateList>
      <explain/>
      <paraID>11B7EA20</paraID>
      <start>29</start>
      <end>31</end>
      <status>unmodified</status>
      <modifiedWord/>
      <trackRevisions>false</trackRevisions>
    </reviewItem>
    <reviewItem>
      <errorID>6bc2c1b6-1fc5-45f0-aacb-83ddf16d91d8</errorID>
      <errorWord>绿化</errorWord>
      <group>L1_Punc</group>
      <groupName>标点问题</groupName>
      <ability>L2_Punc_CN</ability>
      <abilityName>标点符号问题</abilityName>
      <candidateList>
        <item>绿化。</item>
      </candidateList>
      <explain/>
      <paraID>7AD6CC58</paraID>
      <start>7</start>
      <end>9</end>
      <status>unmodified</status>
      <modifiedWord/>
      <trackRevisions>false</trackRevisions>
    </reviewItem>
    <reviewItem>
      <errorID>edba9970-87b0-4365-939a-a165411b3d17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5ED3FEDA</paraID>
      <start>0</start>
      <end>2</end>
      <status>unmodified</status>
      <modifiedWord/>
      <trackRevisions>false</trackRevisions>
    </reviewItem>
    <reviewItem>
      <errorID>91e2241e-c96b-4db1-9732-ab0cf411e304</errorID>
      <errorWord>见下</errorWord>
      <group>L1_Word</group>
      <groupName>字词问题</groupName>
      <ability>L2_Typo</ability>
      <abilityName>字词错误</abilityName>
      <candidateList>
        <item>见</item>
      </candidateList>
      <explain/>
      <paraID>56257890</paraID>
      <start>9</start>
      <end>11</end>
      <status>unmodified</status>
      <modifiedWord/>
      <trackRevisions>false</trackRevisions>
    </reviewItem>
    <reviewItem>
      <errorID>ae9e85ad-3a06-4656-b0c8-df523c014920</errorID>
      <errorWord>主要</errorWord>
      <group>L1_Word</group>
      <groupName>字词问题</groupName>
      <ability>L2_Typo</ability>
      <abilityName>字词错误</abilityName>
      <candidateList>
        <item> 主要</item>
      </candidateList>
      <explain/>
      <paraID>13F9C28D</paraID>
      <start>4</start>
      <end>6</end>
      <status>unmodified</status>
      <modifiedWord/>
      <trackRevisions>false</trackRevisions>
    </reviewItem>
    <reviewItem>
      <errorID>cd3ab36a-c051-4fc6-bb0e-d5ddc2739540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640A6F1</paraID>
      <start>0</start>
      <end>2</end>
      <status>unmodified</status>
      <modifiedWord/>
      <trackRevisions>false</trackRevisions>
    </reviewItem>
    <reviewItem>
      <errorID>19d9f19a-4fd4-4961-8e58-489d471f25dc</errorID>
      <errorWord>见下</errorWord>
      <group>L1_Word</group>
      <groupName>字词问题</groupName>
      <ability>L2_Typo</ability>
      <abilityName>字词错误</abilityName>
      <candidateList>
        <item>见</item>
      </candidateList>
      <explain/>
      <paraID>2D7463D5</paraID>
      <start>9</start>
      <end>10</end>
      <status>modified</status>
      <modifiedWord>见</modifiedWord>
      <trackRevisions>false</trackRevisions>
    </reviewItem>
    <reviewItem>
      <errorID>f2d2bc3e-d158-4752-b405-1e0cbdace7af</errorID>
      <errorWord>项目</errorWord>
      <group>L1_Word</group>
      <groupName>字词问题</groupName>
      <ability>L2_Typo</ability>
      <abilityName>字词错误</abilityName>
      <candidateList>
        <item> 项目</item>
      </candidateList>
      <explain/>
      <paraID>4E97C7D9</paraID>
      <start>4</start>
      <end>6</end>
      <status>unmodified</status>
      <modifiedWord/>
      <trackRevisions>false</trackRevisions>
    </reviewItem>
    <reviewItem>
      <errorID>11592271-52cd-4a9c-a0ce-e836f1110c27</errorID>
      <errorWord>Nm3</errorWord>
      <group>L1_Word</group>
      <groupName>字词问题</groupName>
      <ability>L2_Typo</ability>
      <abilityName>字词错误</abilityName>
      <candidateList>
        <item>Nm³</item>
      </candidateList>
      <explain/>
      <paraID> B655265</paraID>
      <start>16</start>
      <end>19</end>
      <status>unmodified</status>
      <modifiedWord/>
      <trackRevisions>false</trackRevisions>
    </reviewItem>
    <reviewItem>
      <errorID>73e7d0e1-9ab8-422b-aa50-7395feabc5c7</errorID>
      <errorWord>全厂</errorWord>
      <group>L1_Word</group>
      <groupName>字词问题</groupName>
      <ability>L2_Typo</ability>
      <abilityName>字词错误</abilityName>
      <candidateList>
        <item> 全厂</item>
      </candidateList>
      <explain/>
      <paraID>628D6D53</paraID>
      <start>4</start>
      <end>6</end>
      <status>unmodified</status>
      <modifiedWord/>
      <trackRevisions>false</trackRevisions>
    </reviewItem>
    <reviewItem>
      <errorID>702c93c9-f2cd-4ce3-940f-468ad5f8ce6f</errorID>
      <errorWord>m3</errorWord>
      <group>L1_Word</group>
      <groupName>字词问题</groupName>
      <ability>L2_Typo</ability>
      <abilityName>字词错误</abilityName>
      <candidateList>
        <item>m³</item>
      </candidateList>
      <explain/>
      <paraID>628D6D53</paraID>
      <start>16</start>
      <end>18</end>
      <status>unmodified</status>
      <modifiedWord/>
      <trackRevisions>false</trackRevisions>
    </reviewItem>
    <reviewItem>
      <errorID>04e043c4-f007-4f1d-adf6-3bb4234dafaa</errorID>
      <errorWord>消耗量</errorWord>
      <group>L1_Punc</group>
      <groupName>标点问题</groupName>
      <ability>L2_Punc_CN</ability>
      <abilityName>标点符号问题</abilityName>
      <candidateList>
        <item>消耗量：</item>
      </candidateList>
      <explain/>
      <paraID>434AB7D3</paraID>
      <start>9</start>
      <end>12</end>
      <status>unmodified</status>
      <modifiedWord/>
      <trackRevisions>false</trackRevisions>
    </reviewItem>
    <reviewItem>
      <errorID>0868ce6a-5460-4661-a649-92037c7835f5</errorID>
      <errorWord>满足</errorWord>
      <group>L1_Word</group>
      <groupName>字词问题</groupName>
      <ability>L2_Typo</ability>
      <abilityName>字词错误</abilityName>
      <candidateList>
        <item>能满足</item>
      </candidateList>
      <explain/>
      <paraID>10B2D5FF</paraID>
      <start>239</start>
      <end>241</end>
      <status>unmodified</status>
      <modifiedWord/>
      <trackRevisions>false</trackRevisions>
    </reviewItem>
    <reviewItem>
      <errorID>02815cea-a2cc-455b-847a-7d5b62b0e405</errorID>
      <errorWord>50000m3</errorWord>
      <group>L1_Word</group>
      <groupName>字词问题</groupName>
      <ability>L2_Typo</ability>
      <abilityName>字词错误</abilityName>
      <candidateList>
        <item>50000m³</item>
      </candidateList>
      <explain/>
      <paraID>10B2D5FF</paraID>
      <start>269</start>
      <end>276</end>
      <status>unmodified</status>
      <modifiedWord/>
      <trackRevisions>false</trackRevisions>
    </reviewItem>
    <reviewItem>
      <errorID>a1610173-e9c8-476c-a0d2-4176ac2229dd</errorID>
      <errorWord>30%~110%</errorWord>
      <group>L1_Knowledge</group>
      <groupName>知识性问题</groupName>
      <ability>L2_Knowledge</ability>
      <abilityName>其他知识</abilityName>
      <candidateList>
        <item>30%～110%</item>
      </candidateList>
      <explain>1. “30%~110%”中的单位“%”仅出现在后一个数字上，容易引起歧义；根据《现代汉语标点符号数字用法规范手册》，数字表示范围两边需要使用统一的格式。2. 根据标点国标 4.13 中的规则，数字、时间或地域连接符应使用（视觉上更长的）“—”或“～”。</explain>
      <paraID>3ACF629F</paraID>
      <start>59</start>
      <end>67</end>
      <status>unmodified</status>
      <modifiedWord/>
      <trackRevisions>false</trackRevisions>
    </reviewItem>
    <reviewItem>
      <errorID>4107ac37-1326-477d-8d63-e4cb590af14d</errorID>
      <errorWord>（</errorWord>
      <group>L1_Format</group>
      <groupName>格式问题</groupName>
      <ability>L2_HalfPunc_CN</ability>
      <abilityName>全半角问题</abilityName>
      <candidateList>
        <item>(</item>
      </candidateList>
      <explain>文本全半角错误。</explain>
      <paraID>69C285C1</paraID>
      <start>3</start>
      <end>4</end>
      <status>unmodified</status>
      <modifiedWord/>
      <trackRevisions>false</trackRevisions>
    </reviewItem>
    <reviewItem>
      <errorID>6cd4fa1b-bfdd-44f8-9e47-20407073e86b</errorID>
      <errorWord>）</errorWord>
      <group>L1_Format</group>
      <groupName>格式问题</groupName>
      <ability>L2_HalfPunc_CN</ability>
      <abilityName>全半角问题</abilityName>
      <candidateList>
        <item>)</item>
      </candidateList>
      <explain>文本全半角错误。</explain>
      <paraID>69C285C1</paraID>
      <start>9</start>
      <end>10</end>
      <status>unmodified</status>
      <modifiedWord/>
      <trackRevisions>false</trackRevisions>
    </reviewItem>
    <reviewItem>
      <errorID>ff49b4c6-006b-42eb-823f-d76b74c45b21</errorID>
      <errorWord>金烨钢铁集团有限责任公司</errorWord>
      <group>L1_Other</group>
      <groupName>其他问题</groupName>
      <ability>L2_Consistency</ability>
      <abilityName>一致性检查</abilityName>
      <candidateList>
        <item>金烨钢铁集团有限公司</item>
      </candidateList>
      <explain>实体一致性，前文统一使用“金烨钢铁集团有限公司”，此处名称多一个“责”字，前后实体不一致</explain>
      <paraID>70E517A1</paraID>
      <start>5</start>
      <end>15</end>
      <status>modified</status>
      <modifiedWord>金烨钢铁集团有限公司</modifiedWord>
      <trackRevisions>false</trackRevisions>
    </reviewItem>
    <reviewItem>
      <errorID>16378ce0-bbdf-46fb-8a9c-fa3a4568788a</errorID>
      <errorWord>，</errorWord>
      <group>L1_Punc</group>
      <groupName>标点问题</groupName>
      <ability>L2_Punc_CN</ability>
      <abilityName>标点符号问题</abilityName>
      <candidateList>
        <item>。</item>
      </candidateList>
      <explain/>
      <paraID>70E517A1</paraID>
      <start>56</start>
      <end>57</end>
      <status>unmodified</status>
      <modifiedWord/>
      <trackRevisions>false</trackRevisions>
    </reviewItem>
    <reviewItem>
      <errorID>613615d5-5c61-45e5-a787-5be57bc4d0d0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3BEE8A91</paraID>
      <start>0</start>
      <end>2</end>
      <status>unmodified</status>
      <modifiedWord/>
      <trackRevisions>false</trackRevisions>
    </reviewItem>
    <reviewItem>
      <errorID>b3b3867a-b138-4850-949f-bfc1e1906c86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7CC66FA</paraID>
      <start>0</start>
      <end>2</end>
      <status>unmodified</status>
      <modifiedWord/>
      <trackRevisions>false</trackRevisions>
    </reviewItem>
    <reviewItem>
      <errorID>d3f88399-f17c-429c-9c99-3571476f1edb</errorID>
      <errorWord>金</errorWord>
      <group>L1_Word</group>
      <groupName>字词问题</groupName>
      <ability>L2_Typo</ability>
      <abilityName>字词错误</abilityName>
      <candidateList>
        <item>供金</item>
      </candidateList>
      <explain/>
      <paraID>39A9891C</paraID>
      <start>44</start>
      <end>46</end>
      <status>modified</status>
      <modifiedWord>供金</modifiedWord>
      <trackRevisions>false</trackRevisions>
    </reviewItem>
    <reviewItem>
      <errorID>9862055f-170f-4077-81ac-9adf2e1b9290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37A1D509</paraID>
      <start>0</start>
      <end>2</end>
      <status>unmodified</status>
      <modifiedWord/>
      <trackRevisions>false</trackRevisions>
    </reviewItem>
    <reviewItem>
      <errorID>a56d5051-c505-4edf-97db-2d9cdb6efb81</errorID>
      <errorWord>连</errorWord>
      <group>L1_Word</group>
      <groupName>字词问题</groupName>
      <ability>L2_Typo</ability>
      <abilityName>字词错误</abilityName>
      <candidateList>
        <item>联</item>
      </candidateList>
      <explain>存在发音相同字词的误用。</explain>
      <paraID>3A5BB992</paraID>
      <start>106</start>
      <end>107</end>
      <status>unmodified</status>
      <modifiedWord/>
      <trackRevisions>false</trackRevisions>
    </reviewItem>
    <reviewItem>
      <errorID>6ad3d069-5315-40dd-a590-6d13df87819b</errorID>
      <errorWord>入</errorWord>
      <group>L1_Word</group>
      <groupName>字词问题</groupName>
      <ability>L2_Typo</ability>
      <abilityName>字词错误</abilityName>
      <candidateList>
        <item>入污</item>
      </candidateList>
      <explain/>
      <paraID>50C4B43A</paraID>
      <start>76</start>
      <end>77</end>
      <status>unmodified</status>
      <modifiedWord/>
      <trackRevisions>false</trackRevisions>
    </reviewItem>
    <reviewItem>
      <errorID>de1537e2-1d0a-45df-bfc1-fa733b5c3c02</errorID>
      <errorWord>(</errorWord>
      <group>L1_Format</group>
      <groupName>格式问题</groupName>
      <ability>L2_HalfPunc_CN</ability>
      <abilityName>全半角问题</abilityName>
      <candidateList>
        <item>（</item>
      </candidateList>
      <explain>文本全半角错误。</explain>
      <paraID>52594B8B</paraID>
      <start>28</start>
      <end>29</end>
      <status>unmodified</status>
      <modifiedWord/>
      <trackRevisions>false</trackRevisions>
    </reviewItem>
    <reviewItem>
      <errorID>3e445b52-ebe3-4b59-8bea-d89368a7d0c2</errorID>
      <errorWord>)</errorWord>
      <group>L1_Format</group>
      <groupName>格式问题</groupName>
      <ability>L2_HalfPunc_CN</ability>
      <abilityName>全半角问题</abilityName>
      <candidateList>
        <item>）</item>
      </candidateList>
      <explain>文本全半角错误。</explain>
      <paraID>52594B8B</paraID>
      <start>31</start>
      <end>32</end>
      <status>unmodified</status>
      <modifiedWord/>
      <trackRevisions>false</trackRevisions>
    </reviewItem>
    <reviewItem>
      <errorID>2a9f68af-fffa-407c-8af1-edb40fd8470c</errorID>
      <errorWord>-</errorWord>
      <group>L1_Format</group>
      <groupName>格式问题</groupName>
      <ability>L2_HalfPunc_CN</ability>
      <abilityName>全半角问题</abilityName>
      <candidateList>
        <item>－</item>
      </candidateList>
      <explain>文本全半角错误。</explain>
      <paraID>52594B8B</paraID>
      <start>69</start>
      <end>70</end>
      <status>unmodified</status>
      <modifiedWord/>
      <trackRevisions>false</trackRevisions>
    </reviewItem>
    <reviewItem>
      <errorID>26685d06-e054-4e4d-8ba1-9e1f83330dbc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62167A32</paraID>
      <start>0</start>
      <end>2</end>
      <status>unmodified</status>
      <modifiedWord/>
      <trackRevisions>false</trackRevisions>
    </reviewItem>
    <reviewItem>
      <errorID>fb69a548-0dc3-4129-ba2b-5c1f6fa9d98f</errorID>
      <errorWord>补救措施</errorWord>
      <group>L1_Word</group>
      <groupName>字词问题</groupName>
      <ability>L2_Typo</ability>
      <abilityName>字词错误</abilityName>
      <candidateList>
        <item>应急措施</item>
      </candidateList>
      <explain/>
      <paraID>44978967</paraID>
      <start>0</start>
      <end>4</end>
      <status>unmodified</status>
      <modifiedWord/>
      <trackRevisions>false</trackRevisions>
    </reviewItem>
    <reviewItem>
      <errorID>9b8b9824-4db9-4611-890f-3d16a5044905</errorID>
      <errorWord>污水厂</errorWord>
      <group>L1_Word</group>
      <groupName>字词问题</groupName>
      <ability>L2_Typo</ability>
      <abilityName>字词错误</abilityName>
      <candidateList>
        <item>污水处理厂</item>
      </candidateList>
      <explain/>
      <paraID>  7D18E8</paraID>
      <start>5</start>
      <end>10</end>
      <status>modified</status>
      <modifiedWord>污水处理厂</modifiedWord>
      <trackRevisions>false</trackRevisions>
    </reviewItem>
    <reviewItem>
      <errorID>18845ae6-1522-4fc3-9435-8fc1127ad71b</errorID>
      <errorWord>输送至管</errorWord>
      <group>L1_Grammar</group>
      <groupName>语法问题</groupName>
      <ability>L2_Grammar</ability>
      <abilityName>语法错误</abilityName>
      <candidateList>
        <item>输送</item>
      </candidateList>
      <explain/>
      <paraID>6500C972</paraID>
      <start>37</start>
      <end>39</end>
      <status>modified</status>
      <modifiedWord>输送</modifiedWord>
      <trackRevisions>false</trackRevisions>
    </reviewItem>
    <reviewItem>
      <errorID>2fbd7f09-8c33-4202-8c24-a7a4255d5395</errorID>
      <errorWord> C</errorWord>
      <group>L1_Word</group>
      <groupName>字词问题</groupName>
      <ability>L2_Typo</ability>
      <abilityName>字词错误</abilityName>
      <candidateList>
        <item>℃</item>
      </candidateList>
      <explain/>
      <paraID>26A4112C</paraID>
      <start>3</start>
      <end>4</end>
      <status>modified</status>
      <modifiedWord>℃</modifiedWord>
      <trackRevisions>false</trackRevisions>
    </reviewItem>
    <reviewItem>
      <errorID>fdef5954-ab91-4727-b450-b0ae1e1117e8</errorID>
      <errorWord>5KV</errorWord>
      <group>L1_Word</group>
      <groupName>字词问题</groupName>
      <ability>L2_Typo</ability>
      <abilityName>字词错误</abilityName>
      <candidateList>
        <item>5kV</item>
      </candidateList>
      <explain/>
      <paraID>1C79CCD4</paraID>
      <start>3</start>
      <end>6</end>
      <status>modified</status>
      <modifiedWord>5kV</modifiedWord>
      <trackRevisions>false</trackRevisions>
    </reviewItem>
    <reviewItem>
      <errorID>f645ddd2-39c6-4e08-822c-8405bc56f3af</errorID>
      <errorWord>[2020]296号</errorWord>
      <group>L1_Knowledge</group>
      <groupName>知识性问题</groupName>
      <ability>L2_Knowledge</ability>
      <abilityName>其他知识</abilityName>
      <candidateList>
        <item>〔2020〕296号</item>
      </candidateList>
      <explain>发文字号格式错误。</explain>
      <paraID>6C86CA3E</paraID>
      <start>3</start>
      <end>13</end>
      <status>modified</status>
      <modifiedWord>〔2020〕296号</modifiedWord>
      <trackRevisions>false</trackRevisions>
    </reviewItem>
    <reviewItem>
      <errorID>ab22684e-2cc5-4b1f-9021-3e7deb9a1410</errorID>
      <errorWord>[2017]189号</errorWord>
      <group>L1_Knowledge</group>
      <groupName>知识性问题</groupName>
      <ability>L2_Knowledge</ability>
      <abilityName>其他知识</abilityName>
      <candidateList>
        <item>〔2017〕189号</item>
      </candidateList>
      <explain>发文字号格式错误。</explain>
      <paraID>1E362461</paraID>
      <start>3</start>
      <end>13</end>
      <status>modified</status>
      <modifiedWord>〔2017〕189号</modifiedWord>
      <trackRevisions>false</trackRevisions>
    </reviewItem>
    <reviewItem>
      <errorID>7902455a-47a9-4320-8594-bad2b4aa9e02</errorID>
      <errorWord>[2018]172号</errorWord>
      <group>L1_Knowledge</group>
      <groupName>知识性问题</groupName>
      <ability>L2_Knowledge</ability>
      <abilityName>其他知识</abilityName>
      <candidateList>
        <item>〔2018〕172号</item>
      </candidateList>
      <explain>发文字号格式错误。</explain>
      <paraID>673985E6</paraID>
      <start>3</start>
      <end>13</end>
      <status>modified</status>
      <modifiedWord>〔2018〕172号</modifiedWord>
      <trackRevisions>false</trackRevisions>
    </reviewItem>
    <reviewItem>
      <errorID>fa049adc-4b8c-4a1e-8879-5b919b146c4d</errorID>
      <errorWord>原山西省</errorWord>
      <group>L1_Knowledge</group>
      <groupName>知识性问题</groupName>
      <ability>L2_Knowledge</ability>
      <abilityName>其他知识</abilityName>
      <candidateList>
        <item>山西省原</item>
      </candidateList>
      <explain/>
      <paraID>78E74539</paraID>
      <start>0</start>
      <end>4</end>
      <status>unmodified</status>
      <modifiedWord/>
      <trackRevisions>false</trackRevisions>
    </reviewItem>
    <reviewItem>
      <errorID>0bcbfcaa-af01-4011-bd11-168f48112369</errorID>
      <errorWord>[2009]430号</errorWord>
      <group>L1_Knowledge</group>
      <groupName>知识性问题</groupName>
      <ability>L2_Knowledge</ability>
      <abilityName>其他知识</abilityName>
      <candidateList>
        <item>〔2009〕430号</item>
      </candidateList>
      <explain>发文字号格式错误。</explain>
      <paraID>19ADA473</paraID>
      <start>3</start>
      <end>13</end>
      <status>modified</status>
      <modifiedWord>〔2009〕430号</modifiedWord>
      <trackRevisions>false</trackRevisions>
    </reviewItem>
    <reviewItem>
      <errorID>8917f9e9-a3c4-4448-9951-5d3f35517ce0</errorID>
      <errorWord>[2021]7号</errorWord>
      <group>L1_Knowledge</group>
      <groupName>知识性问题</groupName>
      <ability>L2_Knowledge</ability>
      <abilityName>其他知识</abilityName>
      <candidateList>
        <item>〔2021〕7号</item>
      </candidateList>
      <explain>发文字号格式错误。</explain>
      <paraID> FD536D0</paraID>
      <start>3</start>
      <end>11</end>
      <status>modified</status>
      <modifiedWord>〔2021〕7号</modifiedWord>
      <trackRevisions>false</trackRevisions>
    </reviewItem>
    <reviewItem>
      <errorID>ac90ef2e-1270-4e1e-bc07-354ab718a5c0</errorID>
      <errorWord>[2009]430号</errorWord>
      <group>L1_Knowledge</group>
      <groupName>知识性问题</groupName>
      <ability>L2_Knowledge</ability>
      <abilityName>其他知识</abilityName>
      <candidateList>
        <item>〔2009〕430号</item>
      </candidateList>
      <explain>发文字号格式错误。</explain>
      <paraID>18D92066</paraID>
      <start>3</start>
      <end>13</end>
      <status>modified</status>
      <modifiedWord>〔2009〕430号</modifiedWord>
      <trackRevisions>false</trackRevisions>
    </reviewItem>
    <reviewItem>
      <errorID>34bf0097-6dc0-4d70-9afd-972b141f9925</errorID>
      <errorWord>依托有</errorWord>
      <group>L1_Word</group>
      <groupName>字词问题</groupName>
      <ability>L2_Typo</ability>
      <abilityName>字词错误</abilityName>
      <candidateList>
        <item>依托</item>
      </candidateList>
      <explain/>
      <paraID>72E288F1</paraID>
      <start>3</start>
      <end>5</end>
      <status>modified</status>
      <modifiedWord>依托</modifiedWord>
      <trackRevisions>false</trackRevisions>
    </reviewItem>
    <reviewItem>
      <errorID>f55b2911-9ae7-429f-8e46-3d5ad0127fd4</errorID>
      <errorWord>根据</errorWord>
      <group>L1_Word</group>
      <groupName>字词问题</groupName>
      <ability>L2_Typo</ability>
      <abilityName>字词错误</abilityName>
      <candidateList>
        <item>依据</item>
      </candidateList>
      <explain/>
      <paraID>72E288F1</paraID>
      <start>24</start>
      <end>26</end>
      <status>modified</status>
      <modifiedWord>依据</modifiedWord>
      <trackRevisions>false</trackRevisions>
    </reviewItem>
    <reviewItem>
      <errorID>3f7a1120-a087-4094-9b8a-ed228b7a6dd8</errorID>
      <errorWord>根据金</errorWord>
      <group>L1_Grammar</group>
      <groupName>语法问题</groupName>
      <ability>L2_Grammar</ability>
      <abilityName>语法错误</abilityName>
      <candidateList>
        <item>金</item>
      </candidateList>
      <explain/>
      <paraID> A25FD2D</paraID>
      <start>0</start>
      <end>1</end>
      <status>modified</status>
      <modifiedWord>金</modifiedWord>
      <trackRevisions>false</trackRevisions>
    </reviewItem>
    <reviewItem>
      <errorID>60da4947-1b14-4c00-9976-278f2fed07b5</errorID>
      <errorWord>及</errorWord>
      <group>L1_Grammar</group>
      <groupName>语法问题</groupName>
      <ability>L2_Grammar</ability>
      <abilityName>语法错误</abilityName>
      <candidateList>
        <item>于2026.2.28及</item>
      </candidateList>
      <explain/>
      <paraID> A25FD2D</paraID>
      <start>57</start>
      <end>58</end>
      <status>unmodified</status>
      <modifiedWord/>
      <trackRevisions>false</trackRevisions>
    </reviewItem>
    <reviewItem>
      <errorID>aabf0050-120e-43f0-abd6-245164199bcb</errorID>
      <errorWord>自行监测（</errorWord>
      <group>L1_Grammar</group>
      <groupName>语法问题</groupName>
      <ability>L2_Grammar</ability>
      <abilityName>语法错误</abilityName>
      <candidateList>
        <item>于</item>
      </candidateList>
      <explain/>
      <paraID> A25FD2D</paraID>
      <start>68</start>
      <end>73</end>
      <status>unmodified</status>
      <modifiedWord/>
      <trackRevisions>false</trackRevisions>
    </reviewItem>
    <reviewItem>
      <errorID>645c053c-de8a-45ee-ae48-59c8445f2526</errorID>
      <errorWord>）</errorWord>
      <group>L1_Grammar</group>
      <groupName>语法问题</groupName>
      <ability>L2_Grammar</ability>
      <abilityName>语法错误</abilityName>
      <candidateList>
        <item>分别进行了自行监测</item>
      </candidateList>
      <explain/>
      <paraID> A25FD2D</paraID>
      <start>81</start>
      <end>82</end>
      <status>unmodified</status>
      <modifiedWord/>
      <trackRevisions>false</trackRevisions>
    </reviewItem>
    <reviewItem>
      <errorID>7a0f7cc5-72e4-4360-9605-1047d7be71e1</errorID>
      <errorWord>褪色</errorWord>
      <group>L1_Punc</group>
      <groupName>标点问题</groupName>
      <ability>L2_Punc_CN</ability>
      <abilityName>标点符号问题</abilityName>
      <candidateList>
        <item>褪色。</item>
      </candidateList>
      <explain/>
      <paraID>1A7C1DD3</paraID>
      <start>58</start>
      <end>61</end>
      <status>modified</status>
      <modifiedWord>褪色。</modifiedWord>
      <trackRevisions>false</trackRevisions>
    </reviewItem>
    <reviewItem>
      <errorID>0ecb8c22-fd44-4242-8ecd-1b96a9c3b8ff</errorID>
      <errorWord>）</errorWord>
      <group>L1_Word</group>
      <groupName>字词问题</groupName>
      <ability>L2_Typo</ability>
      <abilityName>字词错误</abilityName>
      <candidateList>
        <item>）对</item>
      </candidateList>
      <explain/>
      <paraID>27E0B617</paraID>
      <start>7</start>
      <end>9</end>
      <status>modified</status>
      <modifiedWord>）对</modifiedWord>
      <trackRevisions>false</trackRevisions>
    </reviewItem>
    <reviewItem>
      <errorID>bcad2545-9d38-4773-bff3-cd97b7fc2377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74FBA8B6</paraID>
      <start>0</start>
      <end>2</end>
      <status>unmodified</status>
      <modifiedWord/>
      <trackRevisions>false</trackRevisions>
    </reviewItem>
    <reviewItem>
      <errorID>7e1413af-5595-4c89-8840-1eebc5b04222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35DD7AEE</paraID>
      <start>0</start>
      <end>2</end>
      <status>unmodified</status>
      <modifiedWord/>
      <trackRevisions>false</trackRevisions>
    </reviewItem>
    <reviewItem>
      <errorID>5300c26b-3d8c-4e6c-a3a8-588d53bf7227</errorID>
      <errorWord>III类</errorWord>
      <group>L1_Knowledge</group>
      <groupName>知识性问题</groupName>
      <ability>L2_Knowledge</ability>
      <abilityName>其他知识</abilityName>
      <candidateList>
        <item>Ⅲ类</item>
      </candidateList>
      <explain>中文环境下罗马数字格式错误。</explain>
      <paraID>30E73494</paraID>
      <start>207</start>
      <end>211</end>
      <status>unmodified</status>
      <modifiedWord/>
      <trackRevisions>false</trackRevisions>
    </reviewItem>
    <reviewItem>
      <errorID>fafe2542-a1b4-4e7e-bba3-1a4a41f0a6c0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31D24163</paraID>
      <start>0</start>
      <end>2</end>
      <status>unmodified</status>
      <modifiedWord/>
      <trackRevisions>false</trackRevisions>
    </reviewItem>
    <reviewItem>
      <errorID>b89083ec-b586-4680-bcc8-3b6892755df7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4CAD5F60</paraID>
      <start>0</start>
      <end>2</end>
      <status>unmodified</status>
      <modifiedWord/>
      <trackRevisions>false</trackRevisions>
    </reviewItem>
    <reviewItem>
      <errorID>8b34bccc-5239-4f5d-a63d-6014b7e56097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6CF6D98F</paraID>
      <start>0</start>
      <end>2</end>
      <status>unmodified</status>
      <modifiedWord/>
      <trackRevisions>false</trackRevisions>
    </reviewItem>
    <reviewItem>
      <errorID>818e81e8-3c20-46ae-b00f-f5320e131033</errorID>
      <errorWord>存</errorWord>
      <group>L1_Word</group>
      <groupName>字词问题</groupName>
      <ability>L2_Typo</ability>
      <abilityName>字词错误</abilityName>
      <candidateList>
        <item>存在</item>
      </candidateList>
      <explain/>
      <paraID> 2BD95EA</paraID>
      <start>50</start>
      <end>51</end>
      <status>unmodified</status>
      <modifiedWord/>
      <trackRevisions>false</trackRevisions>
    </reviewItem>
    <reviewItem>
      <errorID>474567de-f256-4dab-adc2-96763ef2ded2</errorID>
      <errorWord>受到</errorWord>
      <group>L1_Word</group>
      <groupName>字词问题</groupName>
      <ability>L2_Typo</ability>
      <abilityName>字词错误</abilityName>
      <candidateList>
        <item>受</item>
      </candidateList>
      <explain/>
      <paraID>330057CE</paraID>
      <start>55</start>
      <end>56</end>
      <status>modified</status>
      <modifiedWord>受</modifiedWord>
      <trackRevisions>false</trackRevisions>
    </reviewItem>
    <reviewItem>
      <errorID>94bb34ca-84d6-40d6-ac22-0a813cfba1db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237CE47B</paraID>
      <start>0</start>
      <end>2</end>
      <status>unmodified</status>
      <modifiedWord/>
      <trackRevisions>false</trackRevisions>
    </reviewItem>
    <reviewItem>
      <errorID>6a1e6170-55ce-495b-97a9-a86098b19216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71C1A33E</paraID>
      <start>0</start>
      <end>2</end>
      <status>unmodified</status>
      <modifiedWord/>
      <trackRevisions>false</trackRevisions>
    </reviewItem>
    <reviewItem>
      <errorID>3bbd19c7-f305-4da0-bc4e-04bcaff068ed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141457D</paraID>
      <start>0</start>
      <end>2</end>
      <status>unmodified</status>
      <modifiedWord/>
      <trackRevisions>false</trackRevisions>
    </reviewItem>
    <reviewItem>
      <errorID>506a763b-f867-4b57-a1bb-a34dbe7b6712</errorID>
      <errorWord>表3-60</errorWord>
      <group>L1_Other</group>
      <groupName>其他问题</groupName>
      <ability>L2_Consistency</ability>
      <abilityName>一致性检查</abilityName>
      <candidateList>
        <item>表3-6</item>
      </candidateList>
      <explain>数字一致性，前文表格编号为表3-6，此处编号错误，前后不一致</explain>
      <paraID> A4519BE</paraID>
      <start>51</start>
      <end>55</end>
      <status>modified</status>
      <modifiedWord>表3-6</modifiedWord>
      <trackRevisions>false</trackRevisions>
    </reviewItem>
    <reviewItem>
      <errorID>ed71e2a2-2189-473e-ae94-302abd54a972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B53D31B</paraID>
      <start>0</start>
      <end>2</end>
      <status>unmodified</status>
      <modifiedWord/>
      <trackRevisions>false</trackRevisions>
    </reviewItem>
    <reviewItem>
      <errorID>75f14fcf-0498-457f-bf1e-841e1a0b80a6</errorID>
      <errorWord>(</errorWord>
      <group>L1_Format</group>
      <groupName>格式问题</groupName>
      <ability>L2_HalfPunc_CN</ability>
      <abilityName>全半角问题</abilityName>
      <candidateList>
        <item>（</item>
      </candidateList>
      <explain>文本全半角错误。</explain>
      <paraID>30968360</paraID>
      <start>84</start>
      <end>85</end>
      <status>unmodified</status>
      <modifiedWord/>
      <trackRevisions>false</trackRevisions>
    </reviewItem>
    <reviewItem>
      <errorID>bc03c73c-a291-46ff-bb09-07ddce81c883</errorID>
      <errorWord>)</errorWord>
      <group>L1_Format</group>
      <groupName>格式问题</groupName>
      <ability>L2_HalfPunc_CN</ability>
      <abilityName>全半角问题</abilityName>
      <candidateList>
        <item>）</item>
      </candidateList>
      <explain>文本全半角错误。</explain>
      <paraID>30968360</paraID>
      <start>106</start>
      <end>107</end>
      <status>unmodified</status>
      <modifiedWord/>
      <trackRevisions>false</trackRevisions>
    </reviewItem>
    <reviewItem>
      <errorID>bbe2b527-6305-494f-96a5-6ad39dbecca0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4DA32C4C</paraID>
      <start>0</start>
      <end>2</end>
      <status>unmodified</status>
      <modifiedWord/>
      <trackRevisions>false</trackRevisions>
    </reviewItem>
    <reviewItem>
      <errorID>6840e327-7f6f-4999-923f-2f518ddb65f4</errorID>
      <errorWord>、</errorWord>
      <group>L1_Punc</group>
      <groupName>标点问题</groupName>
      <ability>L2_Punc_CN</ability>
      <abilityName>标点符号问题</abilityName>
      <candidateList>
        <item>，</item>
      </candidateList>
      <explain/>
      <paraID> F6BF6C0</paraID>
      <start>21</start>
      <end>22</end>
      <status>unmodified</status>
      <modifiedWord/>
      <trackRevisions>false</trackRevisions>
    </reviewItem>
    <reviewItem>
      <errorID>5a41ce86-c0df-45b4-8915-ad6ce68b2dcf</errorID>
      <errorWord>、</errorWord>
      <group>L1_Punc</group>
      <groupName>标点问题</groupName>
      <ability>L2_Punc_CN</ability>
      <abilityName>标点符号问题</abilityName>
      <candidateList>
        <item>，</item>
      </candidateList>
      <explain/>
      <paraID> F6BF6C0</paraID>
      <start>36</start>
      <end>37</end>
      <status>unmodified</status>
      <modifiedWord/>
      <trackRevisions>false</trackRevisions>
    </reviewItem>
    <reviewItem>
      <errorID>0079f182-2f2b-42f2-adce-58ccb68e5cc4</errorID>
      <errorWord>。</errorWord>
      <group>L1_Grammar</group>
      <groupName>语法问题</groupName>
      <ability>L2_Grammar</ability>
      <abilityName>语法错误</abilityName>
      <candidateList>
        <item>，应做好相关清洁工作。</item>
      </candidateList>
      <explain/>
      <paraID>6874C611</paraID>
      <start>42</start>
      <end>43</end>
      <status>unmodified</status>
      <modifiedWord/>
      <trackRevisions>false</trackRevisions>
    </reviewItem>
    <reviewItem>
      <errorID>69cfff45-964b-4a21-b7b3-b7dd279003ff</errorID>
      <errorWord>飞扬和</errorWord>
      <group>L1_Word</group>
      <groupName>字词问题</groupName>
      <ability>L2_Typo</ability>
      <abilityName>字词错误</abilityName>
      <candidateList>
        <item>飞扬</item>
      </candidateList>
      <explain/>
      <paraID>66C6DF23</paraID>
      <start>21</start>
      <end>24</end>
      <status>unmodified</status>
      <modifiedWord/>
      <trackRevisions>false</trackRevisions>
    </reviewItem>
    <reviewItem>
      <errorID>7d0336fa-f888-4414-89ca-40e48e7c3bd9</errorID>
      <errorWord>要</errorWord>
      <group>L1_Word</group>
      <groupName>字词问题</groupName>
      <ability>L2_Typo</ability>
      <abilityName>字词错误</abilityName>
      <candidateList>
        <item>应</item>
      </candidateList>
      <explain/>
      <paraID>172C127B</paraID>
      <start>7</start>
      <end>8</end>
      <status>unmodified</status>
      <modifiedWord/>
      <trackRevisions>false</trackRevisions>
    </reviewItem>
    <reviewItem>
      <errorID>8237da4f-d97c-4e48-a4c5-7bf2768f742c</errorID>
      <errorWord>坚实路面</errorWord>
      <group>L1_Grammar</group>
      <groupName>语法问题</groupName>
      <ability>L2_Grammar</ability>
      <abilityName>语法错误</abilityName>
      <candidateList>
        <item>坚实</item>
      </candidateList>
      <explain/>
      <paraID>172C127B</paraID>
      <start>10</start>
      <end>14</end>
      <status>unmodified</status>
      <modifiedWord/>
      <trackRevisions>false</trackRevisions>
    </reviewItem>
    <reviewItem>
      <errorID>db8dc93c-ddae-4755-93e4-1b91b668271f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3F66A386</paraID>
      <start>0</start>
      <end>2</end>
      <status>unmodified</status>
      <modifiedWord/>
      <trackRevisions>false</trackRevisions>
    </reviewItem>
    <reviewItem>
      <errorID>2d29a384-5007-405d-9a20-e6f21cefc1c2</errorID>
      <errorWord>产生的</errorWord>
      <group>L1_Word</group>
      <groupName>字词问题</groupName>
      <ability>L2_Typo</ability>
      <abilityName>字词错误</abilityName>
      <candidateList>
        <item>会产生</item>
      </candidateList>
      <explain/>
      <paraID>6EEF21A2</paraID>
      <start>6</start>
      <end>9</end>
      <status>modified</status>
      <modifiedWord>会产生</modifiedWord>
      <trackRevisions>false</trackRevisions>
    </reviewItem>
    <reviewItem>
      <errorID>9e521080-9488-485b-b4fc-cd32bdf17045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17B24469</paraID>
      <start>0</start>
      <end>2</end>
      <status>unmodified</status>
      <modifiedWord/>
      <trackRevisions>false</trackRevisions>
    </reviewItem>
    <reviewItem>
      <errorID>22a1bfd6-cf88-48ce-b90e-b0be2045f54a</errorID>
      <errorWord>束</errorWord>
      <group>L1_Word</group>
      <groupName>字词问题</groupName>
      <ability>L2_Typo</ability>
      <abilityName>字词错误</abilityName>
      <candidateList>
        <item>束后</item>
      </candidateList>
      <explain/>
      <paraID>7951DC99</paraID>
      <start>3</start>
      <end>5</end>
      <status>modified</status>
      <modifiedWord>束后</modifiedWord>
      <trackRevisions>false</trackRevisions>
    </reviewItem>
    <reviewItem>
      <errorID>ae501bf9-014b-477c-bf76-2e288348e4ca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5A74B2E1</paraID>
      <start>0</start>
      <end>2</end>
      <status>unmodified</status>
      <modifiedWord/>
      <trackRevisions>false</trackRevisions>
    </reviewItem>
    <reviewItem>
      <errorID>b1e4db14-7959-4242-8c61-d727f5dfb303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6832D223</paraID>
      <start>0</start>
      <end>2</end>
      <status>unmodified</status>
      <modifiedWord/>
      <trackRevisions>false</trackRevisions>
    </reviewItem>
    <reviewItem>
      <errorID>520ce34c-3a14-4b9f-b4a1-fc78c9748195</errorID>
      <errorWord>及</errorWord>
      <group>L1_Word</group>
      <groupName>字词问题</groupName>
      <ability>L2_Typo</ability>
      <abilityName>字词错误</abilityName>
      <candidateList>
        <item>以及</item>
      </candidateList>
      <explain/>
      <paraID>7645680D</paraID>
      <start>42</start>
      <end>43</end>
      <status>unmodified</status>
      <modifiedWord/>
      <trackRevisions>false</trackRevisions>
    </reviewItem>
    <reviewItem>
      <errorID>90564475-5fa6-456d-b6ba-871225da0c34</errorID>
      <errorWord>的</errorWord>
      <group>L1_Word</group>
      <groupName>字词问题</groupName>
      <ability>L2_Typo</ability>
      <abilityName>字词错误</abilityName>
      <candidateList>
        <item>进行</item>
      </candidateList>
      <explain/>
      <paraID>7645680D</paraID>
      <start>78</start>
      <end>79</end>
      <status>unmodified</status>
      <modifiedWord/>
      <trackRevisions>false</trackRevisions>
    </reviewItem>
    <reviewItem>
      <errorID>cffe3ee0-600c-4280-af7d-e9d3c3bddecd</errorID>
      <errorWord>(</errorWord>
      <group>L1_Format</group>
      <groupName>格式问题</groupName>
      <ability>L2_HalfPunc_CN</ability>
      <abilityName>全半角问题</abilityName>
      <candidateList>
        <item>（</item>
      </candidateList>
      <explain>文本全半角错误。</explain>
      <paraID> 145779D</paraID>
      <start>23</start>
      <end>24</end>
      <status>unmodified</status>
      <modifiedWord/>
      <trackRevisions>false</trackRevisions>
    </reviewItem>
    <reviewItem>
      <errorID>6150e0b6-b2fa-4b26-8063-4e385d452e61</errorID>
      <errorWord>)</errorWord>
      <group>L1_Format</group>
      <groupName>格式问题</groupName>
      <ability>L2_HalfPunc_CN</ability>
      <abilityName>全半角问题</abilityName>
      <candidateList>
        <item>）</item>
      </candidateList>
      <explain>文本全半角错误。</explain>
      <paraID> 145779D</paraID>
      <start>27</start>
      <end>28</end>
      <status>unmodified</status>
      <modifiedWord/>
      <trackRevisions>false</trackRevisions>
    </reviewItem>
    <reviewItem>
      <errorID>c498283a-3216-4238-b69c-4f86a5a07cfb</errorID>
      <errorWord>（</errorWord>
      <group>L1_Format</group>
      <groupName>格式问题</groupName>
      <ability>L2_HalfPunc_CN</ability>
      <abilityName>全半角问题</abilityName>
      <candidateList>
        <item>(</item>
      </candidateList>
      <explain>文本全半角错误。</explain>
      <paraID>40CED3BF</paraID>
      <start>3</start>
      <end>4</end>
      <status>unmodified</status>
      <modifiedWord/>
      <trackRevisions>false</trackRevisions>
    </reviewItem>
    <reviewItem>
      <errorID>32d7a526-af1f-4312-850b-cb74ffcf4e5b</errorID>
      <errorWord>）</errorWord>
      <group>L1_Format</group>
      <groupName>格式问题</groupName>
      <ability>L2_HalfPunc_CN</ability>
      <abilityName>全半角问题</abilityName>
      <candidateList>
        <item>)</item>
      </candidateList>
      <explain>文本全半角错误。</explain>
      <paraID>40CED3BF</paraID>
      <start>9</start>
      <end>10</end>
      <status>unmodified</status>
      <modifiedWord/>
      <trackRevisions>false</trackRevisions>
    </reviewItem>
    <reviewItem>
      <errorID>c1e78c27-5605-4c8e-a1b1-f9cfe4734ce2</errorID>
      <errorWord>，</errorWord>
      <group>L1_Format</group>
      <groupName>格式问题</groupName>
      <ability>L2_HalfPunc_CN</ability>
      <abilityName>全半角问题</abilityName>
      <candidateList>
        <item>, </item>
      </candidateList>
      <explain>文本全半角错误。</explain>
      <paraID> B70EA9F</paraID>
      <start>18</start>
      <end>19</end>
      <status>unmodified</status>
      <modifiedWord/>
      <trackRevisions>false</trackRevisions>
    </reviewItem>
    <reviewItem>
      <errorID>85f4a46f-50b4-4901-a8a4-425b6992aac0</errorID>
      <errorWord>。</errorWord>
      <group>L1_Format</group>
      <groupName>格式问题</groupName>
      <ability>L2_HalfPunc_CN</ability>
      <abilityName>全半角问题</abilityName>
      <candidateList>
        <item>.</item>
      </candidateList>
      <explain>文本全半角错误。</explain>
      <paraID> B70EA9F</paraID>
      <start>39</start>
      <end>40</end>
      <status>unmodified</status>
      <modifiedWord/>
      <trackRevisions>false</trackRevisions>
    </reviewItem>
    <reviewItem>
      <errorID>1ebfc65b-4e7c-4dff-bb5e-918bd49e10a8</errorID>
      <errorWord>m3</errorWord>
      <group>L1_Word</group>
      <groupName>字词问题</groupName>
      <ability>L2_Typo</ability>
      <abilityName>字词错误</abilityName>
      <candidateList>
        <item>m³</item>
      </candidateList>
      <explain/>
      <paraID> 870458C</paraID>
      <start>19</start>
      <end>21</end>
      <status>unmodified</status>
      <modifiedWord/>
      <trackRevisions>false</trackRevisions>
    </reviewItem>
    <reviewItem>
      <errorID>01312e37-3c06-4d6f-ab24-a348d482bbbe</errorID>
      <errorWord>77450m3</errorWord>
      <group>L1_Word</group>
      <groupName>字词问题</groupName>
      <ability>L2_Typo</ability>
      <abilityName>字词错误</abilityName>
      <candidateList>
        <item>77450m³</item>
      </candidateList>
      <explain/>
      <paraID> 870458C</paraID>
      <start>22</start>
      <end>29</end>
      <status>unmodified</status>
      <modifiedWord/>
      <trackRevisions>false</trackRevisions>
    </reviewItem>
    <reviewItem>
      <errorID>3aabd8d5-85da-4b98-9a18-06d30a9b23fa</errorID>
      <errorWord>-9</errorWord>
      <group>L1_Word</group>
      <groupName>字词问题</groupName>
      <ability>L2_Typo</ability>
      <abilityName>字词错误</abilityName>
      <candidateList>
        <item>⁻⁹</item>
      </candidateList>
      <explain/>
      <paraID> 870458C</paraID>
      <start>42</start>
      <end>44</end>
      <status>unmodified</status>
      <modifiedWord/>
      <trackRevisions>false</trackRevisions>
    </reviewItem>
    <reviewItem>
      <errorID>4b776651-c756-4b2e-9ed7-66c507ffbde7</errorID>
      <errorWord>103</errorWord>
      <group>L1_Word</group>
      <groupName>字词问题</groupName>
      <ability>L2_Typo</ability>
      <abilityName>字词错误</abilityName>
      <candidateList>
        <item>10³</item>
      </candidateList>
      <explain/>
      <paraID>3B922BF5</paraID>
      <start>36</start>
      <end>39</end>
      <status>unmodified</status>
      <modifiedWord/>
      <trackRevisions>false</trackRevisions>
    </reviewItem>
    <reviewItem>
      <errorID>a0594979-8ba4-42a2-b1de-7aa03866db09</errorID>
      <errorWord>SO2</errorWord>
      <group>L1_Word</group>
      <groupName>字词问题</groupName>
      <ability>L2_Typo</ability>
      <abilityName>字词错误</abilityName>
      <candidateList>
        <item>SO₂</item>
      </candidateList>
      <explain/>
      <paraID>1B1904E4</paraID>
      <start>150</start>
      <end>153</end>
      <status>unmodified</status>
      <modifiedWord/>
      <trackRevisions>false</trackRevisions>
    </reviewItem>
    <reviewItem>
      <errorID>0ba58f29-dd79-4d2f-97f8-d9a4e1a570c7</errorID>
      <errorWord>）以上</errorWord>
      <group>L1_Grammar</group>
      <groupName>语法问题</groupName>
      <ability>L2_Grammar</ability>
      <abilityName>语法错误</abilityName>
      <candidateList>
        <item>）</item>
      </candidateList>
      <explain/>
      <paraID>1B1904E4</paraID>
      <start>211</start>
      <end>214</end>
      <status>unmodified</status>
      <modifiedWord/>
      <trackRevisions>false</trackRevisions>
    </reviewItem>
    <reviewItem>
      <errorID>48b7f2c3-8242-4a71-8592-d7244f7e8fcc</errorID>
      <errorWord>85%~90%</errorWord>
      <group>L1_Knowledge</group>
      <groupName>知识性问题</groupName>
      <ability>L2_Knowledge</ability>
      <abilityName>其他知识</abilityName>
      <candidateList>
        <item>85%～90%</item>
      </candidateList>
      <explain>1. “85%~90%”中的单位“%”仅出现在后一个数字上，容易引起歧义；根据《现代汉语标点符号数字用法规范手册》，数字表示范围两边需要使用统一的格式。2. 根据标点国标 4.13 中的规则，数字、时间或地域连接符应使用（视觉上更长的）“—”或“～”。</explain>
      <paraID>1B1904E4</paraID>
      <start>345</start>
      <end>352</end>
      <status>unmodified</status>
      <modifiedWord/>
      <trackRevisions>false</trackRevisions>
    </reviewItem>
    <reviewItem>
      <errorID>8091bf2a-3d31-4d07-be2f-a74a7c9de15e</errorID>
      <errorWord>，</errorWord>
      <group>L1_Punc</group>
      <groupName>标点问题</groupName>
      <ability>L2_Punc_CN</ability>
      <abilityName>标点符号问题</abilityName>
      <candidateList>
        <item> </item>
      </candidateList>
      <explain/>
      <paraID>1B1904E4</paraID>
      <start>408</start>
      <end>409</end>
      <status>unmodified</status>
      <modifiedWord/>
      <trackRevisions>false</trackRevisions>
    </reviewItem>
    <reviewItem>
      <errorID>3668d3dd-6c20-4655-bcc7-1c580e5f8d6b</errorID>
      <errorWord>(</errorWord>
      <group>L1_Format</group>
      <groupName>格式问题</groupName>
      <ability>L2_HalfPunc_CN</ability>
      <abilityName>全半角问题</abilityName>
      <candidateList>
        <item>（</item>
      </candidateList>
      <explain>文本全半角错误。</explain>
      <paraID>1B1904E4</paraID>
      <start>414</start>
      <end>415</end>
      <status>unmodified</status>
      <modifiedWord/>
      <trackRevisions>false</trackRevisions>
    </reviewItem>
    <reviewItem>
      <errorID>416faed0-04f7-4dcf-aceb-521ec563a9e4</errorID>
      <errorWord>)</errorWord>
      <group>L1_Format</group>
      <groupName>格式问题</groupName>
      <ability>L2_HalfPunc_CN</ability>
      <abilityName>全半角问题</abilityName>
      <candidateList>
        <item>）</item>
      </candidateList>
      <explain>文本全半角错误。</explain>
      <paraID>1B1904E4</paraID>
      <start>426</start>
      <end>427</end>
      <status>unmodified</status>
      <modifiedWord/>
      <trackRevisions>false</trackRevisions>
    </reviewItem>
    <reviewItem>
      <errorID>e78d2c59-e9a4-4546-82c6-2c76e7c9e30f</errorID>
      <errorWord>为</errorWord>
      <group>L1_Word</group>
      <groupName>字词问题</groupName>
      <ability>L2_Typo</ability>
      <abilityName>字词错误</abilityName>
      <candidateList>
        <item>作为</item>
      </candidateList>
      <explain/>
      <paraID>1B1904E4</paraID>
      <start>436</start>
      <end>437</end>
      <status>unmodified</status>
      <modifiedWord/>
      <trackRevisions>false</trackRevisions>
    </reviewItem>
    <reviewItem>
      <errorID>9c2e2073-7f62-47a7-ba44-ab35bb19e9a9</errorID>
      <errorWord>,</errorWord>
      <group>L1_Format</group>
      <groupName>格式问题</groupName>
      <ability>L2_HalfPunc_CN</ability>
      <abilityName>全半角问题</abilityName>
      <candidateList>
        <item>，</item>
      </candidateList>
      <explain>文本全半角错误。</explain>
      <paraID>69237D97</paraID>
      <start>97</start>
      <end>98</end>
      <status>unmodified</status>
      <modifiedWord/>
      <trackRevisions>false</trackRevisions>
    </reviewItem>
    <reviewItem>
      <errorID>02a09df9-1701-4922-b663-74903aae016a</errorID>
      <errorWord>，</errorWord>
      <group>L1_Word</group>
      <groupName>字词问题</groupName>
      <ability>L2_Typo</ability>
      <abilityName>字词错误</abilityName>
      <candidateList>
        <item>，从</item>
      </candidateList>
      <explain/>
      <paraID>7712A2B8</paraID>
      <start>49</start>
      <end>50</end>
      <status>unmodified</status>
      <modifiedWord/>
      <trackRevisions>false</trackRevisions>
    </reviewItem>
    <reviewItem>
      <errorID>a69d3262-da14-4dc1-91b8-6716d2b2061b</errorID>
      <errorWord>20~50%</errorWord>
      <group>L1_Knowledge</group>
      <groupName>知识性问题</groupName>
      <ability>L2_Knowledge</ability>
      <abilityName>其他知识</abilityName>
      <candidateList>
        <item>20%～50%</item>
      </candidateList>
      <explain>1. “20~50%”中的单位“%”仅出现在后一个数字上，容易引起歧义；根据《现代汉语标点符号数字用法规范手册》，数字表示范围两边需要使用统一的格式。2. 根据标点国标 4.13 中的规则，数字、时间或地域连接符应使用（视觉上更长的）“—”或“～”。</explain>
      <paraID>7712A2B8</paraID>
      <start>204</start>
      <end>210</end>
      <status>unmodified</status>
      <modifiedWord/>
      <trackRevisions>false</trackRevisions>
    </reviewItem>
    <reviewItem>
      <errorID>78159b43-28c2-4543-bd7c-c7bdcc177612</errorID>
      <errorWord>CaSO3 1/2H2O</errorWord>
      <group>L1_Word</group>
      <groupName>字词问题</groupName>
      <ability>L2_Typo</ability>
      <abilityName>字词错误</abilityName>
      <candidateList>
        <item> CaSO₃·½H₂O </item>
      </candidateList>
      <explain/>
      <paraID>4C58FB0E</paraID>
      <start>12</start>
      <end>24</end>
      <status>unmodified</status>
      <modifiedWord/>
      <trackRevisions>false</trackRevisions>
    </reviewItem>
    <reviewItem>
      <errorID>1351652f-d437-4e02-82fa-eab4b605e72f</errorID>
      <errorWord>CaSO4 1/2H2O</errorWord>
      <group>L1_Word</group>
      <groupName>字词问题</groupName>
      <ability>L2_Typo</ability>
      <abilityName>字词错误</abilityName>
      <candidateList>
        <item> CaSO₄·½H₂O </item>
      </candidateList>
      <explain/>
      <paraID>78A97BF9</paraID>
      <start>12</start>
      <end>24</end>
      <status>unmodified</status>
      <modifiedWord/>
      <trackRevisions>false</trackRevisions>
    </reviewItem>
    <reviewItem>
      <errorID>eef9a954-bee2-43c5-880d-4186b74a59e9</errorID>
      <errorWord>CaSO3 1/2HO</errorWord>
      <group>L1_Word</group>
      <groupName>字词问题</groupName>
      <ability>L2_Typo</ability>
      <abilityName>字词错误</abilityName>
      <candidateList>
        <item>CaSO₃·½H₂O </item>
      </candidateList>
      <explain/>
      <paraID>451BD77F</paraID>
      <start>0</start>
      <end>11</end>
      <status>unmodified</status>
      <modifiedWord/>
      <trackRevisions>false</trackRevisions>
    </reviewItem>
    <reviewItem>
      <errorID>b3b53748-34c4-4a4c-98bb-b4bdda8e6c6a</errorID>
      <errorWord>CaSO4 1/2H2O</errorWord>
      <group>L1_Word</group>
      <groupName>字词问题</groupName>
      <ability>L2_Typo</ability>
      <abilityName>字词错误</abilityName>
      <candidateList>
        <item> CaSO₄·½H₂O</item>
      </candidateList>
      <explain/>
      <paraID>451BD77F</paraID>
      <start>18</start>
      <end>30</end>
      <status>unmodified</status>
      <modifiedWord/>
      <trackRevisions>false</trackRevisions>
    </reviewItem>
    <reviewItem>
      <errorID>fb33b8e8-a221-4fbe-b328-5bc91ec268d6</errorID>
      <errorWord>程</errorWord>
      <group>L1_Word</group>
      <groupName>字词问题</groupName>
      <ability>L2_Typo</ability>
      <abilityName>字词错误</abilityName>
      <candidateList>
        <item>程中</item>
      </candidateList>
      <explain/>
      <paraID> 87F9292</paraID>
      <start>9</start>
      <end>11</end>
      <status>modified</status>
      <modifiedWord>程中</modifiedWord>
      <trackRevisions>false</trackRevisions>
    </reviewItem>
    <reviewItem>
      <errorID>873540e2-f9cd-453f-b900-f8626f4b5076</errorID>
      <errorWord>:</errorWord>
      <group>L1_Format</group>
      <groupName>格式问题</groupName>
      <ability>L2_HalfPunc_CN</ability>
      <abilityName>全半角问题</abilityName>
      <candidateList>
        <item>：</item>
      </candidateList>
      <explain>文本全半角错误。</explain>
      <paraID>2F0AC5EC</paraID>
      <start>10</start>
      <end>11</end>
      <status>modified</status>
      <modifiedWord>：</modifiedWord>
      <trackRevisions>false</trackRevisions>
    </reviewItem>
    <reviewItem>
      <errorID>e53bd8d7-0a3a-445e-b050-3f93577defb4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78564FE0</paraID>
      <start>0</start>
      <end>2</end>
      <status>unmodified</status>
      <modifiedWord/>
      <trackRevisions>false</trackRevisions>
    </reviewItem>
    <reviewItem>
      <errorID>0a805cb2-728d-4fa8-b34b-4006d9bd2fe6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1F34872C</paraID>
      <start>0</start>
      <end>2</end>
      <status>unmodified</status>
      <modifiedWord/>
      <trackRevisions>false</trackRevisions>
    </reviewItem>
    <reviewItem>
      <errorID>224e3aba-2374-4b4c-9a29-c6d5b0a199f8</errorID>
      <errorWord>)</errorWord>
      <group>L1_Format</group>
      <groupName>格式问题</groupName>
      <ability>L2_HalfPunc_CN</ability>
      <abilityName>全半角问题</abilityName>
      <candidateList>
        <item>）</item>
      </candidateList>
      <explain>文本全半角错误。</explain>
      <paraID>270E2726</paraID>
      <start>29</start>
      <end>30</end>
      <status>unmodified</status>
      <modifiedWord/>
      <trackRevisions>false</trackRevisions>
    </reviewItem>
    <reviewItem>
      <errorID>884b8fae-5c5f-4531-85bb-aaf9e3196268</errorID>
      <errorWord>Ａ</errorWord>
      <group>L1_Format</group>
      <groupName>格式问题</groupName>
      <ability>L2_HalfPunc_CN</ability>
      <abilityName>全半角问题</abilityName>
      <candidateList>
        <item>A</item>
      </candidateList>
      <explain>文本全半角错误。</explain>
      <paraID>60B31F9B</paraID>
      <start>19</start>
      <end>20</end>
      <status>unmodified</status>
      <modifiedWord/>
      <trackRevisions>false</trackRevisions>
    </reviewItem>
    <reviewItem>
      <errorID>5057583b-5215-41c0-afad-fc6bbc13e929</errorID>
      <errorWord>)</errorWord>
      <group>L1_Format</group>
      <groupName>格式问题</groupName>
      <ability>L2_HalfPunc_CN</ability>
      <abilityName>全半角问题</abilityName>
      <candidateList>
        <item>）</item>
      </candidateList>
      <explain>文本全半角错误。</explain>
      <paraID>60B31F9B</paraID>
      <start>27</start>
      <end>28</end>
      <status>unmodified</status>
      <modifiedWord/>
      <trackRevisions>false</trackRevisions>
    </reviewItem>
    <reviewItem>
      <errorID>cc6fb239-a50e-4343-b1ca-7e6d324fab75</errorID>
      <errorWord>Ａ</errorWord>
      <group>L1_Format</group>
      <groupName>格式问题</groupName>
      <ability>L2_HalfPunc_CN</ability>
      <abilityName>全半角问题</abilityName>
      <candidateList>
        <item>A</item>
      </candidateList>
      <explain>文本全半角错误。</explain>
      <paraID> AE8419C</paraID>
      <start>21</start>
      <end>22</end>
      <status>unmodified</status>
      <modifiedWord/>
      <trackRevisions>false</trackRevisions>
    </reviewItem>
    <reviewItem>
      <errorID>e0617ebf-b075-4c46-b6f2-56aa864b3875</errorID>
      <errorWord>)</errorWord>
      <group>L1_Format</group>
      <groupName>格式问题</groupName>
      <ability>L2_HalfPunc_CN</ability>
      <abilityName>全半角问题</abilityName>
      <candidateList>
        <item>）</item>
      </candidateList>
      <explain>文本全半角错误。</explain>
      <paraID> AE8419C</paraID>
      <start>29</start>
      <end>30</end>
      <status>unmodified</status>
      <modifiedWord/>
      <trackRevisions>false</trackRevisions>
    </reviewItem>
    <reviewItem>
      <errorID>4ab99718-5713-43a6-b9dc-8ef9eb7d9bc5</errorID>
      <errorWord>)</errorWord>
      <group>L1_Format</group>
      <groupName>格式问题</groupName>
      <ability>L2_HalfPunc_CN</ability>
      <abilityName>全半角问题</abilityName>
      <candidateList>
        <item>）</item>
      </candidateList>
      <explain>文本全半角错误。</explain>
      <paraID>29BDD1A2</paraID>
      <start>29</start>
      <end>30</end>
      <status>unmodified</status>
      <modifiedWord/>
      <trackRevisions>false</trackRevisions>
    </reviewItem>
    <reviewItem>
      <errorID>491b8daf-123b-4531-a25a-394461c306dd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11917A61</paraID>
      <start>0</start>
      <end>2</end>
      <status>unmodified</status>
      <modifiedWord/>
      <trackRevisions>false</trackRevisions>
    </reviewItem>
    <reviewItem>
      <errorID>7a5e0772-b97c-4075-87bf-ece953c81ea0</errorID>
      <errorWord>（</errorWord>
      <group>L1_Format</group>
      <groupName>格式问题</groupName>
      <ability>L2_HalfPunc_CN</ability>
      <abilityName>全半角问题</abilityName>
      <candidateList>
        <item>(</item>
      </candidateList>
      <explain>文本全半角错误。</explain>
      <paraID>67E9DDB5</paraID>
      <start>0</start>
      <end>1</end>
      <status>unmodified</status>
      <modifiedWord/>
      <trackRevisions>false</trackRevisions>
    </reviewItem>
    <reviewItem>
      <errorID>478c566a-22ec-42f6-917f-d6c74f334a8a</errorID>
      <errorWord>）</errorWord>
      <group>L1_Format</group>
      <groupName>格式问题</groupName>
      <ability>L2_HalfPunc_CN</ability>
      <abilityName>全半角问题</abilityName>
      <candidateList>
        <item>)</item>
      </candidateList>
      <explain>文本全半角错误。</explain>
      <paraID>67E9DDB5</paraID>
      <start>4</start>
      <end>5</end>
      <status>unmodified</status>
      <modifiedWord/>
      <trackRevisions>false</trackRevisions>
    </reviewItem>
    <reviewItem>
      <errorID>8cad1e1f-9909-406c-a967-12a8a074d3b8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23F14D22</paraID>
      <start>0</start>
      <end>2</end>
      <status>unmodified</status>
      <modifiedWord/>
      <trackRevisions>false</trackRevisions>
    </reviewItem>
    <reviewItem>
      <errorID>04a1ba92-b8e9-4102-9d20-63ea31997045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FD2FE78</paraID>
      <start>58</start>
      <end>59</end>
      <status>unmodified</status>
      <modifiedWord/>
      <trackRevisions>false</trackRevisions>
    </reviewItem>
    <reviewItem>
      <errorID>b6c9a00f-92cc-4d2f-9e85-202de38c7419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CC9473F</paraID>
      <start>22</start>
      <end>23</end>
      <status>unmodified</status>
      <modifiedWord/>
      <trackRevisions>false</trackRevisions>
    </reviewItem>
    <reviewItem>
      <errorID>48504054-e1cb-4189-b38f-a4ceeb7c1c2f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CC9473F</paraID>
      <start>61</start>
      <end>62</end>
      <status>unmodified</status>
      <modifiedWord/>
      <trackRevisions>false</trackRevisions>
    </reviewItem>
    <reviewItem>
      <errorID>c0c196a6-1c8d-4d0f-8900-8d87a0c10791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2B033289</paraID>
      <start>0</start>
      <end>2</end>
      <status>unmodified</status>
      <modifiedWord/>
      <trackRevisions>false</trackRevisions>
    </reviewItem>
    <reviewItem>
      <errorID>1b13f124-e060-4b65-a8ff-387dae9f9fde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404D07D7</paraID>
      <start>0</start>
      <end>2</end>
      <status>unmodified</status>
      <modifiedWord/>
      <trackRevisions>false</trackRevisions>
    </reviewItem>
    <reviewItem>
      <errorID>90ecf294-8fa4-4cc3-b289-0c6af7a6b7ed</errorID>
      <errorWord>要</errorWord>
      <group>L1_Word</group>
      <groupName>字词问题</groupName>
      <ability>L2_Typo</ability>
      <abilityName>字词错误</abilityName>
      <candidateList>
        <item>要为</item>
      </candidateList>
      <explain/>
      <paraID>3CD44064</paraID>
      <start>55</start>
      <end>56</end>
      <status>unmodified</status>
      <modifiedWord/>
      <trackRevisions>false</trackRevisions>
    </reviewItem>
    <reviewItem>
      <errorID>faed04ae-a0a6-4a82-9fe1-c062a1020a50</errorID>
      <errorWord>事故下</errorWord>
      <group>L1_Word</group>
      <groupName>字词问题</groupName>
      <ability>L2_Typo</ability>
      <abilityName>字词错误</abilityName>
      <candidateList>
        <item>事故</item>
      </candidateList>
      <explain/>
      <paraID> A4F9B9C</paraID>
      <start>11</start>
      <end>14</end>
      <status>unmodified</status>
      <modifiedWord/>
      <trackRevisions>false</trackRevisions>
    </reviewItem>
    <reviewItem>
      <errorID>6997e1ae-b497-4350-a1d4-ca9b95ab08f2</errorID>
      <errorWord>(</errorWord>
      <group>L1_Format</group>
      <groupName>格式问题</groupName>
      <ability>L2_HalfPunc_CN</ability>
      <abilityName>全半角问题</abilityName>
      <candidateList>
        <item>（</item>
      </candidateList>
      <explain>文本全半角错误。</explain>
      <paraID>1769F1CE</paraID>
      <start>3</start>
      <end>4</end>
      <status>unmodified</status>
      <modifiedWord/>
      <trackRevisions>false</trackRevisions>
    </reviewItem>
    <reviewItem>
      <errorID>06aeaf4f-1230-435e-92e7-12ad9bc34b2a</errorID>
      <errorWord>)</errorWord>
      <group>L1_Format</group>
      <groupName>格式问题</groupName>
      <ability>L2_HalfPunc_CN</ability>
      <abilityName>全半角问题</abilityName>
      <candidateList>
        <item>）</item>
      </candidateList>
      <explain>文本全半角错误。</explain>
      <paraID>7891B83A</paraID>
      <start>2</start>
      <end>3</end>
      <status>unmodified</status>
      <modifiedWord/>
      <trackRevisions>false</trackRevisions>
    </reviewItem>
    <reviewItem>
      <errorID>b7a412cf-59fa-4a59-9e19-87eb5fa17649</errorID>
      <errorWord>增强</errorWord>
      <group>L1_Grammar</group>
      <groupName>语法问题</groupName>
      <ability>L2_Grammar</ability>
      <abilityName>语法错误</abilityName>
      <candidateList>
        <item>强化</item>
      </candidateList>
      <explain>“增强～管理”搭配不当，建议修改为“强化～管理”。</explain>
      <paraID>42B30BF2</paraID>
      <start>39</start>
      <end>41</end>
      <status>modified</status>
      <modifiedWord>强化</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a39f65-d343-432a-a7b3-ced95c083249}">
  <ds:schemaRefs/>
</ds:datastoreItem>
</file>

<file path=docProps/app.xml><?xml version="1.0" encoding="utf-8"?>
<Properties xmlns="http://schemas.openxmlformats.org/officeDocument/2006/extended-properties" xmlns:vt="http://schemas.openxmlformats.org/officeDocument/2006/docPropsVTypes">
  <Template>wdzx97.dot</Template>
  <Company>微软中国</Company>
  <Pages>51</Pages>
  <Words>4967</Words>
  <Characters>5154</Characters>
  <Lines>184</Lines>
  <Paragraphs>51</Paragraphs>
  <TotalTime>10</TotalTime>
  <ScaleCrop>false</ScaleCrop>
  <LinksUpToDate>false</LinksUpToDate>
  <CharactersWithSpaces>5176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华强</cp:lastModifiedBy>
  <cp:lastPrinted>2026-07-30T08:29:00Z</cp:lastPrinted>
  <dcterms:modified xsi:type="dcterms:W3CDTF">2026-09-07T01:35:18Z</dcterms:modified>
  <dc:title>附件2</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BB5C682BCB104D79BB5283EB790386DB_13</vt:lpwstr>
  </property>
  <property fmtid="{D5CDD505-2E9C-101B-9397-08002B2CF9AE}" pid="4" name="KSOTemplateDocerSaveRecord">
    <vt:lpwstr>eyJoZGlkIjoiZTY2MTcxN2VjNmZhMmM4NjQ0NzU3OWRlNTc1NmI5NjQiLCJ1c2VySWQiOiIzMDExNTcwMjkifQ==</vt:lpwstr>
  </property>
</Properties>
</file>