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壶关县老干部局</w:t>
      </w:r>
      <w:r>
        <w:rPr>
          <w:rFonts w:ascii="宋体" w:hAnsi="宋体"/>
          <w:b/>
          <w:sz w:val="44"/>
          <w:szCs w:val="44"/>
        </w:rPr>
        <w:t>201</w:t>
      </w:r>
      <w:r>
        <w:rPr>
          <w:rFonts w:hint="eastAsia" w:ascii="宋体" w:hAnsi="宋体"/>
          <w:b/>
          <w:sz w:val="44"/>
          <w:szCs w:val="44"/>
        </w:rPr>
        <w:t>8年度部门决算</w:t>
      </w:r>
    </w:p>
    <w:p>
      <w:pPr>
        <w:spacing w:line="560" w:lineRule="exact"/>
        <w:jc w:val="center"/>
        <w:rPr>
          <w:rFonts w:hint="eastAsia" w:ascii="黑体" w:hAnsi="黑体" w:eastAsia="黑体"/>
          <w:sz w:val="44"/>
          <w:szCs w:val="44"/>
        </w:rPr>
      </w:pPr>
      <w:r>
        <w:rPr>
          <w:rFonts w:hint="eastAsia" w:ascii="黑体" w:hAnsi="黑体" w:eastAsia="黑体"/>
          <w:sz w:val="44"/>
          <w:szCs w:val="44"/>
        </w:rPr>
        <w:t>目  录</w:t>
      </w:r>
    </w:p>
    <w:p>
      <w:pPr>
        <w:pStyle w:val="4"/>
        <w:spacing w:line="560" w:lineRule="exact"/>
        <w:jc w:val="left"/>
        <w:rPr>
          <w:rFonts w:hint="eastAsia"/>
        </w:rPr>
      </w:pPr>
      <w:r>
        <w:rPr>
          <w:rFonts w:hint="eastAsia"/>
        </w:rPr>
        <w:t>第一部分</w:t>
      </w:r>
      <w:r>
        <w:t xml:space="preserve">  </w:t>
      </w:r>
      <w:r>
        <w:rPr>
          <w:rFonts w:hint="eastAsia"/>
        </w:rPr>
        <w:t>概况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一、本部门职责</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二、机构设置情况</w:t>
      </w:r>
    </w:p>
    <w:p>
      <w:pPr>
        <w:spacing w:line="560" w:lineRule="exact"/>
        <w:rPr>
          <w:rFonts w:hint="eastAsia" w:ascii="Cambria" w:hAnsi="Cambria"/>
          <w:b/>
          <w:bCs/>
          <w:sz w:val="32"/>
          <w:szCs w:val="32"/>
        </w:rPr>
      </w:pPr>
      <w:r>
        <w:rPr>
          <w:rFonts w:hint="eastAsia" w:ascii="Cambria" w:hAnsi="Cambria"/>
          <w:b/>
          <w:bCs/>
          <w:sz w:val="32"/>
          <w:szCs w:val="32"/>
        </w:rPr>
        <w:t>第二部分　2018年度部门决算公开报表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一、收入支出决算总表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二、收入决算表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三、支出决算表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四、财政拨款收入支出决算总表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五、一般公共预算财政拨款支出决算表（一）</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六、一般公共预算财政拨款支出决算表（二）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七、政府性基金预算财政拨款收入支出决算表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八、部门决算公开相关信息统计表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九、三公经费公开表</w:t>
      </w:r>
    </w:p>
    <w:p>
      <w:pPr>
        <w:spacing w:line="560" w:lineRule="exact"/>
        <w:rPr>
          <w:rFonts w:ascii="Cambria" w:hAnsi="Cambria"/>
          <w:b/>
          <w:bCs/>
          <w:sz w:val="32"/>
          <w:szCs w:val="32"/>
        </w:rPr>
      </w:pPr>
      <w:r>
        <w:rPr>
          <w:rFonts w:hint="eastAsia" w:ascii="Cambria" w:hAnsi="Cambria"/>
          <w:b/>
          <w:bCs/>
          <w:sz w:val="32"/>
          <w:szCs w:val="32"/>
        </w:rPr>
        <w:t>第三部分</w:t>
      </w:r>
      <w:r>
        <w:rPr>
          <w:rFonts w:ascii="Cambria" w:hAnsi="Cambria"/>
          <w:b/>
          <w:bCs/>
          <w:sz w:val="32"/>
          <w:szCs w:val="32"/>
        </w:rPr>
        <w:t xml:space="preserve">  201</w:t>
      </w:r>
      <w:r>
        <w:rPr>
          <w:rFonts w:hint="eastAsia" w:ascii="Cambria" w:hAnsi="Cambria"/>
          <w:b/>
          <w:bCs/>
          <w:sz w:val="32"/>
          <w:szCs w:val="32"/>
        </w:rPr>
        <w:t>8年度部门决算情况说明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一、部门决算收支增减变化情况说明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二、机关运行经费执行情况说明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三、三公经费增减变化原因情况说明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四、政府采购支出情况说明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五、国有资产占用情况说明</w:t>
      </w:r>
    </w:p>
    <w:p>
      <w:pPr>
        <w:spacing w:line="560" w:lineRule="exact"/>
        <w:ind w:firstLine="636"/>
        <w:rPr>
          <w:rFonts w:hint="eastAsia" w:ascii="仿宋" w:hAnsi="仿宋" w:eastAsia="仿宋"/>
          <w:sz w:val="32"/>
          <w:szCs w:val="32"/>
        </w:rPr>
      </w:pPr>
      <w:r>
        <w:rPr>
          <w:rFonts w:hint="eastAsia" w:ascii="仿宋" w:hAnsi="仿宋" w:eastAsia="仿宋"/>
          <w:sz w:val="32"/>
          <w:szCs w:val="32"/>
        </w:rPr>
        <w:t>六、重点项目预算绩效情况说明</w:t>
      </w:r>
    </w:p>
    <w:p>
      <w:pPr>
        <w:spacing w:line="560" w:lineRule="exact"/>
        <w:ind w:firstLine="636"/>
        <w:rPr>
          <w:rFonts w:hint="eastAsia" w:ascii="仿宋" w:hAnsi="仿宋" w:eastAsia="仿宋"/>
          <w:sz w:val="32"/>
          <w:szCs w:val="32"/>
        </w:rPr>
      </w:pPr>
      <w:r>
        <w:rPr>
          <w:rFonts w:hint="eastAsia" w:ascii="仿宋" w:hAnsi="仿宋" w:eastAsia="仿宋"/>
          <w:sz w:val="32"/>
          <w:szCs w:val="32"/>
        </w:rPr>
        <w:t>七、其他情况说明</w:t>
      </w:r>
    </w:p>
    <w:p>
      <w:pPr>
        <w:pStyle w:val="4"/>
        <w:spacing w:line="560" w:lineRule="exact"/>
        <w:jc w:val="left"/>
        <w:rPr>
          <w:rFonts w:hint="eastAsia"/>
        </w:rPr>
      </w:pPr>
      <w:r>
        <w:rPr>
          <w:rFonts w:hint="eastAsia"/>
        </w:rPr>
        <w:t>第四部分</w:t>
      </w:r>
      <w:r>
        <w:t xml:space="preserve">  </w:t>
      </w:r>
      <w:r>
        <w:rPr>
          <w:rFonts w:hint="eastAsia"/>
        </w:rPr>
        <w:t>名词解释</w:t>
      </w:r>
    </w:p>
    <w:p>
      <w:pPr>
        <w:jc w:val="center"/>
        <w:rPr>
          <w:rFonts w:ascii="宋体" w:hAnsi="宋体"/>
          <w:b/>
          <w:bCs/>
          <w:szCs w:val="21"/>
        </w:rPr>
      </w:pPr>
    </w:p>
    <w:p>
      <w:pPr>
        <w:spacing w:line="520" w:lineRule="exact"/>
        <w:ind w:firstLine="645"/>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概况</w:t>
      </w:r>
    </w:p>
    <w:p>
      <w:pPr>
        <w:numPr>
          <w:ilvl w:val="0"/>
          <w:numId w:val="1"/>
        </w:num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本部门职责</w:t>
      </w:r>
    </w:p>
    <w:p>
      <w:pPr>
        <w:numPr>
          <w:ilvl w:val="0"/>
          <w:numId w:val="2"/>
        </w:num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贯彻党中央、国务院和省委、省政府、市委、市政府关于离退休干部工作的方针、政策和县上的有关精神，制定实施办法和细则。开展调查和研究，为县委、县政府和有关部门制定离退休干部工作政策提供情况和依据。</w:t>
      </w:r>
    </w:p>
    <w:p>
      <w:pPr>
        <w:numPr>
          <w:ilvl w:val="0"/>
          <w:numId w:val="2"/>
        </w:num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负责对离退休干部工作的监督、检查、指导和协调；督促离退休干部的政治待遇和生活待遇的落实。</w:t>
      </w:r>
    </w:p>
    <w:p>
      <w:pPr>
        <w:numPr>
          <w:ilvl w:val="0"/>
          <w:numId w:val="2"/>
        </w:num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检查、督促、指导离退休干部的党组织建设，加强离退休干部的学习教育，做好思想政治工作；组织指导离退休干部在两个文明建设中发挥作用。</w:t>
      </w:r>
    </w:p>
    <w:p>
      <w:pPr>
        <w:numPr>
          <w:ilvl w:val="0"/>
          <w:numId w:val="2"/>
        </w:num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负责组织指导离退休干部的文体健身活动和医疗保健工作。</w:t>
      </w:r>
    </w:p>
    <w:p>
      <w:pPr>
        <w:numPr>
          <w:ilvl w:val="0"/>
          <w:numId w:val="2"/>
        </w:num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指导全县离退休干部工作部门的自身建设。</w:t>
      </w:r>
    </w:p>
    <w:p>
      <w:pPr>
        <w:numPr>
          <w:ilvl w:val="0"/>
          <w:numId w:val="2"/>
        </w:num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承担县委、</w:t>
      </w:r>
      <w:r>
        <w:rPr>
          <w:rFonts w:hint="eastAsia" w:ascii="仿宋_GB2312" w:hAnsi="楷体" w:eastAsia="仿宋_GB2312"/>
          <w:sz w:val="32"/>
          <w:szCs w:val="32"/>
          <w:lang w:eastAsia="zh-CN"/>
        </w:rPr>
        <w:t>县委</w:t>
      </w:r>
      <w:r>
        <w:rPr>
          <w:rFonts w:hint="eastAsia" w:ascii="仿宋_GB2312" w:hAnsi="楷体" w:eastAsia="仿宋_GB2312"/>
          <w:sz w:val="32"/>
          <w:szCs w:val="32"/>
        </w:rPr>
        <w:t>组织部交办的其他工作。</w:t>
      </w:r>
    </w:p>
    <w:p>
      <w:pPr>
        <w:numPr>
          <w:ilvl w:val="0"/>
          <w:numId w:val="3"/>
        </w:num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机构设置情况</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我单位属行政单位，下属有一个正股级事业单位老干部活动中心 ,执行的是行政单位会计制度，行政编制人数是7人，实有6人，全额事业编制人数5人，实有4人。</w:t>
      </w:r>
    </w:p>
    <w:p>
      <w:pPr>
        <w:rPr>
          <w:rFonts w:ascii="黑体" w:eastAsia="黑体"/>
          <w:sz w:val="32"/>
          <w:szCs w:val="32"/>
        </w:rPr>
      </w:pPr>
      <w:r>
        <w:rPr>
          <w:rFonts w:hint="eastAsia" w:ascii="黑体" w:eastAsia="黑体"/>
          <w:sz w:val="32"/>
          <w:szCs w:val="32"/>
        </w:rPr>
        <w:t>第二部分　2018年度部门决算公开报表</w:t>
      </w:r>
    </w:p>
    <w:p>
      <w:pPr>
        <w:ind w:firstLine="640" w:firstLineChars="200"/>
        <w:rPr>
          <w:rFonts w:ascii="仿宋_GB2312" w:hAnsi="楷体" w:eastAsia="仿宋_GB2312"/>
          <w:sz w:val="32"/>
          <w:szCs w:val="32"/>
        </w:rPr>
      </w:pPr>
      <w:r>
        <w:rPr>
          <w:rFonts w:hint="eastAsia" w:ascii="仿宋_GB2312" w:hAnsi="楷体" w:eastAsia="仿宋_GB2312"/>
          <w:sz w:val="32"/>
          <w:szCs w:val="32"/>
        </w:rPr>
        <w:t>一、收入支出决算总表</w:t>
      </w:r>
    </w:p>
    <w:p>
      <w:pPr>
        <w:ind w:firstLine="640" w:firstLineChars="200"/>
        <w:rPr>
          <w:rFonts w:ascii="仿宋_GB2312" w:hAnsi="楷体" w:eastAsia="仿宋_GB2312"/>
          <w:sz w:val="32"/>
          <w:szCs w:val="32"/>
        </w:rPr>
      </w:pPr>
      <w:r>
        <w:rPr>
          <w:rFonts w:hint="eastAsia" w:ascii="仿宋_GB2312" w:hAnsi="楷体" w:eastAsia="仿宋_GB2312"/>
          <w:sz w:val="32"/>
          <w:szCs w:val="32"/>
        </w:rPr>
        <w:t>二、收入决算表</w:t>
      </w:r>
    </w:p>
    <w:p>
      <w:pPr>
        <w:ind w:firstLine="640" w:firstLineChars="200"/>
        <w:rPr>
          <w:rFonts w:ascii="仿宋_GB2312" w:hAnsi="楷体" w:eastAsia="仿宋_GB2312"/>
          <w:sz w:val="32"/>
          <w:szCs w:val="32"/>
        </w:rPr>
      </w:pPr>
      <w:r>
        <w:rPr>
          <w:rFonts w:hint="eastAsia" w:ascii="仿宋_GB2312" w:hAnsi="楷体" w:eastAsia="仿宋_GB2312"/>
          <w:sz w:val="32"/>
          <w:szCs w:val="32"/>
        </w:rPr>
        <w:t>三、支出决算表</w:t>
      </w:r>
    </w:p>
    <w:p>
      <w:pPr>
        <w:ind w:firstLine="640" w:firstLineChars="200"/>
        <w:rPr>
          <w:rFonts w:ascii="仿宋_GB2312" w:hAnsi="楷体" w:eastAsia="仿宋_GB2312"/>
          <w:sz w:val="32"/>
          <w:szCs w:val="32"/>
        </w:rPr>
      </w:pPr>
      <w:r>
        <w:rPr>
          <w:rFonts w:hint="eastAsia" w:ascii="仿宋_GB2312" w:hAnsi="楷体" w:eastAsia="仿宋_GB2312"/>
          <w:sz w:val="32"/>
          <w:szCs w:val="32"/>
        </w:rPr>
        <w:t>四、财政拨款收入支出决算总表</w:t>
      </w:r>
    </w:p>
    <w:p>
      <w:pPr>
        <w:ind w:firstLine="640" w:firstLineChars="200"/>
        <w:rPr>
          <w:rFonts w:ascii="仿宋_GB2312" w:hAnsi="楷体" w:eastAsia="仿宋_GB2312"/>
          <w:sz w:val="32"/>
          <w:szCs w:val="32"/>
        </w:rPr>
      </w:pPr>
      <w:r>
        <w:rPr>
          <w:rFonts w:hint="eastAsia" w:ascii="仿宋_GB2312" w:hAnsi="楷体" w:eastAsia="仿宋_GB2312"/>
          <w:sz w:val="32"/>
          <w:szCs w:val="32"/>
        </w:rPr>
        <w:t>五、一般公共预算财政拨款支出决算表（一）</w:t>
      </w:r>
    </w:p>
    <w:p>
      <w:pPr>
        <w:ind w:firstLine="640" w:firstLineChars="200"/>
        <w:rPr>
          <w:rFonts w:ascii="仿宋_GB2312" w:hAnsi="楷体" w:eastAsia="仿宋_GB2312"/>
          <w:sz w:val="32"/>
          <w:szCs w:val="32"/>
        </w:rPr>
      </w:pPr>
      <w:r>
        <w:rPr>
          <w:rFonts w:hint="eastAsia" w:ascii="仿宋_GB2312" w:hAnsi="楷体" w:eastAsia="仿宋_GB2312"/>
          <w:sz w:val="32"/>
          <w:szCs w:val="32"/>
        </w:rPr>
        <w:t>六、一般公共预算财政拨款支出决算表（二）</w:t>
      </w:r>
    </w:p>
    <w:p>
      <w:pPr>
        <w:ind w:firstLine="640" w:firstLineChars="200"/>
        <w:rPr>
          <w:rFonts w:ascii="仿宋_GB2312" w:hAnsi="楷体" w:eastAsia="仿宋_GB2312"/>
          <w:sz w:val="32"/>
          <w:szCs w:val="32"/>
        </w:rPr>
      </w:pPr>
      <w:r>
        <w:rPr>
          <w:rFonts w:hint="eastAsia" w:ascii="仿宋_GB2312" w:hAnsi="楷体" w:eastAsia="仿宋_GB2312"/>
          <w:sz w:val="32"/>
          <w:szCs w:val="32"/>
        </w:rPr>
        <w:t>七、政府性基金预算财政拨款收入支出决算表</w:t>
      </w:r>
    </w:p>
    <w:p>
      <w:pPr>
        <w:ind w:firstLine="640" w:firstLineChars="200"/>
        <w:rPr>
          <w:rFonts w:ascii="仿宋_GB2312" w:hAnsi="楷体" w:eastAsia="仿宋_GB2312"/>
          <w:sz w:val="32"/>
          <w:szCs w:val="32"/>
        </w:rPr>
      </w:pPr>
      <w:r>
        <w:rPr>
          <w:rFonts w:hint="eastAsia" w:ascii="仿宋_GB2312" w:hAnsi="楷体" w:eastAsia="仿宋_GB2312"/>
          <w:sz w:val="32"/>
          <w:szCs w:val="32"/>
        </w:rPr>
        <w:t>八、部门决算公开相关信息统计表</w:t>
      </w:r>
    </w:p>
    <w:p>
      <w:pPr>
        <w:ind w:firstLine="640" w:firstLineChars="200"/>
        <w:rPr>
          <w:rFonts w:ascii="仿宋_GB2312" w:hAnsi="楷体" w:eastAsia="仿宋_GB2312"/>
          <w:sz w:val="32"/>
          <w:szCs w:val="32"/>
        </w:rPr>
      </w:pPr>
      <w:r>
        <w:rPr>
          <w:rFonts w:hint="eastAsia" w:ascii="仿宋_GB2312" w:hAnsi="楷体" w:eastAsia="仿宋_GB2312"/>
          <w:sz w:val="32"/>
          <w:szCs w:val="32"/>
        </w:rPr>
        <w:t>九、三公经费公开表</w:t>
      </w:r>
    </w:p>
    <w:p>
      <w:pPr>
        <w:spacing w:line="520" w:lineRule="exact"/>
        <w:ind w:firstLine="645"/>
        <w:rPr>
          <w:rFonts w:hint="eastAsia" w:ascii="黑体" w:hAnsi="黑体" w:eastAsia="黑体"/>
          <w:sz w:val="32"/>
          <w:szCs w:val="32"/>
        </w:rPr>
      </w:pPr>
      <w:r>
        <w:rPr>
          <w:rFonts w:hint="eastAsia" w:ascii="黑体" w:hAnsi="黑体" w:eastAsia="黑体"/>
          <w:sz w:val="32"/>
          <w:szCs w:val="32"/>
        </w:rPr>
        <w:t>第三部分　2018年度部门决算报表分析</w:t>
      </w:r>
    </w:p>
    <w:p>
      <w:pPr>
        <w:ind w:firstLine="640" w:firstLineChars="200"/>
        <w:rPr>
          <w:rFonts w:ascii="仿宋" w:hAnsi="仿宋" w:eastAsia="仿宋"/>
          <w:sz w:val="32"/>
          <w:szCs w:val="32"/>
        </w:rPr>
      </w:pPr>
      <w:r>
        <w:rPr>
          <w:rFonts w:hint="eastAsia" w:ascii="仿宋" w:hAnsi="仿宋" w:eastAsia="仿宋"/>
          <w:sz w:val="32"/>
          <w:szCs w:val="32"/>
        </w:rPr>
        <w:t>一、部门决算收支增减变化情况说明</w:t>
      </w:r>
    </w:p>
    <w:p>
      <w:pPr>
        <w:ind w:firstLine="640" w:firstLineChars="200"/>
        <w:rPr>
          <w:rFonts w:hint="eastAsia" w:ascii="仿宋" w:hAnsi="仿宋" w:eastAsia="仿宋"/>
          <w:sz w:val="32"/>
          <w:szCs w:val="32"/>
        </w:rPr>
      </w:pPr>
      <w:r>
        <w:rPr>
          <w:rFonts w:hint="eastAsia" w:ascii="仿宋" w:hAnsi="仿宋" w:eastAsia="仿宋"/>
          <w:sz w:val="32"/>
          <w:szCs w:val="32"/>
        </w:rPr>
        <w:t>1、2018年本部门收入 538.47万元，其中：财政拨款收入538.47万元，为当年从财政取得的一般公共预算拨款和政府性基金预算拨款，与上年相比增加67.02万元，增长14.21%。主要原因是行政事业类项目费用增加。</w:t>
      </w:r>
    </w:p>
    <w:p>
      <w:pPr>
        <w:ind w:firstLine="640" w:firstLineChars="200"/>
        <w:rPr>
          <w:rFonts w:hint="eastAsia" w:ascii="仿宋" w:hAnsi="仿宋" w:eastAsia="仿宋"/>
          <w:sz w:val="32"/>
          <w:szCs w:val="32"/>
        </w:rPr>
      </w:pPr>
      <w:r>
        <w:rPr>
          <w:rFonts w:hint="eastAsia" w:ascii="仿宋" w:hAnsi="仿宋" w:eastAsia="仿宋"/>
          <w:sz w:val="32"/>
          <w:szCs w:val="32"/>
        </w:rPr>
        <w:t>2、2018年本部门支出合计538.66万元，其中：基本支出432.79万元，占80.35%；项目支出105.87万元，占19.65%；经营支出0万元，占 0%。与上年相比，支出减少11.37万元，减少2.07%。主要原因是离休人员病故，人员经费减少。</w:t>
      </w:r>
    </w:p>
    <w:p>
      <w:pPr>
        <w:ind w:firstLine="640" w:firstLineChars="200"/>
        <w:rPr>
          <w:rFonts w:ascii="仿宋" w:hAnsi="仿宋" w:eastAsia="仿宋"/>
          <w:sz w:val="32"/>
          <w:szCs w:val="32"/>
        </w:rPr>
      </w:pPr>
      <w:r>
        <w:rPr>
          <w:rFonts w:hint="eastAsia" w:ascii="仿宋" w:hAnsi="仿宋" w:eastAsia="仿宋"/>
          <w:sz w:val="32"/>
          <w:szCs w:val="32"/>
        </w:rPr>
        <w:t>二、机关运行经费执行情况说明</w:t>
      </w:r>
    </w:p>
    <w:p>
      <w:pPr>
        <w:spacing w:line="640" w:lineRule="exact"/>
        <w:ind w:firstLine="640" w:firstLineChars="200"/>
        <w:rPr>
          <w:rFonts w:hint="eastAsia" w:ascii="仿宋" w:hAnsi="仿宋" w:eastAsia="仿宋"/>
          <w:sz w:val="32"/>
          <w:szCs w:val="32"/>
        </w:rPr>
      </w:pPr>
      <w:r>
        <w:rPr>
          <w:rFonts w:hint="eastAsia" w:ascii="仿宋" w:hAnsi="仿宋" w:eastAsia="仿宋"/>
          <w:sz w:val="32"/>
          <w:szCs w:val="32"/>
        </w:rPr>
        <w:t>2018年本部门机关运行经费22.97万元，比上年减少55.12万元，减少70.59%。主要原因是大部分行政运行经费归类到行政类项目费用里。</w:t>
      </w:r>
    </w:p>
    <w:p>
      <w:pPr>
        <w:ind w:firstLine="640" w:firstLineChars="200"/>
        <w:rPr>
          <w:rFonts w:ascii="仿宋" w:hAnsi="仿宋" w:eastAsia="仿宋"/>
          <w:sz w:val="32"/>
          <w:szCs w:val="32"/>
        </w:rPr>
      </w:pPr>
      <w:r>
        <w:rPr>
          <w:rFonts w:hint="eastAsia" w:ascii="仿宋" w:hAnsi="仿宋" w:eastAsia="仿宋"/>
          <w:sz w:val="32"/>
          <w:szCs w:val="32"/>
        </w:rPr>
        <w:t>三、三公经费增减变化原因情况说明</w:t>
      </w:r>
    </w:p>
    <w:p>
      <w:pPr>
        <w:ind w:firstLine="636"/>
        <w:rPr>
          <w:rFonts w:ascii="仿宋_GB2312" w:hAnsi="楷体" w:eastAsia="仿宋_GB2312"/>
          <w:sz w:val="32"/>
          <w:szCs w:val="32"/>
        </w:rPr>
      </w:pPr>
      <w:r>
        <w:rPr>
          <w:rFonts w:hint="eastAsia" w:ascii="仿宋_GB2312" w:eastAsia="仿宋_GB2312"/>
          <w:sz w:val="32"/>
          <w:szCs w:val="32"/>
        </w:rPr>
        <w:t>2018年一般公共预算安排的“三公”经费支出数是1.75万元，比上年增加0.26万元，原因是公务用车维护费增加。其中：因公出国（境）费用0万元，比上年减少（增加）0万元；公务接待费0.25万元，接待3批次，接待26人次，比上年增加0.018万元。公务用车运行维护费1.5万元，比上年增加0.24万元；公务用车购置费0元，比上年减少（增加）0万元。</w:t>
      </w:r>
    </w:p>
    <w:p>
      <w:pPr>
        <w:ind w:firstLine="640" w:firstLineChars="200"/>
        <w:rPr>
          <w:rFonts w:ascii="仿宋" w:hAnsi="仿宋" w:eastAsia="仿宋"/>
          <w:sz w:val="32"/>
          <w:szCs w:val="32"/>
        </w:rPr>
      </w:pPr>
      <w:r>
        <w:rPr>
          <w:rFonts w:hint="eastAsia" w:ascii="仿宋" w:hAnsi="仿宋" w:eastAsia="仿宋"/>
          <w:sz w:val="32"/>
          <w:szCs w:val="32"/>
        </w:rPr>
        <w:t>四、政府采购支出情况说明</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2018年</w:t>
      </w:r>
      <w:r>
        <w:rPr>
          <w:rFonts w:hint="eastAsia" w:ascii="仿宋_GB2312" w:hAnsi="楷体" w:eastAsia="仿宋_GB2312"/>
          <w:sz w:val="32"/>
          <w:szCs w:val="32"/>
        </w:rPr>
        <w:t>本</w:t>
      </w:r>
      <w:r>
        <w:rPr>
          <w:rFonts w:hint="eastAsia" w:ascii="仿宋_GB2312" w:hAnsi="仿宋" w:eastAsia="仿宋_GB2312"/>
          <w:sz w:val="32"/>
          <w:szCs w:val="32"/>
        </w:rPr>
        <w:t>部门政府采购总额6.54万元，其中：政府采购货物5.94万元、政府采购工程0万元、政府采购服务0.6万元。</w:t>
      </w:r>
    </w:p>
    <w:p>
      <w:pPr>
        <w:ind w:firstLine="640" w:firstLineChars="200"/>
        <w:rPr>
          <w:rFonts w:ascii="仿宋" w:hAnsi="仿宋" w:eastAsia="仿宋"/>
          <w:sz w:val="32"/>
          <w:szCs w:val="32"/>
        </w:rPr>
      </w:pPr>
      <w:r>
        <w:rPr>
          <w:rFonts w:hint="eastAsia" w:ascii="仿宋" w:hAnsi="仿宋" w:eastAsia="仿宋"/>
          <w:sz w:val="32"/>
          <w:szCs w:val="32"/>
        </w:rPr>
        <w:t>五、国有资产占用情况说明</w:t>
      </w:r>
    </w:p>
    <w:p>
      <w:pPr>
        <w:ind w:firstLine="636"/>
        <w:rPr>
          <w:rFonts w:ascii="仿宋_GB2312" w:hAnsi="仿宋" w:eastAsia="仿宋_GB2312"/>
          <w:sz w:val="32"/>
          <w:szCs w:val="32"/>
        </w:rPr>
      </w:pPr>
      <w:r>
        <w:rPr>
          <w:rFonts w:hint="eastAsia" w:ascii="仿宋_GB2312" w:hAnsi="仿宋" w:eastAsia="仿宋_GB2312"/>
          <w:sz w:val="32"/>
          <w:szCs w:val="32"/>
        </w:rPr>
        <w:t>（1）、车辆情况：有老干部用车3辆，其中1辆已经交到后勤管理服务中心待报废。</w:t>
      </w:r>
    </w:p>
    <w:p>
      <w:pPr>
        <w:ind w:firstLine="636"/>
        <w:rPr>
          <w:rFonts w:ascii="仿宋_GB2312" w:hAnsi="仿宋" w:eastAsia="仿宋_GB2312"/>
          <w:sz w:val="32"/>
          <w:szCs w:val="32"/>
        </w:rPr>
      </w:pPr>
      <w:r>
        <w:rPr>
          <w:rFonts w:hint="eastAsia" w:ascii="仿宋_GB2312" w:hAnsi="仿宋" w:eastAsia="仿宋_GB2312"/>
          <w:sz w:val="32"/>
          <w:szCs w:val="32"/>
        </w:rPr>
        <w:t>（2）、房屋情况：房屋有2846.07平方米，大部分都是老干部活动中心用房，老干部局办公占用面积大约200平方米。</w:t>
      </w:r>
    </w:p>
    <w:p>
      <w:pPr>
        <w:ind w:firstLine="636"/>
        <w:rPr>
          <w:rFonts w:ascii="仿宋" w:hAnsi="仿宋" w:eastAsia="仿宋_GB2312"/>
          <w:sz w:val="32"/>
          <w:szCs w:val="32"/>
        </w:rPr>
      </w:pPr>
      <w:r>
        <w:rPr>
          <w:rFonts w:hint="eastAsia" w:ascii="仿宋_GB2312" w:hAnsi="仿宋" w:eastAsia="仿宋_GB2312"/>
          <w:sz w:val="32"/>
          <w:szCs w:val="32"/>
        </w:rPr>
        <w:t>（3）、其他国有资产占有使用情况：其他国有资产都在正常使用。</w:t>
      </w:r>
    </w:p>
    <w:p>
      <w:pPr>
        <w:ind w:firstLine="636"/>
        <w:rPr>
          <w:rFonts w:hint="eastAsia" w:ascii="仿宋_GB2312" w:hAnsi="仿宋" w:eastAsia="仿宋_GB2312"/>
          <w:sz w:val="32"/>
          <w:szCs w:val="32"/>
        </w:rPr>
      </w:pPr>
      <w:r>
        <w:rPr>
          <w:rFonts w:hint="eastAsia" w:ascii="仿宋" w:hAnsi="仿宋" w:eastAsia="仿宋"/>
          <w:sz w:val="32"/>
          <w:szCs w:val="32"/>
        </w:rPr>
        <w:t>六、</w:t>
      </w:r>
      <w:r>
        <w:rPr>
          <w:rFonts w:hint="eastAsia" w:ascii="仿宋_GB2312" w:hAnsi="仿宋" w:eastAsia="仿宋_GB2312"/>
          <w:sz w:val="32"/>
          <w:szCs w:val="32"/>
        </w:rPr>
        <w:t>重点项目预算绩效情况说明</w:t>
      </w:r>
    </w:p>
    <w:p>
      <w:pPr>
        <w:ind w:firstLine="636"/>
        <w:rPr>
          <w:rFonts w:hint="eastAsia" w:ascii="仿宋_GB2312" w:hAnsi="仿宋" w:eastAsia="仿宋_GB2312"/>
          <w:sz w:val="32"/>
          <w:szCs w:val="32"/>
        </w:rPr>
      </w:pPr>
      <w:r>
        <w:rPr>
          <w:rFonts w:hint="eastAsia" w:ascii="仿宋_GB2312" w:hAnsi="仿宋" w:eastAsia="仿宋_GB2312"/>
          <w:sz w:val="32"/>
          <w:szCs w:val="32"/>
        </w:rPr>
        <w:t>本部门2018年度实施重点项目共0个，涉及财政性资金合计0万元。0项目开展了绩效评价工作，评价结果0。</w:t>
      </w:r>
    </w:p>
    <w:p>
      <w:pPr>
        <w:ind w:firstLine="636"/>
        <w:rPr>
          <w:rFonts w:hint="eastAsia" w:ascii="仿宋_GB2312" w:hAnsi="仿宋" w:eastAsia="仿宋_GB2312"/>
          <w:sz w:val="32"/>
          <w:szCs w:val="32"/>
        </w:rPr>
      </w:pPr>
      <w:r>
        <w:rPr>
          <w:rFonts w:hint="eastAsia" w:ascii="仿宋_GB2312" w:hAnsi="仿宋" w:eastAsia="仿宋_GB2312"/>
          <w:sz w:val="32"/>
          <w:szCs w:val="32"/>
        </w:rPr>
        <w:t>七、其他情况说明</w:t>
      </w:r>
    </w:p>
    <w:p>
      <w:pPr>
        <w:ind w:firstLine="636"/>
        <w:rPr>
          <w:rFonts w:hint="eastAsia" w:ascii="仿宋_GB2312" w:hAnsi="仿宋" w:eastAsia="仿宋_GB2312"/>
          <w:sz w:val="32"/>
          <w:szCs w:val="32"/>
        </w:rPr>
      </w:pPr>
      <w:r>
        <w:rPr>
          <w:rFonts w:hint="eastAsia" w:ascii="仿宋_GB2312" w:hAnsi="仿宋" w:eastAsia="仿宋_GB2312"/>
          <w:sz w:val="32"/>
          <w:szCs w:val="32"/>
        </w:rPr>
        <w:t>无</w:t>
      </w:r>
    </w:p>
    <w:p>
      <w:pPr>
        <w:spacing w:line="540" w:lineRule="exact"/>
        <w:ind w:firstLine="645"/>
        <w:rPr>
          <w:rFonts w:ascii="黑体" w:hAnsi="黑体" w:eastAsia="黑体"/>
          <w:sz w:val="32"/>
          <w:szCs w:val="32"/>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名词解释</w:t>
      </w:r>
    </w:p>
    <w:p>
      <w:pPr>
        <w:spacing w:line="540" w:lineRule="exact"/>
        <w:ind w:firstLine="645"/>
        <w:rPr>
          <w:rFonts w:ascii="仿宋_GB2312" w:eastAsia="仿宋_GB2312"/>
          <w:sz w:val="32"/>
          <w:szCs w:val="32"/>
        </w:rPr>
      </w:pPr>
      <w:r>
        <w:rPr>
          <w:rFonts w:hint="eastAsia" w:ascii="仿宋_GB2312" w:eastAsia="仿宋_GB2312"/>
          <w:sz w:val="32"/>
          <w:szCs w:val="32"/>
        </w:rPr>
        <w:t>对本部门公开情况中涉及</w:t>
      </w:r>
      <w:bookmarkStart w:id="0" w:name="_GoBack"/>
      <w:bookmarkEnd w:id="0"/>
      <w:r>
        <w:rPr>
          <w:rFonts w:hint="eastAsia" w:ascii="仿宋_GB2312" w:eastAsia="仿宋_GB2312"/>
          <w:sz w:val="32"/>
          <w:szCs w:val="32"/>
        </w:rPr>
        <w:t>的专用名词进行解释（参考模板，各单位可根据本单位实际情况进行修改和完善）</w:t>
      </w:r>
    </w:p>
    <w:p>
      <w:pPr>
        <w:autoSpaceDE w:val="0"/>
        <w:autoSpaceDN w:val="0"/>
        <w:adjustRightInd w:val="0"/>
        <w:spacing w:line="540" w:lineRule="exact"/>
        <w:ind w:firstLine="640" w:firstLineChars="200"/>
        <w:rPr>
          <w:rFonts w:ascii="仿宋_GB2312" w:eastAsia="仿宋_GB2312"/>
          <w:sz w:val="32"/>
          <w:szCs w:val="32"/>
        </w:rPr>
      </w:pPr>
      <w:r>
        <w:rPr>
          <w:rFonts w:hint="eastAsia" w:ascii="仿宋_GB2312" w:eastAsia="仿宋_GB2312"/>
          <w:sz w:val="32"/>
          <w:szCs w:val="32"/>
        </w:rPr>
        <w:t>（一）基本支出：指为保障机构正常运转、完成日常工作任务而发生的人员支出和公用支出。</w:t>
      </w:r>
    </w:p>
    <w:p>
      <w:pPr>
        <w:autoSpaceDE w:val="0"/>
        <w:autoSpaceDN w:val="0"/>
        <w:adjustRightInd w:val="0"/>
        <w:spacing w:line="540" w:lineRule="exact"/>
        <w:ind w:firstLine="640" w:firstLineChars="200"/>
        <w:rPr>
          <w:rFonts w:ascii="仿宋_GB2312" w:eastAsia="仿宋_GB2312"/>
          <w:sz w:val="32"/>
          <w:szCs w:val="32"/>
        </w:rPr>
      </w:pPr>
      <w:r>
        <w:rPr>
          <w:rFonts w:hint="eastAsia" w:ascii="仿宋_GB2312" w:eastAsia="仿宋_GB2312"/>
          <w:sz w:val="32"/>
          <w:szCs w:val="32"/>
        </w:rPr>
        <w:t>（二）项目支出：指在基本支出之外为完成特定行政任务和事业发展目标所发生的支出。</w:t>
      </w:r>
    </w:p>
    <w:p>
      <w:pPr>
        <w:autoSpaceDE w:val="0"/>
        <w:autoSpaceDN w:val="0"/>
        <w:adjustRightInd w:val="0"/>
        <w:spacing w:line="540" w:lineRule="exact"/>
        <w:ind w:firstLine="640" w:firstLineChars="200"/>
        <w:rPr>
          <w:rFonts w:ascii="仿宋_GB2312" w:eastAsia="仿宋_GB2312"/>
          <w:sz w:val="32"/>
          <w:szCs w:val="32"/>
        </w:rPr>
      </w:pPr>
      <w:r>
        <w:rPr>
          <w:rFonts w:hint="eastAsia" w:ascii="仿宋_GB2312" w:eastAsia="仿宋_GB2312"/>
          <w:sz w:val="32"/>
          <w:szCs w:val="32"/>
        </w:rPr>
        <w:t>（三）“三公”经费：指市直部门用一般公共决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spacing w:line="540" w:lineRule="exact"/>
        <w:ind w:firstLine="640" w:firstLineChars="200"/>
      </w:pPr>
      <w:r>
        <w:rPr>
          <w:rFonts w:hint="eastAsia" w:ascii="仿宋_GB2312" w:eastAsia="仿宋_GB2312"/>
          <w:sz w:val="32"/>
          <w:szCs w:val="32"/>
        </w:rPr>
        <w:t>（四）机关运行经费：指行政单位和参照公务员法管理的事业单位使用一般公共决算安排的基本支出中的日常公用经费支出。</w:t>
      </w:r>
    </w:p>
    <w:sectPr>
      <w:pgSz w:w="11906" w:h="16838"/>
      <w:pgMar w:top="1440" w:right="1236" w:bottom="1440" w:left="129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E0ACE"/>
    <w:multiLevelType w:val="singleLevel"/>
    <w:tmpl w:val="59AE0ACE"/>
    <w:lvl w:ilvl="0" w:tentative="0">
      <w:start w:val="1"/>
      <w:numFmt w:val="chineseCounting"/>
      <w:suff w:val="nothing"/>
      <w:lvlText w:val="%1、"/>
      <w:lvlJc w:val="left"/>
    </w:lvl>
  </w:abstractNum>
  <w:abstractNum w:abstractNumId="1">
    <w:nsid w:val="59AE0C79"/>
    <w:multiLevelType w:val="singleLevel"/>
    <w:tmpl w:val="59AE0C79"/>
    <w:lvl w:ilvl="0" w:tentative="0">
      <w:start w:val="1"/>
      <w:numFmt w:val="decimal"/>
      <w:suff w:val="nothing"/>
      <w:lvlText w:val="%1、"/>
      <w:lvlJc w:val="left"/>
    </w:lvl>
  </w:abstractNum>
  <w:abstractNum w:abstractNumId="2">
    <w:nsid w:val="59AE1368"/>
    <w:multiLevelType w:val="singleLevel"/>
    <w:tmpl w:val="59AE1368"/>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true"/>
  <w:bordersDoNotSurroundFooter w:val="true"/>
  <w:documentProtection w:enforcement="0"/>
  <w:defaultTabStop w:val="420"/>
  <w:drawingGridHorizontalSpacing w:val="105"/>
  <w:drawingGridVerticalSpacing w:val="319"/>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6F3EFC"/>
    <w:rsid w:val="007D4E6F"/>
    <w:rsid w:val="00835C1B"/>
    <w:rsid w:val="00905A85"/>
    <w:rsid w:val="00963A3E"/>
    <w:rsid w:val="00AE1796"/>
    <w:rsid w:val="03D02536"/>
    <w:rsid w:val="06664498"/>
    <w:rsid w:val="068633D0"/>
    <w:rsid w:val="09393E82"/>
    <w:rsid w:val="0A242545"/>
    <w:rsid w:val="102130F0"/>
    <w:rsid w:val="1309134E"/>
    <w:rsid w:val="18DF2CAA"/>
    <w:rsid w:val="18E73337"/>
    <w:rsid w:val="1B756194"/>
    <w:rsid w:val="1CDF5578"/>
    <w:rsid w:val="1F194A58"/>
    <w:rsid w:val="22DE2FCF"/>
    <w:rsid w:val="25164C47"/>
    <w:rsid w:val="276D03D3"/>
    <w:rsid w:val="28B96268"/>
    <w:rsid w:val="2D565330"/>
    <w:rsid w:val="2FC76694"/>
    <w:rsid w:val="307506AE"/>
    <w:rsid w:val="30EA3137"/>
    <w:rsid w:val="330B4D0F"/>
    <w:rsid w:val="33407E89"/>
    <w:rsid w:val="37E76EF2"/>
    <w:rsid w:val="3C995104"/>
    <w:rsid w:val="3FEB0BD5"/>
    <w:rsid w:val="43795A4D"/>
    <w:rsid w:val="43A04613"/>
    <w:rsid w:val="45076D44"/>
    <w:rsid w:val="52C551EB"/>
    <w:rsid w:val="545B69F5"/>
    <w:rsid w:val="572579CC"/>
    <w:rsid w:val="62B706FA"/>
    <w:rsid w:val="67892B77"/>
    <w:rsid w:val="67F011FE"/>
    <w:rsid w:val="711E33DA"/>
    <w:rsid w:val="76671047"/>
    <w:rsid w:val="BFF9B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Cambria" w:hAnsi="Cambria"/>
      <w:b/>
      <w:bCs/>
      <w:sz w:val="32"/>
      <w:szCs w:val="32"/>
    </w:rPr>
  </w:style>
  <w:style w:type="character" w:styleId="7">
    <w:name w:val="page number"/>
    <w:basedOn w:val="6"/>
    <w:qFormat/>
    <w:uiPriority w:val="0"/>
    <w:rPr>
      <w:rFonts w:cs="Times New Roman"/>
    </w:rPr>
  </w:style>
  <w:style w:type="character" w:customStyle="1" w:styleId="8">
    <w:name w:val="页眉 Char"/>
    <w:basedOn w:val="6"/>
    <w:link w:val="3"/>
    <w:qFormat/>
    <w:uiPriority w:val="0"/>
    <w:rPr>
      <w:kern w:val="2"/>
      <w:sz w:val="18"/>
      <w:szCs w:val="18"/>
    </w:rPr>
  </w:style>
  <w:style w:type="character" w:customStyle="1" w:styleId="9">
    <w:name w:val="标题 Char"/>
    <w:link w:val="4"/>
    <w:qFormat/>
    <w:uiPriority w:val="0"/>
    <w:rPr>
      <w:rFonts w:ascii="Cambria" w:hAnsi="Cambria"/>
      <w:b/>
      <w:bCs/>
      <w:kern w:val="2"/>
      <w:sz w:val="32"/>
      <w:szCs w:val="32"/>
    </w:rPr>
  </w:style>
  <w:style w:type="character" w:customStyle="1" w:styleId="10">
    <w:name w:val="标题 Char1"/>
    <w:basedOn w:val="6"/>
    <w:link w:val="4"/>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315</Words>
  <Characters>1796</Characters>
  <Lines>14</Lines>
  <Paragraphs>4</Paragraphs>
  <TotalTime>21</TotalTime>
  <ScaleCrop>false</ScaleCrop>
  <LinksUpToDate>false</LinksUpToDate>
  <CharactersWithSpaces>2107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2017-09-05T17:30:00Z</dcterms:created>
  <dc:creator>Administrator</dc:creator>
  <cp:lastModifiedBy>user</cp:lastModifiedBy>
  <dcterms:modified xsi:type="dcterms:W3CDTF">2022-07-27T15:57:58Z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