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sz w:val="44"/>
          <w:szCs w:val="44"/>
        </w:rPr>
      </w:pPr>
    </w:p>
    <w:p>
      <w:pPr>
        <w:jc w:val="center"/>
        <w:rPr>
          <w:rFonts w:ascii="宋体" w:hAnsi="宋体"/>
          <w:b/>
          <w:sz w:val="44"/>
          <w:szCs w:val="44"/>
        </w:rPr>
      </w:pPr>
      <w:bookmarkStart w:id="0" w:name="_GoBack"/>
      <w:r>
        <w:rPr>
          <w:rFonts w:hint="eastAsia" w:ascii="宋体" w:hAnsi="宋体"/>
          <w:b/>
          <w:sz w:val="44"/>
          <w:szCs w:val="44"/>
        </w:rPr>
        <w:t>壶关县科学技术协会</w:t>
      </w:r>
      <w:r>
        <w:rPr>
          <w:rFonts w:ascii="宋体" w:hAnsi="宋体"/>
          <w:b/>
          <w:sz w:val="44"/>
          <w:szCs w:val="44"/>
        </w:rPr>
        <w:t>201</w:t>
      </w:r>
      <w:r>
        <w:rPr>
          <w:rFonts w:hint="eastAsia" w:ascii="宋体" w:hAnsi="宋体"/>
          <w:b/>
          <w:sz w:val="44"/>
          <w:szCs w:val="44"/>
        </w:rPr>
        <w:t>8年度部门决算</w:t>
      </w:r>
    </w:p>
    <w:bookmarkEnd w:id="0"/>
    <w:p>
      <w:pPr>
        <w:spacing w:line="560" w:lineRule="exact"/>
        <w:jc w:val="center"/>
        <w:rPr>
          <w:rFonts w:hint="eastAsia" w:ascii="黑体" w:hAnsi="黑体" w:eastAsia="黑体"/>
          <w:sz w:val="44"/>
          <w:szCs w:val="44"/>
        </w:rPr>
      </w:pPr>
      <w:r>
        <w:rPr>
          <w:rFonts w:hint="eastAsia" w:ascii="黑体" w:hAnsi="黑体" w:eastAsia="黑体"/>
          <w:sz w:val="44"/>
          <w:szCs w:val="44"/>
        </w:rPr>
        <w:t>目  录</w:t>
      </w:r>
    </w:p>
    <w:p>
      <w:pPr>
        <w:pStyle w:val="4"/>
        <w:spacing w:line="560" w:lineRule="exact"/>
        <w:jc w:val="left"/>
        <w:rPr>
          <w:rFonts w:hint="eastAsia"/>
        </w:rPr>
      </w:pPr>
      <w:r>
        <w:rPr>
          <w:rFonts w:hint="eastAsia"/>
        </w:rPr>
        <w:t>第一部分</w:t>
      </w:r>
      <w:r>
        <w:t xml:space="preserve">  </w:t>
      </w:r>
      <w:r>
        <w:rPr>
          <w:rFonts w:hint="eastAsia"/>
        </w:rPr>
        <w:t>概况</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一、本部门职责</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二、机构设置情况</w:t>
      </w:r>
    </w:p>
    <w:p>
      <w:pPr>
        <w:spacing w:line="560" w:lineRule="exact"/>
        <w:rPr>
          <w:rFonts w:hint="eastAsia" w:ascii="Cambria" w:hAnsi="Cambria"/>
          <w:b/>
          <w:bCs/>
          <w:sz w:val="32"/>
          <w:szCs w:val="32"/>
        </w:rPr>
      </w:pPr>
      <w:r>
        <w:rPr>
          <w:rFonts w:hint="eastAsia" w:ascii="Cambria" w:hAnsi="Cambria"/>
          <w:b/>
          <w:bCs/>
          <w:sz w:val="32"/>
          <w:szCs w:val="32"/>
        </w:rPr>
        <w:t>第二部分　2018年度部门决算公开报表</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一、收入支出决算总表</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二、收入决算表</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三、支出决算表</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四、财政拨款收入支出决算总表</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五、一般公共预算财政拨款支出决算表（一）</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六、一般公共预算财政拨款支出决算表（二）</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七、政府性基金预算财政拨款收入支出决算表</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八、部门决算公开相关信息统计表</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九、三公经费公开表</w:t>
      </w:r>
    </w:p>
    <w:p>
      <w:pPr>
        <w:spacing w:line="560" w:lineRule="exact"/>
        <w:rPr>
          <w:rFonts w:ascii="Cambria" w:hAnsi="Cambria"/>
          <w:b/>
          <w:bCs/>
          <w:sz w:val="32"/>
          <w:szCs w:val="32"/>
        </w:rPr>
      </w:pPr>
      <w:r>
        <w:rPr>
          <w:rFonts w:hint="eastAsia" w:ascii="Cambria" w:hAnsi="Cambria"/>
          <w:b/>
          <w:bCs/>
          <w:sz w:val="32"/>
          <w:szCs w:val="32"/>
        </w:rPr>
        <w:t>第三部分</w:t>
      </w:r>
      <w:r>
        <w:rPr>
          <w:rFonts w:ascii="Cambria" w:hAnsi="Cambria"/>
          <w:b/>
          <w:bCs/>
          <w:sz w:val="32"/>
          <w:szCs w:val="32"/>
        </w:rPr>
        <w:t xml:space="preserve">  201</w:t>
      </w:r>
      <w:r>
        <w:rPr>
          <w:rFonts w:hint="eastAsia" w:ascii="Cambria" w:hAnsi="Cambria"/>
          <w:b/>
          <w:bCs/>
          <w:sz w:val="32"/>
          <w:szCs w:val="32"/>
        </w:rPr>
        <w:t>8年度部门决算情况说明</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一、部门决算收支增减变化情况说明</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二、机关运行经费执行情况说明</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三、三公经费增减变化原因情况说明</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四、政府采购支出情况说明</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五、国有资产占用情况说明</w:t>
      </w:r>
    </w:p>
    <w:p>
      <w:pPr>
        <w:spacing w:line="560" w:lineRule="exact"/>
        <w:ind w:firstLine="636"/>
        <w:rPr>
          <w:rFonts w:hint="eastAsia" w:ascii="仿宋" w:hAnsi="仿宋" w:eastAsia="仿宋"/>
          <w:sz w:val="32"/>
          <w:szCs w:val="32"/>
        </w:rPr>
      </w:pPr>
      <w:r>
        <w:rPr>
          <w:rFonts w:hint="eastAsia" w:ascii="仿宋" w:hAnsi="仿宋" w:eastAsia="仿宋"/>
          <w:sz w:val="32"/>
          <w:szCs w:val="32"/>
        </w:rPr>
        <w:t>六、重点项目预算绩效情况说明</w:t>
      </w:r>
    </w:p>
    <w:p>
      <w:pPr>
        <w:spacing w:line="560" w:lineRule="exact"/>
        <w:ind w:firstLine="636"/>
        <w:rPr>
          <w:rFonts w:hint="eastAsia" w:ascii="仿宋" w:hAnsi="仿宋" w:eastAsia="仿宋"/>
          <w:sz w:val="32"/>
          <w:szCs w:val="32"/>
        </w:rPr>
      </w:pPr>
      <w:r>
        <w:rPr>
          <w:rFonts w:hint="eastAsia" w:ascii="仿宋" w:hAnsi="仿宋" w:eastAsia="仿宋"/>
          <w:sz w:val="32"/>
          <w:szCs w:val="32"/>
        </w:rPr>
        <w:t>七、其他情况说明</w:t>
      </w:r>
    </w:p>
    <w:p>
      <w:pPr>
        <w:pStyle w:val="4"/>
        <w:spacing w:line="560" w:lineRule="exact"/>
        <w:jc w:val="left"/>
        <w:rPr>
          <w:rFonts w:hint="eastAsia"/>
        </w:rPr>
      </w:pPr>
      <w:r>
        <w:rPr>
          <w:rFonts w:hint="eastAsia"/>
        </w:rPr>
        <w:t>第四部分</w:t>
      </w:r>
      <w:r>
        <w:t xml:space="preserve">  </w:t>
      </w:r>
      <w:r>
        <w:rPr>
          <w:rFonts w:hint="eastAsia"/>
        </w:rPr>
        <w:t>名词解释</w:t>
      </w:r>
    </w:p>
    <w:p>
      <w:pPr>
        <w:jc w:val="center"/>
        <w:rPr>
          <w:rFonts w:ascii="??" w:hAnsi="??" w:eastAsia="Times New Roman"/>
          <w:sz w:val="32"/>
          <w:szCs w:val="32"/>
        </w:rPr>
      </w:pPr>
    </w:p>
    <w:p>
      <w:pPr>
        <w:ind w:firstLine="645"/>
        <w:rPr>
          <w:rFonts w:ascii="黑体" w:hAnsi="黑体" w:eastAsia="黑体"/>
          <w:sz w:val="32"/>
          <w:szCs w:val="32"/>
        </w:rPr>
      </w:pPr>
      <w:r>
        <w:rPr>
          <w:rFonts w:hint="eastAsia" w:ascii="黑体" w:hAnsi="黑体" w:eastAsia="黑体"/>
          <w:sz w:val="32"/>
          <w:szCs w:val="32"/>
        </w:rPr>
        <w:t>第一部分</w:t>
      </w:r>
      <w:r>
        <w:rPr>
          <w:rFonts w:ascii="黑体" w:hAnsi="黑体" w:eastAsia="黑体"/>
          <w:sz w:val="32"/>
          <w:szCs w:val="32"/>
        </w:rPr>
        <w:t xml:space="preserve">  </w:t>
      </w:r>
      <w:r>
        <w:rPr>
          <w:rFonts w:hint="eastAsia" w:ascii="黑体" w:hAnsi="黑体" w:eastAsia="黑体"/>
          <w:sz w:val="32"/>
          <w:szCs w:val="32"/>
        </w:rPr>
        <w:t>概况</w:t>
      </w:r>
    </w:p>
    <w:p>
      <w:pPr>
        <w:ind w:firstLine="640"/>
        <w:rPr>
          <w:rFonts w:ascii="仿宋_GB2312" w:hAnsi="楷体" w:eastAsia="仿宋_GB2312"/>
          <w:sz w:val="32"/>
          <w:szCs w:val="32"/>
        </w:rPr>
      </w:pPr>
      <w:r>
        <w:rPr>
          <w:rFonts w:hint="eastAsia" w:ascii="仿宋_GB2312" w:hAnsi="楷体" w:eastAsia="仿宋_GB2312"/>
          <w:sz w:val="32"/>
          <w:szCs w:val="32"/>
        </w:rPr>
        <w:t>一、本部门职责</w:t>
      </w:r>
    </w:p>
    <w:p>
      <w:pPr>
        <w:adjustRightInd w:val="0"/>
        <w:snapToGrid w:val="0"/>
        <w:spacing w:line="329" w:lineRule="auto"/>
        <w:ind w:firstLine="640"/>
        <w:rPr>
          <w:rFonts w:ascii="仿宋" w:hAnsi="仿宋" w:eastAsia="仿宋" w:cs="宋体"/>
          <w:color w:val="000000"/>
          <w:kern w:val="0"/>
          <w:sz w:val="32"/>
          <w:szCs w:val="32"/>
        </w:rPr>
      </w:pPr>
      <w:r>
        <w:rPr>
          <w:rFonts w:hint="eastAsia" w:ascii="仿宋" w:hAnsi="仿宋" w:eastAsia="仿宋" w:cs="楷体"/>
          <w:sz w:val="32"/>
          <w:szCs w:val="32"/>
        </w:rPr>
        <w:t>1、</w:t>
      </w:r>
      <w:r>
        <w:rPr>
          <w:rFonts w:hint="eastAsia" w:ascii="仿宋" w:hAnsi="仿宋" w:eastAsia="仿宋" w:cs="宋体"/>
          <w:color w:val="000000"/>
          <w:kern w:val="0"/>
          <w:sz w:val="32"/>
          <w:szCs w:val="32"/>
        </w:rPr>
        <w:t>团结和动员全县广大科技工作者，坚持党的科技方针、实施科教兴县和可持续发展战略，促进科技进步， 经济发展和社会繁荣，为我县的两个文明建设服务。</w:t>
      </w:r>
    </w:p>
    <w:p>
      <w:pPr>
        <w:adjustRightInd w:val="0"/>
        <w:snapToGrid w:val="0"/>
        <w:spacing w:line="329" w:lineRule="auto"/>
        <w:ind w:firstLine="640"/>
        <w:rPr>
          <w:rFonts w:ascii="仿宋" w:hAnsi="仿宋" w:eastAsia="仿宋" w:cs="宋体"/>
          <w:color w:val="000000"/>
          <w:kern w:val="0"/>
          <w:sz w:val="32"/>
          <w:szCs w:val="32"/>
        </w:rPr>
      </w:pPr>
      <w:r>
        <w:rPr>
          <w:rFonts w:hint="eastAsia" w:ascii="仿宋" w:hAnsi="仿宋" w:eastAsia="仿宋" w:cs="宋体"/>
          <w:color w:val="000000"/>
          <w:kern w:val="0"/>
          <w:sz w:val="32"/>
          <w:szCs w:val="32"/>
        </w:rPr>
        <w:t>2、开展学术交流和学术活动，活跃学术思想，促进学科发展。</w:t>
      </w:r>
    </w:p>
    <w:p>
      <w:pPr>
        <w:widowControl/>
        <w:ind w:firstLine="480" w:firstLineChars="15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3、弘扬科学精神、普及科学知识、传播科学思想和科学方法、捍卫科学尊严、反对迷信愚昧、开展青少年科学技术教育活动，提高全县人民科学文化素质。</w:t>
      </w:r>
    </w:p>
    <w:p>
      <w:pPr>
        <w:widowControl/>
        <w:ind w:firstLine="480" w:firstLineChars="15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4、反映科学工作者的意见、建议和要求，维护科技工作者的意见、建设和要求，维护科技工作者的合法权益，组织科技工作者参与科技政策、规划的制定，参与国家事务、政治协商、科学决策、民主监督、民主管理工作。</w:t>
      </w:r>
    </w:p>
    <w:p>
      <w:pPr>
        <w:widowControl/>
        <w:ind w:firstLine="480" w:firstLineChars="15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5、表彰奖励在科学技术工作中做出突出贡献的组织和优秀科技工作者。</w:t>
      </w:r>
    </w:p>
    <w:p>
      <w:pPr>
        <w:widowControl/>
        <w:ind w:firstLine="480" w:firstLineChars="15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6、接受各级人民政府和有关部门的委托，对科学技术和经济发展的计划、重大建议项目开展科学论证和决策咨询；接受委托承担项目评估、成果鉴定、专业技术职务资格评审等任务；推广先进科学技术，促进科学技术成果转化，组织学会与企业的协作、开展科学技术咨询活动、推动企业科学技术进步。</w:t>
      </w:r>
    </w:p>
    <w:p>
      <w:pPr>
        <w:widowControl/>
        <w:ind w:firstLine="480" w:firstLineChars="15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7、开展民间国际科学技术交流活动，发展同国外、省、市外的科学团体。</w:t>
      </w:r>
    </w:p>
    <w:p>
      <w:pPr>
        <w:widowControl/>
        <w:ind w:left="210" w:leftChars="100" w:firstLine="160" w:firstLineChars="5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8、履行对主管的学会、协会、研究会的管理职责。</w:t>
      </w:r>
    </w:p>
    <w:p>
      <w:pPr>
        <w:widowControl/>
        <w:ind w:left="210" w:leftChars="100" w:firstLine="160" w:firstLineChars="5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9、开展继续教育和培训工作。</w:t>
      </w:r>
    </w:p>
    <w:p>
      <w:pPr>
        <w:widowControl/>
        <w:ind w:left="210" w:leftChars="100" w:firstLine="160" w:firstLineChars="5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10、举办和发展符合科协宗旨的社会公益性事业。</w:t>
      </w:r>
    </w:p>
    <w:p>
      <w:pPr>
        <w:widowControl/>
        <w:ind w:left="210" w:leftChars="100" w:firstLine="160" w:firstLineChars="50"/>
        <w:jc w:val="left"/>
        <w:rPr>
          <w:rFonts w:ascii="楷体_GB2312" w:eastAsia="楷体_GB2312"/>
          <w:b/>
          <w:sz w:val="32"/>
          <w:szCs w:val="32"/>
        </w:rPr>
      </w:pPr>
      <w:r>
        <w:rPr>
          <w:rFonts w:hint="eastAsia" w:ascii="仿宋" w:hAnsi="仿宋" w:eastAsia="仿宋" w:cs="宋体"/>
          <w:color w:val="000000"/>
          <w:kern w:val="0"/>
          <w:sz w:val="32"/>
          <w:szCs w:val="32"/>
        </w:rPr>
        <w:t>11、承担县委、县政府交办的其他事项。</w:t>
      </w:r>
    </w:p>
    <w:p>
      <w:pPr>
        <w:ind w:firstLine="160" w:firstLineChars="50"/>
        <w:rPr>
          <w:rFonts w:ascii="仿宋_GB2312" w:hAnsi="楷体" w:eastAsia="仿宋_GB2312"/>
          <w:sz w:val="32"/>
          <w:szCs w:val="32"/>
        </w:rPr>
      </w:pPr>
      <w:r>
        <w:rPr>
          <w:rFonts w:hint="eastAsia" w:ascii="仿宋_GB2312" w:hAnsi="楷体" w:eastAsia="仿宋_GB2312"/>
          <w:sz w:val="32"/>
          <w:szCs w:val="32"/>
        </w:rPr>
        <w:t>二、机构设置情况（包括部门单位构成情况）</w:t>
      </w:r>
    </w:p>
    <w:p>
      <w:pPr>
        <w:snapToGrid w:val="0"/>
        <w:spacing w:line="329" w:lineRule="auto"/>
        <w:ind w:firstLine="640" w:firstLineChars="200"/>
        <w:rPr>
          <w:rFonts w:ascii="仿宋" w:hAnsi="仿宋" w:eastAsia="仿宋" w:cs="仿宋"/>
          <w:sz w:val="32"/>
          <w:szCs w:val="32"/>
        </w:rPr>
      </w:pPr>
      <w:r>
        <w:rPr>
          <w:rFonts w:hint="eastAsia" w:ascii="仿宋" w:hAnsi="仿宋" w:eastAsia="仿宋" w:cs="华文仿宋"/>
          <w:sz w:val="32"/>
          <w:szCs w:val="32"/>
        </w:rPr>
        <w:t>县科协参公编制人数6人。其中，主席1人，副主席2人，主任科员1人，科员2人。无事业人员，无下属单位。</w:t>
      </w:r>
    </w:p>
    <w:p>
      <w:pPr>
        <w:snapToGrid w:val="0"/>
        <w:spacing w:line="329" w:lineRule="auto"/>
        <w:ind w:firstLine="640" w:firstLineChars="200"/>
        <w:rPr>
          <w:rFonts w:ascii="仿宋" w:hAnsi="仿宋" w:eastAsia="仿宋" w:cs="华文仿宋"/>
          <w:sz w:val="32"/>
          <w:szCs w:val="32"/>
        </w:rPr>
      </w:pPr>
      <w:r>
        <w:rPr>
          <w:rFonts w:hint="eastAsia" w:ascii="仿宋" w:hAnsi="仿宋" w:eastAsia="仿宋" w:cs="华文仿宋"/>
          <w:sz w:val="32"/>
          <w:szCs w:val="32"/>
        </w:rPr>
        <w:t>内设综合办公室。主要职责是：</w:t>
      </w:r>
    </w:p>
    <w:p>
      <w:pPr>
        <w:snapToGrid w:val="0"/>
        <w:spacing w:line="329" w:lineRule="auto"/>
        <w:ind w:firstLine="640" w:firstLineChars="200"/>
        <w:rPr>
          <w:rFonts w:ascii="仿宋" w:hAnsi="仿宋" w:eastAsia="仿宋" w:cs="华文仿宋"/>
          <w:sz w:val="32"/>
          <w:szCs w:val="32"/>
        </w:rPr>
      </w:pPr>
      <w:r>
        <w:rPr>
          <w:rFonts w:hint="eastAsia" w:ascii="仿宋" w:hAnsi="仿宋" w:eastAsia="仿宋" w:cs="华文仿宋"/>
          <w:sz w:val="32"/>
          <w:szCs w:val="32"/>
        </w:rPr>
        <w:t>（1）组织协调机关日常事务，负责各类信息的上传下达，做好来文来电收发、登记、传递、交办、督办、建档等工作。</w:t>
      </w:r>
    </w:p>
    <w:p>
      <w:pPr>
        <w:snapToGrid w:val="0"/>
        <w:spacing w:line="329" w:lineRule="auto"/>
        <w:ind w:firstLine="640" w:firstLineChars="200"/>
        <w:rPr>
          <w:rFonts w:ascii="仿宋" w:hAnsi="仿宋" w:eastAsia="仿宋" w:cs="华文仿宋"/>
          <w:sz w:val="32"/>
          <w:szCs w:val="32"/>
        </w:rPr>
      </w:pPr>
      <w:r>
        <w:rPr>
          <w:rFonts w:hint="eastAsia" w:ascii="仿宋" w:hAnsi="仿宋" w:eastAsia="仿宋" w:cs="华文仿宋"/>
          <w:sz w:val="32"/>
          <w:szCs w:val="32"/>
        </w:rPr>
        <w:t>（2）负责领导班子决定事项的安排、督查与落实。</w:t>
      </w:r>
    </w:p>
    <w:p>
      <w:pPr>
        <w:snapToGrid w:val="0"/>
        <w:spacing w:line="329" w:lineRule="auto"/>
        <w:ind w:firstLine="640" w:firstLineChars="200"/>
        <w:rPr>
          <w:rFonts w:ascii="仿宋" w:hAnsi="仿宋" w:eastAsia="仿宋" w:cs="华文仿宋"/>
          <w:sz w:val="32"/>
          <w:szCs w:val="32"/>
        </w:rPr>
      </w:pPr>
      <w:r>
        <w:rPr>
          <w:rFonts w:hint="eastAsia" w:ascii="仿宋" w:hAnsi="仿宋" w:eastAsia="仿宋" w:cs="华文仿宋"/>
          <w:sz w:val="32"/>
          <w:szCs w:val="32"/>
        </w:rPr>
        <w:t>（3）负责审核、报签、印发机关的各类文件。</w:t>
      </w:r>
    </w:p>
    <w:p>
      <w:pPr>
        <w:snapToGrid w:val="0"/>
        <w:spacing w:line="329" w:lineRule="auto"/>
        <w:ind w:firstLine="640" w:firstLineChars="200"/>
        <w:rPr>
          <w:rFonts w:ascii="仿宋" w:hAnsi="仿宋" w:eastAsia="仿宋" w:cs="华文仿宋"/>
          <w:sz w:val="32"/>
          <w:szCs w:val="32"/>
        </w:rPr>
      </w:pPr>
      <w:r>
        <w:rPr>
          <w:rFonts w:hint="eastAsia" w:ascii="仿宋" w:hAnsi="仿宋" w:eastAsia="仿宋" w:cs="华文仿宋"/>
          <w:sz w:val="32"/>
          <w:szCs w:val="32"/>
        </w:rPr>
        <w:t>（4）负责文件文档、视频图片等资料的整理归档工作。</w:t>
      </w:r>
    </w:p>
    <w:p>
      <w:pPr>
        <w:snapToGrid w:val="0"/>
        <w:spacing w:line="329" w:lineRule="auto"/>
        <w:ind w:firstLine="640" w:firstLineChars="200"/>
        <w:rPr>
          <w:rFonts w:ascii="仿宋" w:hAnsi="仿宋" w:eastAsia="仿宋" w:cs="华文仿宋"/>
          <w:sz w:val="32"/>
          <w:szCs w:val="32"/>
        </w:rPr>
      </w:pPr>
      <w:r>
        <w:rPr>
          <w:rFonts w:hint="eastAsia" w:ascii="仿宋" w:hAnsi="仿宋" w:eastAsia="仿宋" w:cs="华文仿宋"/>
          <w:sz w:val="32"/>
          <w:szCs w:val="32"/>
        </w:rPr>
        <w:t>（5）负责机关日常考勤、安排节假日值班。</w:t>
      </w:r>
    </w:p>
    <w:p>
      <w:pPr>
        <w:snapToGrid w:val="0"/>
        <w:spacing w:line="329" w:lineRule="auto"/>
        <w:ind w:firstLine="640" w:firstLineChars="200"/>
        <w:rPr>
          <w:rFonts w:ascii="仿宋" w:hAnsi="仿宋" w:eastAsia="仿宋" w:cs="华文仿宋"/>
          <w:sz w:val="32"/>
          <w:szCs w:val="32"/>
        </w:rPr>
      </w:pPr>
      <w:r>
        <w:rPr>
          <w:rFonts w:hint="eastAsia" w:ascii="仿宋" w:hAnsi="仿宋" w:eastAsia="仿宋" w:cs="华文仿宋"/>
          <w:sz w:val="32"/>
          <w:szCs w:val="32"/>
        </w:rPr>
        <w:t>（6）负责组织机关的学习和承办相关会议。</w:t>
      </w:r>
    </w:p>
    <w:p>
      <w:pPr>
        <w:snapToGrid w:val="0"/>
        <w:spacing w:line="329" w:lineRule="auto"/>
        <w:ind w:firstLine="640" w:firstLineChars="200"/>
        <w:rPr>
          <w:rFonts w:ascii="仿宋" w:hAnsi="仿宋" w:eastAsia="仿宋" w:cs="华文仿宋"/>
          <w:sz w:val="32"/>
          <w:szCs w:val="32"/>
        </w:rPr>
      </w:pPr>
      <w:r>
        <w:rPr>
          <w:rFonts w:hint="eastAsia" w:ascii="仿宋" w:hAnsi="仿宋" w:eastAsia="仿宋" w:cs="华文仿宋"/>
          <w:sz w:val="32"/>
          <w:szCs w:val="32"/>
        </w:rPr>
        <w:t>（7）负责机关的印鉴使用和保密工作。</w:t>
      </w:r>
    </w:p>
    <w:p>
      <w:pPr>
        <w:snapToGrid w:val="0"/>
        <w:spacing w:line="329" w:lineRule="auto"/>
        <w:ind w:firstLine="640" w:firstLineChars="200"/>
        <w:rPr>
          <w:rFonts w:ascii="仿宋" w:hAnsi="仿宋" w:eastAsia="仿宋" w:cs="华文仿宋"/>
          <w:sz w:val="32"/>
          <w:szCs w:val="32"/>
        </w:rPr>
      </w:pPr>
      <w:r>
        <w:rPr>
          <w:rFonts w:hint="eastAsia" w:ascii="仿宋" w:hAnsi="仿宋" w:eastAsia="仿宋" w:cs="华文仿宋"/>
          <w:sz w:val="32"/>
          <w:szCs w:val="32"/>
        </w:rPr>
        <w:t>（8）负责机关财产和财产管理工作。</w:t>
      </w:r>
    </w:p>
    <w:p>
      <w:pPr>
        <w:snapToGrid w:val="0"/>
        <w:spacing w:line="329" w:lineRule="auto"/>
        <w:ind w:firstLine="640" w:firstLineChars="200"/>
        <w:rPr>
          <w:rFonts w:ascii="仿宋" w:hAnsi="仿宋" w:eastAsia="仿宋" w:cs="华文仿宋"/>
          <w:sz w:val="32"/>
          <w:szCs w:val="32"/>
        </w:rPr>
      </w:pPr>
      <w:r>
        <w:rPr>
          <w:rFonts w:hint="eastAsia" w:ascii="仿宋" w:hAnsi="仿宋" w:eastAsia="仿宋" w:cs="华文仿宋"/>
          <w:sz w:val="32"/>
          <w:szCs w:val="32"/>
        </w:rPr>
        <w:t>（9）负责机关公务用车、办公电话的管理。</w:t>
      </w:r>
    </w:p>
    <w:p>
      <w:pPr>
        <w:snapToGrid w:val="0"/>
        <w:spacing w:line="329" w:lineRule="auto"/>
        <w:ind w:firstLine="640" w:firstLineChars="200"/>
        <w:rPr>
          <w:rFonts w:ascii="仿宋" w:hAnsi="仿宋" w:eastAsia="仿宋" w:cs="华文仿宋"/>
          <w:sz w:val="32"/>
          <w:szCs w:val="32"/>
        </w:rPr>
      </w:pPr>
      <w:r>
        <w:rPr>
          <w:rFonts w:hint="eastAsia" w:ascii="仿宋" w:hAnsi="仿宋" w:eastAsia="仿宋" w:cs="华文仿宋"/>
          <w:sz w:val="32"/>
          <w:szCs w:val="32"/>
        </w:rPr>
        <w:t>（10）负责机关的保洁、安保等后勤保障工作。</w:t>
      </w:r>
    </w:p>
    <w:p>
      <w:pPr>
        <w:snapToGrid w:val="0"/>
        <w:spacing w:line="329" w:lineRule="auto"/>
        <w:ind w:firstLine="640" w:firstLineChars="200"/>
        <w:rPr>
          <w:rFonts w:ascii="仿宋" w:hAnsi="仿宋" w:eastAsia="仿宋" w:cs="华文仿宋"/>
          <w:sz w:val="32"/>
          <w:szCs w:val="32"/>
        </w:rPr>
      </w:pPr>
      <w:r>
        <w:rPr>
          <w:rFonts w:hint="eastAsia" w:ascii="仿宋" w:hAnsi="仿宋" w:eastAsia="仿宋" w:cs="华文仿宋"/>
          <w:sz w:val="32"/>
          <w:szCs w:val="32"/>
        </w:rPr>
        <w:t>（11）负责上级和领导交办的其他工作。</w:t>
      </w:r>
    </w:p>
    <w:p>
      <w:pPr>
        <w:rPr>
          <w:rFonts w:ascii="黑体" w:eastAsia="黑体"/>
          <w:sz w:val="32"/>
          <w:szCs w:val="32"/>
        </w:rPr>
      </w:pPr>
      <w:r>
        <w:rPr>
          <w:rFonts w:hint="eastAsia" w:ascii="黑体" w:eastAsia="黑体"/>
          <w:sz w:val="32"/>
          <w:szCs w:val="32"/>
        </w:rPr>
        <w:t>第二部分　2018年度部门决算公开报表</w:t>
      </w:r>
    </w:p>
    <w:p>
      <w:pPr>
        <w:ind w:firstLine="640" w:firstLineChars="200"/>
        <w:rPr>
          <w:rFonts w:ascii="仿宋_GB2312" w:hAnsi="楷体" w:eastAsia="仿宋_GB2312"/>
          <w:sz w:val="32"/>
          <w:szCs w:val="32"/>
        </w:rPr>
      </w:pPr>
      <w:r>
        <w:rPr>
          <w:rFonts w:hint="eastAsia" w:ascii="仿宋_GB2312" w:hAnsi="楷体" w:eastAsia="仿宋_GB2312"/>
          <w:sz w:val="32"/>
          <w:szCs w:val="32"/>
        </w:rPr>
        <w:t>一、收入支出决算总表</w:t>
      </w:r>
    </w:p>
    <w:p>
      <w:pPr>
        <w:ind w:firstLine="640" w:firstLineChars="200"/>
        <w:rPr>
          <w:rFonts w:ascii="仿宋_GB2312" w:hAnsi="楷体" w:eastAsia="仿宋_GB2312"/>
          <w:sz w:val="32"/>
          <w:szCs w:val="32"/>
        </w:rPr>
      </w:pPr>
      <w:r>
        <w:rPr>
          <w:rFonts w:hint="eastAsia" w:ascii="仿宋_GB2312" w:hAnsi="楷体" w:eastAsia="仿宋_GB2312"/>
          <w:sz w:val="32"/>
          <w:szCs w:val="32"/>
        </w:rPr>
        <w:t>二、收入决算表</w:t>
      </w:r>
    </w:p>
    <w:p>
      <w:pPr>
        <w:ind w:firstLine="640" w:firstLineChars="200"/>
        <w:rPr>
          <w:rFonts w:ascii="仿宋_GB2312" w:hAnsi="楷体" w:eastAsia="仿宋_GB2312"/>
          <w:sz w:val="32"/>
          <w:szCs w:val="32"/>
        </w:rPr>
      </w:pPr>
      <w:r>
        <w:rPr>
          <w:rFonts w:hint="eastAsia" w:ascii="仿宋_GB2312" w:hAnsi="楷体" w:eastAsia="仿宋_GB2312"/>
          <w:sz w:val="32"/>
          <w:szCs w:val="32"/>
        </w:rPr>
        <w:t>三、支出决算表</w:t>
      </w:r>
    </w:p>
    <w:p>
      <w:pPr>
        <w:ind w:firstLine="640" w:firstLineChars="200"/>
        <w:rPr>
          <w:rFonts w:ascii="仿宋_GB2312" w:hAnsi="楷体" w:eastAsia="仿宋_GB2312"/>
          <w:sz w:val="32"/>
          <w:szCs w:val="32"/>
        </w:rPr>
      </w:pPr>
      <w:r>
        <w:rPr>
          <w:rFonts w:hint="eastAsia" w:ascii="仿宋_GB2312" w:hAnsi="楷体" w:eastAsia="仿宋_GB2312"/>
          <w:sz w:val="32"/>
          <w:szCs w:val="32"/>
        </w:rPr>
        <w:t>四、财政拨款收入支出决算总表</w:t>
      </w:r>
    </w:p>
    <w:p>
      <w:pPr>
        <w:ind w:firstLine="640" w:firstLineChars="200"/>
        <w:rPr>
          <w:rFonts w:ascii="仿宋_GB2312" w:hAnsi="楷体" w:eastAsia="仿宋_GB2312"/>
          <w:sz w:val="32"/>
          <w:szCs w:val="32"/>
        </w:rPr>
      </w:pPr>
      <w:r>
        <w:rPr>
          <w:rFonts w:hint="eastAsia" w:ascii="仿宋_GB2312" w:hAnsi="楷体" w:eastAsia="仿宋_GB2312"/>
          <w:sz w:val="32"/>
          <w:szCs w:val="32"/>
        </w:rPr>
        <w:t>五、一般公共预算财政拨款支出决算表（一）</w:t>
      </w:r>
    </w:p>
    <w:p>
      <w:pPr>
        <w:ind w:firstLine="640" w:firstLineChars="200"/>
        <w:rPr>
          <w:rFonts w:ascii="仿宋_GB2312" w:hAnsi="楷体" w:eastAsia="仿宋_GB2312"/>
          <w:sz w:val="32"/>
          <w:szCs w:val="32"/>
        </w:rPr>
      </w:pPr>
      <w:r>
        <w:rPr>
          <w:rFonts w:hint="eastAsia" w:ascii="仿宋_GB2312" w:hAnsi="楷体" w:eastAsia="仿宋_GB2312"/>
          <w:sz w:val="32"/>
          <w:szCs w:val="32"/>
        </w:rPr>
        <w:t>六、一般公共预算财政拨款支出决算表（二）</w:t>
      </w:r>
    </w:p>
    <w:p>
      <w:pPr>
        <w:ind w:firstLine="640" w:firstLineChars="200"/>
        <w:rPr>
          <w:rFonts w:ascii="仿宋_GB2312" w:hAnsi="楷体" w:eastAsia="仿宋_GB2312"/>
          <w:sz w:val="32"/>
          <w:szCs w:val="32"/>
        </w:rPr>
      </w:pPr>
      <w:r>
        <w:rPr>
          <w:rFonts w:hint="eastAsia" w:ascii="仿宋_GB2312" w:hAnsi="楷体" w:eastAsia="仿宋_GB2312"/>
          <w:sz w:val="32"/>
          <w:szCs w:val="32"/>
        </w:rPr>
        <w:t>七、政府性基金预算财政拨款收入支出决算表</w:t>
      </w:r>
    </w:p>
    <w:p>
      <w:pPr>
        <w:ind w:firstLine="640" w:firstLineChars="200"/>
        <w:rPr>
          <w:rFonts w:ascii="仿宋_GB2312" w:hAnsi="楷体" w:eastAsia="仿宋_GB2312"/>
          <w:sz w:val="32"/>
          <w:szCs w:val="32"/>
        </w:rPr>
      </w:pPr>
      <w:r>
        <w:rPr>
          <w:rFonts w:hint="eastAsia" w:ascii="仿宋_GB2312" w:hAnsi="楷体" w:eastAsia="仿宋_GB2312"/>
          <w:sz w:val="32"/>
          <w:szCs w:val="32"/>
        </w:rPr>
        <w:t>八、部门决算公开相关信息统计表</w:t>
      </w:r>
    </w:p>
    <w:p>
      <w:pPr>
        <w:ind w:firstLine="640" w:firstLineChars="200"/>
        <w:rPr>
          <w:rFonts w:ascii="仿宋_GB2312" w:hAnsi="楷体" w:eastAsia="仿宋_GB2312"/>
          <w:sz w:val="32"/>
          <w:szCs w:val="32"/>
        </w:rPr>
      </w:pPr>
      <w:r>
        <w:rPr>
          <w:rFonts w:hint="eastAsia" w:ascii="仿宋_GB2312" w:hAnsi="楷体" w:eastAsia="仿宋_GB2312"/>
          <w:sz w:val="32"/>
          <w:szCs w:val="32"/>
        </w:rPr>
        <w:t>九、三公经费公开表</w:t>
      </w:r>
    </w:p>
    <w:p>
      <w:pPr>
        <w:spacing w:line="520" w:lineRule="exact"/>
        <w:ind w:firstLine="645"/>
        <w:rPr>
          <w:rFonts w:hint="eastAsia" w:ascii="黑体" w:hAnsi="黑体" w:eastAsia="黑体"/>
          <w:sz w:val="32"/>
          <w:szCs w:val="32"/>
        </w:rPr>
      </w:pPr>
      <w:r>
        <w:rPr>
          <w:rFonts w:hint="eastAsia" w:ascii="黑体" w:hAnsi="黑体" w:eastAsia="黑体"/>
          <w:sz w:val="32"/>
          <w:szCs w:val="32"/>
        </w:rPr>
        <w:t>第三部分　2018年度部门决算报表分析</w:t>
      </w:r>
    </w:p>
    <w:p>
      <w:pPr>
        <w:ind w:firstLine="640" w:firstLineChars="200"/>
        <w:rPr>
          <w:rFonts w:ascii="仿宋" w:hAnsi="仿宋" w:eastAsia="仿宋"/>
          <w:sz w:val="32"/>
          <w:szCs w:val="32"/>
        </w:rPr>
      </w:pPr>
      <w:r>
        <w:rPr>
          <w:rFonts w:hint="eastAsia" w:ascii="仿宋" w:hAnsi="仿宋" w:eastAsia="仿宋"/>
          <w:sz w:val="32"/>
          <w:szCs w:val="32"/>
        </w:rPr>
        <w:t>一、部门决算收支增减变化情况说明</w:t>
      </w:r>
    </w:p>
    <w:p>
      <w:pPr>
        <w:ind w:firstLine="640" w:firstLineChars="200"/>
        <w:rPr>
          <w:rFonts w:hint="eastAsia" w:ascii="仿宋" w:hAnsi="仿宋" w:eastAsia="仿宋"/>
          <w:sz w:val="32"/>
          <w:szCs w:val="32"/>
        </w:rPr>
      </w:pPr>
      <w:r>
        <w:rPr>
          <w:rFonts w:hint="eastAsia" w:ascii="仿宋" w:hAnsi="仿宋" w:eastAsia="仿宋"/>
          <w:sz w:val="32"/>
          <w:szCs w:val="32"/>
        </w:rPr>
        <w:t>1、2018年本部门收入87.34万元，其中：财政拨款收入87.34万元，为当年从财政取得的一般公共预算拨款和政府性基金预算拨款， 与上年相比增加</w:t>
      </w:r>
      <w:r>
        <w:rPr>
          <w:rFonts w:hint="eastAsia" w:ascii="仿宋_GB2312" w:hAnsi="仿宋" w:eastAsia="仿宋_GB2312"/>
          <w:sz w:val="32"/>
          <w:szCs w:val="32"/>
        </w:rPr>
        <w:t>17.02</w:t>
      </w:r>
      <w:r>
        <w:rPr>
          <w:rFonts w:hint="eastAsia" w:ascii="仿宋" w:hAnsi="仿宋" w:eastAsia="仿宋"/>
          <w:sz w:val="32"/>
          <w:szCs w:val="32"/>
        </w:rPr>
        <w:t>万元，增长</w:t>
      </w:r>
      <w:r>
        <w:rPr>
          <w:rFonts w:hint="eastAsia" w:ascii="仿宋_GB2312" w:hAnsi="仿宋" w:eastAsia="仿宋_GB2312"/>
          <w:sz w:val="32"/>
          <w:szCs w:val="32"/>
        </w:rPr>
        <w:t>24.21</w:t>
      </w:r>
      <w:r>
        <w:rPr>
          <w:rFonts w:hint="eastAsia" w:ascii="仿宋" w:hAnsi="仿宋" w:eastAsia="仿宋"/>
          <w:sz w:val="32"/>
          <w:szCs w:val="32"/>
        </w:rPr>
        <w:t>%。主要原因是财政拨款收入增加增加。</w:t>
      </w:r>
    </w:p>
    <w:p>
      <w:pPr>
        <w:ind w:firstLine="640" w:firstLineChars="200"/>
        <w:rPr>
          <w:rFonts w:hint="eastAsia" w:ascii="仿宋" w:hAnsi="仿宋" w:eastAsia="仿宋"/>
          <w:sz w:val="32"/>
          <w:szCs w:val="32"/>
        </w:rPr>
      </w:pPr>
      <w:r>
        <w:rPr>
          <w:rFonts w:hint="eastAsia" w:ascii="仿宋" w:hAnsi="仿宋" w:eastAsia="仿宋"/>
          <w:sz w:val="32"/>
          <w:szCs w:val="32"/>
        </w:rPr>
        <w:t>2、2018年本部门支出合计</w:t>
      </w:r>
      <w:r>
        <w:rPr>
          <w:rFonts w:hint="eastAsia" w:ascii="仿宋_GB2312" w:hAnsi="仿宋" w:eastAsia="仿宋_GB2312"/>
          <w:sz w:val="32"/>
          <w:szCs w:val="32"/>
        </w:rPr>
        <w:t>81.91</w:t>
      </w:r>
      <w:r>
        <w:rPr>
          <w:rFonts w:hint="eastAsia" w:ascii="仿宋" w:hAnsi="仿宋" w:eastAsia="仿宋"/>
          <w:sz w:val="32"/>
          <w:szCs w:val="32"/>
        </w:rPr>
        <w:t>万元，其中：基本支出</w:t>
      </w:r>
      <w:r>
        <w:rPr>
          <w:rFonts w:hint="eastAsia" w:ascii="仿宋_GB2312" w:hAnsi="仿宋" w:eastAsia="仿宋_GB2312"/>
          <w:sz w:val="32"/>
          <w:szCs w:val="32"/>
        </w:rPr>
        <w:t>66.93</w:t>
      </w:r>
      <w:r>
        <w:rPr>
          <w:rFonts w:hint="eastAsia" w:ascii="仿宋" w:hAnsi="仿宋" w:eastAsia="仿宋"/>
          <w:sz w:val="32"/>
          <w:szCs w:val="32"/>
        </w:rPr>
        <w:t>万元，占</w:t>
      </w:r>
      <w:r>
        <w:rPr>
          <w:rFonts w:hint="eastAsia" w:ascii="仿宋_GB2312" w:hAnsi="仿宋" w:eastAsia="仿宋_GB2312"/>
          <w:sz w:val="32"/>
          <w:szCs w:val="32"/>
        </w:rPr>
        <w:t>81.71</w:t>
      </w:r>
      <w:r>
        <w:rPr>
          <w:rFonts w:hint="eastAsia" w:ascii="仿宋" w:hAnsi="仿宋" w:eastAsia="仿宋"/>
          <w:sz w:val="32"/>
          <w:szCs w:val="32"/>
        </w:rPr>
        <w:t>%；项目支出</w:t>
      </w:r>
      <w:r>
        <w:rPr>
          <w:rFonts w:hint="eastAsia" w:ascii="仿宋_GB2312" w:hAnsi="仿宋" w:eastAsia="仿宋_GB2312"/>
          <w:sz w:val="32"/>
          <w:szCs w:val="32"/>
        </w:rPr>
        <w:t>15</w:t>
      </w:r>
      <w:r>
        <w:rPr>
          <w:rFonts w:hint="eastAsia" w:ascii="仿宋" w:hAnsi="仿宋" w:eastAsia="仿宋"/>
          <w:sz w:val="32"/>
          <w:szCs w:val="32"/>
        </w:rPr>
        <w:t>万元，占</w:t>
      </w:r>
      <w:r>
        <w:rPr>
          <w:rFonts w:hint="eastAsia" w:ascii="仿宋_GB2312" w:hAnsi="仿宋" w:eastAsia="仿宋_GB2312"/>
          <w:sz w:val="32"/>
          <w:szCs w:val="32"/>
        </w:rPr>
        <w:t>18.31</w:t>
      </w:r>
      <w:r>
        <w:rPr>
          <w:rFonts w:hint="eastAsia" w:ascii="仿宋" w:hAnsi="仿宋" w:eastAsia="仿宋"/>
          <w:sz w:val="32"/>
          <w:szCs w:val="32"/>
        </w:rPr>
        <w:t>%；经营支出</w:t>
      </w:r>
      <w:r>
        <w:rPr>
          <w:rFonts w:hint="eastAsia" w:ascii="仿宋_GB2312" w:hAnsi="仿宋" w:eastAsia="仿宋_GB2312"/>
          <w:sz w:val="32"/>
          <w:szCs w:val="32"/>
        </w:rPr>
        <w:t>0</w:t>
      </w:r>
      <w:r>
        <w:rPr>
          <w:rFonts w:hint="eastAsia" w:ascii="仿宋" w:hAnsi="仿宋" w:eastAsia="仿宋"/>
          <w:sz w:val="32"/>
          <w:szCs w:val="32"/>
        </w:rPr>
        <w:t>万元，占0 %。与上年相比，支出增加7.46万元，增长10.02%。主要原因是基本支出增加。</w:t>
      </w:r>
    </w:p>
    <w:p>
      <w:pPr>
        <w:ind w:firstLine="640" w:firstLineChars="200"/>
        <w:rPr>
          <w:rFonts w:ascii="仿宋" w:hAnsi="仿宋" w:eastAsia="仿宋"/>
          <w:sz w:val="32"/>
          <w:szCs w:val="32"/>
        </w:rPr>
      </w:pPr>
      <w:r>
        <w:rPr>
          <w:rFonts w:hint="eastAsia" w:ascii="仿宋" w:hAnsi="仿宋" w:eastAsia="仿宋"/>
          <w:sz w:val="32"/>
          <w:szCs w:val="32"/>
        </w:rPr>
        <w:t>二、机关运行经费执行情况说明</w:t>
      </w:r>
    </w:p>
    <w:p>
      <w:pPr>
        <w:spacing w:line="640" w:lineRule="exact"/>
        <w:ind w:firstLine="640" w:firstLineChars="200"/>
        <w:rPr>
          <w:rFonts w:hint="eastAsia" w:ascii="仿宋" w:hAnsi="仿宋" w:eastAsia="仿宋"/>
          <w:sz w:val="32"/>
          <w:szCs w:val="32"/>
        </w:rPr>
      </w:pPr>
      <w:r>
        <w:rPr>
          <w:rFonts w:hint="eastAsia" w:ascii="仿宋" w:hAnsi="仿宋" w:eastAsia="仿宋"/>
          <w:sz w:val="32"/>
          <w:szCs w:val="32"/>
        </w:rPr>
        <w:t>2018年本部门机关运行经费</w:t>
      </w:r>
      <w:r>
        <w:rPr>
          <w:rFonts w:hint="eastAsia" w:ascii="仿宋_GB2312" w:hAnsi="仿宋" w:eastAsia="仿宋_GB2312"/>
          <w:sz w:val="32"/>
          <w:szCs w:val="32"/>
        </w:rPr>
        <w:t>9.53</w:t>
      </w:r>
      <w:r>
        <w:rPr>
          <w:rFonts w:hint="eastAsia" w:ascii="仿宋" w:hAnsi="仿宋" w:eastAsia="仿宋"/>
          <w:sz w:val="32"/>
          <w:szCs w:val="32"/>
        </w:rPr>
        <w:t>万元，比上年增减少3.01万元，减少24.04%。主要原因是贯彻中央八项规定，厉行节约，机关各项开支均有大幅下降。</w:t>
      </w:r>
    </w:p>
    <w:p>
      <w:pPr>
        <w:ind w:firstLine="640" w:firstLineChars="200"/>
        <w:rPr>
          <w:rFonts w:ascii="仿宋" w:hAnsi="仿宋" w:eastAsia="仿宋"/>
          <w:sz w:val="32"/>
          <w:szCs w:val="32"/>
        </w:rPr>
      </w:pPr>
      <w:r>
        <w:rPr>
          <w:rFonts w:hint="eastAsia" w:ascii="仿宋" w:hAnsi="仿宋" w:eastAsia="仿宋"/>
          <w:sz w:val="32"/>
          <w:szCs w:val="32"/>
        </w:rPr>
        <w:t>三、三公经费增减变化原因情况说明</w:t>
      </w:r>
    </w:p>
    <w:p>
      <w:pPr>
        <w:ind w:firstLine="636"/>
        <w:rPr>
          <w:rFonts w:hint="eastAsia" w:ascii="仿宋_GB2312" w:hAnsi="楷体" w:eastAsia="仿宋_GB2312"/>
          <w:sz w:val="32"/>
          <w:szCs w:val="32"/>
        </w:rPr>
      </w:pPr>
      <w:r>
        <w:rPr>
          <w:rFonts w:hint="eastAsia" w:ascii="仿宋_GB2312" w:eastAsia="仿宋_GB2312"/>
          <w:sz w:val="32"/>
          <w:szCs w:val="32"/>
        </w:rPr>
        <w:t>2018年一般公共预算安排的“三公”经费支出0.19万元，比上年支出增加0.13万元。原因是</w:t>
      </w:r>
      <w:r>
        <w:rPr>
          <w:rFonts w:hint="eastAsia" w:ascii="仿宋_GB2312" w:hAnsi="仿宋" w:eastAsia="仿宋_GB2312"/>
          <w:sz w:val="32"/>
          <w:szCs w:val="32"/>
        </w:rPr>
        <w:t>上级来访增多</w:t>
      </w:r>
      <w:r>
        <w:rPr>
          <w:rFonts w:hint="eastAsia" w:ascii="仿宋_GB2312" w:eastAsia="仿宋_GB2312"/>
          <w:sz w:val="32"/>
          <w:szCs w:val="32"/>
        </w:rPr>
        <w:t>。其中：因公出国（境）费用</w:t>
      </w:r>
      <w:r>
        <w:rPr>
          <w:rFonts w:hint="eastAsia" w:ascii="仿宋_GB2312" w:hAnsi="仿宋" w:eastAsia="仿宋_GB2312"/>
          <w:sz w:val="32"/>
          <w:szCs w:val="32"/>
        </w:rPr>
        <w:t>0</w:t>
      </w:r>
      <w:r>
        <w:rPr>
          <w:rFonts w:hint="eastAsia" w:ascii="仿宋_GB2312" w:eastAsia="仿宋_GB2312"/>
          <w:sz w:val="32"/>
          <w:szCs w:val="32"/>
        </w:rPr>
        <w:t>万元，比上年减少（增加）</w:t>
      </w:r>
      <w:r>
        <w:rPr>
          <w:rFonts w:hint="eastAsia" w:ascii="仿宋_GB2312" w:hAnsi="仿宋" w:eastAsia="仿宋_GB2312"/>
          <w:sz w:val="32"/>
          <w:szCs w:val="32"/>
        </w:rPr>
        <w:t>0</w:t>
      </w:r>
      <w:r>
        <w:rPr>
          <w:rFonts w:hint="eastAsia" w:ascii="仿宋_GB2312" w:eastAsia="仿宋_GB2312"/>
          <w:sz w:val="32"/>
          <w:szCs w:val="32"/>
        </w:rPr>
        <w:t>万元；公务接待费</w:t>
      </w:r>
      <w:r>
        <w:rPr>
          <w:rFonts w:hint="eastAsia" w:ascii="仿宋_GB2312" w:hAnsi="仿宋" w:eastAsia="仿宋_GB2312"/>
          <w:sz w:val="32"/>
          <w:szCs w:val="32"/>
        </w:rPr>
        <w:t>0.19</w:t>
      </w:r>
      <w:r>
        <w:rPr>
          <w:rFonts w:hint="eastAsia" w:ascii="仿宋_GB2312" w:eastAsia="仿宋_GB2312"/>
          <w:sz w:val="32"/>
          <w:szCs w:val="32"/>
        </w:rPr>
        <w:t>万元，接待</w:t>
      </w:r>
      <w:r>
        <w:rPr>
          <w:rFonts w:hint="eastAsia" w:ascii="仿宋_GB2312" w:hAnsi="仿宋" w:eastAsia="仿宋_GB2312"/>
          <w:sz w:val="32"/>
          <w:szCs w:val="32"/>
        </w:rPr>
        <w:t>4</w:t>
      </w:r>
      <w:r>
        <w:rPr>
          <w:rFonts w:hint="eastAsia" w:ascii="仿宋_GB2312" w:eastAsia="仿宋_GB2312"/>
          <w:sz w:val="32"/>
          <w:szCs w:val="32"/>
        </w:rPr>
        <w:t>批次，接待</w:t>
      </w:r>
      <w:r>
        <w:rPr>
          <w:rFonts w:hint="eastAsia" w:ascii="仿宋_GB2312" w:hAnsi="仿宋" w:eastAsia="仿宋_GB2312"/>
          <w:sz w:val="32"/>
          <w:szCs w:val="32"/>
        </w:rPr>
        <w:t>20</w:t>
      </w:r>
      <w:r>
        <w:rPr>
          <w:rFonts w:hint="eastAsia" w:ascii="仿宋_GB2312" w:eastAsia="仿宋_GB2312"/>
          <w:sz w:val="32"/>
          <w:szCs w:val="32"/>
        </w:rPr>
        <w:t>人次，比上年减少（增加）</w:t>
      </w:r>
      <w:r>
        <w:rPr>
          <w:rFonts w:hint="eastAsia" w:ascii="仿宋_GB2312" w:hAnsi="仿宋" w:eastAsia="仿宋_GB2312"/>
          <w:sz w:val="32"/>
          <w:szCs w:val="32"/>
        </w:rPr>
        <w:t>0</w:t>
      </w:r>
      <w:r>
        <w:rPr>
          <w:rFonts w:hint="eastAsia" w:ascii="仿宋_GB2312" w:eastAsia="仿宋_GB2312"/>
          <w:sz w:val="32"/>
          <w:szCs w:val="32"/>
        </w:rPr>
        <w:t>万元，公务用车运行维护费</w:t>
      </w:r>
      <w:r>
        <w:rPr>
          <w:rFonts w:hint="eastAsia" w:ascii="仿宋_GB2312" w:hAnsi="仿宋" w:eastAsia="仿宋_GB2312"/>
          <w:sz w:val="32"/>
          <w:szCs w:val="32"/>
        </w:rPr>
        <w:t>0</w:t>
      </w:r>
      <w:r>
        <w:rPr>
          <w:rFonts w:hint="eastAsia" w:ascii="仿宋_GB2312" w:eastAsia="仿宋_GB2312"/>
          <w:sz w:val="32"/>
          <w:szCs w:val="32"/>
        </w:rPr>
        <w:t>万元，比上年增加0万元；公务用车购置费</w:t>
      </w:r>
      <w:r>
        <w:rPr>
          <w:rFonts w:hint="eastAsia" w:ascii="仿宋_GB2312" w:hAnsi="仿宋" w:eastAsia="仿宋_GB2312"/>
          <w:sz w:val="32"/>
          <w:szCs w:val="32"/>
        </w:rPr>
        <w:t>0</w:t>
      </w:r>
      <w:r>
        <w:rPr>
          <w:rFonts w:hint="eastAsia" w:ascii="仿宋_GB2312" w:eastAsia="仿宋_GB2312"/>
          <w:sz w:val="32"/>
          <w:szCs w:val="32"/>
        </w:rPr>
        <w:t>元，比上年减少（增加）</w:t>
      </w:r>
      <w:r>
        <w:rPr>
          <w:rFonts w:hint="eastAsia" w:ascii="仿宋_GB2312" w:hAnsi="仿宋" w:eastAsia="仿宋_GB2312"/>
          <w:sz w:val="32"/>
          <w:szCs w:val="32"/>
        </w:rPr>
        <w:t>0</w:t>
      </w:r>
      <w:r>
        <w:rPr>
          <w:rFonts w:hint="eastAsia" w:ascii="仿宋_GB2312" w:eastAsia="仿宋_GB2312"/>
          <w:sz w:val="32"/>
          <w:szCs w:val="32"/>
        </w:rPr>
        <w:t>万元。</w:t>
      </w:r>
    </w:p>
    <w:p>
      <w:pPr>
        <w:ind w:firstLine="640" w:firstLineChars="200"/>
        <w:rPr>
          <w:rFonts w:ascii="仿宋" w:hAnsi="仿宋" w:eastAsia="仿宋"/>
          <w:sz w:val="32"/>
          <w:szCs w:val="32"/>
        </w:rPr>
      </w:pPr>
      <w:r>
        <w:rPr>
          <w:rFonts w:hint="eastAsia" w:ascii="仿宋" w:hAnsi="仿宋" w:eastAsia="仿宋"/>
          <w:sz w:val="32"/>
          <w:szCs w:val="32"/>
        </w:rPr>
        <w:t>四、政府采购支出情况说明</w:t>
      </w:r>
    </w:p>
    <w:p>
      <w:pPr>
        <w:ind w:firstLine="640" w:firstLineChars="200"/>
        <w:rPr>
          <w:rFonts w:hint="eastAsia" w:ascii="仿宋_GB2312" w:hAnsi="仿宋" w:eastAsia="仿宋_GB2312"/>
          <w:sz w:val="32"/>
          <w:szCs w:val="32"/>
        </w:rPr>
      </w:pPr>
      <w:r>
        <w:rPr>
          <w:rFonts w:hint="eastAsia" w:ascii="仿宋_GB2312" w:hAnsi="仿宋" w:eastAsia="仿宋_GB2312"/>
          <w:sz w:val="32"/>
          <w:szCs w:val="32"/>
        </w:rPr>
        <w:t>2018年</w:t>
      </w:r>
      <w:r>
        <w:rPr>
          <w:rFonts w:hint="eastAsia" w:ascii="仿宋_GB2312" w:hAnsi="楷体" w:eastAsia="仿宋_GB2312"/>
          <w:sz w:val="32"/>
          <w:szCs w:val="32"/>
        </w:rPr>
        <w:t>本</w:t>
      </w:r>
      <w:r>
        <w:rPr>
          <w:rFonts w:hint="eastAsia" w:ascii="仿宋_GB2312" w:hAnsi="仿宋" w:eastAsia="仿宋_GB2312"/>
          <w:sz w:val="32"/>
          <w:szCs w:val="32"/>
        </w:rPr>
        <w:t>部门政府采购总额0.36万元，其中：政府采购货物0.36万元、政府采购工程0万元、政府采购服务0万元。</w:t>
      </w:r>
    </w:p>
    <w:p>
      <w:pPr>
        <w:ind w:firstLine="640" w:firstLineChars="200"/>
        <w:rPr>
          <w:rFonts w:ascii="仿宋" w:hAnsi="仿宋" w:eastAsia="仿宋"/>
          <w:sz w:val="32"/>
          <w:szCs w:val="32"/>
        </w:rPr>
      </w:pPr>
      <w:r>
        <w:rPr>
          <w:rFonts w:hint="eastAsia" w:ascii="仿宋" w:hAnsi="仿宋" w:eastAsia="仿宋"/>
          <w:sz w:val="32"/>
          <w:szCs w:val="32"/>
        </w:rPr>
        <w:t>五、国有资产占用情况说明</w:t>
      </w:r>
    </w:p>
    <w:p>
      <w:pPr>
        <w:ind w:firstLine="640" w:firstLineChars="200"/>
        <w:rPr>
          <w:rFonts w:hint="eastAsia" w:ascii="仿宋_GB2312" w:hAnsi="仿宋" w:eastAsia="仿宋_GB2312"/>
          <w:sz w:val="32"/>
          <w:szCs w:val="32"/>
        </w:rPr>
      </w:pPr>
      <w:r>
        <w:rPr>
          <w:rFonts w:hint="eastAsia" w:ascii="仿宋_GB2312" w:hAnsi="仿宋" w:eastAsia="仿宋_GB2312"/>
          <w:sz w:val="32"/>
          <w:szCs w:val="32"/>
        </w:rPr>
        <w:t>（1）、车辆情况：办公室共有0辆公务用车.</w:t>
      </w:r>
    </w:p>
    <w:p>
      <w:pPr>
        <w:ind w:firstLine="640" w:firstLineChars="200"/>
        <w:rPr>
          <w:rFonts w:ascii="仿宋_GB2312" w:hAnsi="仿宋" w:eastAsia="仿宋_GB2312"/>
          <w:sz w:val="32"/>
          <w:szCs w:val="32"/>
        </w:rPr>
      </w:pPr>
      <w:r>
        <w:rPr>
          <w:rFonts w:hint="eastAsia" w:ascii="仿宋_GB2312" w:hAnsi="仿宋" w:eastAsia="仿宋_GB2312"/>
          <w:sz w:val="32"/>
          <w:szCs w:val="32"/>
        </w:rPr>
        <w:t>（2）、房屋情况：本单位在南城街73号县委后三楼办公室，资产不属于本单位，占用办公室面积60平方米。</w:t>
      </w:r>
    </w:p>
    <w:p>
      <w:pPr>
        <w:ind w:firstLine="640" w:firstLineChars="200"/>
        <w:rPr>
          <w:rFonts w:hint="eastAsia" w:ascii="仿宋_GB2312" w:hAnsi="仿宋" w:eastAsia="仿宋_GB2312"/>
          <w:sz w:val="32"/>
          <w:szCs w:val="32"/>
        </w:rPr>
      </w:pPr>
      <w:r>
        <w:rPr>
          <w:rFonts w:hint="eastAsia" w:ascii="仿宋_GB2312" w:hAnsi="仿宋" w:eastAsia="仿宋_GB2312"/>
          <w:sz w:val="32"/>
          <w:szCs w:val="32"/>
        </w:rPr>
        <w:t>（3）、其他国有资产占有使用情况4.41万元，主要用于日常办公的电脑、桌椅等办公用品。</w:t>
      </w:r>
    </w:p>
    <w:p>
      <w:pPr>
        <w:ind w:firstLine="636"/>
        <w:rPr>
          <w:rFonts w:hint="eastAsia" w:ascii="仿宋_GB2312" w:hAnsi="仿宋" w:eastAsia="仿宋_GB2312"/>
          <w:sz w:val="32"/>
          <w:szCs w:val="32"/>
        </w:rPr>
      </w:pPr>
      <w:r>
        <w:rPr>
          <w:rFonts w:hint="eastAsia" w:ascii="仿宋" w:hAnsi="仿宋" w:eastAsia="仿宋"/>
          <w:sz w:val="32"/>
          <w:szCs w:val="32"/>
        </w:rPr>
        <w:t>六、</w:t>
      </w:r>
      <w:r>
        <w:rPr>
          <w:rFonts w:hint="eastAsia" w:ascii="仿宋_GB2312" w:hAnsi="仿宋" w:eastAsia="仿宋_GB2312"/>
          <w:sz w:val="32"/>
          <w:szCs w:val="32"/>
        </w:rPr>
        <w:t>重点项目预算绩效情况说明</w:t>
      </w:r>
    </w:p>
    <w:p>
      <w:pPr>
        <w:ind w:firstLine="636"/>
        <w:rPr>
          <w:rFonts w:hint="eastAsia" w:ascii="仿宋_GB2312" w:hAnsi="仿宋" w:eastAsia="仿宋_GB2312"/>
          <w:sz w:val="32"/>
          <w:szCs w:val="32"/>
        </w:rPr>
      </w:pPr>
      <w:r>
        <w:rPr>
          <w:rFonts w:hint="eastAsia" w:ascii="仿宋_GB2312" w:hAnsi="仿宋" w:eastAsia="仿宋_GB2312"/>
          <w:sz w:val="32"/>
          <w:szCs w:val="32"/>
        </w:rPr>
        <w:t>本部门2018年度实施重点项目共0个，涉及财政性资金合计0万元。0项目开展了绩效评价工作，评价结果0。</w:t>
      </w:r>
    </w:p>
    <w:p>
      <w:pPr>
        <w:ind w:firstLine="636"/>
        <w:rPr>
          <w:rFonts w:hint="eastAsia" w:ascii="仿宋_GB2312" w:hAnsi="仿宋" w:eastAsia="仿宋_GB2312"/>
          <w:sz w:val="32"/>
          <w:szCs w:val="32"/>
        </w:rPr>
      </w:pPr>
      <w:r>
        <w:rPr>
          <w:rFonts w:hint="eastAsia" w:ascii="仿宋_GB2312" w:hAnsi="仿宋" w:eastAsia="仿宋_GB2312"/>
          <w:sz w:val="32"/>
          <w:szCs w:val="32"/>
        </w:rPr>
        <w:t>七、其他情况说明</w:t>
      </w:r>
    </w:p>
    <w:p>
      <w:pPr>
        <w:ind w:firstLine="636"/>
        <w:rPr>
          <w:rFonts w:hint="eastAsia" w:ascii="仿宋_GB2312" w:hAnsi="仿宋" w:eastAsia="仿宋_GB2312"/>
          <w:sz w:val="32"/>
          <w:szCs w:val="32"/>
        </w:rPr>
      </w:pPr>
      <w:r>
        <w:rPr>
          <w:rFonts w:hint="eastAsia" w:ascii="仿宋_GB2312" w:hAnsi="仿宋" w:eastAsia="仿宋_GB2312"/>
          <w:sz w:val="32"/>
          <w:szCs w:val="32"/>
        </w:rPr>
        <w:t>无</w:t>
      </w:r>
    </w:p>
    <w:p>
      <w:pPr>
        <w:ind w:firstLine="645"/>
        <w:rPr>
          <w:rFonts w:ascii="黑体" w:hAnsi="黑体" w:eastAsia="黑体"/>
          <w:sz w:val="32"/>
          <w:szCs w:val="32"/>
        </w:rPr>
      </w:pPr>
      <w:r>
        <w:rPr>
          <w:rFonts w:hint="eastAsia" w:ascii="黑体" w:hAnsi="黑体" w:eastAsia="黑体"/>
          <w:sz w:val="32"/>
          <w:szCs w:val="32"/>
        </w:rPr>
        <w:t>第四部分</w:t>
      </w:r>
      <w:r>
        <w:rPr>
          <w:rFonts w:ascii="黑体" w:hAnsi="黑体" w:eastAsia="黑体"/>
          <w:sz w:val="32"/>
          <w:szCs w:val="32"/>
        </w:rPr>
        <w:t xml:space="preserve">  </w:t>
      </w:r>
      <w:r>
        <w:rPr>
          <w:rFonts w:hint="eastAsia" w:ascii="黑体" w:hAnsi="黑体" w:eastAsia="黑体"/>
          <w:sz w:val="32"/>
          <w:szCs w:val="32"/>
        </w:rPr>
        <w:t>名词解释</w:t>
      </w:r>
    </w:p>
    <w:p>
      <w:pPr>
        <w:ind w:firstLine="645"/>
        <w:rPr>
          <w:rFonts w:ascii="仿宋_GB2312" w:eastAsia="仿宋_GB2312"/>
          <w:sz w:val="32"/>
          <w:szCs w:val="32"/>
        </w:rPr>
      </w:pPr>
      <w:r>
        <w:rPr>
          <w:rFonts w:hint="eastAsia" w:ascii="仿宋_GB2312" w:eastAsia="仿宋_GB2312"/>
          <w:sz w:val="32"/>
          <w:szCs w:val="32"/>
        </w:rPr>
        <w:t>对本部门公开情况中涉及到的专用名词进行解释（参考模板，各单位可根据本单位实际情况进行修改和完善）</w:t>
      </w:r>
    </w:p>
    <w:p>
      <w:pPr>
        <w:autoSpaceDE w:val="0"/>
        <w:autoSpaceDN w:val="0"/>
        <w:adjustRightInd w:val="0"/>
        <w:ind w:firstLine="640" w:firstLineChars="200"/>
        <w:rPr>
          <w:rFonts w:ascii="仿宋_GB2312" w:eastAsia="仿宋_GB2312"/>
          <w:sz w:val="32"/>
          <w:szCs w:val="32"/>
        </w:rPr>
      </w:pPr>
      <w:r>
        <w:rPr>
          <w:rFonts w:hint="eastAsia" w:ascii="仿宋_GB2312" w:eastAsia="仿宋_GB2312"/>
          <w:sz w:val="32"/>
          <w:szCs w:val="32"/>
        </w:rPr>
        <w:t>（一）基本支出：指为保障机构正常运转、完成日常工作任务而发生的人员支出和公用支出。</w:t>
      </w:r>
    </w:p>
    <w:p>
      <w:pPr>
        <w:autoSpaceDE w:val="0"/>
        <w:autoSpaceDN w:val="0"/>
        <w:adjustRightInd w:val="0"/>
        <w:ind w:firstLine="640" w:firstLineChars="200"/>
        <w:rPr>
          <w:rFonts w:ascii="仿宋_GB2312" w:eastAsia="仿宋_GB2312"/>
          <w:sz w:val="32"/>
          <w:szCs w:val="32"/>
        </w:rPr>
      </w:pPr>
      <w:r>
        <w:rPr>
          <w:rFonts w:hint="eastAsia" w:ascii="仿宋_GB2312" w:eastAsia="仿宋_GB2312"/>
          <w:sz w:val="32"/>
          <w:szCs w:val="32"/>
        </w:rPr>
        <w:t>（二）项目支出：指在基本支出之外为完成特定行政任务和事业发展目标所发生的支出。</w:t>
      </w:r>
    </w:p>
    <w:p>
      <w:pPr>
        <w:autoSpaceDE w:val="0"/>
        <w:autoSpaceDN w:val="0"/>
        <w:adjustRightInd w:val="0"/>
        <w:ind w:firstLine="640" w:firstLineChars="200"/>
        <w:rPr>
          <w:rFonts w:ascii="仿宋_GB2312" w:eastAsia="仿宋_GB2312"/>
          <w:sz w:val="32"/>
          <w:szCs w:val="32"/>
        </w:rPr>
      </w:pPr>
      <w:r>
        <w:rPr>
          <w:rFonts w:hint="eastAsia" w:ascii="仿宋_GB2312" w:eastAsia="仿宋_GB2312"/>
          <w:sz w:val="32"/>
          <w:szCs w:val="32"/>
        </w:rPr>
        <w:t>（三）“三公”经费：指市直部门用一般公共决算安排的因公出国（境）费、公务用车购置及运行费和公务接待费。其中，因公出国（境）费反映单位公务出国（境）的国际旅费、国外城市间交通费、住宿费、伙食费、培训费、公杂费等支出；公务用车购置费反映公务用车车辆购置支出（含车辆购置税）；公务用车运行维护费反映单位按规定保留的公务用车燃料费、维修费、过路过桥费、保险费、安全奖励费用等支出；公务接待费反映单位按规定开支的各类公务接待（含外宾接待）支出。</w:t>
      </w:r>
    </w:p>
    <w:p>
      <w:pPr>
        <w:autoSpaceDE w:val="0"/>
        <w:autoSpaceDN w:val="0"/>
        <w:adjustRightInd w:val="0"/>
        <w:ind w:firstLine="640" w:firstLineChars="200"/>
        <w:rPr>
          <w:rFonts w:ascii="仿宋_GB2312" w:eastAsia="仿宋_GB2312"/>
          <w:sz w:val="32"/>
          <w:szCs w:val="32"/>
        </w:rPr>
      </w:pPr>
      <w:r>
        <w:rPr>
          <w:rFonts w:hint="eastAsia" w:ascii="仿宋_GB2312" w:eastAsia="仿宋_GB2312"/>
          <w:sz w:val="32"/>
          <w:szCs w:val="32"/>
        </w:rPr>
        <w:t>（四）机关运行经费：指行政单位和参照公务员法管理的事业单位使用一般公共决算安排的基本支出中的日常公用经费支出。</w:t>
      </w:r>
    </w:p>
    <w:p>
      <w:pPr>
        <w:rPr>
          <w:rFonts w:ascii="仿宋_GB2312" w:eastAsia="仿宋_GB2312"/>
          <w:sz w:val="32"/>
          <w:szCs w:val="32"/>
        </w:rPr>
      </w:pPr>
    </w:p>
    <w:p/>
    <w:p>
      <w:pPr>
        <w:ind w:left="640"/>
        <w:rPr>
          <w:rFonts w:ascii="仿宋_GB2312" w:hAnsi="楷体" w:eastAsia="仿宋_GB2312"/>
          <w:sz w:val="32"/>
          <w:szCs w:val="32"/>
        </w:rPr>
      </w:pPr>
    </w:p>
    <w:p>
      <w:pPr>
        <w:ind w:left="640"/>
        <w:rPr>
          <w:rFonts w:ascii="仿宋_GB2312" w:hAnsi="楷体" w:eastAsia="仿宋_GB2312"/>
          <w:sz w:val="32"/>
          <w:szCs w:val="32"/>
        </w:rPr>
      </w:pPr>
    </w:p>
    <w:p>
      <w:pPr>
        <w:tabs>
          <w:tab w:val="left" w:pos="2689"/>
        </w:tabs>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0000019F" w:csb1="00000000"/>
  </w:font>
  <w:font w:name="Calibri Light">
    <w:altName w:val="DejaVu Sans"/>
    <w:panose1 w:val="020F0302020204030204"/>
    <w:charset w:val="00"/>
    <w:family w:val="swiss"/>
    <w:pitch w:val="default"/>
    <w:sig w:usb0="00000000" w:usb1="00000000" w:usb2="00000000" w:usb3="00000000" w:csb0="0000019F" w:csb1="00000000"/>
  </w:font>
  <w:font w:name="华文中宋">
    <w:altName w:val="汉仪中宋简"/>
    <w:panose1 w:val="00000000000000000000"/>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
    <w:altName w:val="DejaVu Math TeX Gyre"/>
    <w:panose1 w:val="00000000000000000000"/>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HorizontalSpacing w:val="105"/>
  <w:drawingGridVerticalSpacing w:val="156"/>
  <w:displayHorizontalDrawingGridEvery w:val="2"/>
  <w:displayVertic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36AC7731"/>
    <w:rsid w:val="005864D7"/>
    <w:rsid w:val="007607CE"/>
    <w:rsid w:val="007C4FD6"/>
    <w:rsid w:val="008E5285"/>
    <w:rsid w:val="00A43F84"/>
    <w:rsid w:val="00B374E4"/>
    <w:rsid w:val="00B651DF"/>
    <w:rsid w:val="00E506AA"/>
    <w:rsid w:val="36AC7731"/>
    <w:rsid w:val="58082762"/>
    <w:rsid w:val="6685761B"/>
    <w:rsid w:val="66FE513B"/>
    <w:rsid w:val="6CD370CE"/>
    <w:rsid w:val="757A39A7"/>
    <w:rsid w:val="7DFFB4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Calibri" w:hAnsi="Calibri"/>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10"/>
    <w:qFormat/>
    <w:uiPriority w:val="0"/>
    <w:pPr>
      <w:spacing w:before="240" w:after="60"/>
      <w:jc w:val="center"/>
      <w:outlineLvl w:val="0"/>
    </w:pPr>
    <w:rPr>
      <w:rFonts w:ascii="Cambria" w:hAnsi="Cambria"/>
      <w:b/>
      <w:bCs/>
      <w:sz w:val="32"/>
      <w:szCs w:val="32"/>
    </w:rPr>
  </w:style>
  <w:style w:type="character" w:styleId="7">
    <w:name w:val="page number"/>
    <w:basedOn w:val="6"/>
    <w:qFormat/>
    <w:uiPriority w:val="0"/>
    <w:rPr>
      <w:rFonts w:cs="Times New Roman"/>
    </w:rPr>
  </w:style>
  <w:style w:type="character" w:customStyle="1" w:styleId="8">
    <w:name w:val="页眉 Char"/>
    <w:basedOn w:val="6"/>
    <w:link w:val="3"/>
    <w:qFormat/>
    <w:uiPriority w:val="0"/>
    <w:rPr>
      <w:kern w:val="2"/>
      <w:sz w:val="18"/>
      <w:szCs w:val="18"/>
    </w:rPr>
  </w:style>
  <w:style w:type="character" w:customStyle="1" w:styleId="9">
    <w:name w:val="标题 Char"/>
    <w:link w:val="4"/>
    <w:qFormat/>
    <w:uiPriority w:val="0"/>
    <w:rPr>
      <w:rFonts w:ascii="Cambria" w:hAnsi="Cambria"/>
      <w:b/>
      <w:bCs/>
      <w:kern w:val="2"/>
      <w:sz w:val="32"/>
      <w:szCs w:val="32"/>
    </w:rPr>
  </w:style>
  <w:style w:type="character" w:customStyle="1" w:styleId="10">
    <w:name w:val="标题 Char1"/>
    <w:basedOn w:val="6"/>
    <w:link w:val="4"/>
    <w:qFormat/>
    <w:uiPriority w:val="0"/>
    <w:rPr>
      <w:rFonts w:asciiTheme="majorHAnsi" w:hAnsiTheme="majorHAnsi" w:cstheme="majorBidi"/>
      <w:b/>
      <w:bCs/>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395</Words>
  <Characters>2254</Characters>
  <Lines>18</Lines>
  <Paragraphs>5</Paragraphs>
  <TotalTime>20</TotalTime>
  <ScaleCrop>false</ScaleCrop>
  <LinksUpToDate>false</LinksUpToDate>
  <CharactersWithSpaces>2644</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2019-08-07T15:38:00Z</dcterms:created>
  <dc:creator>Administrator</dc:creator>
  <cp:lastModifiedBy>user</cp:lastModifiedBy>
  <dcterms:modified xsi:type="dcterms:W3CDTF">2022-08-10T15:39:25Z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