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简体" w:hAnsi="Times New Roman" w:eastAsia="方正小标宋简体" w:cs="Times New Roman"/>
          <w:b w:val="0"/>
          <w:bCs/>
        </w:rPr>
      </w:pPr>
    </w:p>
    <w:p>
      <w:pPr>
        <w:pStyle w:val="2"/>
        <w:jc w:val="center"/>
        <w:rPr>
          <w:rFonts w:ascii="方正小标宋简体" w:hAnsi="Times New Roman" w:eastAsia="方正小标宋简体" w:cs="Times New Roman"/>
          <w:b w:val="0"/>
          <w:bCs/>
        </w:rPr>
      </w:pPr>
      <w:r>
        <w:rPr>
          <w:rFonts w:hint="eastAsia" w:ascii="方正小标宋简体" w:hAnsi="Times New Roman" w:eastAsia="方正小标宋简体" w:cs="Times New Roman"/>
          <w:b w:val="0"/>
          <w:bCs/>
        </w:rPr>
        <w:t>201</w:t>
      </w:r>
      <w:r>
        <w:rPr>
          <w:rFonts w:hint="eastAsia" w:ascii="方正小标宋简体" w:hAnsi="Times New Roman" w:eastAsia="方正小标宋简体" w:cs="Times New Roman"/>
          <w:b w:val="0"/>
          <w:bCs/>
          <w:lang w:val="en-US" w:eastAsia="zh-CN"/>
        </w:rPr>
        <w:t>8</w:t>
      </w:r>
      <w:r>
        <w:rPr>
          <w:rFonts w:hint="eastAsia" w:ascii="方正小标宋简体" w:hAnsi="Times New Roman" w:eastAsia="方正小标宋简体" w:cs="Times New Roman"/>
          <w:b w:val="0"/>
          <w:bCs/>
        </w:rPr>
        <w:t>年政府决算公开相关说明</w:t>
      </w:r>
    </w:p>
    <w:p>
      <w:pPr>
        <w:ind w:firstLine="420"/>
        <w:rPr>
          <w:rFonts w:ascii="Times New Roman" w:hAnsi="Times New Roman" w:eastAsia="仿宋_GB2312" w:cs="Times New Roman"/>
          <w:sz w:val="32"/>
          <w:szCs w:val="32"/>
        </w:rPr>
      </w:pPr>
    </w:p>
    <w:p>
      <w:pPr>
        <w:ind w:firstLine="420"/>
        <w:rPr>
          <w:rFonts w:ascii="Times New Roman" w:hAnsi="Times New Roman" w:eastAsia="黑体" w:cs="Times New Roman"/>
          <w:sz w:val="32"/>
          <w:szCs w:val="32"/>
        </w:rPr>
      </w:pPr>
      <w:r>
        <w:rPr>
          <w:rFonts w:ascii="Times New Roman" w:hAnsi="Times New Roman" w:eastAsia="仿宋_GB2312" w:cs="Times New Roman"/>
          <w:sz w:val="32"/>
          <w:szCs w:val="32"/>
        </w:rPr>
        <w:t xml:space="preserve"> 根据《财政部关于印发&lt;地方预决算公开操作规程&gt;的通知》（财预〔201</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〕143号）文件精神，为方便社会公众对我</w:t>
      </w:r>
      <w:r>
        <w:rPr>
          <w:rFonts w:hint="eastAsia" w:ascii="Times New Roman" w:hAnsi="Times New Roman" w:eastAsia="仿宋_GB2312" w:cs="Times New Roman"/>
          <w:sz w:val="32"/>
          <w:szCs w:val="32"/>
          <w:lang w:val="en-US" w:eastAsia="zh-CN"/>
        </w:rPr>
        <w:t>县</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年政府</w:t>
      </w:r>
      <w:r>
        <w:rPr>
          <w:rFonts w:hint="eastAsia" w:ascii="Times New Roman" w:hAnsi="Times New Roman" w:eastAsia="仿宋_GB2312" w:cs="Times New Roman"/>
          <w:sz w:val="32"/>
          <w:szCs w:val="32"/>
        </w:rPr>
        <w:t>决算</w:t>
      </w:r>
      <w:r>
        <w:rPr>
          <w:rFonts w:ascii="Times New Roman" w:hAnsi="Times New Roman" w:eastAsia="仿宋_GB2312" w:cs="Times New Roman"/>
          <w:sz w:val="32"/>
          <w:szCs w:val="32"/>
        </w:rPr>
        <w:t>的理解和监督，现将有关重要事项说明如下：</w:t>
      </w:r>
    </w:p>
    <w:p>
      <w:pPr>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财政转移支付</w:t>
      </w:r>
      <w:r>
        <w:rPr>
          <w:rFonts w:hint="eastAsia" w:ascii="Times New Roman" w:hAnsi="Times New Roman" w:eastAsia="黑体" w:cs="Times New Roman"/>
          <w:sz w:val="32"/>
          <w:szCs w:val="32"/>
        </w:rPr>
        <w:t>执行</w:t>
      </w:r>
      <w:r>
        <w:rPr>
          <w:rFonts w:ascii="Times New Roman" w:hAnsi="Times New Roman" w:eastAsia="黑体" w:cs="Times New Roman"/>
          <w:sz w:val="32"/>
          <w:szCs w:val="32"/>
        </w:rPr>
        <w:t>情况说明</w:t>
      </w:r>
    </w:p>
    <w:p>
      <w:pPr>
        <w:ind w:firstLine="42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201</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我</w:t>
      </w:r>
      <w:r>
        <w:rPr>
          <w:rFonts w:hint="eastAsia" w:ascii="Times New Roman" w:hAnsi="Times New Roman" w:eastAsia="仿宋_GB2312" w:cs="Times New Roman"/>
          <w:sz w:val="32"/>
          <w:szCs w:val="32"/>
        </w:rPr>
        <w:t>县</w:t>
      </w:r>
      <w:r>
        <w:rPr>
          <w:rFonts w:hint="eastAsia" w:ascii="Times New Roman" w:hAnsi="Times New Roman" w:eastAsia="仿宋_GB2312" w:cs="Times New Roman"/>
          <w:sz w:val="32"/>
          <w:szCs w:val="32"/>
          <w:lang w:val="en-US" w:eastAsia="zh-CN"/>
        </w:rPr>
        <w:t>共收到上级转移支付资金166931万元</w:t>
      </w:r>
      <w:r>
        <w:rPr>
          <w:rFonts w:hint="eastAsia" w:ascii="Times New Roman" w:hAnsi="Times New Roman" w:eastAsia="仿宋_GB2312" w:cs="Times New Roman"/>
          <w:sz w:val="32"/>
          <w:szCs w:val="32"/>
        </w:rPr>
        <w:t>，具体安排情况如下：</w:t>
      </w:r>
    </w:p>
    <w:p>
      <w:pPr>
        <w:ind w:firstLine="42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返还性</w:t>
      </w:r>
      <w:r>
        <w:rPr>
          <w:rFonts w:hint="eastAsia" w:ascii="Times New Roman" w:hAnsi="Times New Roman" w:eastAsia="仿宋_GB2312" w:cs="Times New Roman"/>
          <w:sz w:val="32"/>
          <w:szCs w:val="32"/>
          <w:lang w:val="en-US" w:eastAsia="zh-CN"/>
        </w:rPr>
        <w:t>收入3532万元</w:t>
      </w:r>
      <w:r>
        <w:rPr>
          <w:rFonts w:hint="eastAsia" w:ascii="Times New Roman" w:hAnsi="Times New Roman" w:eastAsia="仿宋_GB2312" w:cs="Times New Roman"/>
          <w:sz w:val="32"/>
          <w:szCs w:val="32"/>
        </w:rPr>
        <w:t>，具体项目安排情况见决算表。</w:t>
      </w:r>
    </w:p>
    <w:p>
      <w:pPr>
        <w:ind w:firstLine="42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2、一般性转移支付</w:t>
      </w:r>
      <w:r>
        <w:rPr>
          <w:rFonts w:hint="eastAsia" w:ascii="Times New Roman" w:hAnsi="Times New Roman" w:eastAsia="仿宋_GB2312" w:cs="Times New Roman"/>
          <w:sz w:val="32"/>
          <w:szCs w:val="32"/>
          <w:lang w:val="en-US" w:eastAsia="zh-CN"/>
        </w:rPr>
        <w:t>116796万元</w:t>
      </w:r>
      <w:r>
        <w:rPr>
          <w:rFonts w:hint="eastAsia" w:ascii="Times New Roman" w:hAnsi="Times New Roman" w:eastAsia="仿宋_GB2312" w:cs="Times New Roman"/>
          <w:sz w:val="32"/>
          <w:szCs w:val="32"/>
        </w:rPr>
        <w:t>，其中：原体制补助收入470万元，均衡性转移支付收入64687万元，贫困地区转移支付收入10964万元，县级基本财力保障机制奖补资金收入8800万元，各项结算补助收入571万元，成品油价格和税费改革转移支付收入178万元，基层公检法司转移支付收入807万元，义务教育等转移支付收入4056万元，基本养老保险和低保等转移支付收入5775元，农村综合改革转移支付收入4548万元，重点生态功能区转移支付收入889万元，固定数额补助收入12486万元，革命老区转移支付收入879万元，其它一般性转移支付收入1686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由县财政</w:t>
      </w:r>
      <w:r>
        <w:rPr>
          <w:rFonts w:hint="eastAsia" w:ascii="Times New Roman" w:hAnsi="Times New Roman" w:eastAsia="仿宋_GB2312" w:cs="Times New Roman"/>
          <w:sz w:val="32"/>
          <w:szCs w:val="32"/>
        </w:rPr>
        <w:t>统筹</w:t>
      </w:r>
      <w:r>
        <w:rPr>
          <w:rFonts w:hint="eastAsia" w:ascii="Times New Roman" w:hAnsi="Times New Roman" w:eastAsia="仿宋_GB2312" w:cs="Times New Roman"/>
          <w:sz w:val="32"/>
          <w:szCs w:val="32"/>
          <w:lang w:val="en-US" w:eastAsia="zh-CN"/>
        </w:rPr>
        <w:t>结合县本级财力安排使用，用于一般公共预算支出。</w:t>
      </w:r>
      <w:r>
        <w:rPr>
          <w:rFonts w:hint="eastAsia" w:ascii="Times New Roman" w:hAnsi="Times New Roman" w:eastAsia="仿宋_GB2312" w:cs="Times New Roman"/>
          <w:sz w:val="32"/>
          <w:szCs w:val="32"/>
        </w:rPr>
        <w:t xml:space="preserve"> </w:t>
      </w:r>
    </w:p>
    <w:p>
      <w:pPr>
        <w:ind w:firstLine="42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3、专项转移支付支出</w:t>
      </w:r>
      <w:r>
        <w:rPr>
          <w:rFonts w:hint="eastAsia" w:ascii="Times New Roman" w:hAnsi="Times New Roman" w:eastAsia="仿宋_GB2312" w:cs="Times New Roman"/>
          <w:sz w:val="32"/>
          <w:szCs w:val="32"/>
          <w:lang w:val="en-US" w:eastAsia="zh-CN"/>
        </w:rPr>
        <w:t>46603万元</w:t>
      </w:r>
      <w:r>
        <w:rPr>
          <w:rFonts w:hint="eastAsia" w:ascii="Times New Roman" w:hAnsi="Times New Roman" w:eastAsia="仿宋_GB2312" w:cs="Times New Roman"/>
          <w:sz w:val="32"/>
          <w:szCs w:val="32"/>
        </w:rPr>
        <w:t>，具体项目安排情况见决算表。</w:t>
      </w:r>
    </w:p>
    <w:p>
      <w:pPr>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举借</w:t>
      </w:r>
      <w:r>
        <w:rPr>
          <w:rFonts w:hint="eastAsia" w:ascii="Times New Roman" w:hAnsi="Times New Roman" w:eastAsia="黑体" w:cs="Times New Roman"/>
          <w:sz w:val="32"/>
          <w:szCs w:val="32"/>
        </w:rPr>
        <w:t>政府</w:t>
      </w:r>
      <w:r>
        <w:rPr>
          <w:rFonts w:ascii="Times New Roman" w:hAnsi="Times New Roman" w:eastAsia="黑体" w:cs="Times New Roman"/>
          <w:sz w:val="32"/>
          <w:szCs w:val="32"/>
        </w:rPr>
        <w:t>债务情况说明</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上级财政</w:t>
      </w:r>
      <w:r>
        <w:rPr>
          <w:rFonts w:ascii="Times New Roman" w:hAnsi="Times New Roman" w:eastAsia="仿宋_GB2312" w:cs="Times New Roman"/>
          <w:sz w:val="32"/>
          <w:szCs w:val="32"/>
        </w:rPr>
        <w:t>共下达我</w:t>
      </w:r>
      <w:r>
        <w:rPr>
          <w:rFonts w:hint="eastAsia" w:ascii="Times New Roman" w:hAnsi="Times New Roman" w:eastAsia="仿宋_GB2312" w:cs="Times New Roman"/>
          <w:sz w:val="32"/>
          <w:szCs w:val="32"/>
          <w:lang w:val="en-US" w:eastAsia="zh-CN"/>
        </w:rPr>
        <w:t>县</w:t>
      </w:r>
      <w:r>
        <w:rPr>
          <w:rFonts w:hint="eastAsia" w:ascii="仿宋_GB2312" w:hAnsi="宋体" w:eastAsia="仿宋_GB2312"/>
          <w:kern w:val="0"/>
          <w:sz w:val="32"/>
          <w:lang w:val="en-US" w:eastAsia="zh-CN"/>
        </w:rPr>
        <w:t>11677</w:t>
      </w:r>
      <w:r>
        <w:rPr>
          <w:rFonts w:hint="eastAsia" w:ascii="仿宋_GB2312" w:hAnsi="宋体" w:eastAsia="仿宋_GB2312"/>
          <w:kern w:val="0"/>
          <w:sz w:val="32"/>
        </w:rPr>
        <w:t>万元，其中：新增一般债券收入</w:t>
      </w:r>
      <w:r>
        <w:rPr>
          <w:rFonts w:hint="eastAsia" w:ascii="仿宋_GB2312" w:hAnsi="宋体" w:eastAsia="仿宋_GB2312"/>
          <w:kern w:val="0"/>
          <w:sz w:val="32"/>
          <w:lang w:val="en-US" w:eastAsia="zh-CN"/>
        </w:rPr>
        <w:t>3400</w:t>
      </w:r>
      <w:r>
        <w:rPr>
          <w:rFonts w:hint="eastAsia" w:ascii="仿宋_GB2312" w:hAnsi="宋体" w:eastAsia="仿宋_GB2312"/>
          <w:kern w:val="0"/>
          <w:sz w:val="32"/>
        </w:rPr>
        <w:t>万元，</w:t>
      </w:r>
      <w:r>
        <w:rPr>
          <w:rFonts w:hint="eastAsia" w:ascii="仿宋_GB2312" w:hAnsi="宋体" w:eastAsia="仿宋_GB2312"/>
          <w:kern w:val="0"/>
          <w:sz w:val="32"/>
          <w:lang w:val="en-US" w:eastAsia="zh-CN"/>
        </w:rPr>
        <w:t>用于交通旅游路建设；</w:t>
      </w:r>
      <w:r>
        <w:rPr>
          <w:rFonts w:hint="eastAsia" w:ascii="仿宋_GB2312" w:hAnsi="宋体" w:eastAsia="仿宋_GB2312"/>
          <w:kern w:val="0"/>
          <w:sz w:val="32"/>
        </w:rPr>
        <w:t>置换一般债券收入</w:t>
      </w:r>
      <w:r>
        <w:rPr>
          <w:rFonts w:hint="eastAsia" w:ascii="仿宋_GB2312" w:hAnsi="宋体" w:eastAsia="仿宋_GB2312"/>
          <w:kern w:val="0"/>
          <w:sz w:val="32"/>
          <w:lang w:val="en-US" w:eastAsia="zh-CN"/>
        </w:rPr>
        <w:t>996</w:t>
      </w:r>
      <w:r>
        <w:rPr>
          <w:rFonts w:hint="eastAsia" w:ascii="仿宋_GB2312" w:hAnsi="宋体" w:eastAsia="仿宋_GB2312"/>
          <w:kern w:val="0"/>
          <w:sz w:val="32"/>
        </w:rPr>
        <w:t>万元</w:t>
      </w:r>
      <w:r>
        <w:rPr>
          <w:rFonts w:hint="eastAsia" w:ascii="仿宋_GB2312" w:hAnsi="宋体" w:eastAsia="仿宋_GB2312"/>
          <w:kern w:val="0"/>
          <w:sz w:val="32"/>
          <w:lang w:eastAsia="zh-CN"/>
        </w:rPr>
        <w:t>，再融资一般债券收入</w:t>
      </w:r>
      <w:r>
        <w:rPr>
          <w:rFonts w:hint="eastAsia" w:ascii="仿宋_GB2312" w:hAnsi="宋体" w:eastAsia="仿宋_GB2312"/>
          <w:kern w:val="0"/>
          <w:sz w:val="32"/>
          <w:lang w:val="en-US" w:eastAsia="zh-CN"/>
        </w:rPr>
        <w:t>1281万元，</w:t>
      </w:r>
      <w:r>
        <w:rPr>
          <w:rFonts w:ascii="Times New Roman" w:hAnsi="Times New Roman" w:eastAsia="仿宋_GB2312" w:cs="Times New Roman"/>
          <w:sz w:val="32"/>
          <w:szCs w:val="32"/>
        </w:rPr>
        <w:t>主要用于偿还以前年度发行、当年到期的政府债券资金</w:t>
      </w:r>
      <w:r>
        <w:rPr>
          <w:rFonts w:hint="eastAsia" w:ascii="Times New Roman" w:hAnsi="Times New Roman" w:eastAsia="仿宋_GB2312" w:cs="Times New Roman"/>
          <w:sz w:val="32"/>
          <w:szCs w:val="32"/>
          <w:lang w:eastAsia="zh-CN"/>
        </w:rPr>
        <w:t>；</w:t>
      </w:r>
      <w:r>
        <w:rPr>
          <w:rFonts w:hint="eastAsia" w:ascii="仿宋_GB2312" w:hAnsi="宋体" w:eastAsia="仿宋_GB2312"/>
          <w:kern w:val="0"/>
          <w:sz w:val="32"/>
          <w:lang w:val="en-US" w:eastAsia="zh-CN"/>
        </w:rPr>
        <w:t>专项债券收入6000万元，主要用于棚户区改造5000万元，易地扶贫搬迁1000万元。</w:t>
      </w:r>
      <w:r>
        <w:rPr>
          <w:rFonts w:ascii="Times New Roman" w:hAnsi="Times New Roman" w:eastAsia="仿宋_GB2312" w:cs="Times New Roman"/>
          <w:sz w:val="32"/>
          <w:szCs w:val="32"/>
        </w:rPr>
        <w:t>债券资金对缓解我</w:t>
      </w:r>
      <w:r>
        <w:rPr>
          <w:rFonts w:hint="eastAsia" w:ascii="Times New Roman" w:hAnsi="Times New Roman" w:eastAsia="仿宋_GB2312" w:cs="Times New Roman"/>
          <w:sz w:val="32"/>
          <w:szCs w:val="32"/>
          <w:lang w:val="en-US" w:eastAsia="zh-CN"/>
        </w:rPr>
        <w:t>县</w:t>
      </w:r>
      <w:r>
        <w:rPr>
          <w:rFonts w:ascii="Times New Roman" w:hAnsi="Times New Roman" w:eastAsia="仿宋_GB2312" w:cs="Times New Roman"/>
          <w:sz w:val="32"/>
          <w:szCs w:val="32"/>
        </w:rPr>
        <w:t>到期债务的偿付压力、防范财政金融风险发挥了积极作用。</w:t>
      </w:r>
    </w:p>
    <w:p>
      <w:pPr>
        <w:ind w:firstLine="640" w:firstLineChars="200"/>
        <w:rPr>
          <w:rFonts w:ascii="Times New Roman" w:hAnsi="Times New Roman" w:eastAsia="黑体" w:cs="Times New Roman"/>
          <w:sz w:val="32"/>
          <w:szCs w:val="32"/>
        </w:rPr>
      </w:pPr>
      <w:r>
        <w:rPr>
          <w:rFonts w:ascii="Times New Roman" w:hAnsi="Times New Roman" w:eastAsia="仿宋_GB2312" w:cs="Times New Roman"/>
          <w:sz w:val="32"/>
          <w:szCs w:val="32"/>
        </w:rPr>
        <w:t>截止201</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年底，全</w:t>
      </w:r>
      <w:r>
        <w:rPr>
          <w:rFonts w:hint="eastAsia" w:ascii="Times New Roman" w:hAnsi="Times New Roman" w:eastAsia="仿宋_GB2312" w:cs="Times New Roman"/>
          <w:sz w:val="32"/>
          <w:szCs w:val="32"/>
          <w:lang w:val="en-US" w:eastAsia="zh-CN"/>
        </w:rPr>
        <w:t>县</w:t>
      </w:r>
      <w:r>
        <w:rPr>
          <w:rFonts w:ascii="Times New Roman" w:hAnsi="Times New Roman" w:eastAsia="仿宋_GB2312" w:cs="Times New Roman"/>
          <w:sz w:val="32"/>
          <w:szCs w:val="32"/>
        </w:rPr>
        <w:t>政府债务余额</w:t>
      </w:r>
      <w:r>
        <w:rPr>
          <w:rFonts w:hint="eastAsia" w:ascii="仿宋_GB2312" w:hAnsi="宋体" w:eastAsia="仿宋_GB2312"/>
          <w:kern w:val="0"/>
          <w:sz w:val="32"/>
          <w:lang w:val="en-US" w:eastAsia="zh-CN"/>
        </w:rPr>
        <w:t>13451</w:t>
      </w:r>
      <w:r>
        <w:rPr>
          <w:rFonts w:hint="eastAsia" w:ascii="仿宋_GB2312" w:hAnsi="宋体" w:eastAsia="仿宋_GB2312"/>
          <w:kern w:val="0"/>
          <w:sz w:val="32"/>
        </w:rPr>
        <w:t>万元，</w:t>
      </w:r>
      <w:r>
        <w:rPr>
          <w:rFonts w:ascii="Times New Roman" w:hAnsi="Times New Roman" w:eastAsia="仿宋_GB2312" w:cs="Times New Roman"/>
          <w:sz w:val="32"/>
          <w:szCs w:val="32"/>
        </w:rPr>
        <w:t>比</w:t>
      </w:r>
      <w:r>
        <w:rPr>
          <w:rFonts w:hint="eastAsia" w:ascii="Times New Roman" w:hAnsi="Times New Roman" w:eastAsia="仿宋_GB2312" w:cs="Times New Roman"/>
          <w:sz w:val="32"/>
          <w:szCs w:val="32"/>
          <w:lang w:val="en-US" w:eastAsia="zh-CN"/>
        </w:rPr>
        <w:t>上级财政</w:t>
      </w:r>
      <w:r>
        <w:rPr>
          <w:rFonts w:ascii="Times New Roman" w:hAnsi="Times New Roman" w:eastAsia="仿宋_GB2312" w:cs="Times New Roman"/>
          <w:sz w:val="32"/>
          <w:szCs w:val="32"/>
        </w:rPr>
        <w:t>批准我</w:t>
      </w:r>
      <w:r>
        <w:rPr>
          <w:rFonts w:hint="eastAsia" w:ascii="Times New Roman" w:hAnsi="Times New Roman" w:eastAsia="仿宋_GB2312" w:cs="Times New Roman"/>
          <w:sz w:val="32"/>
          <w:szCs w:val="32"/>
          <w:lang w:val="en-US" w:eastAsia="zh-CN"/>
        </w:rPr>
        <w:t>县</w:t>
      </w:r>
      <w:r>
        <w:rPr>
          <w:rFonts w:ascii="Times New Roman" w:hAnsi="Times New Roman" w:eastAsia="仿宋_GB2312" w:cs="Times New Roman"/>
          <w:sz w:val="32"/>
          <w:szCs w:val="32"/>
        </w:rPr>
        <w:t>政府债务限额</w:t>
      </w:r>
      <w:r>
        <w:rPr>
          <w:rFonts w:hint="eastAsia" w:ascii="Times New Roman" w:hAnsi="Times New Roman" w:eastAsia="仿宋_GB2312" w:cs="Times New Roman"/>
          <w:sz w:val="32"/>
          <w:szCs w:val="32"/>
          <w:lang w:val="en-US" w:eastAsia="zh-CN"/>
        </w:rPr>
        <w:t>24300万元</w:t>
      </w:r>
      <w:r>
        <w:rPr>
          <w:rFonts w:ascii="Times New Roman" w:hAnsi="Times New Roman" w:eastAsia="仿宋_GB2312" w:cs="Times New Roman"/>
          <w:sz w:val="32"/>
          <w:szCs w:val="32"/>
        </w:rPr>
        <w:t>低</w:t>
      </w:r>
      <w:r>
        <w:rPr>
          <w:rFonts w:hint="eastAsia" w:ascii="Times New Roman" w:hAnsi="Times New Roman" w:eastAsia="仿宋_GB2312" w:cs="Times New Roman"/>
          <w:sz w:val="32"/>
          <w:szCs w:val="32"/>
          <w:lang w:val="en-US" w:eastAsia="zh-CN"/>
        </w:rPr>
        <w:t>10849万元</w:t>
      </w:r>
      <w:r>
        <w:rPr>
          <w:rFonts w:ascii="Times New Roman" w:hAnsi="Times New Roman" w:eastAsia="仿宋_GB2312" w:cs="Times New Roman"/>
          <w:sz w:val="32"/>
          <w:szCs w:val="32"/>
        </w:rPr>
        <w:t>。</w:t>
      </w:r>
    </w:p>
    <w:p>
      <w:pPr>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预算绩效开展情况说明</w:t>
      </w:r>
    </w:p>
    <w:p>
      <w:pPr>
        <w:ind w:firstLine="420"/>
        <w:rPr>
          <w:rFonts w:ascii="Times New Roman" w:hAnsi="Times New Roman" w:eastAsia="仿宋_GB2312" w:cs="Times New Roman"/>
          <w:sz w:val="32"/>
          <w:szCs w:val="32"/>
        </w:rPr>
      </w:pPr>
      <w:r>
        <w:rPr>
          <w:rFonts w:hint="eastAsia" w:ascii="仿宋_GB2312" w:hAnsi="仿宋_GB2312" w:eastAsia="仿宋_GB2312" w:cs="仿宋_GB2312"/>
          <w:sz w:val="32"/>
          <w:szCs w:val="32"/>
        </w:rPr>
        <w:t xml:space="preserve"> </w:t>
      </w:r>
      <w:r>
        <w:rPr>
          <w:rFonts w:hint="eastAsia" w:ascii="Times New Roman" w:hAnsi="Times New Roman" w:eastAsia="仿宋_GB2312" w:cs="Times New Roman"/>
          <w:sz w:val="32"/>
          <w:szCs w:val="32"/>
        </w:rPr>
        <w:t>我</w:t>
      </w:r>
      <w:r>
        <w:rPr>
          <w:rFonts w:hint="eastAsia" w:ascii="Times New Roman" w:hAnsi="Times New Roman" w:eastAsia="仿宋_GB2312" w:cs="Times New Roman"/>
          <w:sz w:val="32"/>
          <w:szCs w:val="32"/>
          <w:lang w:val="en-US" w:eastAsia="zh-CN"/>
        </w:rPr>
        <w:t>县</w:t>
      </w:r>
      <w:r>
        <w:rPr>
          <w:rFonts w:hint="eastAsia" w:ascii="Times New Roman" w:hAnsi="Times New Roman" w:eastAsia="仿宋_GB2312" w:cs="Times New Roman"/>
          <w:sz w:val="32"/>
          <w:szCs w:val="32"/>
        </w:rPr>
        <w:t>预算绩效管理工作积极落实《中共中央、国务院关于全面实施预算绩效管理的意见》和《中共山西省委、山西省人民政府关于全面实施预算绩效管理的实施意见》，紧紧围绕全</w:t>
      </w:r>
      <w:r>
        <w:rPr>
          <w:rFonts w:hint="eastAsia" w:ascii="Times New Roman" w:hAnsi="Times New Roman" w:eastAsia="仿宋_GB2312" w:cs="Times New Roman"/>
          <w:sz w:val="32"/>
          <w:szCs w:val="32"/>
          <w:lang w:val="en-US" w:eastAsia="zh-CN"/>
        </w:rPr>
        <w:t>县</w:t>
      </w:r>
      <w:r>
        <w:rPr>
          <w:rFonts w:hint="eastAsia" w:ascii="Times New Roman" w:hAnsi="Times New Roman" w:eastAsia="仿宋_GB2312" w:cs="Times New Roman"/>
          <w:sz w:val="32"/>
          <w:szCs w:val="32"/>
        </w:rPr>
        <w:t>中心工作，以建立全方位、全过程、全覆盖的预算绩效管理体系为目标，强化结果导向和绩效意识，着力提高财政资源配置效率和使用效益，多措并举硬化绩效责任约束,着力提高财政资源配置效率和使用效益。主要采取了以下措施：</w:t>
      </w:r>
    </w:p>
    <w:p>
      <w:pPr>
        <w:spacing w:line="600" w:lineRule="exact"/>
        <w:ind w:firstLine="472" w:firstLineChars="147"/>
        <w:rPr>
          <w:rStyle w:val="13"/>
          <w:rFonts w:ascii="楷体" w:hAnsi="楷体" w:eastAsia="楷体" w:cs="Arial"/>
          <w:color w:val="000000"/>
          <w:sz w:val="32"/>
          <w:szCs w:val="32"/>
        </w:rPr>
      </w:pPr>
      <w:r>
        <w:rPr>
          <w:rStyle w:val="13"/>
          <w:rFonts w:hint="eastAsia" w:ascii="楷体" w:hAnsi="楷体" w:eastAsia="楷体" w:cs="Arial"/>
          <w:color w:val="000000"/>
          <w:sz w:val="32"/>
          <w:szCs w:val="32"/>
        </w:rPr>
        <w:t>（一）完善规章制度，构建全面绩效管理体系</w:t>
      </w:r>
    </w:p>
    <w:p>
      <w:pPr>
        <w:ind w:firstLine="42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认真贯彻落实《中共中央、国务院关于全面实施预算绩效管理的意见》和《中共山西省委、山西省人民政府关于全面实施预算绩效管理的意见》精神，提出我</w:t>
      </w:r>
      <w:r>
        <w:rPr>
          <w:rFonts w:hint="eastAsia" w:ascii="Times New Roman" w:hAnsi="Times New Roman" w:eastAsia="仿宋_GB2312" w:cs="Times New Roman"/>
          <w:sz w:val="32"/>
          <w:szCs w:val="32"/>
          <w:lang w:val="en-US" w:eastAsia="zh-CN"/>
        </w:rPr>
        <w:t>县</w:t>
      </w:r>
      <w:r>
        <w:rPr>
          <w:rFonts w:hint="eastAsia" w:ascii="Times New Roman" w:hAnsi="Times New Roman" w:eastAsia="仿宋_GB2312" w:cs="Times New Roman"/>
          <w:sz w:val="32"/>
          <w:szCs w:val="32"/>
        </w:rPr>
        <w:t>全面实施预算绩效管理的指导思想、总体目标、基本原则、工作任务和保障措施，为下一步全面推进预算绩效管理工作，建成全方位、全过程、全覆盖的预算绩效管理体系，指明了方向，明确了主要内容及组织管理、工作职责。</w:t>
      </w:r>
    </w:p>
    <w:p>
      <w:pPr>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（二）加强目标管理，夯实绩效管理基础</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谁申请资金，谁编报目标”的原则，按照统一要求，在编制年度部门预算时，预算单位按照《预算法》和预算绩效管理相关要求对项目支出编报绩效目标，实现项目支出绩效目标管理全覆盖。压实各部门各单位履行预算绩效管理主体责任，加大绩效目标审核力度，提升绩效目标填报质量，使绩效目标真正成为预算安排的前提和主要依据，坚持做到“预算编制有目标”,没有绩效目标（或不合格）不编列预算。财政部门和预算部门通过绩效目标“五审机制”，层层把关、审核，使绩效目标描述清晰、依据充分，使财政预算安排的项目更加科学合理。</w:t>
      </w:r>
    </w:p>
    <w:p>
      <w:pPr>
        <w:spacing w:line="600" w:lineRule="exact"/>
        <w:rPr>
          <w:rFonts w:ascii="楷体" w:hAnsi="楷体" w:eastAsia="楷体" w:cs="Arial"/>
          <w:b/>
          <w:color w:val="000000"/>
          <w:sz w:val="32"/>
          <w:szCs w:val="32"/>
        </w:rPr>
      </w:pPr>
      <w:r>
        <w:rPr>
          <w:rFonts w:hint="eastAsia" w:ascii="楷体" w:hAnsi="楷体" w:eastAsia="楷体" w:cs="Arial"/>
          <w:b/>
          <w:color w:val="000000"/>
          <w:sz w:val="32"/>
          <w:szCs w:val="32"/>
        </w:rPr>
        <w:t xml:space="preserve">   （</w:t>
      </w:r>
      <w:r>
        <w:rPr>
          <w:rFonts w:hint="eastAsia" w:ascii="楷体" w:hAnsi="楷体" w:eastAsia="楷体" w:cs="Arial"/>
          <w:b/>
          <w:color w:val="000000"/>
          <w:sz w:val="32"/>
          <w:szCs w:val="32"/>
          <w:lang w:val="en-US" w:eastAsia="zh-CN"/>
        </w:rPr>
        <w:t>三</w:t>
      </w:r>
      <w:r>
        <w:rPr>
          <w:rFonts w:hint="eastAsia" w:ascii="楷体" w:hAnsi="楷体" w:eastAsia="楷体" w:cs="Arial"/>
          <w:b/>
          <w:color w:val="000000"/>
          <w:sz w:val="32"/>
          <w:szCs w:val="32"/>
        </w:rPr>
        <w:t>）推进重点项目绩效评价，提高绩效管理质量</w:t>
      </w:r>
    </w:p>
    <w:p>
      <w:pPr>
        <w:ind w:firstLine="42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在预算部门（单位）自评价基础上，财政部门选取</w:t>
      </w:r>
      <w:r>
        <w:rPr>
          <w:rFonts w:hint="eastAsia" w:ascii="仿宋_GB2312" w:hAnsi="仿宋" w:eastAsia="仿宋_GB2312"/>
          <w:sz w:val="34"/>
          <w:szCs w:val="34"/>
        </w:rPr>
        <w:t>24个重点项目开展了预算绩效评价，涉及资金14834万元，</w:t>
      </w:r>
      <w:r>
        <w:rPr>
          <w:rFonts w:hint="eastAsia" w:ascii="Times New Roman" w:hAnsi="Times New Roman" w:eastAsia="仿宋_GB2312" w:cs="Times New Roman"/>
          <w:sz w:val="32"/>
          <w:szCs w:val="32"/>
        </w:rPr>
        <w:t>加大对评价工作的监督力度，继续采用评价报告评分与评价费用挂钩的方式，奖优罚劣，促进第三方中介强化责任意识，提升评价工作水平，为财政编制下一年度部门预算提供了重要依据，为政府决策提供了科学参考。</w:t>
      </w:r>
    </w:p>
    <w:p>
      <w:pPr>
        <w:spacing w:line="600" w:lineRule="exact"/>
        <w:ind w:firstLine="472" w:firstLineChars="147"/>
        <w:rPr>
          <w:rFonts w:ascii="楷体" w:hAnsi="楷体" w:eastAsia="楷体" w:cs="Arial"/>
          <w:b/>
          <w:bCs/>
          <w:color w:val="000000"/>
          <w:sz w:val="32"/>
          <w:szCs w:val="32"/>
        </w:rPr>
      </w:pPr>
      <w:r>
        <w:rPr>
          <w:rFonts w:hint="eastAsia" w:ascii="楷体" w:hAnsi="楷体" w:eastAsia="楷体" w:cs="Arial"/>
          <w:b/>
          <w:color w:val="000000"/>
          <w:sz w:val="32"/>
          <w:szCs w:val="32"/>
        </w:rPr>
        <w:t>（</w:t>
      </w:r>
      <w:r>
        <w:rPr>
          <w:rFonts w:hint="eastAsia" w:ascii="楷体" w:hAnsi="楷体" w:eastAsia="楷体" w:cs="Arial"/>
          <w:b/>
          <w:color w:val="000000"/>
          <w:sz w:val="32"/>
          <w:szCs w:val="32"/>
          <w:lang w:val="en-US" w:eastAsia="zh-CN"/>
        </w:rPr>
        <w:t>四</w:t>
      </w:r>
      <w:r>
        <w:rPr>
          <w:rFonts w:hint="eastAsia" w:ascii="楷体" w:hAnsi="楷体" w:eastAsia="楷体" w:cs="Arial"/>
          <w:b/>
          <w:color w:val="000000"/>
          <w:sz w:val="32"/>
          <w:szCs w:val="32"/>
        </w:rPr>
        <w:t>）</w:t>
      </w:r>
      <w:r>
        <w:rPr>
          <w:rFonts w:hint="eastAsia" w:ascii="楷体" w:hAnsi="楷体" w:eastAsia="楷体" w:cs="Arial"/>
          <w:b/>
          <w:bCs/>
          <w:color w:val="000000"/>
          <w:sz w:val="32"/>
          <w:szCs w:val="32"/>
        </w:rPr>
        <w:t>落实结果应用，提高资金使用效益</w:t>
      </w:r>
    </w:p>
    <w:p>
      <w:pPr>
        <w:ind w:firstLine="42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建立报告、反馈机制和绩效评价结果与预算资金安排有机结合机制。将评价结果向被评价单位和财政部门预算管理科室进行反馈，被评价单位结合评价意见、建议认真整改，财政局部门预算管理科室将评价结果作为预算编制的重要依据，根据评价结果调整预算安排</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使评价结果得到有效利用。</w:t>
      </w:r>
    </w:p>
    <w:p>
      <w:pPr>
        <w:spacing w:line="600" w:lineRule="exact"/>
        <w:ind w:firstLine="472" w:firstLineChars="147"/>
        <w:rPr>
          <w:rFonts w:ascii="楷体" w:hAnsi="楷体" w:eastAsia="楷体" w:cs="Arial"/>
          <w:b/>
          <w:bCs/>
          <w:color w:val="000000"/>
          <w:sz w:val="32"/>
          <w:szCs w:val="32"/>
        </w:rPr>
      </w:pPr>
      <w:r>
        <w:rPr>
          <w:rFonts w:hint="eastAsia" w:ascii="仿宋_GB2312" w:hAnsi="华文中宋" w:eastAsia="仿宋_GB2312"/>
          <w:b/>
          <w:bCs/>
          <w:sz w:val="32"/>
          <w:szCs w:val="32"/>
        </w:rPr>
        <w:t xml:space="preserve"> </w:t>
      </w:r>
      <w:r>
        <w:rPr>
          <w:rFonts w:hint="eastAsia" w:ascii="楷体" w:hAnsi="楷体" w:eastAsia="楷体" w:cs="Arial"/>
          <w:b/>
          <w:bCs/>
          <w:color w:val="000000"/>
          <w:sz w:val="32"/>
          <w:szCs w:val="32"/>
        </w:rPr>
        <w:t>（</w:t>
      </w:r>
      <w:r>
        <w:rPr>
          <w:rFonts w:hint="eastAsia" w:ascii="楷体" w:hAnsi="楷体" w:eastAsia="楷体" w:cs="Arial"/>
          <w:b/>
          <w:bCs/>
          <w:color w:val="000000"/>
          <w:sz w:val="32"/>
          <w:szCs w:val="32"/>
          <w:lang w:val="en-US" w:eastAsia="zh-CN"/>
        </w:rPr>
        <w:t>五</w:t>
      </w:r>
      <w:r>
        <w:rPr>
          <w:rFonts w:hint="eastAsia" w:ascii="楷体" w:hAnsi="楷体" w:eastAsia="楷体" w:cs="Arial"/>
          <w:b/>
          <w:bCs/>
          <w:color w:val="000000"/>
          <w:sz w:val="32"/>
          <w:szCs w:val="32"/>
        </w:rPr>
        <w:t>）强化扶贫资金绩效管理，助力脱贫攻坚</w:t>
      </w:r>
    </w:p>
    <w:p>
      <w:pPr>
        <w:ind w:firstLine="42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为了强化预算绩效管理，推动扶贫项目资金绩效管理工作扎实有效开展，发挥扶贫项目资金绩效管理对全面实施预算绩效管理改革的示范和带动作用。进一步加强对扶贫资金的绩效监管，通过召开工作动员、业务辅导、现场调研、微信群点对点交流等多种方式进行安排部署，绩效目标填报审核阶段性任务全部完成，实现绩效目标填报、审核“双百”目标。</w:t>
      </w:r>
    </w:p>
    <w:p>
      <w:pPr>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四、一般公共预算</w:t>
      </w:r>
      <w:r>
        <w:rPr>
          <w:rFonts w:ascii="Times New Roman" w:hAnsi="Times New Roman" w:eastAsia="黑体" w:cs="Times New Roman"/>
          <w:sz w:val="32"/>
          <w:szCs w:val="32"/>
        </w:rPr>
        <w:t>“三公”经费</w:t>
      </w:r>
      <w:r>
        <w:rPr>
          <w:rFonts w:hint="eastAsia" w:ascii="Times New Roman" w:hAnsi="Times New Roman" w:eastAsia="黑体" w:cs="Times New Roman"/>
          <w:sz w:val="32"/>
          <w:szCs w:val="32"/>
        </w:rPr>
        <w:t>决算执行情况</w:t>
      </w:r>
      <w:r>
        <w:rPr>
          <w:rFonts w:ascii="Times New Roman" w:hAnsi="Times New Roman" w:eastAsia="黑体" w:cs="Times New Roman"/>
          <w:sz w:val="32"/>
          <w:szCs w:val="32"/>
        </w:rPr>
        <w:t>说明</w:t>
      </w:r>
    </w:p>
    <w:p>
      <w:pPr>
        <w:ind w:firstLine="42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201</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全县</w:t>
      </w:r>
      <w:r>
        <w:rPr>
          <w:rFonts w:hint="eastAsia" w:ascii="Times New Roman" w:hAnsi="Times New Roman" w:eastAsia="仿宋_GB2312" w:cs="Times New Roman"/>
          <w:sz w:val="32"/>
          <w:szCs w:val="32"/>
        </w:rPr>
        <w:t>行政事业单位财政拨款“三公”经费支出</w:t>
      </w:r>
      <w:r>
        <w:rPr>
          <w:rFonts w:hint="eastAsia" w:ascii="Times New Roman" w:hAnsi="Times New Roman" w:eastAsia="仿宋_GB2312" w:cs="Times New Roman"/>
          <w:sz w:val="32"/>
          <w:szCs w:val="32"/>
          <w:lang w:val="en-US" w:eastAsia="zh-CN"/>
        </w:rPr>
        <w:t>575</w:t>
      </w:r>
      <w:r>
        <w:rPr>
          <w:rFonts w:hint="eastAsia" w:ascii="Times New Roman" w:hAnsi="Times New Roman" w:eastAsia="仿宋_GB2312" w:cs="Times New Roman"/>
          <w:sz w:val="32"/>
          <w:szCs w:val="32"/>
        </w:rPr>
        <w:t>万元（包括基本支出和项目支出安排的经费），比预算数</w:t>
      </w:r>
      <w:r>
        <w:rPr>
          <w:rFonts w:hint="eastAsia" w:ascii="Times New Roman" w:hAnsi="Times New Roman" w:eastAsia="仿宋_GB2312" w:cs="Times New Roman"/>
          <w:sz w:val="32"/>
          <w:szCs w:val="32"/>
          <w:lang w:val="en-US" w:eastAsia="zh-CN"/>
        </w:rPr>
        <w:t>减少38</w:t>
      </w:r>
      <w:r>
        <w:rPr>
          <w:rFonts w:hint="eastAsia" w:ascii="Times New Roman" w:hAnsi="Times New Roman" w:eastAsia="仿宋_GB2312" w:cs="Times New Roman"/>
          <w:sz w:val="32"/>
          <w:szCs w:val="32"/>
        </w:rPr>
        <w:t>万元，主要是有关部门严格执行“三公”经费只减不增要求，大力压减“三公”经费支出。其中：</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因公出国（境）费</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万元，预算数</w:t>
      </w:r>
      <w:bookmarkStart w:id="0" w:name="_GoBack"/>
      <w:bookmarkEnd w:id="0"/>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公务接待费</w:t>
      </w:r>
      <w:r>
        <w:rPr>
          <w:rFonts w:hint="eastAsia" w:ascii="Times New Roman" w:hAnsi="Times New Roman" w:eastAsia="仿宋_GB2312" w:cs="Times New Roman"/>
          <w:sz w:val="32"/>
          <w:szCs w:val="32"/>
          <w:lang w:val="en-US" w:eastAsia="zh-CN"/>
        </w:rPr>
        <w:t>110</w:t>
      </w:r>
      <w:r>
        <w:rPr>
          <w:rFonts w:hint="eastAsia" w:ascii="Times New Roman" w:hAnsi="Times New Roman" w:eastAsia="仿宋_GB2312" w:cs="Times New Roman"/>
          <w:sz w:val="32"/>
          <w:szCs w:val="32"/>
        </w:rPr>
        <w:t>万元，比预算数减少</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万元；</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公务用车购置及运行维护费</w:t>
      </w:r>
      <w:r>
        <w:rPr>
          <w:rFonts w:hint="eastAsia" w:ascii="Times New Roman" w:hAnsi="Times New Roman" w:eastAsia="仿宋_GB2312" w:cs="Times New Roman"/>
          <w:sz w:val="32"/>
          <w:szCs w:val="32"/>
          <w:lang w:val="en-US" w:eastAsia="zh-CN"/>
        </w:rPr>
        <w:t>465</w:t>
      </w:r>
      <w:r>
        <w:rPr>
          <w:rFonts w:hint="eastAsia" w:ascii="Times New Roman" w:hAnsi="Times New Roman" w:eastAsia="仿宋_GB2312" w:cs="Times New Roman"/>
          <w:sz w:val="32"/>
          <w:szCs w:val="32"/>
        </w:rPr>
        <w:t>万元（其中：公务用车购置费</w:t>
      </w:r>
      <w:r>
        <w:rPr>
          <w:rFonts w:hint="eastAsia" w:ascii="Times New Roman" w:hAnsi="Times New Roman" w:eastAsia="仿宋_GB2312" w:cs="Times New Roman"/>
          <w:sz w:val="32"/>
          <w:szCs w:val="32"/>
          <w:lang w:val="en-US" w:eastAsia="zh-CN"/>
        </w:rPr>
        <w:t>55</w:t>
      </w:r>
      <w:r>
        <w:rPr>
          <w:rFonts w:hint="eastAsia" w:ascii="Times New Roman" w:hAnsi="Times New Roman" w:eastAsia="仿宋_GB2312" w:cs="Times New Roman"/>
          <w:sz w:val="32"/>
          <w:szCs w:val="32"/>
        </w:rPr>
        <w:t>万元，运行维护费</w:t>
      </w:r>
      <w:r>
        <w:rPr>
          <w:rFonts w:hint="eastAsia" w:ascii="Times New Roman" w:hAnsi="Times New Roman" w:eastAsia="仿宋_GB2312" w:cs="Times New Roman"/>
          <w:sz w:val="32"/>
          <w:szCs w:val="32"/>
          <w:lang w:val="en-US" w:eastAsia="zh-CN"/>
        </w:rPr>
        <w:t>410</w:t>
      </w:r>
      <w:r>
        <w:rPr>
          <w:rFonts w:hint="eastAsia" w:ascii="Times New Roman" w:hAnsi="Times New Roman" w:eastAsia="仿宋_GB2312" w:cs="Times New Roman"/>
          <w:sz w:val="32"/>
          <w:szCs w:val="32"/>
        </w:rPr>
        <w:t>万元），比预算减少</w:t>
      </w:r>
      <w:r>
        <w:rPr>
          <w:rFonts w:hint="eastAsia" w:ascii="Times New Roman" w:hAnsi="Times New Roman" w:eastAsia="仿宋_GB2312" w:cs="Times New Roman"/>
          <w:sz w:val="32"/>
          <w:szCs w:val="32"/>
          <w:lang w:val="en-US" w:eastAsia="zh-CN"/>
        </w:rPr>
        <w:t>35</w:t>
      </w:r>
      <w:r>
        <w:rPr>
          <w:rFonts w:hint="eastAsia" w:ascii="Times New Roman" w:hAnsi="Times New Roman" w:eastAsia="仿宋_GB2312" w:cs="Times New Roman"/>
          <w:sz w:val="32"/>
          <w:szCs w:val="32"/>
        </w:rPr>
        <w:t>万元。</w:t>
      </w:r>
    </w:p>
    <w:p>
      <w:pPr>
        <w:rPr>
          <w:rFonts w:ascii="Times New Roman" w:hAnsi="Times New Roman" w:cs="Times New Roman"/>
        </w:rPr>
      </w:pPr>
    </w:p>
    <w:sectPr>
      <w:footerReference r:id="rId3"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065"/>
    <w:rsid w:val="0083141F"/>
    <w:rsid w:val="00C33A31"/>
    <w:rsid w:val="00CC3065"/>
    <w:rsid w:val="01080061"/>
    <w:rsid w:val="2F2D446D"/>
    <w:rsid w:val="43DF0B2F"/>
    <w:rsid w:val="48434B7E"/>
    <w:rsid w:val="485C6207"/>
    <w:rsid w:val="497068AA"/>
    <w:rsid w:val="4B9258ED"/>
    <w:rsid w:val="545E7EF8"/>
    <w:rsid w:val="57B80359"/>
    <w:rsid w:val="5DAE03D9"/>
    <w:rsid w:val="5E6F7BC8"/>
    <w:rsid w:val="6C334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Body Text Indent"/>
    <w:basedOn w:val="1"/>
    <w:unhideWhenUsed/>
    <w:qFormat/>
    <w:uiPriority w:val="99"/>
    <w:pPr>
      <w:spacing w:after="120"/>
      <w:ind w:left="420" w:leftChars="200"/>
    </w:pPr>
  </w:style>
  <w:style w:type="paragraph" w:styleId="6">
    <w:name w:val="Plain Text"/>
    <w:basedOn w:val="1"/>
    <w:qFormat/>
    <w:uiPriority w:val="0"/>
    <w:rPr>
      <w:rFonts w:ascii="宋体" w:hAnsi="Courier New" w:cs="Courier New"/>
      <w:szCs w:val="21"/>
    </w:rPr>
  </w:style>
  <w:style w:type="paragraph" w:styleId="7">
    <w:name w:val="Balloon Text"/>
    <w:basedOn w:val="1"/>
    <w:link w:val="16"/>
    <w:qFormat/>
    <w:uiPriority w:val="0"/>
    <w:rPr>
      <w:sz w:val="18"/>
      <w:szCs w:val="18"/>
    </w:rPr>
  </w:style>
  <w:style w:type="paragraph" w:styleId="8">
    <w:name w:val="footer"/>
    <w:basedOn w:val="1"/>
    <w:link w:val="17"/>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5"/>
    <w:unhideWhenUsed/>
    <w:qFormat/>
    <w:uiPriority w:val="99"/>
    <w:pPr>
      <w:ind w:firstLine="420" w:firstLineChars="200"/>
    </w:pPr>
  </w:style>
  <w:style w:type="character" w:styleId="13">
    <w:name w:val="Strong"/>
    <w:basedOn w:val="12"/>
    <w:qFormat/>
    <w:uiPriority w:val="0"/>
    <w:rPr>
      <w:b/>
      <w:bCs/>
    </w:rPr>
  </w:style>
  <w:style w:type="character" w:styleId="14">
    <w:name w:val="page number"/>
    <w:basedOn w:val="12"/>
    <w:qFormat/>
    <w:uiPriority w:val="0"/>
  </w:style>
  <w:style w:type="paragraph" w:customStyle="1" w:styleId="15">
    <w:name w:val="闻政正文"/>
    <w:basedOn w:val="1"/>
    <w:qFormat/>
    <w:uiPriority w:val="0"/>
    <w:pPr>
      <w:spacing w:line="500" w:lineRule="exact"/>
      <w:ind w:firstLine="560" w:firstLineChars="200"/>
    </w:pPr>
    <w:rPr>
      <w:rFonts w:eastAsia="仿宋_GB2312"/>
      <w:kern w:val="0"/>
      <w:sz w:val="28"/>
      <w:szCs w:val="28"/>
    </w:rPr>
  </w:style>
  <w:style w:type="character" w:customStyle="1" w:styleId="16">
    <w:name w:val="批注框文本 Char"/>
    <w:basedOn w:val="12"/>
    <w:link w:val="7"/>
    <w:qFormat/>
    <w:uiPriority w:val="0"/>
    <w:rPr>
      <w:rFonts w:ascii="Calibri" w:hAnsi="Calibri" w:eastAsia="宋体" w:cs="黑体"/>
      <w:kern w:val="2"/>
      <w:sz w:val="18"/>
      <w:szCs w:val="18"/>
    </w:rPr>
  </w:style>
  <w:style w:type="character" w:customStyle="1" w:styleId="17">
    <w:name w:val="页脚 Char"/>
    <w:basedOn w:val="12"/>
    <w:link w:val="8"/>
    <w:uiPriority w:val="99"/>
    <w:rPr>
      <w:rFonts w:ascii="Calibri" w:hAnsi="Calibri" w:eastAsia="宋体" w:cs="黑体"/>
      <w:kern w:val="2"/>
      <w:sz w:val="18"/>
      <w:szCs w:val="18"/>
    </w:rPr>
  </w:style>
  <w:style w:type="paragraph" w:customStyle="1" w:styleId="18">
    <w:name w:val="p0"/>
    <w:basedOn w:val="1"/>
    <w:qFormat/>
    <w:uiPriority w:val="0"/>
    <w:pPr>
      <w:widowControl/>
    </w:pPr>
    <w:rPr>
      <w:rFonts w:cs="宋体"/>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3</Pages>
  <Words>467</Words>
  <Characters>2667</Characters>
  <Lines>22</Lines>
  <Paragraphs>6</Paragraphs>
  <TotalTime>15</TotalTime>
  <ScaleCrop>false</ScaleCrop>
  <LinksUpToDate>false</LinksUpToDate>
  <CharactersWithSpaces>3128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2021-05-22T11:26:00Z</dcterms:created>
  <dc:creator>null,null,预算公开</dc:creator>
  <cp:lastModifiedBy>．．．</cp:lastModifiedBy>
  <cp:lastPrinted>2020-05-13T10:20:00Z</cp:lastPrinted>
  <dcterms:modified xsi:type="dcterms:W3CDTF">2021-05-25T09:10:21Z</dcterms:modified>
  <dc:title>2019年政府决算公开相关说明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73E4174081B84722808313B036CE4217</vt:lpwstr>
  </property>
</Properties>
</file>