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9C12EE">
      <w:pPr>
        <w:adjustRightInd w:val="0"/>
        <w:snapToGrid w:val="0"/>
        <w:spacing w:line="288" w:lineRule="auto"/>
        <w:jc w:val="center"/>
        <w:rPr>
          <w:rFonts w:hint="eastAsia" w:ascii="楷体_GB2312" w:eastAsia="楷体_GB2312"/>
          <w:color w:val="auto"/>
          <w:sz w:val="36"/>
          <w:szCs w:val="36"/>
          <w:highlight w:val="none"/>
          <w:lang w:eastAsia="zh-CN"/>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start="21"/>
          <w:cols w:space="720" w:num="1"/>
          <w:docGrid w:linePitch="312" w:charSpace="0"/>
        </w:sectPr>
      </w:pPr>
      <w:r>
        <w:rPr>
          <w:rFonts w:hint="eastAsia" w:ascii="楷体_GB2312" w:eastAsia="楷体_GB2312"/>
          <w:color w:val="auto"/>
          <w:sz w:val="36"/>
          <w:szCs w:val="36"/>
          <w:highlight w:val="none"/>
          <w:lang w:eastAsia="zh-CN"/>
        </w:rPr>
        <w:drawing>
          <wp:anchor distT="0" distB="0" distL="114300" distR="114300" simplePos="0" relativeHeight="251660288" behindDoc="1" locked="0" layoutInCell="1" allowOverlap="1">
            <wp:simplePos x="0" y="0"/>
            <wp:positionH relativeFrom="column">
              <wp:posOffset>-909320</wp:posOffset>
            </wp:positionH>
            <wp:positionV relativeFrom="paragraph">
              <wp:posOffset>-1066800</wp:posOffset>
            </wp:positionV>
            <wp:extent cx="7517130" cy="10864850"/>
            <wp:effectExtent l="0" t="0" r="7620" b="12700"/>
            <wp:wrapNone/>
            <wp:docPr id="9" name="图片 9" descr="140013fee9ea15e8fa18ef7c7b9f4f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40013fee9ea15e8fa18ef7c7b9f4faf"/>
                    <pic:cNvPicPr>
                      <a:picLocks noChangeAspect="1"/>
                    </pic:cNvPicPr>
                  </pic:nvPicPr>
                  <pic:blipFill>
                    <a:blip r:embed="rId7"/>
                    <a:stretch>
                      <a:fillRect/>
                    </a:stretch>
                  </pic:blipFill>
                  <pic:spPr>
                    <a:xfrm>
                      <a:off x="0" y="0"/>
                      <a:ext cx="7517130" cy="10864850"/>
                    </a:xfrm>
                    <a:prstGeom prst="rect">
                      <a:avLst/>
                    </a:prstGeom>
                  </pic:spPr>
                </pic:pic>
              </a:graphicData>
            </a:graphic>
          </wp:anchor>
        </w:drawing>
      </w:r>
    </w:p>
    <w:p w14:paraId="3531E36D">
      <w:pPr>
        <w:adjustRightInd w:val="0"/>
        <w:snapToGrid w:val="0"/>
        <w:spacing w:line="288" w:lineRule="auto"/>
        <w:jc w:val="center"/>
        <w:rPr>
          <w:rFonts w:hint="eastAsia" w:ascii="楷体_GB2312" w:eastAsia="楷体_GB2312"/>
          <w:color w:val="auto"/>
          <w:sz w:val="36"/>
          <w:szCs w:val="36"/>
          <w:highlight w:val="none"/>
          <w:lang w:eastAsia="zh-CN"/>
        </w:rPr>
        <w:sectPr>
          <w:pgSz w:w="11906" w:h="16838"/>
          <w:pgMar w:top="1701" w:right="1531" w:bottom="1701" w:left="1531" w:header="851" w:footer="1077" w:gutter="0"/>
          <w:pgBorders>
            <w:top w:val="none" w:sz="0" w:space="0"/>
            <w:left w:val="none" w:sz="0" w:space="0"/>
            <w:bottom w:val="none" w:sz="0" w:space="0"/>
            <w:right w:val="none" w:sz="0" w:space="0"/>
          </w:pgBorders>
          <w:pgNumType w:start="21"/>
          <w:cols w:space="720" w:num="1"/>
          <w:docGrid w:linePitch="312" w:charSpace="0"/>
        </w:sectPr>
      </w:pPr>
      <w:r>
        <w:rPr>
          <w:rFonts w:hint="eastAsia" w:ascii="楷体_GB2312" w:eastAsia="楷体_GB2312"/>
          <w:color w:val="auto"/>
          <w:sz w:val="36"/>
          <w:szCs w:val="36"/>
          <w:highlight w:val="none"/>
          <w:lang w:eastAsia="zh-CN"/>
        </w:rPr>
        <w:drawing>
          <wp:anchor distT="0" distB="0" distL="114300" distR="114300" simplePos="0" relativeHeight="251660288" behindDoc="1" locked="0" layoutInCell="1" allowOverlap="1">
            <wp:simplePos x="0" y="0"/>
            <wp:positionH relativeFrom="column">
              <wp:posOffset>-666750</wp:posOffset>
            </wp:positionH>
            <wp:positionV relativeFrom="paragraph">
              <wp:posOffset>-1006475</wp:posOffset>
            </wp:positionV>
            <wp:extent cx="7041515" cy="10619105"/>
            <wp:effectExtent l="0" t="0" r="6985" b="10795"/>
            <wp:wrapNone/>
            <wp:docPr id="12" name="图片 12" descr="2ecb366b1fd0b8f5dfdfbc3fbc8c7e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ecb366b1fd0b8f5dfdfbc3fbc8c7e57"/>
                    <pic:cNvPicPr>
                      <a:picLocks noChangeAspect="1"/>
                    </pic:cNvPicPr>
                  </pic:nvPicPr>
                  <pic:blipFill>
                    <a:blip r:embed="rId8"/>
                    <a:stretch>
                      <a:fillRect/>
                    </a:stretch>
                  </pic:blipFill>
                  <pic:spPr>
                    <a:xfrm>
                      <a:off x="0" y="0"/>
                      <a:ext cx="7041515" cy="10619105"/>
                    </a:xfrm>
                    <a:prstGeom prst="rect">
                      <a:avLst/>
                    </a:prstGeom>
                  </pic:spPr>
                </pic:pic>
              </a:graphicData>
            </a:graphic>
          </wp:anchor>
        </w:drawing>
      </w:r>
    </w:p>
    <w:p w14:paraId="5FFCF4B3">
      <w:pPr>
        <w:adjustRightInd w:val="0"/>
        <w:snapToGrid w:val="0"/>
        <w:spacing w:line="288" w:lineRule="auto"/>
        <w:jc w:val="center"/>
        <w:rPr>
          <w:rFonts w:hint="eastAsia" w:ascii="楷体_GB2312" w:eastAsia="楷体_GB2312"/>
          <w:color w:val="auto"/>
          <w:sz w:val="36"/>
          <w:szCs w:val="36"/>
          <w:highlight w:val="none"/>
        </w:rPr>
        <w:sectPr>
          <w:pgSz w:w="11906" w:h="16838"/>
          <w:pgMar w:top="1701" w:right="1531" w:bottom="1701" w:left="1531" w:header="851" w:footer="1077" w:gutter="0"/>
          <w:pgBorders>
            <w:top w:val="none" w:sz="0" w:space="0"/>
            <w:left w:val="none" w:sz="0" w:space="0"/>
            <w:bottom w:val="none" w:sz="0" w:space="0"/>
            <w:right w:val="none" w:sz="0" w:space="0"/>
          </w:pgBorders>
          <w:pgNumType w:start="21"/>
          <w:cols w:space="720" w:num="1"/>
          <w:docGrid w:linePitch="312" w:charSpace="0"/>
        </w:sectPr>
      </w:pPr>
      <w:r>
        <w:rPr>
          <w:rFonts w:hint="eastAsia" w:ascii="楷体_GB2312" w:eastAsia="楷体_GB2312"/>
          <w:color w:val="auto"/>
          <w:sz w:val="36"/>
          <w:szCs w:val="36"/>
          <w:highlight w:val="none"/>
        </w:rPr>
        <w:drawing>
          <wp:anchor distT="0" distB="0" distL="114300" distR="114300" simplePos="0" relativeHeight="251660288" behindDoc="1" locked="0" layoutInCell="1" allowOverlap="1">
            <wp:simplePos x="0" y="0"/>
            <wp:positionH relativeFrom="column">
              <wp:posOffset>-915670</wp:posOffset>
            </wp:positionH>
            <wp:positionV relativeFrom="paragraph">
              <wp:posOffset>-1043940</wp:posOffset>
            </wp:positionV>
            <wp:extent cx="7508240" cy="10596245"/>
            <wp:effectExtent l="0" t="0" r="16510" b="14605"/>
            <wp:wrapNone/>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9"/>
                    <a:stretch>
                      <a:fillRect/>
                    </a:stretch>
                  </pic:blipFill>
                  <pic:spPr>
                    <a:xfrm>
                      <a:off x="0" y="0"/>
                      <a:ext cx="7508240" cy="10596245"/>
                    </a:xfrm>
                    <a:prstGeom prst="rect">
                      <a:avLst/>
                    </a:prstGeom>
                    <a:noFill/>
                    <a:ln>
                      <a:noFill/>
                    </a:ln>
                  </pic:spPr>
                </pic:pic>
              </a:graphicData>
            </a:graphic>
          </wp:anchor>
        </w:drawing>
      </w:r>
    </w:p>
    <w:p w14:paraId="3054D6D8">
      <w:pPr>
        <w:adjustRightInd w:val="0"/>
        <w:snapToGrid w:val="0"/>
        <w:spacing w:line="288" w:lineRule="auto"/>
        <w:jc w:val="center"/>
        <w:rPr>
          <w:rFonts w:hint="eastAsia" w:ascii="楷体_GB2312" w:eastAsia="楷体_GB2312"/>
          <w:color w:val="auto"/>
          <w:sz w:val="36"/>
          <w:szCs w:val="36"/>
          <w:highlight w:val="none"/>
        </w:rPr>
      </w:pPr>
      <w:r>
        <w:rPr>
          <w:rFonts w:ascii="楷体_GB2312" w:eastAsia="楷体_GB2312"/>
          <w:color w:val="auto"/>
          <w:sz w:val="36"/>
          <w:szCs w:val="36"/>
          <w:highlight w:val="none"/>
        </w:rPr>
        <w:drawing>
          <wp:anchor distT="0" distB="0" distL="114300" distR="114300" simplePos="0" relativeHeight="251660288" behindDoc="1" locked="0" layoutInCell="1" allowOverlap="1">
            <wp:simplePos x="0" y="0"/>
            <wp:positionH relativeFrom="column">
              <wp:posOffset>-975995</wp:posOffset>
            </wp:positionH>
            <wp:positionV relativeFrom="paragraph">
              <wp:posOffset>-1025525</wp:posOffset>
            </wp:positionV>
            <wp:extent cx="7506970" cy="10617835"/>
            <wp:effectExtent l="0" t="0" r="17780" b="12065"/>
            <wp:wrapNone/>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0"/>
                    <a:stretch>
                      <a:fillRect/>
                    </a:stretch>
                  </pic:blipFill>
                  <pic:spPr>
                    <a:xfrm>
                      <a:off x="0" y="0"/>
                      <a:ext cx="7506970" cy="10617835"/>
                    </a:xfrm>
                    <a:prstGeom prst="rect">
                      <a:avLst/>
                    </a:prstGeom>
                    <a:noFill/>
                    <a:ln>
                      <a:noFill/>
                    </a:ln>
                  </pic:spPr>
                </pic:pic>
              </a:graphicData>
            </a:graphic>
          </wp:anchor>
        </w:drawing>
      </w:r>
    </w:p>
    <w:p w14:paraId="7194F6FA">
      <w:pPr>
        <w:adjustRightInd w:val="0"/>
        <w:snapToGrid w:val="0"/>
        <w:rPr>
          <w:rFonts w:ascii="楷体_GB2312" w:eastAsia="楷体_GB2312"/>
          <w:color w:val="auto"/>
          <w:sz w:val="36"/>
          <w:szCs w:val="36"/>
          <w:highlight w:val="none"/>
        </w:rPr>
        <w:sectPr>
          <w:pgSz w:w="11906" w:h="16838"/>
          <w:pgMar w:top="1701" w:right="1531" w:bottom="1701" w:left="1531" w:header="851" w:footer="1077" w:gutter="0"/>
          <w:pgBorders>
            <w:top w:val="none" w:sz="0" w:space="0"/>
            <w:left w:val="none" w:sz="0" w:space="0"/>
            <w:bottom w:val="none" w:sz="0" w:space="0"/>
            <w:right w:val="none" w:sz="0" w:space="0"/>
          </w:pgBorders>
          <w:pgNumType w:start="21"/>
          <w:cols w:space="720" w:num="1"/>
          <w:docGrid w:linePitch="312" w:charSpace="0"/>
        </w:sectPr>
      </w:pPr>
    </w:p>
    <w:p w14:paraId="5B554129">
      <w:pPr>
        <w:pStyle w:val="9"/>
        <w:spacing w:before="0" w:beforeAutospacing="0" w:after="0" w:afterAutospacing="0"/>
        <w:jc w:val="center"/>
        <w:outlineLvl w:val="0"/>
        <w:rPr>
          <w:rFonts w:hint="eastAsia"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t>一、建设项目基本情况</w:t>
      </w:r>
    </w:p>
    <w:tbl>
      <w:tblPr>
        <w:tblStyle w:val="10"/>
        <w:tblW w:w="8885" w:type="dxa"/>
        <w:tblInd w:w="16"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851"/>
        <w:gridCol w:w="142"/>
        <w:gridCol w:w="850"/>
        <w:gridCol w:w="2268"/>
        <w:gridCol w:w="2268"/>
        <w:gridCol w:w="2506"/>
      </w:tblGrid>
      <w:tr w14:paraId="5C5250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843" w:type="dxa"/>
            <w:gridSpan w:val="3"/>
            <w:tcMar>
              <w:top w:w="16" w:type="dxa"/>
              <w:left w:w="16" w:type="dxa"/>
              <w:right w:w="16" w:type="dxa"/>
            </w:tcMar>
            <w:vAlign w:val="center"/>
          </w:tcPr>
          <w:p w14:paraId="70B19B22">
            <w:pPr>
              <w:adjustRightInd w:val="0"/>
              <w:snapToGrid w:val="0"/>
              <w:jc w:val="center"/>
              <w:rPr>
                <w:color w:val="auto"/>
                <w:sz w:val="24"/>
                <w:highlight w:val="none"/>
              </w:rPr>
            </w:pPr>
            <w:bookmarkStart w:id="0" w:name="_Hlk164675363"/>
            <w:r>
              <w:rPr>
                <w:color w:val="auto"/>
                <w:sz w:val="24"/>
                <w:highlight w:val="none"/>
              </w:rPr>
              <w:t>建设项目名称</w:t>
            </w:r>
          </w:p>
        </w:tc>
        <w:tc>
          <w:tcPr>
            <w:tcW w:w="7042" w:type="dxa"/>
            <w:gridSpan w:val="3"/>
            <w:vAlign w:val="center"/>
          </w:tcPr>
          <w:p w14:paraId="68994E00">
            <w:pPr>
              <w:adjustRightInd w:val="0"/>
              <w:snapToGrid w:val="0"/>
              <w:jc w:val="center"/>
              <w:rPr>
                <w:color w:val="auto"/>
                <w:sz w:val="24"/>
                <w:highlight w:val="none"/>
              </w:rPr>
            </w:pPr>
            <w:r>
              <w:rPr>
                <w:rFonts w:hint="eastAsia" w:eastAsia="宋体"/>
                <w:color w:val="auto"/>
                <w:sz w:val="24"/>
                <w:highlight w:val="none"/>
                <w:lang w:eastAsia="zh-CN"/>
              </w:rPr>
              <w:t>中节能壶关县乡村振兴50MW风电项目</w:t>
            </w:r>
          </w:p>
        </w:tc>
      </w:tr>
      <w:tr w14:paraId="7955BB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843" w:type="dxa"/>
            <w:gridSpan w:val="3"/>
            <w:tcMar>
              <w:top w:w="16" w:type="dxa"/>
              <w:left w:w="16" w:type="dxa"/>
              <w:right w:w="16" w:type="dxa"/>
            </w:tcMar>
            <w:vAlign w:val="center"/>
          </w:tcPr>
          <w:p w14:paraId="5CE76464">
            <w:pPr>
              <w:adjustRightInd w:val="0"/>
              <w:snapToGrid w:val="0"/>
              <w:jc w:val="center"/>
              <w:rPr>
                <w:color w:val="auto"/>
                <w:sz w:val="24"/>
                <w:highlight w:val="none"/>
              </w:rPr>
            </w:pPr>
            <w:r>
              <w:rPr>
                <w:color w:val="auto"/>
                <w:sz w:val="24"/>
                <w:highlight w:val="none"/>
              </w:rPr>
              <w:t>项目代码</w:t>
            </w:r>
          </w:p>
        </w:tc>
        <w:tc>
          <w:tcPr>
            <w:tcW w:w="7042" w:type="dxa"/>
            <w:gridSpan w:val="3"/>
            <w:vAlign w:val="center"/>
          </w:tcPr>
          <w:p w14:paraId="34033003">
            <w:pPr>
              <w:adjustRightInd w:val="0"/>
              <w:snapToGrid w:val="0"/>
              <w:jc w:val="center"/>
              <w:rPr>
                <w:color w:val="auto"/>
                <w:sz w:val="24"/>
                <w:highlight w:val="none"/>
              </w:rPr>
            </w:pPr>
            <w:r>
              <w:rPr>
                <w:rFonts w:hint="eastAsia" w:ascii="Times New Roman" w:eastAsia="宋体"/>
                <w:color w:val="auto"/>
                <w:sz w:val="24"/>
                <w:highlight w:val="none"/>
                <w:lang w:val="en-US" w:eastAsia="zh-CN"/>
              </w:rPr>
              <w:t>2411-140427-89-05-836208</w:t>
            </w:r>
          </w:p>
        </w:tc>
      </w:tr>
      <w:tr w14:paraId="025AF2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843" w:type="dxa"/>
            <w:gridSpan w:val="3"/>
            <w:tcMar>
              <w:top w:w="16" w:type="dxa"/>
              <w:left w:w="16" w:type="dxa"/>
              <w:right w:w="16" w:type="dxa"/>
            </w:tcMar>
            <w:vAlign w:val="center"/>
          </w:tcPr>
          <w:p w14:paraId="68FBAB1B">
            <w:pPr>
              <w:adjustRightInd w:val="0"/>
              <w:snapToGrid w:val="0"/>
              <w:jc w:val="center"/>
              <w:rPr>
                <w:color w:val="auto"/>
                <w:sz w:val="24"/>
                <w:highlight w:val="none"/>
              </w:rPr>
            </w:pPr>
            <w:r>
              <w:rPr>
                <w:color w:val="auto"/>
                <w:sz w:val="24"/>
                <w:highlight w:val="none"/>
              </w:rPr>
              <w:t>建设单位联系人</w:t>
            </w:r>
          </w:p>
        </w:tc>
        <w:tc>
          <w:tcPr>
            <w:tcW w:w="2268" w:type="dxa"/>
            <w:vAlign w:val="center"/>
          </w:tcPr>
          <w:p w14:paraId="19E01655">
            <w:pPr>
              <w:adjustRightInd w:val="0"/>
              <w:snapToGrid w:val="0"/>
              <w:jc w:val="center"/>
              <w:rPr>
                <w:rFonts w:hint="default" w:eastAsia="宋体"/>
                <w:color w:val="auto"/>
                <w:sz w:val="24"/>
                <w:highlight w:val="none"/>
                <w:lang w:val="en-US" w:eastAsia="zh-CN"/>
              </w:rPr>
            </w:pPr>
            <w:r>
              <w:rPr>
                <w:rFonts w:hint="eastAsia"/>
                <w:color w:val="auto"/>
                <w:sz w:val="24"/>
                <w:highlight w:val="none"/>
                <w:lang w:val="en-US" w:eastAsia="zh-CN"/>
              </w:rPr>
              <w:t>/</w:t>
            </w:r>
          </w:p>
        </w:tc>
        <w:tc>
          <w:tcPr>
            <w:tcW w:w="2268" w:type="dxa"/>
            <w:vAlign w:val="center"/>
          </w:tcPr>
          <w:p w14:paraId="44C58775">
            <w:pPr>
              <w:adjustRightInd w:val="0"/>
              <w:snapToGrid w:val="0"/>
              <w:jc w:val="center"/>
              <w:rPr>
                <w:color w:val="auto"/>
                <w:sz w:val="24"/>
                <w:highlight w:val="none"/>
              </w:rPr>
            </w:pPr>
            <w:r>
              <w:rPr>
                <w:color w:val="auto"/>
                <w:sz w:val="24"/>
                <w:highlight w:val="none"/>
              </w:rPr>
              <w:t>联系方式</w:t>
            </w:r>
          </w:p>
        </w:tc>
        <w:tc>
          <w:tcPr>
            <w:tcW w:w="2506" w:type="dxa"/>
            <w:vAlign w:val="center"/>
          </w:tcPr>
          <w:p w14:paraId="68EA5F67">
            <w:pPr>
              <w:adjustRightInd w:val="0"/>
              <w:snapToGrid w:val="0"/>
              <w:jc w:val="center"/>
              <w:rPr>
                <w:rFonts w:hint="eastAsia" w:eastAsia="宋体"/>
                <w:color w:val="auto"/>
                <w:sz w:val="24"/>
                <w:highlight w:val="none"/>
                <w:lang w:val="en-US" w:eastAsia="zh-CN"/>
              </w:rPr>
            </w:pPr>
            <w:r>
              <w:rPr>
                <w:rFonts w:hint="eastAsia"/>
                <w:color w:val="auto"/>
                <w:sz w:val="24"/>
                <w:highlight w:val="none"/>
                <w:lang w:val="en-US" w:eastAsia="zh-CN"/>
              </w:rPr>
              <w:t>/</w:t>
            </w:r>
          </w:p>
        </w:tc>
      </w:tr>
      <w:tr w14:paraId="5FD997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843" w:type="dxa"/>
            <w:gridSpan w:val="3"/>
            <w:tcMar>
              <w:top w:w="16" w:type="dxa"/>
              <w:left w:w="16" w:type="dxa"/>
              <w:right w:w="16" w:type="dxa"/>
            </w:tcMar>
            <w:vAlign w:val="center"/>
          </w:tcPr>
          <w:p w14:paraId="761D6F4D">
            <w:pPr>
              <w:adjustRightInd w:val="0"/>
              <w:snapToGrid w:val="0"/>
              <w:jc w:val="center"/>
              <w:rPr>
                <w:color w:val="auto"/>
                <w:sz w:val="24"/>
                <w:highlight w:val="none"/>
              </w:rPr>
            </w:pPr>
            <w:r>
              <w:rPr>
                <w:color w:val="auto"/>
                <w:sz w:val="24"/>
                <w:highlight w:val="none"/>
              </w:rPr>
              <w:t>建设地点</w:t>
            </w:r>
          </w:p>
        </w:tc>
        <w:tc>
          <w:tcPr>
            <w:tcW w:w="7042" w:type="dxa"/>
            <w:gridSpan w:val="3"/>
            <w:vAlign w:val="center"/>
          </w:tcPr>
          <w:p w14:paraId="6243D89B">
            <w:pPr>
              <w:adjustRightInd w:val="0"/>
              <w:snapToGrid w:val="0"/>
              <w:jc w:val="center"/>
              <w:rPr>
                <w:rFonts w:hint="default"/>
                <w:color w:val="auto"/>
                <w:sz w:val="24"/>
                <w:highlight w:val="none"/>
                <w:lang w:val="en-US"/>
              </w:rPr>
            </w:pPr>
            <w:r>
              <w:rPr>
                <w:rFonts w:hint="eastAsia" w:ascii="Times New Roman" w:eastAsia="宋体"/>
                <w:color w:val="auto"/>
                <w:sz w:val="24"/>
                <w:highlight w:val="none"/>
                <w:lang w:val="en-US" w:eastAsia="zh-CN"/>
              </w:rPr>
              <w:t>山西省长治市壶关县石坡乡、店上镇、东井岭乡</w:t>
            </w:r>
          </w:p>
        </w:tc>
      </w:tr>
      <w:tr w14:paraId="739FE7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843" w:type="dxa"/>
            <w:gridSpan w:val="3"/>
            <w:tcMar>
              <w:top w:w="16" w:type="dxa"/>
              <w:left w:w="16" w:type="dxa"/>
              <w:right w:w="16" w:type="dxa"/>
            </w:tcMar>
            <w:vAlign w:val="center"/>
          </w:tcPr>
          <w:p w14:paraId="39A88B0B">
            <w:pPr>
              <w:adjustRightInd w:val="0"/>
              <w:snapToGrid w:val="0"/>
              <w:jc w:val="center"/>
              <w:rPr>
                <w:color w:val="auto"/>
                <w:sz w:val="24"/>
                <w:highlight w:val="none"/>
              </w:rPr>
            </w:pPr>
            <w:r>
              <w:rPr>
                <w:color w:val="auto"/>
                <w:sz w:val="24"/>
                <w:highlight w:val="none"/>
              </w:rPr>
              <w:t>地理坐标</w:t>
            </w:r>
          </w:p>
        </w:tc>
        <w:tc>
          <w:tcPr>
            <w:tcW w:w="7042" w:type="dxa"/>
            <w:gridSpan w:val="3"/>
            <w:vAlign w:val="center"/>
          </w:tcPr>
          <w:p w14:paraId="3369F7AC">
            <w:pPr>
              <w:adjustRightInd w:val="0"/>
              <w:snapToGrid w:val="0"/>
              <w:jc w:val="both"/>
              <w:rPr>
                <w:rFonts w:hint="default" w:ascii="Times New Roman" w:hAnsi="Times New Roman" w:eastAsia="宋体" w:cs="Times New Roman"/>
                <w:color w:val="auto"/>
                <w:sz w:val="24"/>
                <w:highlight w:val="none"/>
              </w:rPr>
            </w:pPr>
            <w:r>
              <w:rPr>
                <w:rFonts w:ascii="Times New Roman" w:hAnsi="Times New Roman" w:cs="Times New Roman"/>
                <w:color w:val="auto"/>
                <w:sz w:val="24"/>
                <w:highlight w:val="none"/>
              </w:rPr>
              <w:t>风电场区范围介于：</w:t>
            </w:r>
            <w:r>
              <w:rPr>
                <w:rFonts w:hint="default" w:ascii="Times New Roman" w:hAnsi="Times New Roman" w:eastAsia="宋体" w:cs="Times New Roman"/>
                <w:color w:val="auto"/>
                <w:sz w:val="24"/>
                <w:highlight w:val="none"/>
              </w:rPr>
              <w:t>E113°17′10.753″至E113°25'04.371"</w:t>
            </w:r>
          </w:p>
          <w:p w14:paraId="44D431AC">
            <w:pPr>
              <w:adjustRightInd w:val="0"/>
              <w:snapToGrid w:val="0"/>
              <w:ind w:firstLine="2160" w:firstLineChars="900"/>
              <w:jc w:val="left"/>
              <w:rPr>
                <w:color w:val="auto"/>
                <w:sz w:val="24"/>
                <w:highlight w:val="none"/>
              </w:rPr>
            </w:pPr>
            <w:r>
              <w:rPr>
                <w:rFonts w:hint="default" w:ascii="Times New Roman" w:hAnsi="Times New Roman" w:eastAsia="宋体" w:cs="Times New Roman"/>
                <w:color w:val="auto"/>
                <w:sz w:val="24"/>
                <w:highlight w:val="none"/>
              </w:rPr>
              <w:t>N35°55′32.787″至N36°1′48.519″</w:t>
            </w:r>
          </w:p>
        </w:tc>
      </w:tr>
      <w:tr w14:paraId="4B839A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843" w:type="dxa"/>
            <w:gridSpan w:val="3"/>
            <w:tcMar>
              <w:top w:w="16" w:type="dxa"/>
              <w:left w:w="16" w:type="dxa"/>
              <w:right w:w="16" w:type="dxa"/>
            </w:tcMar>
            <w:vAlign w:val="center"/>
          </w:tcPr>
          <w:p w14:paraId="5880103B">
            <w:pPr>
              <w:adjustRightInd w:val="0"/>
              <w:snapToGrid w:val="0"/>
              <w:jc w:val="center"/>
              <w:rPr>
                <w:color w:val="auto"/>
                <w:sz w:val="24"/>
                <w:highlight w:val="none"/>
              </w:rPr>
            </w:pPr>
            <w:r>
              <w:rPr>
                <w:color w:val="auto"/>
                <w:sz w:val="24"/>
                <w:highlight w:val="none"/>
              </w:rPr>
              <w:t>建设项目</w:t>
            </w:r>
          </w:p>
          <w:p w14:paraId="43FB8A44">
            <w:pPr>
              <w:adjustRightInd w:val="0"/>
              <w:snapToGrid w:val="0"/>
              <w:jc w:val="center"/>
              <w:rPr>
                <w:color w:val="auto"/>
                <w:sz w:val="24"/>
                <w:highlight w:val="none"/>
              </w:rPr>
            </w:pPr>
            <w:r>
              <w:rPr>
                <w:color w:val="auto"/>
                <w:sz w:val="24"/>
                <w:highlight w:val="none"/>
              </w:rPr>
              <w:t>行业类别</w:t>
            </w:r>
          </w:p>
        </w:tc>
        <w:tc>
          <w:tcPr>
            <w:tcW w:w="2268" w:type="dxa"/>
            <w:vAlign w:val="center"/>
          </w:tcPr>
          <w:p w14:paraId="23F41C96">
            <w:pPr>
              <w:adjustRightInd w:val="0"/>
              <w:snapToGrid w:val="0"/>
              <w:jc w:val="center"/>
              <w:rPr>
                <w:color w:val="auto"/>
                <w:sz w:val="24"/>
                <w:highlight w:val="none"/>
              </w:rPr>
            </w:pPr>
            <w:r>
              <w:rPr>
                <w:rFonts w:hint="eastAsia"/>
                <w:color w:val="auto"/>
                <w:sz w:val="24"/>
                <w:highlight w:val="none"/>
              </w:rPr>
              <w:t>四十一</w:t>
            </w:r>
            <w:r>
              <w:rPr>
                <w:color w:val="auto"/>
                <w:sz w:val="24"/>
                <w:highlight w:val="none"/>
              </w:rPr>
              <w:t>、90</w:t>
            </w:r>
          </w:p>
          <w:p w14:paraId="66F95DB6">
            <w:pPr>
              <w:adjustRightInd w:val="0"/>
              <w:snapToGrid w:val="0"/>
              <w:jc w:val="center"/>
              <w:rPr>
                <w:color w:val="auto"/>
                <w:sz w:val="24"/>
                <w:highlight w:val="none"/>
              </w:rPr>
            </w:pPr>
            <w:r>
              <w:rPr>
                <w:rFonts w:hint="eastAsia"/>
                <w:color w:val="auto"/>
                <w:sz w:val="24"/>
                <w:highlight w:val="none"/>
              </w:rPr>
              <w:t>陆上风力发电</w:t>
            </w:r>
            <w:r>
              <w:rPr>
                <w:color w:val="auto"/>
                <w:sz w:val="24"/>
                <w:highlight w:val="none"/>
              </w:rPr>
              <w:t>44</w:t>
            </w:r>
            <w:r>
              <w:rPr>
                <w:rFonts w:hint="eastAsia"/>
                <w:color w:val="auto"/>
                <w:sz w:val="24"/>
                <w:highlight w:val="none"/>
              </w:rPr>
              <w:t>15</w:t>
            </w:r>
          </w:p>
        </w:tc>
        <w:tc>
          <w:tcPr>
            <w:tcW w:w="2268" w:type="dxa"/>
            <w:vAlign w:val="center"/>
          </w:tcPr>
          <w:p w14:paraId="078D0A4E">
            <w:pPr>
              <w:adjustRightInd w:val="0"/>
              <w:snapToGrid w:val="0"/>
              <w:jc w:val="center"/>
              <w:rPr>
                <w:color w:val="auto"/>
                <w:sz w:val="24"/>
                <w:highlight w:val="none"/>
              </w:rPr>
            </w:pPr>
            <w:r>
              <w:rPr>
                <w:color w:val="auto"/>
                <w:sz w:val="24"/>
                <w:highlight w:val="none"/>
              </w:rPr>
              <w:t>用地（用海）面积（m</w:t>
            </w:r>
            <w:r>
              <w:rPr>
                <w:color w:val="auto"/>
                <w:sz w:val="24"/>
                <w:highlight w:val="none"/>
                <w:vertAlign w:val="superscript"/>
              </w:rPr>
              <w:t>2</w:t>
            </w:r>
            <w:r>
              <w:rPr>
                <w:color w:val="auto"/>
                <w:sz w:val="24"/>
                <w:highlight w:val="none"/>
              </w:rPr>
              <w:t>）/长度（km）</w:t>
            </w:r>
          </w:p>
        </w:tc>
        <w:tc>
          <w:tcPr>
            <w:tcW w:w="2506" w:type="dxa"/>
            <w:vAlign w:val="center"/>
          </w:tcPr>
          <w:p w14:paraId="13A56796">
            <w:pPr>
              <w:adjustRightInd w:val="0"/>
              <w:snapToGrid w:val="0"/>
              <w:spacing w:line="240" w:lineRule="auto"/>
              <w:jc w:val="center"/>
              <w:rPr>
                <w:rFonts w:hint="eastAsia"/>
                <w:color w:val="auto"/>
                <w:sz w:val="24"/>
                <w:highlight w:val="none"/>
                <w:vertAlign w:val="superscript"/>
              </w:rPr>
            </w:pPr>
            <w:r>
              <w:rPr>
                <w:rFonts w:hint="eastAsia" w:ascii="Times New Roman" w:eastAsia="宋体"/>
                <w:color w:val="auto"/>
                <w:sz w:val="24"/>
                <w:highlight w:val="none"/>
                <w:lang w:val="en-US" w:eastAsia="zh-CN"/>
              </w:rPr>
              <w:t>总占地</w:t>
            </w:r>
            <w:r>
              <w:rPr>
                <w:rFonts w:hint="eastAsia"/>
                <w:color w:val="auto"/>
                <w:sz w:val="24"/>
                <w:highlight w:val="none"/>
              </w:rPr>
              <w:fldChar w:fldCharType="begin"/>
            </w:r>
            <w:r>
              <w:rPr>
                <w:rFonts w:hint="eastAsia"/>
                <w:color w:val="auto"/>
                <w:sz w:val="24"/>
                <w:highlight w:val="none"/>
              </w:rPr>
              <w:instrText xml:space="preserve"> =SUM(ABOVE) \* MERGEFORMAT </w:instrText>
            </w:r>
            <w:r>
              <w:rPr>
                <w:rFonts w:hint="eastAsia"/>
                <w:color w:val="auto"/>
                <w:sz w:val="24"/>
                <w:highlight w:val="none"/>
              </w:rPr>
              <w:fldChar w:fldCharType="separate"/>
            </w:r>
            <w:r>
              <w:rPr>
                <w:rFonts w:hint="eastAsia"/>
                <w:color w:val="auto"/>
                <w:sz w:val="24"/>
                <w:highlight w:val="none"/>
              </w:rPr>
              <w:t>3.8689</w:t>
            </w:r>
            <w:r>
              <w:rPr>
                <w:rFonts w:hint="eastAsia"/>
                <w:color w:val="auto"/>
                <w:sz w:val="24"/>
                <w:highlight w:val="none"/>
              </w:rPr>
              <w:fldChar w:fldCharType="end"/>
            </w:r>
            <w:r>
              <w:rPr>
                <w:rFonts w:hint="eastAsia" w:ascii="Times New Roman" w:eastAsia="宋体"/>
                <w:color w:val="auto"/>
                <w:sz w:val="24"/>
                <w:highlight w:val="none"/>
                <w:lang w:val="en-US" w:eastAsia="zh-CN"/>
              </w:rPr>
              <w:t>h</w:t>
            </w:r>
            <w:r>
              <w:rPr>
                <w:rFonts w:hint="eastAsia"/>
                <w:color w:val="auto"/>
                <w:sz w:val="24"/>
                <w:highlight w:val="none"/>
              </w:rPr>
              <w:t>m</w:t>
            </w:r>
            <w:r>
              <w:rPr>
                <w:rFonts w:hint="eastAsia"/>
                <w:color w:val="auto"/>
                <w:sz w:val="24"/>
                <w:highlight w:val="none"/>
                <w:vertAlign w:val="superscript"/>
              </w:rPr>
              <w:t>2</w:t>
            </w:r>
          </w:p>
          <w:p w14:paraId="0B680291">
            <w:pPr>
              <w:pStyle w:val="7"/>
              <w:spacing w:line="240" w:lineRule="auto"/>
              <w:ind w:left="0" w:leftChars="0" w:firstLine="0" w:firstLineChars="0"/>
              <w:jc w:val="center"/>
              <w:rPr>
                <w:rFonts w:hint="default" w:ascii="Times New Roman" w:hAnsi="Times New Roman" w:cs="Times New Roman"/>
                <w:color w:val="auto"/>
                <w:sz w:val="24"/>
                <w:highlight w:val="none"/>
                <w:vertAlign w:val="superscript"/>
              </w:rPr>
            </w:pPr>
            <w:r>
              <w:rPr>
                <w:rFonts w:hint="eastAsia"/>
                <w:color w:val="auto"/>
                <w:sz w:val="24"/>
                <w:highlight w:val="none"/>
                <w:vertAlign w:val="baseline"/>
                <w:lang w:val="en-US" w:eastAsia="zh-CN"/>
              </w:rPr>
              <w:t>永久占地</w:t>
            </w:r>
            <w:r>
              <w:rPr>
                <w:rFonts w:hint="eastAsia" w:ascii="Times New Roman" w:eastAsia="宋体"/>
                <w:color w:val="auto"/>
                <w:sz w:val="24"/>
                <w:highlight w:val="none"/>
                <w:lang w:val="en-US" w:eastAsia="zh-CN"/>
              </w:rPr>
              <w:fldChar w:fldCharType="begin"/>
            </w:r>
            <w:r>
              <w:rPr>
                <w:rFonts w:hint="eastAsia" w:ascii="Times New Roman" w:eastAsia="宋体"/>
                <w:color w:val="auto"/>
                <w:sz w:val="24"/>
                <w:highlight w:val="none"/>
                <w:lang w:val="en-US" w:eastAsia="zh-CN"/>
              </w:rPr>
              <w:instrText xml:space="preserve"> =SUM(ABOVE) \* MERGEFORMAT </w:instrText>
            </w:r>
            <w:r>
              <w:rPr>
                <w:rFonts w:hint="eastAsia" w:ascii="Times New Roman" w:eastAsia="宋体"/>
                <w:color w:val="auto"/>
                <w:sz w:val="24"/>
                <w:highlight w:val="none"/>
                <w:lang w:val="en-US" w:eastAsia="zh-CN"/>
              </w:rPr>
              <w:fldChar w:fldCharType="separate"/>
            </w:r>
            <w:r>
              <w:rPr>
                <w:rFonts w:hint="eastAsia" w:ascii="Times New Roman" w:eastAsia="宋体"/>
                <w:color w:val="auto"/>
                <w:sz w:val="24"/>
                <w:highlight w:val="none"/>
                <w:lang w:val="en-US" w:eastAsia="zh-CN"/>
              </w:rPr>
              <w:t>0.8829</w:t>
            </w:r>
            <w:r>
              <w:rPr>
                <w:rFonts w:hint="eastAsia" w:ascii="Times New Roman" w:eastAsia="宋体"/>
                <w:color w:val="auto"/>
                <w:sz w:val="24"/>
                <w:highlight w:val="none"/>
                <w:lang w:val="en-US" w:eastAsia="zh-CN"/>
              </w:rPr>
              <w:fldChar w:fldCharType="end"/>
            </w:r>
            <w:r>
              <w:rPr>
                <w:rFonts w:hint="default" w:ascii="Times New Roman" w:hAnsi="Times New Roman" w:eastAsia="宋体" w:cs="Times New Roman"/>
                <w:color w:val="auto"/>
                <w:sz w:val="24"/>
                <w:highlight w:val="none"/>
                <w:lang w:val="en-US" w:eastAsia="zh-CN"/>
              </w:rPr>
              <w:t>h</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2</w:t>
            </w:r>
          </w:p>
          <w:p w14:paraId="7140CF12">
            <w:pPr>
              <w:spacing w:line="240" w:lineRule="auto"/>
              <w:jc w:val="center"/>
              <w:rPr>
                <w:rFonts w:hint="default"/>
                <w:color w:val="auto"/>
                <w:highlight w:val="none"/>
                <w:lang w:val="en-US" w:eastAsia="zh-CN"/>
              </w:rPr>
            </w:pPr>
            <w:r>
              <w:rPr>
                <w:rFonts w:hint="eastAsia"/>
                <w:color w:val="auto"/>
                <w:sz w:val="24"/>
                <w:highlight w:val="none"/>
              </w:rPr>
              <w:t>临时占地</w:t>
            </w:r>
            <w:r>
              <w:rPr>
                <w:rFonts w:hint="eastAsia" w:ascii="Times New Roman" w:eastAsia="宋体"/>
                <w:color w:val="auto"/>
                <w:sz w:val="24"/>
                <w:highlight w:val="none"/>
                <w:lang w:val="en-US" w:eastAsia="zh-CN"/>
              </w:rPr>
              <w:t>2.986h</w:t>
            </w:r>
            <w:r>
              <w:rPr>
                <w:rFonts w:hint="eastAsia"/>
                <w:color w:val="auto"/>
                <w:sz w:val="24"/>
                <w:highlight w:val="none"/>
              </w:rPr>
              <w:t>m</w:t>
            </w:r>
            <w:r>
              <w:rPr>
                <w:rFonts w:hint="eastAsia"/>
                <w:color w:val="auto"/>
                <w:sz w:val="24"/>
                <w:highlight w:val="none"/>
                <w:vertAlign w:val="superscript"/>
              </w:rPr>
              <w:t>2</w:t>
            </w:r>
          </w:p>
        </w:tc>
      </w:tr>
      <w:tr w14:paraId="7C3B0D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843" w:type="dxa"/>
            <w:gridSpan w:val="3"/>
            <w:tcMar>
              <w:top w:w="16" w:type="dxa"/>
              <w:left w:w="16" w:type="dxa"/>
              <w:right w:w="16" w:type="dxa"/>
            </w:tcMar>
            <w:vAlign w:val="center"/>
          </w:tcPr>
          <w:p w14:paraId="12CF70EC">
            <w:pPr>
              <w:adjustRightInd w:val="0"/>
              <w:snapToGrid w:val="0"/>
              <w:jc w:val="center"/>
              <w:rPr>
                <w:color w:val="auto"/>
                <w:sz w:val="24"/>
                <w:highlight w:val="none"/>
              </w:rPr>
            </w:pPr>
            <w:r>
              <w:rPr>
                <w:color w:val="auto"/>
                <w:sz w:val="24"/>
                <w:highlight w:val="none"/>
              </w:rPr>
              <w:t>建设性质</w:t>
            </w:r>
          </w:p>
        </w:tc>
        <w:tc>
          <w:tcPr>
            <w:tcW w:w="2268" w:type="dxa"/>
            <w:vAlign w:val="center"/>
          </w:tcPr>
          <w:p w14:paraId="3B2BD930">
            <w:pPr>
              <w:adjustRightInd w:val="0"/>
              <w:snapToGrid w:val="0"/>
              <w:jc w:val="left"/>
              <w:rPr>
                <w:color w:val="auto"/>
                <w:sz w:val="24"/>
                <w:highlight w:val="none"/>
              </w:rPr>
            </w:pPr>
            <w:r>
              <w:rPr>
                <w:color w:val="auto"/>
                <w:sz w:val="24"/>
                <w:highlight w:val="none"/>
              </w:rPr>
              <w:fldChar w:fldCharType="begin"/>
            </w:r>
            <w:r>
              <w:rPr>
                <w:color w:val="auto"/>
                <w:sz w:val="24"/>
                <w:highlight w:val="none"/>
              </w:rPr>
              <w:instrText xml:space="preserve"> eq \o\ac(□,</w:instrText>
            </w:r>
            <w:r>
              <w:rPr>
                <w:color w:val="auto"/>
                <w:position w:val="2"/>
                <w:sz w:val="24"/>
                <w:highlight w:val="none"/>
              </w:rPr>
              <w:instrText xml:space="preserve">√</w:instrText>
            </w:r>
            <w:r>
              <w:rPr>
                <w:color w:val="auto"/>
                <w:sz w:val="24"/>
                <w:highlight w:val="none"/>
              </w:rPr>
              <w:instrText xml:space="preserve">)</w:instrText>
            </w:r>
            <w:r>
              <w:rPr>
                <w:color w:val="auto"/>
                <w:sz w:val="24"/>
                <w:highlight w:val="none"/>
              </w:rPr>
              <w:fldChar w:fldCharType="end"/>
            </w:r>
            <w:r>
              <w:rPr>
                <w:color w:val="auto"/>
                <w:sz w:val="24"/>
                <w:highlight w:val="none"/>
              </w:rPr>
              <w:t>新建（迁建）</w:t>
            </w:r>
          </w:p>
          <w:p w14:paraId="1C37DCE8">
            <w:pPr>
              <w:adjustRightInd w:val="0"/>
              <w:snapToGrid w:val="0"/>
              <w:jc w:val="left"/>
              <w:rPr>
                <w:color w:val="auto"/>
                <w:sz w:val="24"/>
                <w:highlight w:val="none"/>
              </w:rPr>
            </w:pPr>
            <w:r>
              <w:rPr>
                <w:color w:val="auto"/>
                <w:sz w:val="24"/>
                <w:highlight w:val="none"/>
              </w:rPr>
              <w:t>□改建</w:t>
            </w:r>
          </w:p>
          <w:p w14:paraId="26227B49">
            <w:pPr>
              <w:adjustRightInd w:val="0"/>
              <w:snapToGrid w:val="0"/>
              <w:jc w:val="left"/>
              <w:rPr>
                <w:color w:val="auto"/>
                <w:sz w:val="24"/>
                <w:highlight w:val="none"/>
              </w:rPr>
            </w:pPr>
            <w:r>
              <w:rPr>
                <w:color w:val="auto"/>
                <w:sz w:val="24"/>
                <w:highlight w:val="none"/>
              </w:rPr>
              <w:t>□扩建</w:t>
            </w:r>
          </w:p>
          <w:p w14:paraId="13E0728B">
            <w:pPr>
              <w:adjustRightInd w:val="0"/>
              <w:snapToGrid w:val="0"/>
              <w:jc w:val="left"/>
              <w:rPr>
                <w:color w:val="auto"/>
                <w:sz w:val="24"/>
                <w:highlight w:val="none"/>
              </w:rPr>
            </w:pPr>
            <w:r>
              <w:rPr>
                <w:color w:val="auto"/>
                <w:sz w:val="24"/>
                <w:highlight w:val="none"/>
              </w:rPr>
              <w:t>□技术改造</w:t>
            </w:r>
          </w:p>
        </w:tc>
        <w:tc>
          <w:tcPr>
            <w:tcW w:w="2268" w:type="dxa"/>
            <w:vAlign w:val="center"/>
          </w:tcPr>
          <w:p w14:paraId="2496FBDD">
            <w:pPr>
              <w:adjustRightInd w:val="0"/>
              <w:snapToGrid w:val="0"/>
              <w:jc w:val="center"/>
              <w:rPr>
                <w:color w:val="auto"/>
                <w:sz w:val="24"/>
                <w:highlight w:val="none"/>
              </w:rPr>
            </w:pPr>
            <w:r>
              <w:rPr>
                <w:color w:val="auto"/>
                <w:sz w:val="24"/>
                <w:highlight w:val="none"/>
              </w:rPr>
              <w:t>建设项目</w:t>
            </w:r>
          </w:p>
          <w:p w14:paraId="4F491E0F">
            <w:pPr>
              <w:adjustRightInd w:val="0"/>
              <w:snapToGrid w:val="0"/>
              <w:jc w:val="center"/>
              <w:rPr>
                <w:color w:val="auto"/>
                <w:sz w:val="24"/>
                <w:highlight w:val="none"/>
              </w:rPr>
            </w:pPr>
            <w:r>
              <w:rPr>
                <w:color w:val="auto"/>
                <w:sz w:val="24"/>
                <w:highlight w:val="none"/>
              </w:rPr>
              <w:t>申报情形</w:t>
            </w:r>
          </w:p>
        </w:tc>
        <w:tc>
          <w:tcPr>
            <w:tcW w:w="2506" w:type="dxa"/>
            <w:vAlign w:val="center"/>
          </w:tcPr>
          <w:p w14:paraId="4312F7F2">
            <w:pPr>
              <w:adjustRightInd w:val="0"/>
              <w:snapToGrid w:val="0"/>
              <w:jc w:val="left"/>
              <w:rPr>
                <w:color w:val="auto"/>
                <w:sz w:val="24"/>
                <w:highlight w:val="none"/>
              </w:rPr>
            </w:pPr>
            <w:r>
              <w:rPr>
                <w:color w:val="auto"/>
                <w:sz w:val="24"/>
                <w:highlight w:val="none"/>
              </w:rPr>
              <w:fldChar w:fldCharType="begin"/>
            </w:r>
            <w:r>
              <w:rPr>
                <w:color w:val="auto"/>
                <w:sz w:val="24"/>
                <w:highlight w:val="none"/>
              </w:rPr>
              <w:instrText xml:space="preserve"> eq \o\ac(□,</w:instrText>
            </w:r>
            <w:r>
              <w:rPr>
                <w:color w:val="auto"/>
                <w:position w:val="2"/>
                <w:sz w:val="24"/>
                <w:highlight w:val="none"/>
              </w:rPr>
              <w:instrText xml:space="preserve">√</w:instrText>
            </w:r>
            <w:r>
              <w:rPr>
                <w:color w:val="auto"/>
                <w:sz w:val="24"/>
                <w:highlight w:val="none"/>
              </w:rPr>
              <w:instrText xml:space="preserve">)</w:instrText>
            </w:r>
            <w:r>
              <w:rPr>
                <w:color w:val="auto"/>
                <w:sz w:val="24"/>
                <w:highlight w:val="none"/>
              </w:rPr>
              <w:fldChar w:fldCharType="end"/>
            </w:r>
            <w:r>
              <w:rPr>
                <w:color w:val="auto"/>
                <w:sz w:val="24"/>
                <w:highlight w:val="none"/>
              </w:rPr>
              <w:t>首次申报项目</w:t>
            </w:r>
          </w:p>
          <w:p w14:paraId="49BED83A">
            <w:pPr>
              <w:adjustRightInd w:val="0"/>
              <w:snapToGrid w:val="0"/>
              <w:jc w:val="left"/>
              <w:rPr>
                <w:color w:val="auto"/>
                <w:sz w:val="24"/>
                <w:highlight w:val="none"/>
              </w:rPr>
            </w:pPr>
            <w:r>
              <w:rPr>
                <w:color w:val="auto"/>
                <w:sz w:val="24"/>
                <w:highlight w:val="none"/>
              </w:rPr>
              <w:t>□不予批准后再次申报项目</w:t>
            </w:r>
          </w:p>
          <w:p w14:paraId="397A16B1">
            <w:pPr>
              <w:adjustRightInd w:val="0"/>
              <w:snapToGrid w:val="0"/>
              <w:jc w:val="left"/>
              <w:rPr>
                <w:color w:val="auto"/>
                <w:sz w:val="24"/>
                <w:highlight w:val="none"/>
              </w:rPr>
            </w:pPr>
            <w:r>
              <w:rPr>
                <w:color w:val="auto"/>
                <w:sz w:val="24"/>
                <w:highlight w:val="none"/>
              </w:rPr>
              <w:t>□超五年重新审核项目</w:t>
            </w:r>
          </w:p>
          <w:p w14:paraId="1BC5542D">
            <w:pPr>
              <w:adjustRightInd w:val="0"/>
              <w:snapToGrid w:val="0"/>
              <w:rPr>
                <w:color w:val="auto"/>
                <w:sz w:val="24"/>
                <w:highlight w:val="none"/>
              </w:rPr>
            </w:pPr>
            <w:r>
              <w:rPr>
                <w:color w:val="auto"/>
                <w:sz w:val="24"/>
                <w:highlight w:val="none"/>
              </w:rPr>
              <w:t>□重大变动重新报批项目</w:t>
            </w:r>
          </w:p>
        </w:tc>
      </w:tr>
      <w:tr w14:paraId="3A85AB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843" w:type="dxa"/>
            <w:gridSpan w:val="3"/>
            <w:tcMar>
              <w:top w:w="16" w:type="dxa"/>
              <w:left w:w="16" w:type="dxa"/>
              <w:right w:w="16" w:type="dxa"/>
            </w:tcMar>
            <w:vAlign w:val="center"/>
          </w:tcPr>
          <w:p w14:paraId="009307AF">
            <w:pPr>
              <w:adjustRightInd w:val="0"/>
              <w:snapToGrid w:val="0"/>
              <w:jc w:val="center"/>
              <w:rPr>
                <w:color w:val="auto"/>
                <w:sz w:val="24"/>
                <w:highlight w:val="none"/>
              </w:rPr>
            </w:pPr>
            <w:r>
              <w:rPr>
                <w:color w:val="auto"/>
                <w:sz w:val="24"/>
                <w:highlight w:val="none"/>
              </w:rPr>
              <w:t>项目审批（核准/</w:t>
            </w:r>
          </w:p>
          <w:p w14:paraId="239A8756">
            <w:pPr>
              <w:adjustRightInd w:val="0"/>
              <w:snapToGrid w:val="0"/>
              <w:jc w:val="center"/>
              <w:rPr>
                <w:color w:val="auto"/>
                <w:sz w:val="24"/>
                <w:highlight w:val="none"/>
              </w:rPr>
            </w:pPr>
            <w:r>
              <w:rPr>
                <w:color w:val="auto"/>
                <w:sz w:val="24"/>
                <w:highlight w:val="none"/>
              </w:rPr>
              <w:t>备案）部门（选填）</w:t>
            </w:r>
          </w:p>
        </w:tc>
        <w:tc>
          <w:tcPr>
            <w:tcW w:w="2268" w:type="dxa"/>
            <w:vAlign w:val="center"/>
          </w:tcPr>
          <w:p w14:paraId="7A46C203">
            <w:pPr>
              <w:adjustRightInd w:val="0"/>
              <w:snapToGrid w:val="0"/>
              <w:jc w:val="center"/>
              <w:rPr>
                <w:color w:val="auto"/>
                <w:sz w:val="24"/>
                <w:highlight w:val="none"/>
              </w:rPr>
            </w:pPr>
            <w:r>
              <w:rPr>
                <w:rFonts w:hint="eastAsia" w:ascii="Times New Roman" w:eastAsia="宋体"/>
                <w:color w:val="auto"/>
                <w:sz w:val="24"/>
                <w:highlight w:val="none"/>
                <w:lang w:val="en-US" w:eastAsia="zh-CN"/>
              </w:rPr>
              <w:t>壶关县</w:t>
            </w:r>
            <w:r>
              <w:rPr>
                <w:rFonts w:hint="eastAsia"/>
                <w:color w:val="auto"/>
                <w:sz w:val="24"/>
                <w:highlight w:val="none"/>
              </w:rPr>
              <w:t>行政审批服务管理局</w:t>
            </w:r>
          </w:p>
        </w:tc>
        <w:tc>
          <w:tcPr>
            <w:tcW w:w="2268" w:type="dxa"/>
            <w:vAlign w:val="center"/>
          </w:tcPr>
          <w:p w14:paraId="078DD548">
            <w:pPr>
              <w:adjustRightInd w:val="0"/>
              <w:snapToGrid w:val="0"/>
              <w:jc w:val="center"/>
              <w:rPr>
                <w:color w:val="auto"/>
                <w:sz w:val="24"/>
                <w:highlight w:val="none"/>
              </w:rPr>
            </w:pPr>
            <w:r>
              <w:rPr>
                <w:color w:val="auto"/>
                <w:sz w:val="24"/>
                <w:highlight w:val="none"/>
              </w:rPr>
              <w:t>项目审批（核准/</w:t>
            </w:r>
          </w:p>
          <w:p w14:paraId="673BE17A">
            <w:pPr>
              <w:adjustRightInd w:val="0"/>
              <w:snapToGrid w:val="0"/>
              <w:jc w:val="center"/>
              <w:rPr>
                <w:color w:val="auto"/>
                <w:sz w:val="24"/>
                <w:highlight w:val="none"/>
              </w:rPr>
            </w:pPr>
            <w:r>
              <w:rPr>
                <w:color w:val="auto"/>
                <w:sz w:val="24"/>
                <w:highlight w:val="none"/>
              </w:rPr>
              <w:t>备案）文号（选填）</w:t>
            </w:r>
          </w:p>
        </w:tc>
        <w:tc>
          <w:tcPr>
            <w:tcW w:w="2506" w:type="dxa"/>
            <w:vAlign w:val="center"/>
          </w:tcPr>
          <w:p w14:paraId="7F45F99B">
            <w:pPr>
              <w:adjustRightInd w:val="0"/>
              <w:snapToGrid w:val="0"/>
              <w:jc w:val="center"/>
              <w:rPr>
                <w:rFonts w:hint="eastAsia" w:eastAsia="宋体"/>
                <w:color w:val="auto"/>
                <w:sz w:val="24"/>
                <w:highlight w:val="none"/>
                <w:lang w:val="en-US" w:eastAsia="zh-CN"/>
              </w:rPr>
            </w:pPr>
            <w:r>
              <w:rPr>
                <w:rFonts w:hint="eastAsia" w:ascii="Times New Roman" w:eastAsia="宋体"/>
                <w:color w:val="auto"/>
                <w:sz w:val="24"/>
                <w:highlight w:val="none"/>
                <w:lang w:val="en-US" w:eastAsia="zh-CN"/>
              </w:rPr>
              <w:t>/</w:t>
            </w:r>
          </w:p>
        </w:tc>
      </w:tr>
      <w:tr w14:paraId="3981F1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843" w:type="dxa"/>
            <w:gridSpan w:val="3"/>
            <w:tcMar>
              <w:top w:w="16" w:type="dxa"/>
              <w:left w:w="16" w:type="dxa"/>
              <w:right w:w="16" w:type="dxa"/>
            </w:tcMar>
            <w:vAlign w:val="center"/>
          </w:tcPr>
          <w:p w14:paraId="35210C8C">
            <w:pPr>
              <w:adjustRightInd w:val="0"/>
              <w:snapToGrid w:val="0"/>
              <w:jc w:val="center"/>
              <w:rPr>
                <w:color w:val="auto"/>
                <w:sz w:val="24"/>
                <w:highlight w:val="none"/>
              </w:rPr>
            </w:pPr>
            <w:r>
              <w:rPr>
                <w:color w:val="auto"/>
                <w:sz w:val="24"/>
                <w:highlight w:val="none"/>
              </w:rPr>
              <w:t>总投资（万元）</w:t>
            </w:r>
          </w:p>
        </w:tc>
        <w:tc>
          <w:tcPr>
            <w:tcW w:w="2268" w:type="dxa"/>
            <w:vAlign w:val="center"/>
          </w:tcPr>
          <w:p w14:paraId="4FEB16D9">
            <w:pPr>
              <w:adjustRightInd w:val="0"/>
              <w:snapToGrid w:val="0"/>
              <w:jc w:val="center"/>
              <w:rPr>
                <w:rFonts w:hint="default"/>
                <w:color w:val="auto"/>
                <w:sz w:val="24"/>
                <w:highlight w:val="none"/>
                <w:lang w:val="en-US"/>
              </w:rPr>
            </w:pPr>
            <w:r>
              <w:rPr>
                <w:rFonts w:hint="eastAsia" w:ascii="Times New Roman" w:eastAsia="宋体"/>
                <w:color w:val="auto"/>
                <w:sz w:val="24"/>
                <w:highlight w:val="none"/>
                <w:lang w:val="en-US" w:eastAsia="zh-CN"/>
              </w:rPr>
              <w:t>25488</w:t>
            </w:r>
          </w:p>
        </w:tc>
        <w:tc>
          <w:tcPr>
            <w:tcW w:w="2268" w:type="dxa"/>
            <w:tcMar>
              <w:top w:w="16" w:type="dxa"/>
              <w:left w:w="16" w:type="dxa"/>
              <w:right w:w="16" w:type="dxa"/>
            </w:tcMar>
            <w:vAlign w:val="center"/>
          </w:tcPr>
          <w:p w14:paraId="08D86152">
            <w:pPr>
              <w:adjustRightInd w:val="0"/>
              <w:snapToGrid w:val="0"/>
              <w:jc w:val="center"/>
              <w:rPr>
                <w:color w:val="auto"/>
                <w:sz w:val="24"/>
                <w:highlight w:val="none"/>
              </w:rPr>
            </w:pPr>
            <w:r>
              <w:rPr>
                <w:color w:val="auto"/>
                <w:sz w:val="24"/>
                <w:highlight w:val="none"/>
              </w:rPr>
              <w:t>环保投资（万元）</w:t>
            </w:r>
          </w:p>
        </w:tc>
        <w:tc>
          <w:tcPr>
            <w:tcW w:w="2506" w:type="dxa"/>
            <w:vAlign w:val="center"/>
          </w:tcPr>
          <w:p w14:paraId="701A3C23">
            <w:pPr>
              <w:adjustRightInd w:val="0"/>
              <w:snapToGrid w:val="0"/>
              <w:jc w:val="center"/>
              <w:rPr>
                <w:rFonts w:hint="default" w:eastAsia="宋体"/>
                <w:color w:val="auto"/>
                <w:sz w:val="24"/>
                <w:highlight w:val="none"/>
                <w:lang w:val="en-US" w:eastAsia="zh-CN"/>
              </w:rPr>
            </w:pPr>
            <w:r>
              <w:rPr>
                <w:rFonts w:hint="eastAsia" w:ascii="Times New Roman" w:eastAsia="宋体"/>
                <w:color w:val="auto"/>
                <w:sz w:val="24"/>
                <w:highlight w:val="none"/>
                <w:lang w:val="en-US" w:eastAsia="zh-CN"/>
              </w:rPr>
              <w:t>243</w:t>
            </w:r>
          </w:p>
        </w:tc>
      </w:tr>
      <w:tr w14:paraId="6EB594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843" w:type="dxa"/>
            <w:gridSpan w:val="3"/>
            <w:tcMar>
              <w:top w:w="16" w:type="dxa"/>
              <w:left w:w="16" w:type="dxa"/>
              <w:right w:w="16" w:type="dxa"/>
            </w:tcMar>
            <w:vAlign w:val="center"/>
          </w:tcPr>
          <w:p w14:paraId="490CD79B">
            <w:pPr>
              <w:adjustRightInd w:val="0"/>
              <w:snapToGrid w:val="0"/>
              <w:jc w:val="center"/>
              <w:rPr>
                <w:color w:val="auto"/>
                <w:sz w:val="24"/>
                <w:highlight w:val="none"/>
              </w:rPr>
            </w:pPr>
            <w:r>
              <w:rPr>
                <w:color w:val="auto"/>
                <w:sz w:val="24"/>
                <w:highlight w:val="none"/>
              </w:rPr>
              <w:t>环保投资占比（%）</w:t>
            </w:r>
          </w:p>
        </w:tc>
        <w:tc>
          <w:tcPr>
            <w:tcW w:w="2268" w:type="dxa"/>
            <w:vAlign w:val="center"/>
          </w:tcPr>
          <w:p w14:paraId="0CB833DF">
            <w:pPr>
              <w:adjustRightInd w:val="0"/>
              <w:snapToGrid w:val="0"/>
              <w:jc w:val="center"/>
              <w:rPr>
                <w:rFonts w:hint="default" w:eastAsia="宋体"/>
                <w:color w:val="auto"/>
                <w:sz w:val="24"/>
                <w:highlight w:val="none"/>
                <w:lang w:val="en-US" w:eastAsia="zh-CN"/>
              </w:rPr>
            </w:pPr>
            <w:r>
              <w:rPr>
                <w:rFonts w:hint="eastAsia" w:ascii="Times New Roman" w:eastAsia="宋体"/>
                <w:color w:val="auto"/>
                <w:sz w:val="24"/>
                <w:highlight w:val="none"/>
                <w:lang w:val="en-US" w:eastAsia="zh-CN"/>
              </w:rPr>
              <w:t>0.95</w:t>
            </w:r>
          </w:p>
        </w:tc>
        <w:tc>
          <w:tcPr>
            <w:tcW w:w="2268" w:type="dxa"/>
            <w:tcMar>
              <w:top w:w="16" w:type="dxa"/>
              <w:left w:w="16" w:type="dxa"/>
              <w:right w:w="16" w:type="dxa"/>
            </w:tcMar>
            <w:vAlign w:val="center"/>
          </w:tcPr>
          <w:p w14:paraId="11AAAE55">
            <w:pPr>
              <w:adjustRightInd w:val="0"/>
              <w:snapToGrid w:val="0"/>
              <w:jc w:val="center"/>
              <w:rPr>
                <w:color w:val="auto"/>
                <w:sz w:val="24"/>
                <w:highlight w:val="none"/>
              </w:rPr>
            </w:pPr>
            <w:r>
              <w:rPr>
                <w:color w:val="auto"/>
                <w:sz w:val="24"/>
                <w:highlight w:val="none"/>
              </w:rPr>
              <w:t>施工工期</w:t>
            </w:r>
          </w:p>
        </w:tc>
        <w:tc>
          <w:tcPr>
            <w:tcW w:w="2506" w:type="dxa"/>
            <w:vAlign w:val="center"/>
          </w:tcPr>
          <w:p w14:paraId="5BEEAED2">
            <w:pPr>
              <w:adjustRightInd w:val="0"/>
              <w:snapToGrid w:val="0"/>
              <w:jc w:val="center"/>
              <w:rPr>
                <w:color w:val="auto"/>
                <w:sz w:val="24"/>
                <w:highlight w:val="none"/>
              </w:rPr>
            </w:pPr>
            <w:r>
              <w:rPr>
                <w:rFonts w:hint="eastAsia" w:ascii="Times New Roman" w:eastAsia="宋体"/>
                <w:color w:val="auto"/>
                <w:sz w:val="24"/>
                <w:highlight w:val="none"/>
                <w:lang w:val="en-US" w:eastAsia="zh-CN"/>
              </w:rPr>
              <w:t>12</w:t>
            </w:r>
            <w:r>
              <w:rPr>
                <w:color w:val="auto"/>
                <w:sz w:val="24"/>
                <w:highlight w:val="none"/>
              </w:rPr>
              <w:t>个月</w:t>
            </w:r>
          </w:p>
        </w:tc>
      </w:tr>
      <w:bookmarkEnd w:id="0"/>
      <w:tr w14:paraId="3A0127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843" w:type="dxa"/>
            <w:gridSpan w:val="3"/>
            <w:tcMar>
              <w:top w:w="16" w:type="dxa"/>
              <w:left w:w="16" w:type="dxa"/>
              <w:right w:w="16" w:type="dxa"/>
            </w:tcMar>
            <w:vAlign w:val="center"/>
          </w:tcPr>
          <w:p w14:paraId="470016F8">
            <w:pPr>
              <w:adjustRightInd w:val="0"/>
              <w:snapToGrid w:val="0"/>
              <w:jc w:val="center"/>
              <w:rPr>
                <w:color w:val="auto"/>
                <w:sz w:val="24"/>
                <w:highlight w:val="none"/>
              </w:rPr>
            </w:pPr>
            <w:r>
              <w:rPr>
                <w:color w:val="auto"/>
                <w:sz w:val="24"/>
                <w:highlight w:val="none"/>
              </w:rPr>
              <w:t>是否开工建设</w:t>
            </w:r>
          </w:p>
        </w:tc>
        <w:tc>
          <w:tcPr>
            <w:tcW w:w="7042" w:type="dxa"/>
            <w:gridSpan w:val="3"/>
            <w:vAlign w:val="center"/>
          </w:tcPr>
          <w:p w14:paraId="697DFA70">
            <w:pPr>
              <w:adjustRightInd w:val="0"/>
              <w:snapToGrid w:val="0"/>
              <w:ind w:firstLine="105"/>
              <w:jc w:val="left"/>
              <w:rPr>
                <w:color w:val="auto"/>
                <w:sz w:val="24"/>
                <w:highlight w:val="none"/>
              </w:rPr>
            </w:pPr>
            <w:r>
              <w:rPr>
                <w:color w:val="auto"/>
                <w:sz w:val="24"/>
                <w:highlight w:val="none"/>
              </w:rPr>
              <w:fldChar w:fldCharType="begin"/>
            </w:r>
            <w:r>
              <w:rPr>
                <w:color w:val="auto"/>
                <w:sz w:val="24"/>
                <w:highlight w:val="none"/>
              </w:rPr>
              <w:instrText xml:space="preserve"> eq \o\ac(□,</w:instrText>
            </w:r>
            <w:r>
              <w:rPr>
                <w:color w:val="auto"/>
                <w:position w:val="2"/>
                <w:sz w:val="24"/>
                <w:highlight w:val="none"/>
              </w:rPr>
              <w:instrText xml:space="preserve">√</w:instrText>
            </w:r>
            <w:r>
              <w:rPr>
                <w:color w:val="auto"/>
                <w:sz w:val="24"/>
                <w:highlight w:val="none"/>
              </w:rPr>
              <w:instrText xml:space="preserve">)</w:instrText>
            </w:r>
            <w:r>
              <w:rPr>
                <w:color w:val="auto"/>
                <w:sz w:val="24"/>
                <w:highlight w:val="none"/>
              </w:rPr>
              <w:fldChar w:fldCharType="end"/>
            </w:r>
            <w:r>
              <w:rPr>
                <w:color w:val="auto"/>
                <w:sz w:val="24"/>
                <w:highlight w:val="none"/>
              </w:rPr>
              <w:t>否</w:t>
            </w:r>
          </w:p>
          <w:p w14:paraId="20FD8C6E">
            <w:pPr>
              <w:adjustRightInd w:val="0"/>
              <w:snapToGrid w:val="0"/>
              <w:ind w:firstLine="92"/>
              <w:jc w:val="left"/>
              <w:rPr>
                <w:color w:val="auto"/>
                <w:sz w:val="24"/>
                <w:highlight w:val="none"/>
              </w:rPr>
            </w:pPr>
            <w:r>
              <w:rPr>
                <w:color w:val="auto"/>
                <w:sz w:val="24"/>
                <w:highlight w:val="none"/>
              </w:rPr>
              <w:t>□是：</w:t>
            </w:r>
            <w:r>
              <w:rPr>
                <w:color w:val="auto"/>
                <w:sz w:val="24"/>
                <w:highlight w:val="none"/>
                <w:u w:val="single"/>
              </w:rPr>
              <w:t xml:space="preserve">                             </w:t>
            </w:r>
          </w:p>
        </w:tc>
      </w:tr>
      <w:tr w14:paraId="3BC359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993" w:type="dxa"/>
            <w:gridSpan w:val="2"/>
            <w:tcMar>
              <w:top w:w="16" w:type="dxa"/>
              <w:left w:w="16" w:type="dxa"/>
              <w:right w:w="16" w:type="dxa"/>
            </w:tcMar>
            <w:vAlign w:val="center"/>
          </w:tcPr>
          <w:p w14:paraId="5953A8FE">
            <w:pPr>
              <w:autoSpaceDE w:val="0"/>
              <w:autoSpaceDN w:val="0"/>
              <w:adjustRightInd w:val="0"/>
              <w:snapToGrid w:val="0"/>
              <w:jc w:val="center"/>
              <w:rPr>
                <w:color w:val="auto"/>
                <w:kern w:val="0"/>
                <w:sz w:val="24"/>
                <w:highlight w:val="none"/>
              </w:rPr>
            </w:pPr>
            <w:r>
              <w:rPr>
                <w:color w:val="auto"/>
                <w:kern w:val="0"/>
                <w:sz w:val="24"/>
                <w:highlight w:val="none"/>
              </w:rPr>
              <w:t>专项评价设置情况</w:t>
            </w:r>
          </w:p>
        </w:tc>
        <w:tc>
          <w:tcPr>
            <w:tcW w:w="7892" w:type="dxa"/>
            <w:gridSpan w:val="4"/>
            <w:tcMar>
              <w:top w:w="16" w:type="dxa"/>
              <w:left w:w="16" w:type="dxa"/>
              <w:right w:w="16" w:type="dxa"/>
            </w:tcMar>
            <w:vAlign w:val="center"/>
          </w:tcPr>
          <w:p w14:paraId="47EF209F">
            <w:pPr>
              <w:autoSpaceDE w:val="0"/>
              <w:autoSpaceDN w:val="0"/>
              <w:adjustRightInd w:val="0"/>
              <w:snapToGrid w:val="0"/>
              <w:spacing w:line="360" w:lineRule="auto"/>
              <w:ind w:firstLine="480" w:firstLineChars="200"/>
              <w:jc w:val="center"/>
              <w:rPr>
                <w:rFonts w:hint="eastAsia" w:eastAsia="宋体"/>
                <w:color w:val="auto"/>
                <w:kern w:val="0"/>
                <w:sz w:val="24"/>
                <w:highlight w:val="none"/>
                <w:lang w:val="en-US" w:eastAsia="zh-CN"/>
              </w:rPr>
            </w:pPr>
            <w:r>
              <w:rPr>
                <w:rFonts w:hint="eastAsia" w:ascii="Times New Roman" w:eastAsia="宋体"/>
                <w:color w:val="auto"/>
                <w:kern w:val="0"/>
                <w:sz w:val="24"/>
                <w:highlight w:val="none"/>
                <w:lang w:val="en-US" w:eastAsia="zh-CN"/>
              </w:rPr>
              <w:t>无</w:t>
            </w:r>
          </w:p>
        </w:tc>
      </w:tr>
      <w:tr w14:paraId="1524A9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993" w:type="dxa"/>
            <w:gridSpan w:val="2"/>
            <w:tcMar>
              <w:top w:w="16" w:type="dxa"/>
              <w:left w:w="16" w:type="dxa"/>
              <w:right w:w="16" w:type="dxa"/>
            </w:tcMar>
            <w:vAlign w:val="center"/>
          </w:tcPr>
          <w:p w14:paraId="50454A71">
            <w:pPr>
              <w:autoSpaceDE w:val="0"/>
              <w:autoSpaceDN w:val="0"/>
              <w:adjustRightInd w:val="0"/>
              <w:snapToGrid w:val="0"/>
              <w:jc w:val="center"/>
              <w:rPr>
                <w:color w:val="auto"/>
                <w:kern w:val="0"/>
                <w:sz w:val="24"/>
                <w:highlight w:val="none"/>
              </w:rPr>
            </w:pPr>
            <w:r>
              <w:rPr>
                <w:color w:val="auto"/>
                <w:sz w:val="24"/>
                <w:highlight w:val="none"/>
              </w:rPr>
              <w:t>规划情况</w:t>
            </w:r>
          </w:p>
        </w:tc>
        <w:tc>
          <w:tcPr>
            <w:tcW w:w="7892" w:type="dxa"/>
            <w:gridSpan w:val="4"/>
            <w:tcMar>
              <w:top w:w="16" w:type="dxa"/>
              <w:left w:w="16" w:type="dxa"/>
              <w:right w:w="16" w:type="dxa"/>
            </w:tcMar>
            <w:vAlign w:val="center"/>
          </w:tcPr>
          <w:p w14:paraId="0D45B3BC">
            <w:pPr>
              <w:autoSpaceDE w:val="0"/>
              <w:autoSpaceDN w:val="0"/>
              <w:adjustRightInd w:val="0"/>
              <w:snapToGrid w:val="0"/>
              <w:spacing w:line="480" w:lineRule="exact"/>
              <w:ind w:firstLine="451" w:firstLineChars="188"/>
              <w:jc w:val="left"/>
              <w:rPr>
                <w:color w:val="auto"/>
                <w:kern w:val="0"/>
                <w:sz w:val="24"/>
                <w:highlight w:val="none"/>
              </w:rPr>
            </w:pPr>
            <w:r>
              <w:rPr>
                <w:rFonts w:hint="eastAsia"/>
                <w:color w:val="auto"/>
                <w:kern w:val="0"/>
                <w:sz w:val="24"/>
                <w:highlight w:val="none"/>
              </w:rPr>
              <w:t>规划名称：《山西省可再生能源发展“十四五”规划》</w:t>
            </w:r>
          </w:p>
          <w:p w14:paraId="460CEF3D">
            <w:pPr>
              <w:autoSpaceDE w:val="0"/>
              <w:autoSpaceDN w:val="0"/>
              <w:adjustRightInd w:val="0"/>
              <w:snapToGrid w:val="0"/>
              <w:spacing w:line="480" w:lineRule="exact"/>
              <w:ind w:firstLine="451" w:firstLineChars="188"/>
              <w:jc w:val="left"/>
              <w:rPr>
                <w:color w:val="auto"/>
                <w:kern w:val="0"/>
                <w:sz w:val="24"/>
                <w:highlight w:val="none"/>
              </w:rPr>
            </w:pPr>
            <w:r>
              <w:rPr>
                <w:rFonts w:hint="eastAsia"/>
                <w:color w:val="auto"/>
                <w:kern w:val="0"/>
                <w:sz w:val="24"/>
                <w:highlight w:val="none"/>
              </w:rPr>
              <w:t>审批机关：山西省发展和改革委员会、山西省能源局</w:t>
            </w:r>
          </w:p>
          <w:p w14:paraId="7942DCFC">
            <w:pPr>
              <w:autoSpaceDE w:val="0"/>
              <w:autoSpaceDN w:val="0"/>
              <w:adjustRightInd w:val="0"/>
              <w:snapToGrid w:val="0"/>
              <w:spacing w:line="480" w:lineRule="exact"/>
              <w:ind w:firstLine="480" w:firstLineChars="200"/>
              <w:jc w:val="left"/>
              <w:rPr>
                <w:color w:val="auto"/>
                <w:kern w:val="0"/>
                <w:sz w:val="24"/>
                <w:highlight w:val="none"/>
              </w:rPr>
            </w:pPr>
            <w:r>
              <w:rPr>
                <w:rFonts w:hint="eastAsia"/>
                <w:color w:val="auto"/>
                <w:kern w:val="0"/>
                <w:sz w:val="24"/>
                <w:highlight w:val="none"/>
              </w:rPr>
              <w:t>审批文件名称及文号：山西省发展和改革委员会 山西省能源局发布了“关于印发《山西省可再生能源发展‘十四五’规划》的通知”（晋能源新能源发〔2022〕369号）。</w:t>
            </w:r>
          </w:p>
        </w:tc>
      </w:tr>
      <w:tr w14:paraId="5C6338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993" w:type="dxa"/>
            <w:gridSpan w:val="2"/>
            <w:tcMar>
              <w:top w:w="16" w:type="dxa"/>
              <w:left w:w="16" w:type="dxa"/>
              <w:right w:w="16" w:type="dxa"/>
            </w:tcMar>
            <w:vAlign w:val="center"/>
          </w:tcPr>
          <w:p w14:paraId="3A99D488">
            <w:pPr>
              <w:autoSpaceDE w:val="0"/>
              <w:autoSpaceDN w:val="0"/>
              <w:adjustRightInd w:val="0"/>
              <w:snapToGrid w:val="0"/>
              <w:jc w:val="center"/>
              <w:rPr>
                <w:color w:val="auto"/>
                <w:kern w:val="0"/>
                <w:sz w:val="24"/>
                <w:highlight w:val="none"/>
              </w:rPr>
            </w:pPr>
            <w:r>
              <w:rPr>
                <w:rFonts w:hint="eastAsia"/>
                <w:color w:val="auto"/>
                <w:sz w:val="24"/>
                <w:highlight w:val="none"/>
              </w:rPr>
              <w:t>规划环境影响评价情况</w:t>
            </w:r>
          </w:p>
        </w:tc>
        <w:tc>
          <w:tcPr>
            <w:tcW w:w="7892" w:type="dxa"/>
            <w:gridSpan w:val="4"/>
            <w:tcMar>
              <w:top w:w="16" w:type="dxa"/>
              <w:left w:w="16" w:type="dxa"/>
              <w:right w:w="16" w:type="dxa"/>
            </w:tcMar>
            <w:vAlign w:val="center"/>
          </w:tcPr>
          <w:p w14:paraId="3A7B30C9">
            <w:pPr>
              <w:autoSpaceDE w:val="0"/>
              <w:autoSpaceDN w:val="0"/>
              <w:adjustRightInd w:val="0"/>
              <w:snapToGrid w:val="0"/>
              <w:spacing w:line="480" w:lineRule="exact"/>
              <w:ind w:firstLine="451" w:firstLineChars="188"/>
              <w:jc w:val="left"/>
              <w:rPr>
                <w:color w:val="auto"/>
                <w:kern w:val="0"/>
                <w:sz w:val="24"/>
                <w:highlight w:val="none"/>
              </w:rPr>
            </w:pPr>
            <w:r>
              <w:rPr>
                <w:rFonts w:hint="eastAsia"/>
                <w:color w:val="auto"/>
                <w:kern w:val="0"/>
                <w:sz w:val="24"/>
                <w:highlight w:val="none"/>
              </w:rPr>
              <w:t>规划环境影响评价文件名称：《山西省可再生能源发展“十四五”规划环境影响报告书》</w:t>
            </w:r>
          </w:p>
          <w:p w14:paraId="230B5E85">
            <w:pPr>
              <w:autoSpaceDE w:val="0"/>
              <w:autoSpaceDN w:val="0"/>
              <w:adjustRightInd w:val="0"/>
              <w:snapToGrid w:val="0"/>
              <w:spacing w:line="480" w:lineRule="exact"/>
              <w:ind w:firstLine="451" w:firstLineChars="188"/>
              <w:jc w:val="left"/>
              <w:rPr>
                <w:color w:val="auto"/>
                <w:kern w:val="0"/>
                <w:sz w:val="24"/>
                <w:highlight w:val="none"/>
              </w:rPr>
            </w:pPr>
            <w:r>
              <w:rPr>
                <w:rFonts w:hint="eastAsia"/>
                <w:color w:val="auto"/>
                <w:kern w:val="0"/>
                <w:sz w:val="24"/>
                <w:highlight w:val="none"/>
              </w:rPr>
              <w:t>审查机关：山西省生态环境厅</w:t>
            </w:r>
          </w:p>
          <w:p w14:paraId="0635E372">
            <w:pPr>
              <w:autoSpaceDE w:val="0"/>
              <w:autoSpaceDN w:val="0"/>
              <w:adjustRightInd w:val="0"/>
              <w:snapToGrid w:val="0"/>
              <w:spacing w:line="480" w:lineRule="exact"/>
              <w:ind w:firstLine="451" w:firstLineChars="188"/>
              <w:jc w:val="left"/>
              <w:rPr>
                <w:color w:val="auto"/>
                <w:kern w:val="0"/>
                <w:sz w:val="24"/>
                <w:highlight w:val="none"/>
              </w:rPr>
            </w:pPr>
            <w:r>
              <w:rPr>
                <w:rFonts w:hint="eastAsia"/>
                <w:color w:val="auto"/>
                <w:kern w:val="0"/>
                <w:sz w:val="24"/>
                <w:highlight w:val="none"/>
              </w:rPr>
              <w:t>审查文件名称及文号：《山西省可再生能源发展“十四五”规划环境影响报告书的审查意见》（晋环函〔2022〕798号）。</w:t>
            </w:r>
          </w:p>
        </w:tc>
      </w:tr>
      <w:tr w14:paraId="1C831E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993" w:type="dxa"/>
            <w:gridSpan w:val="2"/>
            <w:tcMar>
              <w:top w:w="16" w:type="dxa"/>
              <w:left w:w="16" w:type="dxa"/>
              <w:right w:w="16" w:type="dxa"/>
            </w:tcMar>
            <w:vAlign w:val="center"/>
          </w:tcPr>
          <w:p w14:paraId="6582EBEA">
            <w:pPr>
              <w:autoSpaceDE w:val="0"/>
              <w:autoSpaceDN w:val="0"/>
              <w:adjustRightInd w:val="0"/>
              <w:snapToGrid w:val="0"/>
              <w:jc w:val="center"/>
              <w:rPr>
                <w:color w:val="auto"/>
                <w:kern w:val="0"/>
                <w:sz w:val="24"/>
                <w:highlight w:val="none"/>
              </w:rPr>
            </w:pPr>
            <w:r>
              <w:rPr>
                <w:color w:val="auto"/>
                <w:kern w:val="0"/>
                <w:sz w:val="24"/>
                <w:highlight w:val="none"/>
              </w:rPr>
              <w:t>规划及</w:t>
            </w:r>
            <w:r>
              <w:rPr>
                <w:color w:val="auto"/>
                <w:sz w:val="24"/>
                <w:highlight w:val="none"/>
              </w:rPr>
              <w:t>规划环境影响评价</w:t>
            </w:r>
            <w:r>
              <w:rPr>
                <w:color w:val="auto"/>
                <w:kern w:val="0"/>
                <w:sz w:val="24"/>
                <w:highlight w:val="none"/>
              </w:rPr>
              <w:t>符合性分析</w:t>
            </w:r>
          </w:p>
        </w:tc>
        <w:tc>
          <w:tcPr>
            <w:tcW w:w="7892" w:type="dxa"/>
            <w:gridSpan w:val="4"/>
            <w:tcMar>
              <w:top w:w="16" w:type="dxa"/>
              <w:left w:w="16" w:type="dxa"/>
              <w:right w:w="16" w:type="dxa"/>
            </w:tcMar>
            <w:vAlign w:val="center"/>
          </w:tcPr>
          <w:p w14:paraId="6AA15562">
            <w:pPr>
              <w:autoSpaceDE w:val="0"/>
              <w:autoSpaceDN w:val="0"/>
              <w:adjustRightInd w:val="0"/>
              <w:snapToGrid w:val="0"/>
              <w:spacing w:line="480" w:lineRule="exact"/>
              <w:ind w:firstLine="451" w:firstLineChars="188"/>
              <w:jc w:val="left"/>
              <w:rPr>
                <w:color w:val="auto"/>
                <w:kern w:val="0"/>
                <w:sz w:val="24"/>
                <w:highlight w:val="none"/>
              </w:rPr>
            </w:pPr>
            <w:r>
              <w:rPr>
                <w:rFonts w:hint="eastAsia"/>
                <w:color w:val="auto"/>
                <w:kern w:val="0"/>
                <w:sz w:val="24"/>
                <w:highlight w:val="none"/>
              </w:rPr>
              <w:t>1、本项目与《山西省可再生能源发展“十四五”规划》的符合性分析</w:t>
            </w:r>
          </w:p>
          <w:p w14:paraId="4A558796">
            <w:pPr>
              <w:autoSpaceDE w:val="0"/>
              <w:autoSpaceDN w:val="0"/>
              <w:adjustRightInd w:val="0"/>
              <w:snapToGrid w:val="0"/>
              <w:spacing w:line="480" w:lineRule="exact"/>
              <w:ind w:firstLine="451" w:firstLineChars="188"/>
              <w:jc w:val="left"/>
              <w:rPr>
                <w:color w:val="auto"/>
                <w:kern w:val="0"/>
                <w:sz w:val="24"/>
                <w:highlight w:val="none"/>
              </w:rPr>
            </w:pPr>
            <w:r>
              <w:rPr>
                <w:rFonts w:hint="eastAsia"/>
                <w:color w:val="auto"/>
                <w:kern w:val="0"/>
                <w:sz w:val="24"/>
                <w:highlight w:val="none"/>
              </w:rPr>
              <w:t>《山西省可再生能源发展“十四五”规划》中指出：“加快构建以新能源为主体的新型电力系统，促进可再生能源大规模、高比例、市场化、高质量发展。到2025年，全省可再生能源发电装机达到8300万千瓦以上。其中：风电3000万千瓦左右、光伏5000万千瓦左右、水电（含抽畜）224万千瓦以上、生物质发电100万千瓦以上，新型储能装机达到600万千瓦左右，地热能供暖面积2000万平米左右。实现新能源和清洁能源装机容量占比达到60%以上”。</w:t>
            </w:r>
          </w:p>
          <w:p w14:paraId="12335349">
            <w:pPr>
              <w:autoSpaceDE w:val="0"/>
              <w:autoSpaceDN w:val="0"/>
              <w:adjustRightInd w:val="0"/>
              <w:snapToGrid w:val="0"/>
              <w:spacing w:line="480" w:lineRule="exact"/>
              <w:ind w:firstLine="451" w:firstLineChars="188"/>
              <w:jc w:val="left"/>
              <w:rPr>
                <w:rFonts w:hint="eastAsia"/>
                <w:color w:val="auto"/>
                <w:kern w:val="0"/>
                <w:sz w:val="24"/>
                <w:highlight w:val="none"/>
              </w:rPr>
            </w:pPr>
            <w:r>
              <w:rPr>
                <w:rFonts w:hint="eastAsia" w:ascii="Times New Roman" w:eastAsia="宋体"/>
                <w:color w:val="auto"/>
                <w:kern w:val="0"/>
                <w:sz w:val="24"/>
                <w:highlight w:val="none"/>
                <w:lang w:val="en-US" w:eastAsia="zh-CN"/>
              </w:rPr>
              <w:t xml:space="preserve">根据《中共中央国务院关于全面推进乡村振兴加快农业农村现代化的意见》、《中共中央国务院关于实现巩固拓展脱贫攻坚成果同乡村振兴有效衔接的意见》指示精神，国家将大力推广分布式发电项目，为进一步发挥山西省新能源资源优势，巩固拓展脱贫攻坚成果，促进乡村振兴，按照省委、省政府工作部署，在全省范围内继续实施新能源乡村振兴工程。就地开发、就近利用风能资源可以实现“电从身边来”、利用清洁电力带动乡村振兴发展的主要抓手。积极与国家电网沟通，配合电网创新适应“千乡万村驭风行动”的接入方式，协调政府、企业、设计院加强三方沟通，探索适合“千乡万村驭风行动”的利益分享模式，把促进村集体增收、推进乡村振兴落到实处，创新实践出一条美丽乡村建设的新道路、新方向，真正让群众增收有保障、乡村振兴有力量。 </w:t>
            </w:r>
          </w:p>
          <w:p w14:paraId="726EF6E7">
            <w:pPr>
              <w:autoSpaceDE w:val="0"/>
              <w:autoSpaceDN w:val="0"/>
              <w:adjustRightInd w:val="0"/>
              <w:snapToGrid w:val="0"/>
              <w:spacing w:line="480" w:lineRule="exact"/>
              <w:ind w:firstLine="451" w:firstLineChars="188"/>
              <w:jc w:val="left"/>
              <w:rPr>
                <w:rFonts w:hint="eastAsia"/>
                <w:color w:val="auto"/>
                <w:kern w:val="0"/>
                <w:sz w:val="24"/>
                <w:highlight w:val="none"/>
              </w:rPr>
            </w:pPr>
            <w:r>
              <w:rPr>
                <w:rFonts w:hint="eastAsia" w:ascii="Times New Roman" w:eastAsia="宋体"/>
                <w:color w:val="auto"/>
                <w:kern w:val="0"/>
                <w:sz w:val="24"/>
                <w:highlight w:val="none"/>
                <w:lang w:val="en-US" w:eastAsia="zh-CN"/>
              </w:rPr>
              <w:t>风电场工程利用风能发电，可替代并节约化石燃料能源，可减排温室气体量和其他污染物。同时，从现有的开发技术和经济性看，风能开发具有一定的优势，随着风电机组国产化进程加快，风电机组的价格将进一步降低，风电的竞争力将极大增强。因此，风电场工程的建设符合国家和山西产业政策，有利于实现国家和山西省节能减排的目标，同时也符合可持续发展目标。</w:t>
            </w:r>
          </w:p>
          <w:p w14:paraId="4E3F706A">
            <w:pPr>
              <w:autoSpaceDE w:val="0"/>
              <w:autoSpaceDN w:val="0"/>
              <w:adjustRightInd w:val="0"/>
              <w:snapToGrid w:val="0"/>
              <w:spacing w:line="480" w:lineRule="exact"/>
              <w:ind w:firstLine="451" w:firstLineChars="188"/>
              <w:jc w:val="left"/>
              <w:rPr>
                <w:color w:val="auto"/>
                <w:kern w:val="0"/>
                <w:sz w:val="24"/>
                <w:highlight w:val="none"/>
              </w:rPr>
            </w:pPr>
            <w:r>
              <w:rPr>
                <w:rFonts w:hint="eastAsia"/>
                <w:color w:val="auto"/>
                <w:kern w:val="0"/>
                <w:sz w:val="24"/>
                <w:highlight w:val="none"/>
              </w:rPr>
              <w:t>本项目属于新能源发电项目，本项目风力发电容量为50MW，项目的建设可促进区域可再生能源的发展，有利于推进区域风能资源的有序开发。项目建设符合《山西省可再生能源发展“十四五”规划》的相关要求。</w:t>
            </w:r>
          </w:p>
          <w:p w14:paraId="72C87410">
            <w:pPr>
              <w:autoSpaceDE w:val="0"/>
              <w:autoSpaceDN w:val="0"/>
              <w:adjustRightInd w:val="0"/>
              <w:snapToGrid w:val="0"/>
              <w:spacing w:line="480" w:lineRule="exact"/>
              <w:ind w:firstLine="451" w:firstLineChars="188"/>
              <w:jc w:val="left"/>
              <w:rPr>
                <w:color w:val="auto"/>
                <w:kern w:val="0"/>
                <w:sz w:val="24"/>
                <w:highlight w:val="none"/>
              </w:rPr>
            </w:pPr>
            <w:r>
              <w:rPr>
                <w:rFonts w:hint="eastAsia"/>
                <w:color w:val="auto"/>
                <w:kern w:val="0"/>
                <w:sz w:val="24"/>
                <w:highlight w:val="none"/>
              </w:rPr>
              <w:t>2、本项目与《山西省可再生能源发展“十四五”规划环境影响报告书》的符合性分析</w:t>
            </w:r>
          </w:p>
          <w:p w14:paraId="0F1976B0">
            <w:pPr>
              <w:autoSpaceDE w:val="0"/>
              <w:autoSpaceDN w:val="0"/>
              <w:adjustRightInd w:val="0"/>
              <w:snapToGrid w:val="0"/>
              <w:spacing w:line="480" w:lineRule="exact"/>
              <w:ind w:firstLine="451" w:firstLineChars="188"/>
              <w:jc w:val="left"/>
              <w:rPr>
                <w:color w:val="auto"/>
                <w:kern w:val="0"/>
                <w:sz w:val="24"/>
                <w:highlight w:val="none"/>
              </w:rPr>
            </w:pPr>
            <w:r>
              <w:rPr>
                <w:rFonts w:hint="eastAsia"/>
                <w:color w:val="auto"/>
                <w:kern w:val="0"/>
                <w:sz w:val="24"/>
                <w:highlight w:val="none"/>
              </w:rPr>
              <w:t>山西省能源局组织编制《山西省可再生能源发展“十四五”规划环境影响报告书》。本项目与规划环评要求的符合性见下表。</w:t>
            </w:r>
          </w:p>
          <w:p w14:paraId="5EEAEE90">
            <w:pPr>
              <w:autoSpaceDE w:val="0"/>
              <w:autoSpaceDN w:val="0"/>
              <w:adjustRightInd w:val="0"/>
              <w:snapToGrid w:val="0"/>
              <w:spacing w:line="480" w:lineRule="exact"/>
              <w:ind w:firstLine="394" w:firstLineChars="188"/>
              <w:jc w:val="center"/>
              <w:rPr>
                <w:rFonts w:hint="eastAsia" w:ascii="黑体" w:hAnsi="黑体" w:eastAsia="黑体"/>
                <w:color w:val="auto"/>
                <w:kern w:val="0"/>
                <w:szCs w:val="21"/>
                <w:highlight w:val="none"/>
              </w:rPr>
            </w:pPr>
            <w:r>
              <w:rPr>
                <w:rFonts w:hint="eastAsia" w:ascii="黑体" w:hAnsi="黑体" w:eastAsia="黑体"/>
                <w:color w:val="auto"/>
                <w:kern w:val="0"/>
                <w:szCs w:val="21"/>
                <w:highlight w:val="none"/>
              </w:rPr>
              <w:t>表1-1 本项目与规划环评要求符合性分析</w:t>
            </w:r>
          </w:p>
          <w:tbl>
            <w:tblPr>
              <w:tblStyle w:val="10"/>
              <w:tblW w:w="5000" w:type="pct"/>
              <w:tblInd w:w="-1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426"/>
              <w:gridCol w:w="3709"/>
              <w:gridCol w:w="3180"/>
              <w:gridCol w:w="515"/>
            </w:tblGrid>
            <w:tr w14:paraId="754BC79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256" w:type="pct"/>
                  <w:tcBorders>
                    <w:tl2br w:val="nil"/>
                    <w:tr2bl w:val="nil"/>
                  </w:tcBorders>
                  <w:vAlign w:val="center"/>
                </w:tcPr>
                <w:p w14:paraId="75CF0617">
                  <w:pPr>
                    <w:jc w:val="center"/>
                    <w:rPr>
                      <w:color w:val="auto"/>
                      <w:highlight w:val="none"/>
                      <w:shd w:val="clear" w:color="auto" w:fill="FFFFFF"/>
                    </w:rPr>
                  </w:pPr>
                  <w:r>
                    <w:rPr>
                      <w:color w:val="auto"/>
                      <w:highlight w:val="none"/>
                      <w:shd w:val="clear" w:color="auto" w:fill="FFFFFF"/>
                    </w:rPr>
                    <w:t>序号</w:t>
                  </w:r>
                </w:p>
              </w:tc>
              <w:tc>
                <w:tcPr>
                  <w:tcW w:w="2373" w:type="pct"/>
                  <w:tcBorders>
                    <w:tl2br w:val="nil"/>
                    <w:tr2bl w:val="nil"/>
                  </w:tcBorders>
                  <w:vAlign w:val="center"/>
                </w:tcPr>
                <w:p w14:paraId="2229A342">
                  <w:pPr>
                    <w:ind w:left="-105" w:leftChars="-50" w:right="-105" w:rightChars="-50"/>
                    <w:jc w:val="center"/>
                    <w:rPr>
                      <w:color w:val="auto"/>
                      <w:highlight w:val="none"/>
                      <w:shd w:val="clear" w:color="auto" w:fill="FFFFFF"/>
                    </w:rPr>
                  </w:pPr>
                  <w:r>
                    <w:rPr>
                      <w:color w:val="auto"/>
                      <w:highlight w:val="none"/>
                      <w:shd w:val="clear" w:color="auto" w:fill="FFFFFF"/>
                    </w:rPr>
                    <w:t>报告书内容</w:t>
                  </w:r>
                </w:p>
              </w:tc>
              <w:tc>
                <w:tcPr>
                  <w:tcW w:w="2035" w:type="pct"/>
                  <w:tcBorders>
                    <w:tl2br w:val="nil"/>
                    <w:tr2bl w:val="nil"/>
                  </w:tcBorders>
                  <w:vAlign w:val="center"/>
                </w:tcPr>
                <w:p w14:paraId="3268DB0B">
                  <w:pPr>
                    <w:ind w:left="-105" w:leftChars="-50" w:right="-105" w:rightChars="-50"/>
                    <w:jc w:val="center"/>
                    <w:rPr>
                      <w:color w:val="auto"/>
                      <w:highlight w:val="none"/>
                      <w:shd w:val="clear" w:color="auto" w:fill="FFFFFF"/>
                    </w:rPr>
                  </w:pPr>
                  <w:r>
                    <w:rPr>
                      <w:color w:val="auto"/>
                      <w:highlight w:val="none"/>
                      <w:shd w:val="clear" w:color="auto" w:fill="FFFFFF"/>
                    </w:rPr>
                    <w:t>符合性分析</w:t>
                  </w:r>
                </w:p>
              </w:tc>
              <w:tc>
                <w:tcPr>
                  <w:tcW w:w="334" w:type="pct"/>
                  <w:tcBorders>
                    <w:tl2br w:val="nil"/>
                    <w:tr2bl w:val="nil"/>
                  </w:tcBorders>
                  <w:vAlign w:val="center"/>
                </w:tcPr>
                <w:p w14:paraId="7BA7F415">
                  <w:pPr>
                    <w:ind w:left="-105" w:leftChars="-50" w:right="-105" w:rightChars="-50"/>
                    <w:jc w:val="center"/>
                    <w:rPr>
                      <w:color w:val="auto"/>
                      <w:highlight w:val="none"/>
                      <w:shd w:val="clear" w:color="auto" w:fill="FFFFFF"/>
                    </w:rPr>
                  </w:pPr>
                  <w:r>
                    <w:rPr>
                      <w:color w:val="auto"/>
                      <w:highlight w:val="none"/>
                      <w:shd w:val="clear" w:color="auto" w:fill="FFFFFF"/>
                    </w:rPr>
                    <w:t>相符性</w:t>
                  </w:r>
                </w:p>
              </w:tc>
            </w:tr>
            <w:tr w14:paraId="5CBBF57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256" w:type="pct"/>
                  <w:tcBorders>
                    <w:tl2br w:val="nil"/>
                    <w:tr2bl w:val="nil"/>
                  </w:tcBorders>
                  <w:vAlign w:val="center"/>
                </w:tcPr>
                <w:p w14:paraId="77348601">
                  <w:pPr>
                    <w:jc w:val="center"/>
                    <w:rPr>
                      <w:color w:val="auto"/>
                      <w:highlight w:val="none"/>
                      <w:shd w:val="clear" w:color="auto" w:fill="FFFFFF"/>
                    </w:rPr>
                  </w:pPr>
                  <w:r>
                    <w:rPr>
                      <w:color w:val="auto"/>
                      <w:highlight w:val="none"/>
                      <w:shd w:val="clear" w:color="auto" w:fill="FFFFFF"/>
                    </w:rPr>
                    <w:t>1</w:t>
                  </w:r>
                </w:p>
              </w:tc>
              <w:tc>
                <w:tcPr>
                  <w:tcW w:w="2373" w:type="pct"/>
                  <w:tcBorders>
                    <w:tl2br w:val="nil"/>
                    <w:tr2bl w:val="nil"/>
                  </w:tcBorders>
                  <w:vAlign w:val="center"/>
                </w:tcPr>
                <w:p w14:paraId="3505BD57">
                  <w:pPr>
                    <w:ind w:left="-105" w:leftChars="-50" w:firstLine="420" w:firstLineChars="200"/>
                    <w:rPr>
                      <w:color w:val="auto"/>
                      <w:highlight w:val="none"/>
                      <w:shd w:val="clear" w:color="auto" w:fill="FFFFFF"/>
                    </w:rPr>
                  </w:pPr>
                  <w:r>
                    <w:rPr>
                      <w:color w:val="auto"/>
                      <w:highlight w:val="none"/>
                      <w:shd w:val="clear" w:color="auto" w:fill="FFFFFF"/>
                    </w:rPr>
                    <w:t>严格项目布局管控。可再生能源项目布局应依据生态优先，落实“三线一单”生态环境分区管控要求，严格避让生态保护红线和其他各类法定禁止开发区域，合理避让限制开发区域，符合自然保护区、风景名胜区、森林公园、永久基本农田、饮用水水源保护区、泉域、公益林、文物保护等现行法律法规要求，促进可再生能源产业高质量发展。生态保护红线经国务院批准后，在其范围内零星分布的已有风电、光伏设施，按照相关法律法规规定进行管理，严禁扩大现有规模与范围，项目到期后由建设单位负责做好生态修复。</w:t>
                  </w:r>
                </w:p>
              </w:tc>
              <w:tc>
                <w:tcPr>
                  <w:tcW w:w="2035" w:type="pct"/>
                  <w:tcBorders>
                    <w:tl2br w:val="nil"/>
                    <w:tr2bl w:val="nil"/>
                  </w:tcBorders>
                  <w:vAlign w:val="center"/>
                </w:tcPr>
                <w:p w14:paraId="383D7884">
                  <w:pPr>
                    <w:ind w:firstLine="420" w:firstLineChars="200"/>
                    <w:rPr>
                      <w:color w:val="auto"/>
                      <w:highlight w:val="none"/>
                      <w:shd w:val="clear" w:color="auto" w:fill="FFFFFF"/>
                    </w:rPr>
                  </w:pPr>
                  <w:r>
                    <w:rPr>
                      <w:rFonts w:hint="eastAsia" w:ascii="Times New Roman" w:eastAsia="宋体"/>
                      <w:color w:val="auto"/>
                      <w:highlight w:val="none"/>
                      <w:shd w:val="clear" w:color="auto" w:fill="FFFFFF"/>
                      <w:lang w:val="en-US" w:eastAsia="zh-CN"/>
                    </w:rPr>
                    <w:t>根据《长治市2023年度生态环境分区管控动态更新成果公告》</w:t>
                  </w:r>
                  <w:r>
                    <w:rPr>
                      <w:rFonts w:hint="eastAsia"/>
                      <w:color w:val="auto"/>
                      <w:highlight w:val="none"/>
                      <w:shd w:val="clear" w:color="auto" w:fill="FFFFFF"/>
                    </w:rPr>
                    <w:t>可知</w:t>
                  </w:r>
                  <w:r>
                    <w:rPr>
                      <w:rFonts w:hint="eastAsia" w:eastAsia="宋体"/>
                      <w:color w:val="auto"/>
                      <w:highlight w:val="none"/>
                      <w:shd w:val="clear" w:color="auto" w:fill="FFFFFF"/>
                      <w:lang w:eastAsia="zh-CN"/>
                    </w:rPr>
                    <w:t>，</w:t>
                  </w:r>
                  <w:r>
                    <w:rPr>
                      <w:rFonts w:hint="eastAsia"/>
                      <w:color w:val="auto"/>
                      <w:highlight w:val="none"/>
                      <w:shd w:val="clear" w:color="auto" w:fill="FFFFFF"/>
                    </w:rPr>
                    <w:t>本项目</w:t>
                  </w:r>
                  <w:r>
                    <w:rPr>
                      <w:rFonts w:hint="eastAsia" w:ascii="Times New Roman" w:eastAsia="宋体"/>
                      <w:color w:val="auto"/>
                      <w:highlight w:val="none"/>
                      <w:shd w:val="clear" w:color="auto" w:fill="FFFFFF"/>
                      <w:lang w:val="en-US" w:eastAsia="zh-CN"/>
                    </w:rPr>
                    <w:t>风机</w:t>
                  </w:r>
                  <w:r>
                    <w:rPr>
                      <w:rFonts w:hint="eastAsia"/>
                      <w:color w:val="auto"/>
                      <w:highlight w:val="none"/>
                      <w:shd w:val="clear" w:color="auto" w:fill="FFFFFF"/>
                    </w:rPr>
                    <w:t>位于</w:t>
                  </w:r>
                  <w:r>
                    <w:rPr>
                      <w:rFonts w:hint="eastAsia" w:ascii="Times New Roman" w:eastAsia="宋体"/>
                      <w:color w:val="auto"/>
                      <w:highlight w:val="none"/>
                      <w:shd w:val="clear" w:color="auto" w:fill="FFFFFF"/>
                      <w:lang w:val="en-US" w:eastAsia="zh-CN"/>
                    </w:rPr>
                    <w:t>壶关县太行山水源涵养与水土保持一般生态空间优先保护单元和长治市壶关县一般管控单元</w:t>
                  </w:r>
                  <w:r>
                    <w:rPr>
                      <w:rFonts w:hint="eastAsia" w:eastAsia="宋体"/>
                      <w:color w:val="auto"/>
                      <w:highlight w:val="none"/>
                      <w:shd w:val="clear" w:color="auto" w:fill="FFFFFF"/>
                      <w:lang w:eastAsia="zh-CN"/>
                    </w:rPr>
                    <w:t>，</w:t>
                  </w:r>
                  <w:r>
                    <w:rPr>
                      <w:rFonts w:hint="eastAsia" w:ascii="Times New Roman" w:eastAsia="宋体"/>
                      <w:color w:val="auto"/>
                      <w:highlight w:val="none"/>
                      <w:shd w:val="clear" w:color="auto" w:fill="FFFFFF"/>
                      <w:lang w:val="en-US" w:eastAsia="zh-CN"/>
                    </w:rPr>
                    <w:t>因此本项目风机不占用生态保护红线；6台风机吊装平台共涉及占用生态保护红线1.5703hm</w:t>
                  </w:r>
                  <w:r>
                    <w:rPr>
                      <w:rFonts w:hint="eastAsia" w:ascii="Times New Roman" w:eastAsia="宋体"/>
                      <w:color w:val="auto"/>
                      <w:highlight w:val="none"/>
                      <w:shd w:val="clear" w:color="auto" w:fill="FFFFFF"/>
                      <w:vertAlign w:val="superscript"/>
                      <w:lang w:val="en-US" w:eastAsia="zh-CN"/>
                    </w:rPr>
                    <w:t>2</w:t>
                  </w:r>
                  <w:r>
                    <w:rPr>
                      <w:rFonts w:hint="eastAsia" w:ascii="Times New Roman" w:eastAsia="宋体"/>
                      <w:color w:val="auto"/>
                      <w:highlight w:val="none"/>
                      <w:shd w:val="clear" w:color="auto" w:fill="FFFFFF"/>
                      <w:lang w:val="en-US" w:eastAsia="zh-CN"/>
                    </w:rPr>
                    <w:t>，占用生态保护红线属太行山水源涵养生态保护红线，生态功能为水源涵养，红线类型属于一般控制区，不涉及自然保护地，目前《中节能壶关县乡村振兴50MW风电项目临时用地必须且不可避让生态保护红线和减缓生态环境影响措施论证报告》已出具专家论证意见；2025年12月16日，壶关县自然资源局出具了《关于中节能壶关县乡村振兴50MW风电项目符合生态保护红线内允许开展的有限人为活动有关规定的认定意见》，本项目集电线路位于生态保护红线内路径长约13.2436km，涉及生态红线内的塔基占地面积0.4000hm</w:t>
                  </w:r>
                  <w:r>
                    <w:rPr>
                      <w:rFonts w:hint="eastAsia" w:ascii="Times New Roman" w:eastAsia="宋体"/>
                      <w:color w:val="auto"/>
                      <w:highlight w:val="none"/>
                      <w:shd w:val="clear" w:color="auto" w:fill="FFFFFF"/>
                      <w:vertAlign w:val="superscript"/>
                      <w:lang w:val="en-US" w:eastAsia="zh-CN"/>
                    </w:rPr>
                    <w:t>2</w:t>
                  </w:r>
                  <w:r>
                    <w:rPr>
                      <w:rFonts w:hint="eastAsia" w:ascii="Times New Roman" w:eastAsia="宋体"/>
                      <w:color w:val="auto"/>
                      <w:highlight w:val="none"/>
                      <w:shd w:val="clear" w:color="auto" w:fill="FFFFFF"/>
                      <w:vertAlign w:val="baseline"/>
                      <w:lang w:val="en-US" w:eastAsia="zh-CN"/>
                    </w:rPr>
                    <w:t>，涉及的生态保护红线为太行山水源涵养生态保护红线一般控制区；</w:t>
                  </w:r>
                  <w:r>
                    <w:rPr>
                      <w:rFonts w:hint="eastAsia"/>
                      <w:color w:val="auto"/>
                      <w:highlight w:val="none"/>
                      <w:shd w:val="clear" w:color="auto" w:fill="FFFFFF"/>
                      <w:vertAlign w:val="baseline"/>
                      <w:lang w:val="en-US" w:eastAsia="zh-CN"/>
                    </w:rPr>
                    <w:t>本项目道路全部利用森林防火通道</w:t>
                  </w:r>
                  <w:r>
                    <w:rPr>
                      <w:rFonts w:hint="eastAsia" w:ascii="Times New Roman" w:eastAsia="宋体"/>
                      <w:color w:val="auto"/>
                      <w:highlight w:val="none"/>
                      <w:shd w:val="clear" w:color="auto" w:fill="FFFFFF"/>
                      <w:vertAlign w:val="baseline"/>
                      <w:lang w:val="en-US" w:eastAsia="zh-CN"/>
                    </w:rPr>
                    <w:t>，无新建道路。</w:t>
                  </w:r>
                </w:p>
              </w:tc>
              <w:tc>
                <w:tcPr>
                  <w:tcW w:w="334" w:type="pct"/>
                  <w:tcBorders>
                    <w:tl2br w:val="nil"/>
                    <w:tr2bl w:val="nil"/>
                  </w:tcBorders>
                  <w:vAlign w:val="center"/>
                </w:tcPr>
                <w:p w14:paraId="2945257D">
                  <w:pPr>
                    <w:ind w:left="-50" w:right="-50"/>
                    <w:jc w:val="center"/>
                    <w:rPr>
                      <w:color w:val="auto"/>
                      <w:highlight w:val="none"/>
                      <w:shd w:val="clear" w:color="auto" w:fill="FFFFFF"/>
                    </w:rPr>
                  </w:pPr>
                  <w:r>
                    <w:rPr>
                      <w:color w:val="auto"/>
                      <w:highlight w:val="none"/>
                      <w:shd w:val="clear" w:color="auto" w:fill="FFFFFF"/>
                    </w:rPr>
                    <w:t>符合</w:t>
                  </w:r>
                </w:p>
              </w:tc>
            </w:tr>
            <w:tr w14:paraId="720A333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256" w:type="pct"/>
                  <w:tcBorders>
                    <w:tl2br w:val="nil"/>
                    <w:tr2bl w:val="nil"/>
                  </w:tcBorders>
                  <w:vAlign w:val="center"/>
                </w:tcPr>
                <w:p w14:paraId="31C4B3E4">
                  <w:pPr>
                    <w:jc w:val="center"/>
                    <w:rPr>
                      <w:color w:val="auto"/>
                      <w:highlight w:val="none"/>
                      <w:shd w:val="clear" w:color="auto" w:fill="FFFFFF"/>
                    </w:rPr>
                  </w:pPr>
                  <w:r>
                    <w:rPr>
                      <w:color w:val="auto"/>
                      <w:highlight w:val="none"/>
                      <w:shd w:val="clear" w:color="auto" w:fill="FFFFFF"/>
                    </w:rPr>
                    <w:t>2</w:t>
                  </w:r>
                </w:p>
              </w:tc>
              <w:tc>
                <w:tcPr>
                  <w:tcW w:w="2373" w:type="pct"/>
                  <w:tcBorders>
                    <w:tl2br w:val="nil"/>
                    <w:tr2bl w:val="nil"/>
                  </w:tcBorders>
                  <w:vAlign w:val="center"/>
                </w:tcPr>
                <w:p w14:paraId="62360D9D">
                  <w:pPr>
                    <w:ind w:left="-105" w:leftChars="-50" w:firstLine="420" w:firstLineChars="200"/>
                    <w:rPr>
                      <w:color w:val="auto"/>
                      <w:highlight w:val="none"/>
                      <w:shd w:val="clear" w:color="auto" w:fill="FFFFFF"/>
                    </w:rPr>
                  </w:pPr>
                  <w:r>
                    <w:rPr>
                      <w:color w:val="auto"/>
                      <w:highlight w:val="none"/>
                      <w:shd w:val="clear" w:color="auto" w:fill="FFFFFF"/>
                    </w:rPr>
                    <w:t>节约集约利用土地。可再生能源开发应尽量使用未利用土地，少占或不占农用地，节约集约使用林地，禁止以任何方式占用永久基本农田。</w:t>
                  </w:r>
                </w:p>
              </w:tc>
              <w:tc>
                <w:tcPr>
                  <w:tcW w:w="2035" w:type="pct"/>
                  <w:tcBorders>
                    <w:tl2br w:val="nil"/>
                    <w:tr2bl w:val="nil"/>
                  </w:tcBorders>
                  <w:vAlign w:val="center"/>
                </w:tcPr>
                <w:p w14:paraId="4EB52D6E">
                  <w:pPr>
                    <w:ind w:left="-105" w:leftChars="-50" w:firstLine="420" w:firstLineChars="200"/>
                    <w:rPr>
                      <w:color w:val="auto"/>
                      <w:highlight w:val="none"/>
                      <w:shd w:val="clear" w:color="auto" w:fill="FFFFFF"/>
                    </w:rPr>
                  </w:pPr>
                  <w:r>
                    <w:rPr>
                      <w:color w:val="auto"/>
                      <w:highlight w:val="none"/>
                      <w:shd w:val="clear" w:color="auto" w:fill="FFFFFF"/>
                    </w:rPr>
                    <w:t>本项目占地性质为</w:t>
                  </w:r>
                  <w:r>
                    <w:rPr>
                      <w:rFonts w:hint="eastAsia" w:eastAsia="宋体"/>
                      <w:color w:val="auto"/>
                      <w:highlight w:val="none"/>
                      <w:shd w:val="clear" w:color="auto" w:fill="FFFFFF"/>
                      <w:lang w:eastAsia="zh-CN"/>
                    </w:rPr>
                    <w:t>其他草地、灌木林地、</w:t>
                  </w:r>
                  <w:r>
                    <w:rPr>
                      <w:rFonts w:hint="eastAsia" w:ascii="Times New Roman" w:eastAsia="宋体"/>
                      <w:color w:val="auto"/>
                      <w:highlight w:val="none"/>
                      <w:shd w:val="clear" w:color="auto" w:fill="FFFFFF"/>
                      <w:lang w:val="en-US" w:eastAsia="zh-CN"/>
                    </w:rPr>
                    <w:t>其他林地、</w:t>
                  </w:r>
                  <w:r>
                    <w:rPr>
                      <w:rFonts w:hint="eastAsia" w:eastAsia="宋体"/>
                      <w:color w:val="auto"/>
                      <w:highlight w:val="none"/>
                      <w:shd w:val="clear" w:color="auto" w:fill="FFFFFF"/>
                      <w:lang w:eastAsia="zh-CN"/>
                    </w:rPr>
                    <w:t>乔木林地、</w:t>
                  </w:r>
                  <w:r>
                    <w:rPr>
                      <w:rFonts w:hint="eastAsia" w:ascii="Times New Roman" w:eastAsia="宋体"/>
                      <w:color w:val="auto"/>
                      <w:highlight w:val="none"/>
                      <w:shd w:val="clear" w:color="auto" w:fill="FFFFFF"/>
                      <w:lang w:val="en-US" w:eastAsia="zh-CN"/>
                    </w:rPr>
                    <w:t>旱地和农村道路，</w:t>
                  </w:r>
                  <w:r>
                    <w:rPr>
                      <w:color w:val="auto"/>
                      <w:highlight w:val="none"/>
                      <w:shd w:val="clear" w:color="auto" w:fill="FFFFFF"/>
                    </w:rPr>
                    <w:t>不占用永久基本农田。</w:t>
                  </w:r>
                </w:p>
              </w:tc>
              <w:tc>
                <w:tcPr>
                  <w:tcW w:w="334" w:type="pct"/>
                  <w:tcBorders>
                    <w:tl2br w:val="nil"/>
                    <w:tr2bl w:val="nil"/>
                  </w:tcBorders>
                  <w:vAlign w:val="center"/>
                </w:tcPr>
                <w:p w14:paraId="179CB64C">
                  <w:pPr>
                    <w:ind w:left="-50" w:right="-50"/>
                    <w:jc w:val="center"/>
                    <w:rPr>
                      <w:color w:val="auto"/>
                      <w:highlight w:val="none"/>
                      <w:shd w:val="clear" w:color="auto" w:fill="FFFFFF"/>
                    </w:rPr>
                  </w:pPr>
                  <w:r>
                    <w:rPr>
                      <w:color w:val="auto"/>
                      <w:highlight w:val="none"/>
                      <w:shd w:val="clear" w:color="auto" w:fill="FFFFFF"/>
                    </w:rPr>
                    <w:t>符合</w:t>
                  </w:r>
                </w:p>
              </w:tc>
            </w:tr>
            <w:tr w14:paraId="0C0F09E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256" w:type="pct"/>
                  <w:tcBorders>
                    <w:tl2br w:val="nil"/>
                    <w:tr2bl w:val="nil"/>
                  </w:tcBorders>
                  <w:vAlign w:val="center"/>
                </w:tcPr>
                <w:p w14:paraId="0C5B81E7">
                  <w:pPr>
                    <w:jc w:val="center"/>
                    <w:rPr>
                      <w:color w:val="auto"/>
                      <w:highlight w:val="none"/>
                      <w:shd w:val="clear" w:color="auto" w:fill="FFFFFF"/>
                    </w:rPr>
                  </w:pPr>
                  <w:r>
                    <w:rPr>
                      <w:color w:val="auto"/>
                      <w:highlight w:val="none"/>
                      <w:shd w:val="clear" w:color="auto" w:fill="FFFFFF"/>
                    </w:rPr>
                    <w:t>3</w:t>
                  </w:r>
                </w:p>
              </w:tc>
              <w:tc>
                <w:tcPr>
                  <w:tcW w:w="2373" w:type="pct"/>
                  <w:tcBorders>
                    <w:tl2br w:val="nil"/>
                    <w:tr2bl w:val="nil"/>
                  </w:tcBorders>
                  <w:vAlign w:val="center"/>
                </w:tcPr>
                <w:p w14:paraId="2D9321F5">
                  <w:pPr>
                    <w:ind w:left="-105" w:leftChars="-50" w:firstLine="420" w:firstLineChars="200"/>
                    <w:rPr>
                      <w:color w:val="auto"/>
                      <w:highlight w:val="none"/>
                      <w:shd w:val="clear" w:color="auto" w:fill="FFFFFF"/>
                    </w:rPr>
                  </w:pPr>
                  <w:r>
                    <w:rPr>
                      <w:color w:val="auto"/>
                      <w:highlight w:val="none"/>
                      <w:shd w:val="clear" w:color="auto" w:fill="FFFFFF"/>
                    </w:rPr>
                    <w:t>推动可再生能源效能水平提高，新建项目全面达到国家标杆水平。对照国家能效标杆水平，采用光电转化效率高的光伏组件、大功率低风速风机等先进高效设备，在资源和环境容量具备连片开发条件的区域，新建单体风电项目装机容量不低于10万千瓦，光伏项目装机容量不低于20万千瓦。</w:t>
                  </w:r>
                </w:p>
              </w:tc>
              <w:tc>
                <w:tcPr>
                  <w:tcW w:w="2035" w:type="pct"/>
                  <w:tcBorders>
                    <w:tl2br w:val="nil"/>
                    <w:tr2bl w:val="nil"/>
                  </w:tcBorders>
                  <w:vAlign w:val="center"/>
                </w:tcPr>
                <w:p w14:paraId="008A7FD6">
                  <w:pPr>
                    <w:ind w:left="-105" w:leftChars="-50" w:firstLine="420" w:firstLineChars="200"/>
                    <w:rPr>
                      <w:rFonts w:hint="default" w:eastAsia="宋体"/>
                      <w:color w:val="auto"/>
                      <w:highlight w:val="none"/>
                      <w:shd w:val="clear" w:color="auto" w:fill="FFFFFF"/>
                      <w:lang w:val="en-US" w:eastAsia="zh-CN"/>
                    </w:rPr>
                  </w:pPr>
                  <w:r>
                    <w:rPr>
                      <w:rFonts w:hint="eastAsia"/>
                      <w:color w:val="auto"/>
                      <w:highlight w:val="none"/>
                      <w:shd w:val="clear" w:color="auto" w:fill="FFFFFF"/>
                    </w:rPr>
                    <w:t xml:space="preserve">设计采用 </w:t>
                  </w:r>
                  <w:r>
                    <w:rPr>
                      <w:rFonts w:hint="eastAsia" w:eastAsia="宋体"/>
                      <w:color w:val="auto"/>
                      <w:highlight w:val="none"/>
                      <w:shd w:val="clear" w:color="auto" w:fill="FFFFFF"/>
                      <w:lang w:eastAsia="zh-CN"/>
                    </w:rPr>
                    <w:t>8台单机容量为6.25MW大功率低风速风机</w:t>
                  </w:r>
                  <w:r>
                    <w:rPr>
                      <w:rFonts w:hint="eastAsia"/>
                      <w:color w:val="auto"/>
                      <w:highlight w:val="none"/>
                      <w:shd w:val="clear" w:color="auto" w:fill="FFFFFF"/>
                    </w:rPr>
                    <w:t>。本工程属于基础设施建设范畴</w:t>
                  </w:r>
                  <w:r>
                    <w:rPr>
                      <w:rStyle w:val="15"/>
                      <w:rFonts w:hint="eastAsia"/>
                      <w:color w:val="auto"/>
                      <w:highlight w:val="none"/>
                      <w:lang w:eastAsia="zh-CN"/>
                    </w:rPr>
                    <w:t>，</w:t>
                  </w:r>
                  <w:r>
                    <w:rPr>
                      <w:rStyle w:val="15"/>
                      <w:rFonts w:hint="eastAsia"/>
                      <w:color w:val="auto"/>
                      <w:highlight w:val="none"/>
                      <w:lang w:val="en-US" w:eastAsia="zh-CN"/>
                    </w:rPr>
                    <w:t>本区域不具备连片开发条件。</w:t>
                  </w:r>
                </w:p>
              </w:tc>
              <w:tc>
                <w:tcPr>
                  <w:tcW w:w="334" w:type="pct"/>
                  <w:tcBorders>
                    <w:tl2br w:val="nil"/>
                    <w:tr2bl w:val="nil"/>
                  </w:tcBorders>
                  <w:vAlign w:val="center"/>
                </w:tcPr>
                <w:p w14:paraId="5C56E153">
                  <w:pPr>
                    <w:ind w:left="-50" w:right="-50"/>
                    <w:jc w:val="center"/>
                    <w:rPr>
                      <w:color w:val="auto"/>
                      <w:highlight w:val="none"/>
                      <w:shd w:val="clear" w:color="auto" w:fill="FFFFFF"/>
                    </w:rPr>
                  </w:pPr>
                  <w:r>
                    <w:rPr>
                      <w:color w:val="auto"/>
                      <w:highlight w:val="none"/>
                      <w:shd w:val="clear" w:color="auto" w:fill="FFFFFF"/>
                    </w:rPr>
                    <w:t>符合</w:t>
                  </w:r>
                </w:p>
              </w:tc>
            </w:tr>
            <w:tr w14:paraId="4CC0DEF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256" w:type="pct"/>
                  <w:tcBorders>
                    <w:tl2br w:val="nil"/>
                    <w:tr2bl w:val="nil"/>
                  </w:tcBorders>
                  <w:vAlign w:val="center"/>
                </w:tcPr>
                <w:p w14:paraId="37FC365E">
                  <w:pPr>
                    <w:jc w:val="center"/>
                    <w:rPr>
                      <w:color w:val="auto"/>
                      <w:highlight w:val="none"/>
                      <w:shd w:val="clear" w:color="auto" w:fill="FFFFFF"/>
                    </w:rPr>
                  </w:pPr>
                  <w:r>
                    <w:rPr>
                      <w:color w:val="auto"/>
                      <w:highlight w:val="none"/>
                      <w:shd w:val="clear" w:color="auto" w:fill="FFFFFF"/>
                    </w:rPr>
                    <w:t>4</w:t>
                  </w:r>
                </w:p>
              </w:tc>
              <w:tc>
                <w:tcPr>
                  <w:tcW w:w="2373" w:type="pct"/>
                  <w:tcBorders>
                    <w:tl2br w:val="nil"/>
                    <w:tr2bl w:val="nil"/>
                  </w:tcBorders>
                  <w:vAlign w:val="center"/>
                </w:tcPr>
                <w:p w14:paraId="61BE7E40">
                  <w:pPr>
                    <w:ind w:left="-105" w:leftChars="-50" w:firstLine="420" w:firstLineChars="200"/>
                    <w:rPr>
                      <w:color w:val="auto"/>
                      <w:highlight w:val="none"/>
                      <w:shd w:val="clear" w:color="auto" w:fill="FFFFFF"/>
                    </w:rPr>
                  </w:pPr>
                  <w:r>
                    <w:rPr>
                      <w:color w:val="auto"/>
                      <w:highlight w:val="none"/>
                      <w:shd w:val="clear" w:color="auto" w:fill="FFFFFF"/>
                    </w:rPr>
                    <w:t>严格落实环保设施“三同时”制度和生态修复措施。可再生能源开发利用项目各项环保设施应与主体工程同时设计、同时施工、同时投入使用，及时落实水土保持方案中生态修复措施，确保可再生能源发展与生态环境保护相协调。</w:t>
                  </w:r>
                </w:p>
              </w:tc>
              <w:tc>
                <w:tcPr>
                  <w:tcW w:w="2035" w:type="pct"/>
                  <w:tcBorders>
                    <w:tl2br w:val="nil"/>
                    <w:tr2bl w:val="nil"/>
                  </w:tcBorders>
                  <w:vAlign w:val="center"/>
                </w:tcPr>
                <w:p w14:paraId="63FE4FBD">
                  <w:pPr>
                    <w:ind w:left="-105" w:leftChars="-50" w:firstLine="420" w:firstLineChars="200"/>
                    <w:rPr>
                      <w:color w:val="auto"/>
                      <w:highlight w:val="none"/>
                      <w:shd w:val="clear" w:color="auto" w:fill="FFFFFF"/>
                    </w:rPr>
                  </w:pPr>
                  <w:r>
                    <w:rPr>
                      <w:color w:val="auto"/>
                      <w:highlight w:val="none"/>
                      <w:shd w:val="clear" w:color="auto" w:fill="FFFFFF"/>
                    </w:rPr>
                    <w:t>本项目施工期严格执行“三同时”制度和生态修复措施；严格执行“六个百分之百”防治措施。</w:t>
                  </w:r>
                </w:p>
              </w:tc>
              <w:tc>
                <w:tcPr>
                  <w:tcW w:w="334" w:type="pct"/>
                  <w:tcBorders>
                    <w:tl2br w:val="nil"/>
                    <w:tr2bl w:val="nil"/>
                  </w:tcBorders>
                  <w:vAlign w:val="center"/>
                </w:tcPr>
                <w:p w14:paraId="2E45F47B">
                  <w:pPr>
                    <w:ind w:left="-50" w:right="-50"/>
                    <w:jc w:val="center"/>
                    <w:rPr>
                      <w:color w:val="auto"/>
                      <w:highlight w:val="none"/>
                      <w:shd w:val="clear" w:color="auto" w:fill="FFFFFF"/>
                    </w:rPr>
                  </w:pPr>
                  <w:r>
                    <w:rPr>
                      <w:color w:val="auto"/>
                      <w:highlight w:val="none"/>
                      <w:shd w:val="clear" w:color="auto" w:fill="FFFFFF"/>
                    </w:rPr>
                    <w:t>符合</w:t>
                  </w:r>
                </w:p>
              </w:tc>
            </w:tr>
          </w:tbl>
          <w:p w14:paraId="1E3659C3">
            <w:pPr>
              <w:autoSpaceDE w:val="0"/>
              <w:autoSpaceDN w:val="0"/>
              <w:adjustRightInd w:val="0"/>
              <w:snapToGrid w:val="0"/>
              <w:spacing w:line="480" w:lineRule="exact"/>
              <w:ind w:firstLine="451" w:firstLineChars="188"/>
              <w:jc w:val="left"/>
              <w:rPr>
                <w:color w:val="auto"/>
                <w:kern w:val="0"/>
                <w:sz w:val="24"/>
                <w:highlight w:val="none"/>
              </w:rPr>
            </w:pPr>
            <w:r>
              <w:rPr>
                <w:rFonts w:hint="eastAsia"/>
                <w:color w:val="auto"/>
                <w:kern w:val="0"/>
                <w:sz w:val="24"/>
                <w:highlight w:val="none"/>
              </w:rPr>
              <w:t>3、本项目与规划环评审查意见的符合性见下表。</w:t>
            </w:r>
          </w:p>
          <w:p w14:paraId="261E51E0">
            <w:pPr>
              <w:autoSpaceDE w:val="0"/>
              <w:autoSpaceDN w:val="0"/>
              <w:adjustRightInd w:val="0"/>
              <w:snapToGrid w:val="0"/>
              <w:spacing w:line="480" w:lineRule="exact"/>
              <w:ind w:firstLine="25" w:firstLineChars="12"/>
              <w:jc w:val="center"/>
              <w:rPr>
                <w:rFonts w:hint="eastAsia" w:ascii="黑体" w:hAnsi="黑体" w:eastAsia="黑体"/>
                <w:color w:val="auto"/>
                <w:kern w:val="0"/>
                <w:szCs w:val="21"/>
                <w:highlight w:val="none"/>
              </w:rPr>
            </w:pPr>
            <w:r>
              <w:rPr>
                <w:rFonts w:hint="eastAsia" w:ascii="黑体" w:hAnsi="黑体" w:eastAsia="黑体"/>
                <w:color w:val="auto"/>
                <w:kern w:val="0"/>
                <w:szCs w:val="21"/>
                <w:highlight w:val="none"/>
              </w:rPr>
              <w:t>表1-2 本项目与规划环评审查意见要求符合性分析</w:t>
            </w:r>
          </w:p>
          <w:tbl>
            <w:tblPr>
              <w:tblStyle w:val="10"/>
              <w:tblW w:w="5000" w:type="pct"/>
              <w:tblInd w:w="-1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426"/>
              <w:gridCol w:w="4445"/>
              <w:gridCol w:w="2460"/>
              <w:gridCol w:w="499"/>
            </w:tblGrid>
            <w:tr w14:paraId="32387F1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256" w:type="pct"/>
                  <w:tcBorders>
                    <w:tl2br w:val="nil"/>
                    <w:tr2bl w:val="nil"/>
                  </w:tcBorders>
                </w:tcPr>
                <w:p w14:paraId="7437D584">
                  <w:pPr>
                    <w:jc w:val="center"/>
                    <w:rPr>
                      <w:color w:val="auto"/>
                      <w:highlight w:val="none"/>
                      <w:shd w:val="clear" w:color="auto" w:fill="FFFFFF"/>
                    </w:rPr>
                  </w:pPr>
                  <w:r>
                    <w:rPr>
                      <w:color w:val="auto"/>
                      <w:highlight w:val="none"/>
                      <w:shd w:val="clear" w:color="auto" w:fill="FFFFFF"/>
                    </w:rPr>
                    <w:t>序号</w:t>
                  </w:r>
                </w:p>
              </w:tc>
              <w:tc>
                <w:tcPr>
                  <w:tcW w:w="2844" w:type="pct"/>
                  <w:tcBorders>
                    <w:tl2br w:val="nil"/>
                    <w:tr2bl w:val="nil"/>
                  </w:tcBorders>
                  <w:vAlign w:val="center"/>
                </w:tcPr>
                <w:p w14:paraId="1D070C4F">
                  <w:pPr>
                    <w:ind w:left="-105" w:leftChars="-50" w:right="-105" w:rightChars="-50"/>
                    <w:jc w:val="center"/>
                    <w:rPr>
                      <w:color w:val="auto"/>
                      <w:highlight w:val="none"/>
                      <w:shd w:val="clear" w:color="auto" w:fill="FFFFFF"/>
                    </w:rPr>
                  </w:pPr>
                  <w:r>
                    <w:rPr>
                      <w:color w:val="auto"/>
                      <w:highlight w:val="none"/>
                      <w:shd w:val="clear" w:color="auto" w:fill="FFFFFF"/>
                    </w:rPr>
                    <w:t>规划环评审查意见</w:t>
                  </w:r>
                </w:p>
              </w:tc>
              <w:tc>
                <w:tcPr>
                  <w:tcW w:w="1576" w:type="pct"/>
                  <w:tcBorders>
                    <w:tl2br w:val="nil"/>
                    <w:tr2bl w:val="nil"/>
                  </w:tcBorders>
                  <w:vAlign w:val="center"/>
                </w:tcPr>
                <w:p w14:paraId="32700725">
                  <w:pPr>
                    <w:ind w:left="-105" w:leftChars="-50" w:right="-105" w:rightChars="-50"/>
                    <w:jc w:val="center"/>
                    <w:rPr>
                      <w:color w:val="auto"/>
                      <w:highlight w:val="none"/>
                      <w:shd w:val="clear" w:color="auto" w:fill="FFFFFF"/>
                    </w:rPr>
                  </w:pPr>
                  <w:r>
                    <w:rPr>
                      <w:color w:val="auto"/>
                      <w:highlight w:val="none"/>
                      <w:shd w:val="clear" w:color="auto" w:fill="FFFFFF"/>
                    </w:rPr>
                    <w:t>符合性分析</w:t>
                  </w:r>
                </w:p>
              </w:tc>
              <w:tc>
                <w:tcPr>
                  <w:tcW w:w="324" w:type="pct"/>
                  <w:tcBorders>
                    <w:tl2br w:val="nil"/>
                    <w:tr2bl w:val="nil"/>
                  </w:tcBorders>
                  <w:vAlign w:val="center"/>
                </w:tcPr>
                <w:p w14:paraId="0ECEE51F">
                  <w:pPr>
                    <w:ind w:left="-105" w:leftChars="-50" w:right="-105" w:rightChars="-50"/>
                    <w:jc w:val="center"/>
                    <w:rPr>
                      <w:color w:val="auto"/>
                      <w:highlight w:val="none"/>
                      <w:shd w:val="clear" w:color="auto" w:fill="FFFFFF"/>
                    </w:rPr>
                  </w:pPr>
                  <w:r>
                    <w:rPr>
                      <w:color w:val="auto"/>
                      <w:highlight w:val="none"/>
                      <w:shd w:val="clear" w:color="auto" w:fill="FFFFFF"/>
                    </w:rPr>
                    <w:t>相符性</w:t>
                  </w:r>
                </w:p>
              </w:tc>
            </w:tr>
            <w:tr w14:paraId="5397284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256" w:type="pct"/>
                  <w:tcBorders>
                    <w:tl2br w:val="nil"/>
                    <w:tr2bl w:val="nil"/>
                  </w:tcBorders>
                  <w:vAlign w:val="center"/>
                </w:tcPr>
                <w:p w14:paraId="3C70BBB2">
                  <w:pPr>
                    <w:jc w:val="center"/>
                    <w:rPr>
                      <w:color w:val="auto"/>
                      <w:highlight w:val="none"/>
                      <w:shd w:val="clear" w:color="auto" w:fill="FFFFFF"/>
                    </w:rPr>
                  </w:pPr>
                  <w:r>
                    <w:rPr>
                      <w:color w:val="auto"/>
                      <w:highlight w:val="none"/>
                      <w:shd w:val="clear" w:color="auto" w:fill="FFFFFF"/>
                    </w:rPr>
                    <w:t>1</w:t>
                  </w:r>
                </w:p>
              </w:tc>
              <w:tc>
                <w:tcPr>
                  <w:tcW w:w="2844" w:type="pct"/>
                  <w:tcBorders>
                    <w:tl2br w:val="nil"/>
                    <w:tr2bl w:val="nil"/>
                  </w:tcBorders>
                  <w:vAlign w:val="center"/>
                </w:tcPr>
                <w:p w14:paraId="4BDD7ECB">
                  <w:pPr>
                    <w:ind w:left="-105" w:leftChars="-50" w:firstLine="420" w:firstLineChars="200"/>
                    <w:rPr>
                      <w:color w:val="auto"/>
                      <w:highlight w:val="none"/>
                      <w:shd w:val="clear" w:color="auto" w:fill="FFFFFF"/>
                    </w:rPr>
                  </w:pPr>
                  <w:r>
                    <w:rPr>
                      <w:color w:val="auto"/>
                      <w:highlight w:val="none"/>
                      <w:shd w:val="clear" w:color="auto" w:fill="FFFFFF"/>
                    </w:rPr>
                    <w:t>坚持生态优先推动高质量发展。贯彻国家碳达峰</w:t>
                  </w:r>
                  <w:r>
                    <w:rPr>
                      <w:rFonts w:hint="eastAsia" w:ascii="Times New Roman" w:eastAsia="宋体"/>
                      <w:color w:val="auto"/>
                      <w:highlight w:val="none"/>
                      <w:shd w:val="clear" w:color="auto" w:fill="FFFFFF"/>
                      <w:lang w:val="en-US" w:eastAsia="zh-CN"/>
                    </w:rPr>
                    <w:t>碳</w:t>
                  </w:r>
                  <w:r>
                    <w:rPr>
                      <w:color w:val="auto"/>
                      <w:highlight w:val="none"/>
                      <w:shd w:val="clear" w:color="auto" w:fill="FFFFFF"/>
                    </w:rPr>
                    <w:t>中和战略，落实我省全方位推进高质量发展、打造全国能源革命排头兵和能源革命综合改革试点要求，坚持集中式与分布式并举，全面推进风电、光电规模化开发和高质量发展；因地制宜发展生物质发电、水力发电（抽水蓄能），合理开发利用地热能，提升可再生能源比例，推进我省能源结构调整，加快我省能源体系绿色低碳转型。</w:t>
                  </w:r>
                </w:p>
              </w:tc>
              <w:tc>
                <w:tcPr>
                  <w:tcW w:w="1576" w:type="pct"/>
                  <w:tcBorders>
                    <w:tl2br w:val="nil"/>
                    <w:tr2bl w:val="nil"/>
                  </w:tcBorders>
                  <w:vAlign w:val="center"/>
                </w:tcPr>
                <w:p w14:paraId="0B561781">
                  <w:pPr>
                    <w:ind w:left="-105" w:leftChars="-50" w:firstLine="420" w:firstLineChars="200"/>
                    <w:rPr>
                      <w:color w:val="auto"/>
                      <w:highlight w:val="none"/>
                      <w:shd w:val="clear" w:color="auto" w:fill="FFFFFF"/>
                    </w:rPr>
                  </w:pPr>
                  <w:r>
                    <w:rPr>
                      <w:color w:val="auto"/>
                      <w:highlight w:val="none"/>
                      <w:shd w:val="clear" w:color="auto" w:fill="FFFFFF"/>
                    </w:rPr>
                    <w:t>本项目为风力发电项目，属于可再生能源，项目的建设有利于推进区域风能资源有序开发，提高可再生能源消费占比。有利于促进项目所在区域高质量发展。</w:t>
                  </w:r>
                </w:p>
              </w:tc>
              <w:tc>
                <w:tcPr>
                  <w:tcW w:w="324" w:type="pct"/>
                  <w:tcBorders>
                    <w:tl2br w:val="nil"/>
                    <w:tr2bl w:val="nil"/>
                  </w:tcBorders>
                  <w:vAlign w:val="center"/>
                </w:tcPr>
                <w:p w14:paraId="00D0569B">
                  <w:pPr>
                    <w:jc w:val="center"/>
                    <w:rPr>
                      <w:color w:val="auto"/>
                      <w:highlight w:val="none"/>
                      <w:shd w:val="clear" w:color="auto" w:fill="FFFFFF"/>
                    </w:rPr>
                  </w:pPr>
                  <w:r>
                    <w:rPr>
                      <w:color w:val="auto"/>
                      <w:highlight w:val="none"/>
                      <w:shd w:val="clear" w:color="auto" w:fill="FFFFFF"/>
                    </w:rPr>
                    <w:t>符合</w:t>
                  </w:r>
                </w:p>
              </w:tc>
            </w:tr>
            <w:tr w14:paraId="4E77C2B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256" w:type="pct"/>
                  <w:tcBorders>
                    <w:tl2br w:val="nil"/>
                    <w:tr2bl w:val="nil"/>
                  </w:tcBorders>
                  <w:vAlign w:val="center"/>
                </w:tcPr>
                <w:p w14:paraId="68F075C5">
                  <w:pPr>
                    <w:jc w:val="center"/>
                    <w:rPr>
                      <w:color w:val="auto"/>
                      <w:highlight w:val="none"/>
                      <w:shd w:val="clear" w:color="auto" w:fill="FFFFFF"/>
                    </w:rPr>
                  </w:pPr>
                  <w:r>
                    <w:rPr>
                      <w:color w:val="auto"/>
                      <w:highlight w:val="none"/>
                      <w:shd w:val="clear" w:color="auto" w:fill="FFFFFF"/>
                    </w:rPr>
                    <w:t>2</w:t>
                  </w:r>
                </w:p>
              </w:tc>
              <w:tc>
                <w:tcPr>
                  <w:tcW w:w="2844" w:type="pct"/>
                  <w:tcBorders>
                    <w:tl2br w:val="nil"/>
                    <w:tr2bl w:val="nil"/>
                  </w:tcBorders>
                  <w:vAlign w:val="center"/>
                </w:tcPr>
                <w:p w14:paraId="6BE2ED4A">
                  <w:pPr>
                    <w:ind w:left="-105" w:leftChars="-50" w:firstLine="420" w:firstLineChars="200"/>
                    <w:rPr>
                      <w:color w:val="auto"/>
                      <w:highlight w:val="none"/>
                      <w:shd w:val="clear" w:color="auto" w:fill="FFFFFF"/>
                    </w:rPr>
                  </w:pPr>
                  <w:r>
                    <w:rPr>
                      <w:color w:val="auto"/>
                      <w:highlight w:val="none"/>
                      <w:shd w:val="clear" w:color="auto" w:fill="FFFFFF"/>
                    </w:rPr>
                    <w:t>落实生态环境分区管控。依法禁止或限制可再生能源在优先保护单元布局，着重加强太行山、吕梁山等生态屏障带，以及沿黄水土流失生态脆弱区域的保护，守住自然生态安全边界。支持在石漠化、荒漠化土地，采煤沉陷区等矿区以及盐碱地、荒山荒坡等区域，开展风电、光伏基地建设。水力发电（抽水蓄能）应避让自然保护区、珍稀物种集中分布地等生态敏感区域。在地下水饮用水水源地有其保护区范围内，禁止以保护的目标含水层作为热泵水源；在地下水禁限采区、深层（承压）含水层以及地热水无法有效回灌的地区或对应含水层，禁止以地下水作为热泵水源。</w:t>
                  </w:r>
                </w:p>
              </w:tc>
              <w:tc>
                <w:tcPr>
                  <w:tcW w:w="1576" w:type="pct"/>
                  <w:tcBorders>
                    <w:tl2br w:val="nil"/>
                    <w:tr2bl w:val="nil"/>
                  </w:tcBorders>
                  <w:vAlign w:val="center"/>
                </w:tcPr>
                <w:p w14:paraId="7BB63135">
                  <w:pPr>
                    <w:ind w:left="-105" w:leftChars="-50" w:firstLine="420" w:firstLineChars="200"/>
                    <w:rPr>
                      <w:rFonts w:hint="eastAsia" w:eastAsia="宋体"/>
                      <w:color w:val="auto"/>
                      <w:highlight w:val="none"/>
                      <w:shd w:val="clear" w:color="auto" w:fill="FFFFFF"/>
                      <w:lang w:eastAsia="zh-CN"/>
                    </w:rPr>
                  </w:pPr>
                  <w:r>
                    <w:rPr>
                      <w:color w:val="auto"/>
                      <w:highlight w:val="none"/>
                      <w:shd w:val="clear" w:color="auto" w:fill="FFFFFF"/>
                    </w:rPr>
                    <w:t>本项目位于</w:t>
                  </w:r>
                  <w:r>
                    <w:rPr>
                      <w:rFonts w:hint="eastAsia" w:eastAsia="宋体"/>
                      <w:color w:val="auto"/>
                      <w:highlight w:val="none"/>
                      <w:shd w:val="clear" w:color="auto" w:fill="FFFFFF"/>
                      <w:lang w:eastAsia="zh-CN"/>
                    </w:rPr>
                    <w:t>长治市</w:t>
                  </w:r>
                  <w:r>
                    <w:rPr>
                      <w:color w:val="auto"/>
                      <w:highlight w:val="none"/>
                      <w:shd w:val="clear" w:color="auto" w:fill="FFFFFF"/>
                    </w:rPr>
                    <w:t>生态环境管控单元中一般管控单元</w:t>
                  </w:r>
                  <w:r>
                    <w:rPr>
                      <w:rFonts w:hint="eastAsia" w:ascii="Times New Roman" w:eastAsia="宋体"/>
                      <w:color w:val="auto"/>
                      <w:highlight w:val="none"/>
                      <w:shd w:val="clear" w:color="auto" w:fill="FFFFFF"/>
                      <w:lang w:val="en-US" w:eastAsia="zh-CN"/>
                    </w:rPr>
                    <w:t>和优先保护单元</w:t>
                  </w:r>
                  <w:r>
                    <w:rPr>
                      <w:rFonts w:hint="eastAsia"/>
                      <w:color w:val="auto"/>
                      <w:highlight w:val="none"/>
                      <w:shd w:val="clear" w:color="auto" w:fill="FFFFFF"/>
                    </w:rPr>
                    <w:t>，</w:t>
                  </w:r>
                  <w:r>
                    <w:rPr>
                      <w:rFonts w:hint="eastAsia" w:ascii="Times New Roman" w:eastAsia="宋体"/>
                      <w:color w:val="auto"/>
                      <w:highlight w:val="none"/>
                      <w:shd w:val="clear" w:color="auto" w:fill="FFFFFF"/>
                      <w:lang w:val="en-US" w:eastAsia="zh-CN"/>
                    </w:rPr>
                    <w:t>本项目为风电项目，不属于优先单元依法禁止或限制大规模、高强度的工业和城镇开发建设项目。</w:t>
                  </w:r>
                </w:p>
                <w:p w14:paraId="178AABE0">
                  <w:pPr>
                    <w:ind w:left="-105" w:leftChars="-50" w:firstLine="420" w:firstLineChars="200"/>
                    <w:rPr>
                      <w:color w:val="auto"/>
                      <w:highlight w:val="none"/>
                      <w:shd w:val="clear" w:color="auto" w:fill="FFFFFF"/>
                    </w:rPr>
                  </w:pPr>
                  <w:r>
                    <w:rPr>
                      <w:color w:val="auto"/>
                      <w:highlight w:val="none"/>
                      <w:shd w:val="clear" w:color="auto" w:fill="FFFFFF"/>
                    </w:rPr>
                    <w:t>风机</w:t>
                  </w:r>
                  <w:r>
                    <w:rPr>
                      <w:rFonts w:hint="eastAsia"/>
                      <w:color w:val="auto"/>
                      <w:highlight w:val="none"/>
                      <w:shd w:val="clear" w:color="auto" w:fill="FFFFFF"/>
                    </w:rPr>
                    <w:t>占地类型为</w:t>
                  </w:r>
                  <w:r>
                    <w:rPr>
                      <w:rFonts w:hint="eastAsia" w:eastAsia="宋体"/>
                      <w:color w:val="auto"/>
                      <w:highlight w:val="none"/>
                      <w:shd w:val="clear" w:color="auto" w:fill="FFFFFF"/>
                      <w:lang w:eastAsia="zh-CN"/>
                    </w:rPr>
                    <w:t>其他草地、灌木林地、乔木林地、其他林地</w:t>
                  </w:r>
                  <w:r>
                    <w:rPr>
                      <w:color w:val="auto"/>
                      <w:highlight w:val="none"/>
                      <w:shd w:val="clear" w:color="auto" w:fill="FFFFFF"/>
                    </w:rPr>
                    <w:t>，</w:t>
                  </w:r>
                  <w:r>
                    <w:rPr>
                      <w:rFonts w:hint="eastAsia"/>
                      <w:color w:val="auto"/>
                      <w:highlight w:val="none"/>
                      <w:shd w:val="clear" w:color="auto" w:fill="FFFFFF"/>
                    </w:rPr>
                    <w:t>占地</w:t>
                  </w:r>
                  <w:r>
                    <w:rPr>
                      <w:color w:val="auto"/>
                      <w:highlight w:val="none"/>
                      <w:shd w:val="clear" w:color="auto" w:fill="FFFFFF"/>
                    </w:rPr>
                    <w:t>范围内不涉及自然保护区、珍稀物种集中分布地等生态敏感区域。</w:t>
                  </w:r>
                </w:p>
              </w:tc>
              <w:tc>
                <w:tcPr>
                  <w:tcW w:w="324" w:type="pct"/>
                  <w:tcBorders>
                    <w:tl2br w:val="nil"/>
                    <w:tr2bl w:val="nil"/>
                  </w:tcBorders>
                  <w:vAlign w:val="center"/>
                </w:tcPr>
                <w:p w14:paraId="3DF08053">
                  <w:pPr>
                    <w:jc w:val="center"/>
                    <w:rPr>
                      <w:color w:val="auto"/>
                      <w:highlight w:val="none"/>
                      <w:shd w:val="clear" w:color="auto" w:fill="FFFFFF"/>
                    </w:rPr>
                  </w:pPr>
                  <w:r>
                    <w:rPr>
                      <w:color w:val="auto"/>
                      <w:highlight w:val="none"/>
                      <w:shd w:val="clear" w:color="auto" w:fill="FFFFFF"/>
                    </w:rPr>
                    <w:t>符合</w:t>
                  </w:r>
                </w:p>
              </w:tc>
            </w:tr>
            <w:tr w14:paraId="547D233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256" w:type="pct"/>
                  <w:tcBorders>
                    <w:tl2br w:val="nil"/>
                    <w:tr2bl w:val="nil"/>
                  </w:tcBorders>
                  <w:vAlign w:val="center"/>
                </w:tcPr>
                <w:p w14:paraId="6376137D">
                  <w:pPr>
                    <w:jc w:val="center"/>
                    <w:rPr>
                      <w:color w:val="auto"/>
                      <w:highlight w:val="none"/>
                      <w:shd w:val="clear" w:color="auto" w:fill="FFFFFF"/>
                    </w:rPr>
                  </w:pPr>
                  <w:r>
                    <w:rPr>
                      <w:color w:val="auto"/>
                      <w:highlight w:val="none"/>
                      <w:shd w:val="clear" w:color="auto" w:fill="FFFFFF"/>
                    </w:rPr>
                    <w:t>3</w:t>
                  </w:r>
                </w:p>
              </w:tc>
              <w:tc>
                <w:tcPr>
                  <w:tcW w:w="2844" w:type="pct"/>
                  <w:tcBorders>
                    <w:tl2br w:val="nil"/>
                    <w:tr2bl w:val="nil"/>
                  </w:tcBorders>
                  <w:vAlign w:val="center"/>
                </w:tcPr>
                <w:p w14:paraId="43D68BE9">
                  <w:pPr>
                    <w:ind w:left="-105" w:leftChars="-50" w:firstLine="420" w:firstLineChars="200"/>
                    <w:rPr>
                      <w:color w:val="auto"/>
                      <w:highlight w:val="none"/>
                      <w:shd w:val="clear" w:color="auto" w:fill="FFFFFF"/>
                    </w:rPr>
                  </w:pPr>
                  <w:r>
                    <w:rPr>
                      <w:color w:val="auto"/>
                      <w:highlight w:val="none"/>
                      <w:shd w:val="clear" w:color="auto" w:fill="FFFFFF"/>
                    </w:rPr>
                    <w:t>强化生态环境保护措施。风电场建设应当节约集约使用林地，风电基础、施工和检修道路、升压站、集电线路等，禁止占用天然乔木林地、年降雨量400毫米以下区域的有林地、一级国家级公益林地和二级国家级公益林中的有林地。</w:t>
                  </w:r>
                </w:p>
              </w:tc>
              <w:tc>
                <w:tcPr>
                  <w:tcW w:w="1576" w:type="pct"/>
                  <w:tcBorders>
                    <w:tl2br w:val="nil"/>
                    <w:tr2bl w:val="nil"/>
                  </w:tcBorders>
                  <w:vAlign w:val="center"/>
                </w:tcPr>
                <w:p w14:paraId="18C239E5">
                  <w:pPr>
                    <w:ind w:left="-105" w:leftChars="-50" w:firstLine="420" w:firstLineChars="200"/>
                    <w:rPr>
                      <w:color w:val="auto"/>
                      <w:highlight w:val="none"/>
                      <w:shd w:val="clear" w:color="auto" w:fill="FFFFFF"/>
                    </w:rPr>
                  </w:pPr>
                  <w:r>
                    <w:rPr>
                      <w:rFonts w:hint="eastAsia"/>
                      <w:color w:val="auto"/>
                      <w:highlight w:val="none"/>
                      <w:lang w:val="en-US" w:eastAsia="zh-CN"/>
                    </w:rPr>
                    <w:t>根据林调报告，</w:t>
                  </w:r>
                  <w:r>
                    <w:rPr>
                      <w:color w:val="auto"/>
                      <w:highlight w:val="none"/>
                      <w:shd w:val="clear" w:color="auto" w:fill="FFFFFF"/>
                    </w:rPr>
                    <w:t>本项目</w:t>
                  </w:r>
                  <w:r>
                    <w:rPr>
                      <w:rFonts w:hint="eastAsia"/>
                      <w:color w:val="auto"/>
                      <w:highlight w:val="none"/>
                      <w:shd w:val="clear" w:color="auto" w:fill="FFFFFF"/>
                    </w:rPr>
                    <w:t>风机</w:t>
                  </w:r>
                  <w:r>
                    <w:rPr>
                      <w:color w:val="auto"/>
                      <w:highlight w:val="none"/>
                      <w:shd w:val="clear" w:color="auto" w:fill="FFFFFF"/>
                    </w:rPr>
                    <w:t>基础</w:t>
                  </w:r>
                  <w:r>
                    <w:rPr>
                      <w:rFonts w:hint="eastAsia" w:ascii="Times New Roman" w:eastAsia="宋体"/>
                      <w:color w:val="auto"/>
                      <w:highlight w:val="none"/>
                      <w:shd w:val="clear" w:color="auto" w:fill="FFFFFF"/>
                      <w:lang w:val="en-US" w:eastAsia="zh-CN"/>
                    </w:rPr>
                    <w:t>和</w:t>
                  </w:r>
                  <w:r>
                    <w:rPr>
                      <w:color w:val="auto"/>
                      <w:highlight w:val="none"/>
                      <w:shd w:val="clear" w:color="auto" w:fill="FFFFFF"/>
                    </w:rPr>
                    <w:t>集电线路不占用</w:t>
                  </w:r>
                  <w:r>
                    <w:rPr>
                      <w:rFonts w:hint="eastAsia"/>
                      <w:color w:val="auto"/>
                      <w:highlight w:val="none"/>
                      <w:shd w:val="clear" w:color="auto" w:fill="FFFFFF"/>
                    </w:rPr>
                    <w:t>天</w:t>
                  </w:r>
                  <w:r>
                    <w:rPr>
                      <w:color w:val="auto"/>
                      <w:highlight w:val="none"/>
                      <w:shd w:val="clear" w:color="auto" w:fill="FFFFFF"/>
                    </w:rPr>
                    <w:t>然乔木林地、年降雨量400毫米以下区域的有林地、一级国家级公益林地和二级国家级公益林中的有林地。</w:t>
                  </w:r>
                </w:p>
              </w:tc>
              <w:tc>
                <w:tcPr>
                  <w:tcW w:w="324" w:type="pct"/>
                  <w:tcBorders>
                    <w:tl2br w:val="nil"/>
                    <w:tr2bl w:val="nil"/>
                  </w:tcBorders>
                  <w:vAlign w:val="center"/>
                </w:tcPr>
                <w:p w14:paraId="6E33CE45">
                  <w:pPr>
                    <w:jc w:val="center"/>
                    <w:rPr>
                      <w:color w:val="auto"/>
                      <w:highlight w:val="none"/>
                      <w:shd w:val="clear" w:color="auto" w:fill="FFFFFF"/>
                    </w:rPr>
                  </w:pPr>
                  <w:r>
                    <w:rPr>
                      <w:color w:val="auto"/>
                      <w:highlight w:val="none"/>
                      <w:shd w:val="clear" w:color="auto" w:fill="FFFFFF"/>
                    </w:rPr>
                    <w:t>符合</w:t>
                  </w:r>
                </w:p>
              </w:tc>
            </w:tr>
            <w:tr w14:paraId="6D803BA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256" w:type="pct"/>
                  <w:tcBorders>
                    <w:tl2br w:val="nil"/>
                    <w:tr2bl w:val="nil"/>
                  </w:tcBorders>
                  <w:vAlign w:val="center"/>
                </w:tcPr>
                <w:p w14:paraId="5FBD5324">
                  <w:pPr>
                    <w:jc w:val="center"/>
                    <w:rPr>
                      <w:color w:val="auto"/>
                      <w:highlight w:val="none"/>
                      <w:shd w:val="clear" w:color="auto" w:fill="FFFFFF"/>
                    </w:rPr>
                  </w:pPr>
                  <w:r>
                    <w:rPr>
                      <w:color w:val="auto"/>
                      <w:highlight w:val="none"/>
                      <w:shd w:val="clear" w:color="auto" w:fill="FFFFFF"/>
                    </w:rPr>
                    <w:t>4</w:t>
                  </w:r>
                </w:p>
              </w:tc>
              <w:tc>
                <w:tcPr>
                  <w:tcW w:w="2844" w:type="pct"/>
                  <w:tcBorders>
                    <w:tl2br w:val="nil"/>
                    <w:tr2bl w:val="nil"/>
                  </w:tcBorders>
                  <w:vAlign w:val="center"/>
                </w:tcPr>
                <w:p w14:paraId="7D2B7B91">
                  <w:pPr>
                    <w:ind w:left="-105" w:leftChars="-50" w:firstLine="420" w:firstLineChars="200"/>
                    <w:rPr>
                      <w:color w:val="auto"/>
                      <w:highlight w:val="none"/>
                      <w:shd w:val="clear" w:color="auto" w:fill="FFFFFF"/>
                    </w:rPr>
                  </w:pPr>
                  <w:r>
                    <w:rPr>
                      <w:color w:val="auto"/>
                      <w:highlight w:val="none"/>
                      <w:shd w:val="clear" w:color="auto" w:fill="FFFFFF"/>
                    </w:rPr>
                    <w:t>落实水环境保护要求。重视流域水环境保护，水电项目应落实生态流量，水温恢复、鱼类保护、陆生珍稀动植物保护等措施，防止流域生物多样性减少和重要生态功能的损失。加强岩溶泉域和地下水环境保护，地热能开发优先采用“取热不取水”（封闭无干扰取热）方式，确需取水努力做到“取热不耗水”做好尾水的处置；回灌地下水的，坚持“同层同质回灌”，不得恶化地下水水质；排入地表水体的，应当达到水环境功能区保护要求。</w:t>
                  </w:r>
                </w:p>
              </w:tc>
              <w:tc>
                <w:tcPr>
                  <w:tcW w:w="1576" w:type="pct"/>
                  <w:tcBorders>
                    <w:tl2br w:val="nil"/>
                    <w:tr2bl w:val="nil"/>
                  </w:tcBorders>
                  <w:vAlign w:val="center"/>
                </w:tcPr>
                <w:p w14:paraId="083074AC">
                  <w:pPr>
                    <w:ind w:left="-105" w:leftChars="-50" w:firstLine="420" w:firstLineChars="200"/>
                    <w:rPr>
                      <w:color w:val="auto"/>
                      <w:highlight w:val="none"/>
                      <w:shd w:val="clear" w:color="auto" w:fill="FFFFFF"/>
                    </w:rPr>
                  </w:pPr>
                  <w:r>
                    <w:rPr>
                      <w:color w:val="auto"/>
                      <w:highlight w:val="none"/>
                      <w:shd w:val="clear" w:color="auto" w:fill="FFFFFF"/>
                    </w:rPr>
                    <w:t>本项目属于陆上风力发电项目</w:t>
                  </w:r>
                  <w:r>
                    <w:rPr>
                      <w:rFonts w:hint="eastAsia"/>
                      <w:color w:val="auto"/>
                      <w:highlight w:val="none"/>
                      <w:shd w:val="clear" w:color="auto" w:fill="FFFFFF"/>
                    </w:rPr>
                    <w:t>，无废水外排</w:t>
                  </w:r>
                  <w:r>
                    <w:rPr>
                      <w:color w:val="auto"/>
                      <w:highlight w:val="none"/>
                      <w:shd w:val="clear" w:color="auto" w:fill="FFFFFF"/>
                    </w:rPr>
                    <w:t>。项目</w:t>
                  </w:r>
                  <w:r>
                    <w:rPr>
                      <w:rFonts w:hint="eastAsia"/>
                      <w:color w:val="auto"/>
                      <w:highlight w:val="none"/>
                      <w:shd w:val="clear" w:color="auto" w:fill="FFFFFF"/>
                    </w:rPr>
                    <w:t>选址</w:t>
                  </w:r>
                  <w:r>
                    <w:rPr>
                      <w:color w:val="auto"/>
                      <w:highlight w:val="none"/>
                      <w:shd w:val="clear" w:color="auto" w:fill="FFFFFF"/>
                    </w:rPr>
                    <w:t>不涉及饮用水水源保护区、泉域</w:t>
                  </w:r>
                  <w:r>
                    <w:rPr>
                      <w:rFonts w:hint="eastAsia"/>
                      <w:color w:val="auto"/>
                      <w:highlight w:val="none"/>
                      <w:shd w:val="clear" w:color="auto" w:fill="FFFFFF"/>
                    </w:rPr>
                    <w:t>重点保护区</w:t>
                  </w:r>
                  <w:r>
                    <w:rPr>
                      <w:color w:val="auto"/>
                      <w:highlight w:val="none"/>
                      <w:shd w:val="clear" w:color="auto" w:fill="FFFFFF"/>
                    </w:rPr>
                    <w:t>、汾河干支流河道管理范围。</w:t>
                  </w:r>
                </w:p>
              </w:tc>
              <w:tc>
                <w:tcPr>
                  <w:tcW w:w="324" w:type="pct"/>
                  <w:tcBorders>
                    <w:tl2br w:val="nil"/>
                    <w:tr2bl w:val="nil"/>
                  </w:tcBorders>
                  <w:vAlign w:val="center"/>
                </w:tcPr>
                <w:p w14:paraId="45F89BDD">
                  <w:pPr>
                    <w:jc w:val="center"/>
                    <w:rPr>
                      <w:color w:val="auto"/>
                      <w:highlight w:val="none"/>
                      <w:shd w:val="clear" w:color="auto" w:fill="FFFFFF"/>
                    </w:rPr>
                  </w:pPr>
                  <w:r>
                    <w:rPr>
                      <w:color w:val="auto"/>
                      <w:highlight w:val="none"/>
                      <w:shd w:val="clear" w:color="auto" w:fill="FFFFFF"/>
                    </w:rPr>
                    <w:t>符合</w:t>
                  </w:r>
                </w:p>
              </w:tc>
            </w:tr>
            <w:tr w14:paraId="158E0B0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256" w:type="pct"/>
                  <w:tcBorders>
                    <w:tl2br w:val="nil"/>
                    <w:tr2bl w:val="nil"/>
                  </w:tcBorders>
                  <w:vAlign w:val="center"/>
                </w:tcPr>
                <w:p w14:paraId="6B7D9C15">
                  <w:pPr>
                    <w:jc w:val="center"/>
                    <w:rPr>
                      <w:color w:val="auto"/>
                      <w:highlight w:val="none"/>
                      <w:shd w:val="clear" w:color="auto" w:fill="FFFFFF"/>
                    </w:rPr>
                  </w:pPr>
                  <w:r>
                    <w:rPr>
                      <w:color w:val="auto"/>
                      <w:highlight w:val="none"/>
                      <w:shd w:val="clear" w:color="auto" w:fill="FFFFFF"/>
                    </w:rPr>
                    <w:t>5</w:t>
                  </w:r>
                </w:p>
              </w:tc>
              <w:tc>
                <w:tcPr>
                  <w:tcW w:w="2844" w:type="pct"/>
                  <w:tcBorders>
                    <w:tl2br w:val="nil"/>
                    <w:tr2bl w:val="nil"/>
                  </w:tcBorders>
                  <w:vAlign w:val="center"/>
                </w:tcPr>
                <w:p w14:paraId="4CD9BBCD">
                  <w:pPr>
                    <w:ind w:left="-105" w:leftChars="-50" w:firstLine="420" w:firstLineChars="200"/>
                    <w:rPr>
                      <w:color w:val="auto"/>
                      <w:highlight w:val="none"/>
                      <w:shd w:val="clear" w:color="auto" w:fill="FFFFFF"/>
                    </w:rPr>
                  </w:pPr>
                  <w:r>
                    <w:rPr>
                      <w:color w:val="auto"/>
                      <w:highlight w:val="none"/>
                      <w:shd w:val="clear" w:color="auto" w:fill="FFFFFF"/>
                    </w:rPr>
                    <w:t>强化固废综合利用和安全处置。按照“减量化、资源化、无害化”的原则，加强可再生能源开发中的固体废物管理。推动退役动力电池、光伏组件、风电机组叶片等废物循环利用。提高生物质锅炉灰渣等一般工业固废的综合利用效率。确保废变压器油、废铅酸电池等危险废物妥善安全处置。落实生活垃圾分类收集、分类处置措施。</w:t>
                  </w:r>
                </w:p>
              </w:tc>
              <w:tc>
                <w:tcPr>
                  <w:tcW w:w="1576" w:type="pct"/>
                  <w:tcBorders>
                    <w:tl2br w:val="nil"/>
                    <w:tr2bl w:val="nil"/>
                  </w:tcBorders>
                  <w:vAlign w:val="center"/>
                </w:tcPr>
                <w:p w14:paraId="647BF431">
                  <w:pPr>
                    <w:ind w:left="-105" w:leftChars="-50" w:firstLine="420" w:firstLineChars="200"/>
                    <w:rPr>
                      <w:color w:val="auto"/>
                      <w:highlight w:val="none"/>
                      <w:shd w:val="clear" w:color="auto" w:fill="FFFFFF"/>
                    </w:rPr>
                  </w:pPr>
                  <w:r>
                    <w:rPr>
                      <w:rFonts w:hint="eastAsia"/>
                      <w:color w:val="auto"/>
                      <w:highlight w:val="none"/>
                      <w:lang w:val="en-US" w:eastAsia="zh-CN"/>
                    </w:rPr>
                    <w:t>本项目风电场区产生的风机检修废油和废油桶依托</w:t>
                  </w:r>
                  <w:r>
                    <w:rPr>
                      <w:rFonts w:hint="eastAsia"/>
                      <w:color w:val="auto"/>
                      <w:highlight w:val="none"/>
                    </w:rPr>
                    <w:t>树掌风电场升压站</w:t>
                  </w:r>
                  <w:r>
                    <w:rPr>
                      <w:rFonts w:hint="eastAsia"/>
                      <w:color w:val="auto"/>
                      <w:highlight w:val="none"/>
                      <w:lang w:val="en-US" w:eastAsia="zh-CN"/>
                    </w:rPr>
                    <w:t>升压站已建成的危废贮存点，</w:t>
                  </w:r>
                  <w:r>
                    <w:rPr>
                      <w:color w:val="auto"/>
                      <w:highlight w:val="none"/>
                    </w:rPr>
                    <w:t>风机检修废油、废</w:t>
                  </w:r>
                  <w:r>
                    <w:rPr>
                      <w:rFonts w:hint="eastAsia" w:ascii="Times New Roman" w:eastAsia="宋体"/>
                      <w:color w:val="auto"/>
                      <w:highlight w:val="none"/>
                      <w:lang w:val="en-US" w:eastAsia="zh-CN"/>
                    </w:rPr>
                    <w:t>油桶</w:t>
                  </w:r>
                  <w:r>
                    <w:rPr>
                      <w:color w:val="auto"/>
                      <w:highlight w:val="none"/>
                    </w:rPr>
                    <w:t>暂存于危险</w:t>
                  </w:r>
                  <w:r>
                    <w:rPr>
                      <w:rFonts w:hint="eastAsia" w:eastAsia="宋体"/>
                      <w:color w:val="auto"/>
                      <w:highlight w:val="none"/>
                      <w:lang w:eastAsia="zh-CN"/>
                    </w:rPr>
                    <w:t>贮存点</w:t>
                  </w:r>
                  <w:r>
                    <w:rPr>
                      <w:color w:val="auto"/>
                      <w:highlight w:val="none"/>
                    </w:rPr>
                    <w:t>，定期</w:t>
                  </w:r>
                  <w:r>
                    <w:rPr>
                      <w:rFonts w:hint="eastAsia"/>
                      <w:color w:val="auto"/>
                      <w:highlight w:val="none"/>
                      <w:lang w:eastAsia="zh-CN"/>
                    </w:rPr>
                    <w:t>交由</w:t>
                  </w:r>
                  <w:r>
                    <w:rPr>
                      <w:rFonts w:hint="eastAsia"/>
                      <w:color w:val="auto"/>
                      <w:highlight w:val="none"/>
                      <w:lang w:val="en-US" w:eastAsia="zh-CN"/>
                    </w:rPr>
                    <w:t>有</w:t>
                  </w:r>
                  <w:r>
                    <w:rPr>
                      <w:color w:val="auto"/>
                      <w:highlight w:val="none"/>
                    </w:rPr>
                    <w:t>资质单位处置</w:t>
                  </w:r>
                  <w:r>
                    <w:rPr>
                      <w:rFonts w:hint="eastAsia"/>
                      <w:color w:val="auto"/>
                      <w:highlight w:val="none"/>
                    </w:rPr>
                    <w:t>。</w:t>
                  </w:r>
                  <w:r>
                    <w:rPr>
                      <w:color w:val="auto"/>
                      <w:highlight w:val="none"/>
                      <w:shd w:val="clear" w:color="auto" w:fill="FFFFFF"/>
                    </w:rPr>
                    <w:t>生活垃圾经垃圾桶集中收集后，定期交由环卫部门清运处置。</w:t>
                  </w:r>
                </w:p>
              </w:tc>
              <w:tc>
                <w:tcPr>
                  <w:tcW w:w="324" w:type="pct"/>
                  <w:tcBorders>
                    <w:tl2br w:val="nil"/>
                    <w:tr2bl w:val="nil"/>
                  </w:tcBorders>
                  <w:vAlign w:val="center"/>
                </w:tcPr>
                <w:p w14:paraId="0ED4D222">
                  <w:pPr>
                    <w:jc w:val="center"/>
                    <w:rPr>
                      <w:color w:val="auto"/>
                      <w:highlight w:val="none"/>
                      <w:shd w:val="clear" w:color="auto" w:fill="FFFFFF"/>
                    </w:rPr>
                  </w:pPr>
                  <w:r>
                    <w:rPr>
                      <w:color w:val="auto"/>
                      <w:highlight w:val="none"/>
                      <w:shd w:val="clear" w:color="auto" w:fill="FFFFFF"/>
                    </w:rPr>
                    <w:t>符合</w:t>
                  </w:r>
                </w:p>
              </w:tc>
            </w:tr>
            <w:tr w14:paraId="1A8037B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256" w:type="pct"/>
                  <w:tcBorders>
                    <w:tl2br w:val="nil"/>
                    <w:tr2bl w:val="nil"/>
                  </w:tcBorders>
                  <w:vAlign w:val="center"/>
                </w:tcPr>
                <w:p w14:paraId="054A4A50">
                  <w:pPr>
                    <w:jc w:val="center"/>
                    <w:rPr>
                      <w:color w:val="auto"/>
                      <w:highlight w:val="none"/>
                      <w:shd w:val="clear" w:color="auto" w:fill="FFFFFF"/>
                    </w:rPr>
                  </w:pPr>
                  <w:r>
                    <w:rPr>
                      <w:color w:val="auto"/>
                      <w:highlight w:val="none"/>
                      <w:shd w:val="clear" w:color="auto" w:fill="FFFFFF"/>
                    </w:rPr>
                    <w:t>6</w:t>
                  </w:r>
                </w:p>
              </w:tc>
              <w:tc>
                <w:tcPr>
                  <w:tcW w:w="2844" w:type="pct"/>
                  <w:tcBorders>
                    <w:tl2br w:val="nil"/>
                    <w:tr2bl w:val="nil"/>
                  </w:tcBorders>
                  <w:vAlign w:val="center"/>
                </w:tcPr>
                <w:p w14:paraId="0E11A413">
                  <w:pPr>
                    <w:ind w:left="-105" w:leftChars="-50" w:firstLine="420" w:firstLineChars="200"/>
                    <w:rPr>
                      <w:color w:val="auto"/>
                      <w:highlight w:val="none"/>
                      <w:shd w:val="clear" w:color="auto" w:fill="FFFFFF"/>
                    </w:rPr>
                  </w:pPr>
                  <w:r>
                    <w:rPr>
                      <w:color w:val="auto"/>
                      <w:highlight w:val="none"/>
                      <w:shd w:val="clear" w:color="auto" w:fill="FFFFFF"/>
                    </w:rPr>
                    <w:t>推动大气环境质量持续改善。城市建成区、环境质量不能达到要求且无有效削减措施的或者可能造成敏感区环境保护目标不能达到相应标准要求的区域，不得新建农林生物质直接燃烧和气化发电项目。生物质发电在布局建设中应满足区域环境质量改善目标管理要求，落实有效的区域削减方案，确保区域环境质量持续改善。</w:t>
                  </w:r>
                </w:p>
              </w:tc>
              <w:tc>
                <w:tcPr>
                  <w:tcW w:w="1576" w:type="pct"/>
                  <w:tcBorders>
                    <w:tl2br w:val="nil"/>
                    <w:tr2bl w:val="nil"/>
                  </w:tcBorders>
                  <w:vAlign w:val="center"/>
                </w:tcPr>
                <w:p w14:paraId="55D02B8B">
                  <w:pPr>
                    <w:ind w:left="-105" w:leftChars="-50" w:firstLine="420" w:firstLineChars="200"/>
                    <w:rPr>
                      <w:color w:val="auto"/>
                      <w:highlight w:val="none"/>
                      <w:shd w:val="clear" w:color="auto" w:fill="FFFFFF"/>
                    </w:rPr>
                  </w:pPr>
                  <w:r>
                    <w:rPr>
                      <w:color w:val="auto"/>
                      <w:highlight w:val="none"/>
                      <w:shd w:val="clear" w:color="auto" w:fill="FFFFFF"/>
                    </w:rPr>
                    <w:t>本项目运营期无大气污染物产生，不属于农林生物质直接燃烧和气化发电项目。</w:t>
                  </w:r>
                </w:p>
              </w:tc>
              <w:tc>
                <w:tcPr>
                  <w:tcW w:w="324" w:type="pct"/>
                  <w:tcBorders>
                    <w:tl2br w:val="nil"/>
                    <w:tr2bl w:val="nil"/>
                  </w:tcBorders>
                  <w:vAlign w:val="center"/>
                </w:tcPr>
                <w:p w14:paraId="2E2347A4">
                  <w:pPr>
                    <w:jc w:val="center"/>
                    <w:rPr>
                      <w:color w:val="auto"/>
                      <w:highlight w:val="none"/>
                      <w:shd w:val="clear" w:color="auto" w:fill="FFFFFF"/>
                    </w:rPr>
                  </w:pPr>
                  <w:r>
                    <w:rPr>
                      <w:color w:val="auto"/>
                      <w:highlight w:val="none"/>
                      <w:shd w:val="clear" w:color="auto" w:fill="FFFFFF"/>
                    </w:rPr>
                    <w:t>符合</w:t>
                  </w:r>
                </w:p>
              </w:tc>
            </w:tr>
          </w:tbl>
          <w:p w14:paraId="43E753B5">
            <w:pPr>
              <w:autoSpaceDE w:val="0"/>
              <w:autoSpaceDN w:val="0"/>
              <w:adjustRightInd w:val="0"/>
              <w:snapToGrid w:val="0"/>
              <w:spacing w:line="480" w:lineRule="exact"/>
              <w:jc w:val="left"/>
              <w:rPr>
                <w:color w:val="auto"/>
                <w:kern w:val="0"/>
                <w:sz w:val="24"/>
                <w:highlight w:val="none"/>
              </w:rPr>
            </w:pPr>
          </w:p>
        </w:tc>
      </w:tr>
      <w:tr w14:paraId="6005C8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839" w:hRule="atLeast"/>
        </w:trPr>
        <w:tc>
          <w:tcPr>
            <w:tcW w:w="851" w:type="dxa"/>
            <w:tcMar>
              <w:top w:w="16" w:type="dxa"/>
              <w:left w:w="16" w:type="dxa"/>
              <w:right w:w="16" w:type="dxa"/>
            </w:tcMar>
            <w:vAlign w:val="center"/>
          </w:tcPr>
          <w:p w14:paraId="6D441BDD">
            <w:pPr>
              <w:autoSpaceDE w:val="0"/>
              <w:autoSpaceDN w:val="0"/>
              <w:adjustRightInd w:val="0"/>
              <w:snapToGrid w:val="0"/>
              <w:spacing w:line="480" w:lineRule="exact"/>
              <w:jc w:val="center"/>
              <w:rPr>
                <w:color w:val="auto"/>
                <w:kern w:val="0"/>
                <w:sz w:val="24"/>
                <w:highlight w:val="none"/>
              </w:rPr>
            </w:pPr>
            <w:bookmarkStart w:id="1" w:name="_Hlk56690880"/>
            <w:r>
              <w:rPr>
                <w:color w:val="auto"/>
                <w:kern w:val="0"/>
                <w:sz w:val="24"/>
                <w:highlight w:val="none"/>
              </w:rPr>
              <w:t>其他符合性分析</w:t>
            </w:r>
            <w:bookmarkEnd w:id="1"/>
          </w:p>
        </w:tc>
        <w:tc>
          <w:tcPr>
            <w:tcW w:w="8034" w:type="dxa"/>
            <w:gridSpan w:val="5"/>
            <w:tcMar>
              <w:top w:w="16" w:type="dxa"/>
              <w:left w:w="16" w:type="dxa"/>
              <w:right w:w="16" w:type="dxa"/>
            </w:tcMar>
            <w:vAlign w:val="center"/>
          </w:tcPr>
          <w:p w14:paraId="68EDD8BB">
            <w:pPr>
              <w:autoSpaceDE w:val="0"/>
              <w:autoSpaceDN w:val="0"/>
              <w:adjustRightInd w:val="0"/>
              <w:snapToGrid w:val="0"/>
              <w:spacing w:line="480" w:lineRule="exact"/>
              <w:ind w:firstLine="480" w:firstLineChars="200"/>
              <w:rPr>
                <w:color w:val="auto"/>
                <w:kern w:val="0"/>
                <w:sz w:val="24"/>
                <w:highlight w:val="none"/>
              </w:rPr>
            </w:pPr>
            <w:r>
              <w:rPr>
                <w:rFonts w:hint="eastAsia"/>
                <w:color w:val="auto"/>
                <w:kern w:val="0"/>
                <w:sz w:val="24"/>
                <w:highlight w:val="none"/>
              </w:rPr>
              <w:t>1、</w:t>
            </w:r>
            <w:r>
              <w:rPr>
                <w:color w:val="auto"/>
                <w:kern w:val="0"/>
                <w:sz w:val="24"/>
                <w:highlight w:val="none"/>
              </w:rPr>
              <w:t>“三线一单”符合性</w:t>
            </w:r>
          </w:p>
          <w:p w14:paraId="07A06A0F">
            <w:pPr>
              <w:tabs>
                <w:tab w:val="left" w:pos="0"/>
              </w:tabs>
              <w:adjustRightInd w:val="0"/>
              <w:snapToGrid w:val="0"/>
              <w:spacing w:line="480" w:lineRule="exact"/>
              <w:ind w:firstLine="480" w:firstLineChars="200"/>
              <w:rPr>
                <w:color w:val="auto"/>
                <w:kern w:val="0"/>
                <w:sz w:val="24"/>
                <w:highlight w:val="none"/>
              </w:rPr>
            </w:pPr>
            <w:r>
              <w:rPr>
                <w:rFonts w:hint="eastAsia"/>
                <w:color w:val="auto"/>
                <w:kern w:val="0"/>
                <w:sz w:val="24"/>
                <w:highlight w:val="none"/>
              </w:rPr>
              <w:t>（1）生态保护红线</w:t>
            </w:r>
          </w:p>
          <w:p w14:paraId="03766780">
            <w:pPr>
              <w:tabs>
                <w:tab w:val="left" w:pos="0"/>
              </w:tabs>
              <w:adjustRightInd w:val="0"/>
              <w:snapToGrid w:val="0"/>
              <w:spacing w:line="480" w:lineRule="exact"/>
              <w:ind w:firstLine="480" w:firstLineChars="200"/>
              <w:rPr>
                <w:rFonts w:hint="eastAsia" w:ascii="Times New Roman" w:eastAsia="宋体"/>
                <w:color w:val="auto"/>
                <w:kern w:val="0"/>
                <w:sz w:val="24"/>
                <w:highlight w:val="none"/>
                <w:lang w:val="en-US" w:eastAsia="zh-CN"/>
              </w:rPr>
            </w:pPr>
            <w:r>
              <w:rPr>
                <w:rFonts w:hint="eastAsia" w:ascii="Times New Roman" w:eastAsia="宋体"/>
                <w:color w:val="auto"/>
                <w:kern w:val="0"/>
                <w:sz w:val="24"/>
                <w:highlight w:val="none"/>
                <w:lang w:val="en-US" w:eastAsia="zh-CN"/>
              </w:rPr>
              <w:t>生态保护红线是指依法在重点生态功能区、生态环境敏感区和脆弱区等区域划定的严格管控边界，是国家和区域生态安全的底线。生态保护红线所包围的区域为生态保护红线区，通常包括具有重要水源涵养、生物多样性维护、水土保持、防风固沙等功能的生态功能重要区域，水土流失、土地沙化、石漠化等生态敏感脆弱区域，禁止开发区，及其他经评估目前虽然不能确定但具有潜在重要生态价值的区域。对于维护生态安全格局、保障生态系统功能、支撑经济社会可持续发展具有重要作用。</w:t>
            </w:r>
          </w:p>
          <w:p w14:paraId="5CD6FF0B">
            <w:pPr>
              <w:tabs>
                <w:tab w:val="left" w:pos="0"/>
              </w:tabs>
              <w:adjustRightInd w:val="0"/>
              <w:snapToGrid w:val="0"/>
              <w:spacing w:line="480" w:lineRule="exact"/>
              <w:ind w:firstLine="480" w:firstLineChars="200"/>
              <w:rPr>
                <w:rFonts w:hint="eastAsia" w:ascii="Times New Roman" w:eastAsia="宋体"/>
                <w:color w:val="auto"/>
                <w:kern w:val="0"/>
                <w:sz w:val="24"/>
                <w:highlight w:val="none"/>
                <w:lang w:val="en-US" w:eastAsia="zh-CN"/>
              </w:rPr>
            </w:pPr>
            <w:r>
              <w:rPr>
                <w:rFonts w:hint="eastAsia" w:ascii="Times New Roman" w:eastAsia="宋体"/>
                <w:color w:val="auto"/>
                <w:kern w:val="0"/>
                <w:sz w:val="24"/>
                <w:highlight w:val="none"/>
                <w:lang w:val="en-US" w:eastAsia="zh-CN"/>
              </w:rPr>
              <w:t>根据《长治市2023年度生态环境分区管控动态更新成果公告》</w:t>
            </w:r>
            <w:r>
              <w:rPr>
                <w:rFonts w:hint="eastAsia"/>
                <w:color w:val="auto"/>
                <w:kern w:val="0"/>
                <w:sz w:val="24"/>
                <w:highlight w:val="none"/>
              </w:rPr>
              <w:t>可知</w:t>
            </w:r>
            <w:r>
              <w:rPr>
                <w:rFonts w:hint="eastAsia" w:eastAsia="宋体"/>
                <w:color w:val="auto"/>
                <w:kern w:val="0"/>
                <w:sz w:val="24"/>
                <w:highlight w:val="none"/>
                <w:lang w:eastAsia="zh-CN"/>
              </w:rPr>
              <w:t>，</w:t>
            </w:r>
            <w:r>
              <w:rPr>
                <w:rFonts w:hint="eastAsia"/>
                <w:color w:val="auto"/>
                <w:kern w:val="0"/>
                <w:sz w:val="24"/>
                <w:highlight w:val="none"/>
              </w:rPr>
              <w:t>本项目</w:t>
            </w:r>
            <w:r>
              <w:rPr>
                <w:rFonts w:hint="eastAsia" w:ascii="Times New Roman" w:eastAsia="宋体"/>
                <w:color w:val="auto"/>
                <w:kern w:val="0"/>
                <w:sz w:val="24"/>
                <w:highlight w:val="none"/>
                <w:lang w:val="en-US" w:eastAsia="zh-CN"/>
              </w:rPr>
              <w:t>风机</w:t>
            </w:r>
            <w:r>
              <w:rPr>
                <w:rFonts w:hint="eastAsia"/>
                <w:color w:val="auto"/>
                <w:kern w:val="0"/>
                <w:sz w:val="24"/>
                <w:highlight w:val="none"/>
              </w:rPr>
              <w:t>位于</w:t>
            </w:r>
            <w:r>
              <w:rPr>
                <w:rFonts w:hint="eastAsia" w:ascii="Times New Roman" w:eastAsia="宋体"/>
                <w:color w:val="auto"/>
                <w:kern w:val="0"/>
                <w:sz w:val="24"/>
                <w:highlight w:val="none"/>
                <w:lang w:val="en-US" w:eastAsia="zh-CN"/>
              </w:rPr>
              <w:t>壶关县太行山水源涵养与水土保持一般生态空间优先保护单元和长治市壶关县一般管控单元</w:t>
            </w:r>
            <w:r>
              <w:rPr>
                <w:rFonts w:hint="eastAsia" w:eastAsia="宋体"/>
                <w:color w:val="auto"/>
                <w:kern w:val="0"/>
                <w:sz w:val="24"/>
                <w:highlight w:val="none"/>
                <w:lang w:eastAsia="zh-CN"/>
              </w:rPr>
              <w:t>，</w:t>
            </w:r>
            <w:r>
              <w:rPr>
                <w:rFonts w:hint="eastAsia" w:ascii="Times New Roman" w:eastAsia="宋体"/>
                <w:color w:val="auto"/>
                <w:kern w:val="0"/>
                <w:sz w:val="24"/>
                <w:highlight w:val="none"/>
                <w:lang w:val="en-US" w:eastAsia="zh-CN"/>
              </w:rPr>
              <w:t>因此本项目风机不占用生态保护红线；6台风机吊装平台共涉及占用生态保护红线1.5703hm</w:t>
            </w:r>
            <w:r>
              <w:rPr>
                <w:rFonts w:hint="eastAsia" w:ascii="Times New Roman" w:eastAsia="宋体"/>
                <w:color w:val="auto"/>
                <w:kern w:val="0"/>
                <w:sz w:val="24"/>
                <w:highlight w:val="none"/>
                <w:vertAlign w:val="superscript"/>
                <w:lang w:val="en-US" w:eastAsia="zh-CN"/>
              </w:rPr>
              <w:t>2</w:t>
            </w:r>
            <w:r>
              <w:rPr>
                <w:rFonts w:hint="eastAsia" w:ascii="Times New Roman" w:eastAsia="宋体"/>
                <w:color w:val="auto"/>
                <w:kern w:val="0"/>
                <w:sz w:val="24"/>
                <w:highlight w:val="none"/>
                <w:lang w:val="en-US" w:eastAsia="zh-CN"/>
              </w:rPr>
              <w:t>，占用生态保护红线属太行山水源涵养生态保护红线，生态功能为水源涵养，红线类型属于一般控制区，不涉及自然保护地，目前《中节能壶关县乡村振兴50MW风电项目临时用地必须且不可避让生态保护红线和减缓生态环境影响措施论证报告》已出具专家论证意见；2025年12月16日，壶关县自然资源局出具了《关于中节能壶关县乡村振兴50MW风电项目符合生态保护红线内允许开展的有限人为活动有关规定的认定意见》，本项目集电线路位于生态保护红线内路径长约13.2436km，涉及生态红线内的塔基占地面积0.4000hm</w:t>
            </w:r>
            <w:r>
              <w:rPr>
                <w:rFonts w:hint="eastAsia" w:ascii="Times New Roman" w:eastAsia="宋体"/>
                <w:color w:val="auto"/>
                <w:kern w:val="0"/>
                <w:sz w:val="24"/>
                <w:highlight w:val="none"/>
                <w:vertAlign w:val="superscript"/>
                <w:lang w:val="en-US" w:eastAsia="zh-CN"/>
              </w:rPr>
              <w:t>2</w:t>
            </w:r>
            <w:r>
              <w:rPr>
                <w:rFonts w:hint="eastAsia" w:ascii="Times New Roman" w:eastAsia="宋体"/>
                <w:color w:val="auto"/>
                <w:kern w:val="0"/>
                <w:sz w:val="24"/>
                <w:highlight w:val="none"/>
                <w:lang w:val="en-US" w:eastAsia="zh-CN"/>
              </w:rPr>
              <w:t>，涉及的生态保护红线为太行山水源涵养生态保护红线一般控制区；</w:t>
            </w:r>
            <w:r>
              <w:rPr>
                <w:rFonts w:hint="eastAsia"/>
                <w:color w:val="auto"/>
                <w:kern w:val="0"/>
                <w:sz w:val="24"/>
                <w:highlight w:val="none"/>
                <w:lang w:val="en-US" w:eastAsia="zh-CN"/>
              </w:rPr>
              <w:t>本项目道路全部利用森林防火通道</w:t>
            </w:r>
            <w:r>
              <w:rPr>
                <w:rFonts w:hint="eastAsia" w:ascii="Times New Roman" w:eastAsia="宋体"/>
                <w:color w:val="auto"/>
                <w:kern w:val="0"/>
                <w:sz w:val="24"/>
                <w:highlight w:val="none"/>
                <w:lang w:val="en-US" w:eastAsia="zh-CN"/>
              </w:rPr>
              <w:t>，无新建道路。</w:t>
            </w:r>
          </w:p>
          <w:p w14:paraId="1AA65D7C">
            <w:pPr>
              <w:tabs>
                <w:tab w:val="left" w:pos="0"/>
              </w:tabs>
              <w:adjustRightInd w:val="0"/>
              <w:snapToGrid w:val="0"/>
              <w:spacing w:line="480" w:lineRule="exact"/>
              <w:ind w:firstLine="480" w:firstLineChars="200"/>
              <w:rPr>
                <w:rFonts w:hint="eastAsia" w:ascii="Times New Roman" w:eastAsia="宋体"/>
                <w:color w:val="auto"/>
                <w:kern w:val="0"/>
                <w:sz w:val="24"/>
                <w:highlight w:val="none"/>
                <w:lang w:val="en-US" w:eastAsia="zh-CN"/>
              </w:rPr>
            </w:pPr>
            <w:r>
              <w:rPr>
                <w:rFonts w:hint="eastAsia"/>
                <w:color w:val="auto"/>
                <w:kern w:val="0"/>
                <w:sz w:val="24"/>
                <w:highlight w:val="none"/>
                <w:lang w:val="en-US" w:eastAsia="zh-CN"/>
              </w:rPr>
              <w:t>本</w:t>
            </w:r>
            <w:r>
              <w:rPr>
                <w:rFonts w:hint="eastAsia" w:ascii="Times New Roman" w:eastAsia="宋体"/>
                <w:color w:val="auto"/>
                <w:kern w:val="0"/>
                <w:sz w:val="24"/>
                <w:highlight w:val="none"/>
                <w:lang w:val="en-US" w:eastAsia="zh-CN"/>
              </w:rPr>
              <w:t>项目符合《自然资源部、生态环境部、国家林业和草原局关于加强生态保护红线管理的通知(试行)》(自然资发(2022〕142号)和《山西省自然资源厅山西省生态环境厅、山西省林业和草原局关于印发&lt;关于加强生态保护红线监管的实施意见(试行)&gt;的通知》(晋自然资发〔2023</w:t>
            </w:r>
            <w:r>
              <w:rPr>
                <w:rFonts w:hint="eastAsia"/>
                <w:color w:val="auto"/>
                <w:kern w:val="0"/>
                <w:sz w:val="24"/>
                <w:highlight w:val="none"/>
              </w:rPr>
              <w:t>〕</w:t>
            </w:r>
            <w:r>
              <w:rPr>
                <w:rFonts w:hint="eastAsia" w:ascii="Times New Roman" w:eastAsia="宋体"/>
                <w:color w:val="auto"/>
                <w:kern w:val="0"/>
                <w:sz w:val="24"/>
                <w:highlight w:val="none"/>
                <w:lang w:val="en-US" w:eastAsia="zh-CN"/>
              </w:rPr>
              <w:t>38号)的有关文件要求，为必须且无法避让、符合县级以上国土空间规划的线性基础设施，属于文件规定的对生态功能不造成破坏的允许进行的有限人为活动</w:t>
            </w:r>
            <w:r>
              <w:rPr>
                <w:rFonts w:hint="eastAsia"/>
                <w:color w:val="auto"/>
                <w:kern w:val="0"/>
                <w:sz w:val="24"/>
                <w:highlight w:val="none"/>
                <w:lang w:val="en-US" w:eastAsia="zh-CN"/>
              </w:rPr>
              <w:t>。</w:t>
            </w:r>
          </w:p>
          <w:p w14:paraId="7540964E">
            <w:pPr>
              <w:tabs>
                <w:tab w:val="left" w:pos="0"/>
              </w:tabs>
              <w:adjustRightInd w:val="0"/>
              <w:snapToGrid w:val="0"/>
              <w:spacing w:line="480" w:lineRule="exact"/>
              <w:ind w:firstLine="480" w:firstLineChars="200"/>
              <w:rPr>
                <w:rFonts w:hint="eastAsia"/>
                <w:color w:val="auto"/>
                <w:kern w:val="0"/>
                <w:sz w:val="24"/>
                <w:highlight w:val="none"/>
              </w:rPr>
            </w:pPr>
            <w:r>
              <w:rPr>
                <w:rFonts w:hint="eastAsia"/>
                <w:color w:val="auto"/>
                <w:kern w:val="0"/>
                <w:sz w:val="24"/>
                <w:highlight w:val="none"/>
              </w:rPr>
              <w:t>（2）分区管控单元</w:t>
            </w:r>
          </w:p>
          <w:p w14:paraId="2BAA1645">
            <w:pPr>
              <w:tabs>
                <w:tab w:val="left" w:pos="0"/>
              </w:tabs>
              <w:adjustRightInd w:val="0"/>
              <w:snapToGrid w:val="0"/>
              <w:spacing w:line="440" w:lineRule="exact"/>
              <w:ind w:firstLine="480" w:firstLineChars="200"/>
              <w:rPr>
                <w:rFonts w:hint="default" w:ascii="Times New Roman" w:hAnsi="Times New Roman" w:eastAsia="宋体" w:cs="Times New Roman"/>
                <w:color w:val="auto"/>
                <w:kern w:val="0"/>
                <w:sz w:val="24"/>
                <w:highlight w:val="none"/>
              </w:rPr>
            </w:pPr>
            <w:r>
              <w:rPr>
                <w:rFonts w:hint="eastAsia" w:ascii="Times New Roman" w:eastAsia="宋体"/>
                <w:color w:val="auto"/>
                <w:kern w:val="0"/>
                <w:sz w:val="24"/>
                <w:highlight w:val="none"/>
                <w:lang w:val="en-US" w:eastAsia="zh-CN"/>
              </w:rPr>
              <w:t>根据</w:t>
            </w:r>
            <w:r>
              <w:rPr>
                <w:rFonts w:hint="eastAsia"/>
                <w:color w:val="auto"/>
                <w:kern w:val="0"/>
                <w:sz w:val="24"/>
                <w:highlight w:val="none"/>
              </w:rPr>
              <w:t>《长治市人民政府关于印发长治市“三线一单”生态环境分区管控实施方案的通知》（长政发〔2021〕21号）</w:t>
            </w:r>
            <w:r>
              <w:rPr>
                <w:rFonts w:hint="eastAsia" w:ascii="Times New Roman" w:eastAsia="宋体"/>
                <w:color w:val="auto"/>
                <w:kern w:val="0"/>
                <w:sz w:val="24"/>
                <w:highlight w:val="none"/>
                <w:lang w:val="en-US" w:eastAsia="zh-CN"/>
              </w:rPr>
              <w:t>和《长治市2023年度生态环境分区管控动态更新成果公告》</w:t>
            </w:r>
            <w:r>
              <w:rPr>
                <w:rFonts w:hint="eastAsia"/>
                <w:color w:val="auto"/>
                <w:kern w:val="0"/>
                <w:sz w:val="24"/>
                <w:highlight w:val="none"/>
              </w:rPr>
              <w:t>可知</w:t>
            </w:r>
            <w:r>
              <w:rPr>
                <w:rFonts w:hint="eastAsia" w:eastAsia="宋体"/>
                <w:color w:val="auto"/>
                <w:kern w:val="0"/>
                <w:sz w:val="24"/>
                <w:highlight w:val="none"/>
                <w:lang w:eastAsia="zh-CN"/>
              </w:rPr>
              <w:t>，</w:t>
            </w:r>
            <w:r>
              <w:rPr>
                <w:rFonts w:hint="eastAsia" w:eastAsia="宋体"/>
                <w:color w:val="auto"/>
                <w:kern w:val="0"/>
                <w:sz w:val="24"/>
                <w:highlight w:val="none"/>
              </w:rPr>
              <w:t>本项目位于</w:t>
            </w:r>
            <w:r>
              <w:rPr>
                <w:rFonts w:hint="eastAsia" w:ascii="Times New Roman" w:eastAsia="宋体"/>
                <w:color w:val="auto"/>
                <w:kern w:val="0"/>
                <w:sz w:val="24"/>
                <w:highlight w:val="none"/>
                <w:lang w:val="en-US" w:eastAsia="zh-CN"/>
              </w:rPr>
              <w:t>优先保护</w:t>
            </w:r>
            <w:r>
              <w:rPr>
                <w:rFonts w:hint="eastAsia" w:eastAsia="宋体"/>
                <w:color w:val="auto"/>
                <w:kern w:val="0"/>
                <w:sz w:val="24"/>
                <w:highlight w:val="none"/>
              </w:rPr>
              <w:t>单元和一般管控单元</w:t>
            </w:r>
            <w:r>
              <w:rPr>
                <w:rFonts w:hint="eastAsia" w:eastAsia="宋体"/>
                <w:color w:val="auto"/>
                <w:highlight w:val="none"/>
                <w:lang w:eastAsia="zh-CN"/>
              </w:rPr>
              <w:t>，</w:t>
            </w:r>
            <w:r>
              <w:rPr>
                <w:rFonts w:hint="eastAsia" w:ascii="Times New Roman" w:eastAsia="宋体"/>
                <w:color w:val="auto"/>
                <w:sz w:val="24"/>
                <w:szCs w:val="24"/>
                <w:highlight w:val="none"/>
                <w:lang w:val="en-US" w:eastAsia="zh-CN"/>
              </w:rPr>
              <w:t>其中优先保护单元分为壶关县太行山水源涵养与水土保持一般生态空间优先保护单元和壶关县太行山水源涵养生态保护红线优先保护单元；一般管控单元为长治市壶关县一般管控单元。</w:t>
            </w:r>
            <w:r>
              <w:rPr>
                <w:rFonts w:hint="eastAsia" w:ascii="Times New Roman" w:hAnsi="Times New Roman" w:eastAsia="宋体" w:cs="Times New Roman"/>
                <w:color w:val="auto"/>
                <w:kern w:val="0"/>
                <w:sz w:val="24"/>
                <w:highlight w:val="none"/>
                <w:lang w:val="en-US" w:eastAsia="zh-CN"/>
              </w:rPr>
              <w:t>项目与《</w:t>
            </w:r>
            <w:r>
              <w:rPr>
                <w:rFonts w:hint="eastAsia" w:ascii="Times New Roman" w:hAnsi="Times New Roman" w:cs="Times New Roman"/>
                <w:color w:val="auto"/>
                <w:kern w:val="0"/>
                <w:sz w:val="24"/>
                <w:highlight w:val="none"/>
                <w:lang w:val="en-US" w:eastAsia="zh-CN"/>
              </w:rPr>
              <w:t>长治市</w:t>
            </w:r>
            <w:r>
              <w:rPr>
                <w:rFonts w:hint="eastAsia" w:ascii="Times New Roman" w:hAnsi="Times New Roman" w:eastAsia="宋体" w:cs="Times New Roman"/>
                <w:color w:val="auto"/>
                <w:kern w:val="0"/>
                <w:sz w:val="24"/>
                <w:highlight w:val="none"/>
                <w:lang w:val="en-US" w:eastAsia="zh-CN"/>
              </w:rPr>
              <w:t>2023年度生态环境分区管控动态更新成果公告》</w:t>
            </w:r>
            <w:r>
              <w:rPr>
                <w:rFonts w:hint="eastAsia" w:ascii="Times New Roman" w:hAnsi="Times New Roman" w:eastAsia="宋体" w:cs="Times New Roman"/>
                <w:color w:val="auto"/>
                <w:kern w:val="0"/>
                <w:sz w:val="24"/>
                <w:highlight w:val="none"/>
              </w:rPr>
              <w:t>生态环境管控单元符合性分析</w:t>
            </w:r>
            <w:r>
              <w:rPr>
                <w:rFonts w:hint="eastAsia" w:ascii="Times New Roman" w:hAnsi="Times New Roman" w:eastAsia="宋体" w:cs="Times New Roman"/>
                <w:color w:val="auto"/>
                <w:kern w:val="0"/>
                <w:sz w:val="24"/>
                <w:highlight w:val="none"/>
                <w:lang w:val="en-US" w:eastAsia="zh-CN"/>
              </w:rPr>
              <w:t>见表1</w:t>
            </w:r>
            <w:r>
              <w:rPr>
                <w:rFonts w:hint="eastAsia" w:ascii="Times New Roman" w:hAnsi="Times New Roman" w:cs="Times New Roman"/>
                <w:color w:val="auto"/>
                <w:kern w:val="0"/>
                <w:sz w:val="24"/>
                <w:highlight w:val="none"/>
                <w:lang w:val="en-US" w:eastAsia="zh-CN"/>
              </w:rPr>
              <w:t>-3</w:t>
            </w:r>
            <w:r>
              <w:rPr>
                <w:rFonts w:hint="eastAsia" w:ascii="Times New Roman" w:hAnsi="Times New Roman" w:eastAsia="宋体" w:cs="Times New Roman"/>
                <w:color w:val="auto"/>
                <w:kern w:val="0"/>
                <w:sz w:val="24"/>
                <w:highlight w:val="none"/>
              </w:rPr>
              <w:t>。</w:t>
            </w:r>
          </w:p>
          <w:p w14:paraId="21C8BAA2">
            <w:pPr>
              <w:keepNext w:val="0"/>
              <w:keepLines w:val="0"/>
              <w:widowControl w:val="0"/>
              <w:suppressLineNumbers w:val="0"/>
              <w:snapToGrid w:val="0"/>
              <w:spacing w:before="0" w:beforeAutospacing="0" w:after="0" w:afterAutospacing="0" w:line="240" w:lineRule="auto"/>
              <w:ind w:left="0" w:right="0" w:firstLine="0" w:firstLineChars="0"/>
              <w:jc w:val="center"/>
              <w:rPr>
                <w:rFonts w:hint="eastAsia" w:ascii="黑体" w:hAnsi="黑体" w:eastAsia="黑体" w:cs="黑体"/>
                <w:bCs/>
                <w:color w:val="auto"/>
                <w:kern w:val="2"/>
                <w:sz w:val="21"/>
                <w:szCs w:val="21"/>
                <w:highlight w:val="none"/>
                <w:lang w:val="en-US" w:eastAsia="zh-CN" w:bidi="ar-SA"/>
              </w:rPr>
            </w:pPr>
            <w:r>
              <w:rPr>
                <w:rFonts w:hint="eastAsia" w:ascii="黑体" w:hAnsi="黑体" w:eastAsia="黑体" w:cs="黑体"/>
                <w:bCs/>
                <w:color w:val="auto"/>
                <w:kern w:val="2"/>
                <w:sz w:val="21"/>
                <w:szCs w:val="21"/>
                <w:highlight w:val="none"/>
                <w:lang w:val="en-US" w:eastAsia="zh-CN" w:bidi="ar-SA"/>
              </w:rPr>
              <w:t>表1-3  生态环境管控单元符合性分析</w:t>
            </w:r>
          </w:p>
          <w:tbl>
            <w:tblPr>
              <w:tblStyle w:val="10"/>
              <w:tblW w:w="5000" w:type="pct"/>
              <w:tblInd w:w="-1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682"/>
              <w:gridCol w:w="1883"/>
              <w:gridCol w:w="2546"/>
              <w:gridCol w:w="2638"/>
              <w:gridCol w:w="223"/>
            </w:tblGrid>
            <w:tr w14:paraId="344885F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818" w:hRule="atLeast"/>
              </w:trPr>
              <w:tc>
                <w:tcPr>
                  <w:tcW w:w="615" w:type="pct"/>
                  <w:tcBorders>
                    <w:tl2br w:val="nil"/>
                    <w:tr2bl w:val="nil"/>
                  </w:tcBorders>
                  <w:noWrap w:val="0"/>
                  <w:vAlign w:val="center"/>
                </w:tcPr>
                <w:p w14:paraId="664F5F85">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shd w:val="clear" w:color="auto" w:fill="FFFFFF"/>
                    </w:rPr>
                  </w:pPr>
                  <w:r>
                    <w:rPr>
                      <w:rFonts w:hint="default" w:ascii="Times New Roman" w:hAnsi="Times New Roman" w:eastAsia="宋体" w:cs="Times New Roman"/>
                      <w:color w:val="auto"/>
                      <w:szCs w:val="21"/>
                      <w:highlight w:val="none"/>
                      <w:shd w:val="clear" w:color="auto" w:fill="FFFFFF"/>
                    </w:rPr>
                    <w:t>涉及管控单元名称</w:t>
                  </w:r>
                </w:p>
              </w:tc>
              <w:tc>
                <w:tcPr>
                  <w:tcW w:w="580" w:type="pct"/>
                  <w:tcBorders>
                    <w:tl2br w:val="nil"/>
                    <w:tr2bl w:val="nil"/>
                  </w:tcBorders>
                  <w:noWrap w:val="0"/>
                  <w:vAlign w:val="center"/>
                </w:tcPr>
                <w:p w14:paraId="1104AFEE">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shd w:val="clear" w:color="auto" w:fill="FFFFFF"/>
                      <w:lang w:val="en-US" w:eastAsia="zh-CN"/>
                    </w:rPr>
                  </w:pPr>
                  <w:r>
                    <w:rPr>
                      <w:rFonts w:hint="eastAsia" w:ascii="Times New Roman" w:hAnsi="Times New Roman" w:cs="Times New Roman"/>
                      <w:color w:val="auto"/>
                      <w:szCs w:val="21"/>
                      <w:highlight w:val="none"/>
                      <w:shd w:val="clear" w:color="auto" w:fill="FFFFFF"/>
                      <w:lang w:val="en-US" w:eastAsia="zh-CN"/>
                    </w:rPr>
                    <w:t>管控单元编码</w:t>
                  </w:r>
                </w:p>
              </w:tc>
              <w:tc>
                <w:tcPr>
                  <w:tcW w:w="1783" w:type="pct"/>
                  <w:tcBorders>
                    <w:tl2br w:val="nil"/>
                    <w:tr2bl w:val="nil"/>
                  </w:tcBorders>
                  <w:noWrap w:val="0"/>
                  <w:vAlign w:val="center"/>
                </w:tcPr>
                <w:p w14:paraId="7C56B589">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shd w:val="clear" w:color="auto" w:fill="FFFFFF"/>
                    </w:rPr>
                  </w:pPr>
                  <w:r>
                    <w:rPr>
                      <w:rFonts w:hint="default" w:ascii="Times New Roman" w:hAnsi="Times New Roman" w:eastAsia="宋体" w:cs="Times New Roman"/>
                      <w:color w:val="auto"/>
                      <w:szCs w:val="21"/>
                      <w:highlight w:val="none"/>
                      <w:shd w:val="clear" w:color="auto" w:fill="FFFFFF"/>
                    </w:rPr>
                    <w:t>要求</w:t>
                  </w:r>
                </w:p>
              </w:tc>
              <w:tc>
                <w:tcPr>
                  <w:tcW w:w="1841" w:type="pct"/>
                  <w:tcBorders>
                    <w:tl2br w:val="nil"/>
                    <w:tr2bl w:val="nil"/>
                  </w:tcBorders>
                  <w:noWrap w:val="0"/>
                  <w:vAlign w:val="center"/>
                </w:tcPr>
                <w:p w14:paraId="04527819">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shd w:val="clear" w:color="auto" w:fill="FFFFFF"/>
                    </w:rPr>
                  </w:pPr>
                  <w:r>
                    <w:rPr>
                      <w:rFonts w:hint="default" w:ascii="Times New Roman" w:hAnsi="Times New Roman" w:eastAsia="宋体" w:cs="Times New Roman"/>
                      <w:color w:val="auto"/>
                      <w:szCs w:val="21"/>
                      <w:highlight w:val="none"/>
                      <w:shd w:val="clear" w:color="auto" w:fill="FFFFFF"/>
                    </w:rPr>
                    <w:t>符合性分析</w:t>
                  </w:r>
                </w:p>
              </w:tc>
              <w:tc>
                <w:tcPr>
                  <w:tcW w:w="178" w:type="pct"/>
                  <w:tcBorders>
                    <w:tl2br w:val="nil"/>
                    <w:tr2bl w:val="nil"/>
                  </w:tcBorders>
                  <w:noWrap w:val="0"/>
                  <w:vAlign w:val="center"/>
                </w:tcPr>
                <w:p w14:paraId="201583B4">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shd w:val="clear" w:color="auto" w:fill="FFFFFF"/>
                    </w:rPr>
                  </w:pPr>
                  <w:r>
                    <w:rPr>
                      <w:rFonts w:hint="default" w:ascii="Times New Roman" w:hAnsi="Times New Roman" w:eastAsia="宋体" w:cs="Times New Roman"/>
                      <w:color w:val="auto"/>
                      <w:szCs w:val="21"/>
                      <w:highlight w:val="none"/>
                      <w:shd w:val="clear" w:color="auto" w:fill="FFFFFF"/>
                    </w:rPr>
                    <w:t>相符性</w:t>
                  </w:r>
                </w:p>
              </w:tc>
            </w:tr>
            <w:tr w14:paraId="0C070B1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626" w:hRule="atLeast"/>
              </w:trPr>
              <w:tc>
                <w:tcPr>
                  <w:tcW w:w="615" w:type="pct"/>
                  <w:tcBorders>
                    <w:tl2br w:val="nil"/>
                    <w:tr2bl w:val="nil"/>
                  </w:tcBorders>
                  <w:noWrap w:val="0"/>
                  <w:vAlign w:val="center"/>
                </w:tcPr>
                <w:p w14:paraId="442C95C7">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shd w:val="clear" w:color="auto" w:fill="FFFFFF"/>
                    </w:rPr>
                  </w:pPr>
                  <w:r>
                    <w:rPr>
                      <w:rFonts w:hint="default" w:ascii="Times New Roman" w:hAnsi="Times New Roman" w:eastAsia="宋体" w:cs="Times New Roman"/>
                      <w:color w:val="auto"/>
                      <w:szCs w:val="21"/>
                      <w:highlight w:val="none"/>
                      <w:shd w:val="clear" w:color="auto" w:fill="FFFFFF"/>
                      <w:lang w:val="en-US" w:eastAsia="zh-CN"/>
                    </w:rPr>
                    <w:t>壶关县太行山水源涵养与水土保持一般生态空间优先保护单元</w:t>
                  </w:r>
                </w:p>
              </w:tc>
              <w:tc>
                <w:tcPr>
                  <w:tcW w:w="580" w:type="pct"/>
                  <w:tcBorders>
                    <w:tl2br w:val="nil"/>
                    <w:tr2bl w:val="nil"/>
                  </w:tcBorders>
                  <w:noWrap w:val="0"/>
                  <w:vAlign w:val="center"/>
                </w:tcPr>
                <w:p w14:paraId="5489D3DB">
                  <w:pPr>
                    <w:keepNext w:val="0"/>
                    <w:keepLines w:val="0"/>
                    <w:suppressLineNumbers w:val="0"/>
                    <w:adjustRightInd w:val="0"/>
                    <w:snapToGrid w:val="0"/>
                    <w:spacing w:before="0" w:beforeAutospacing="0" w:after="0" w:afterAutospacing="0"/>
                    <w:ind w:right="-105" w:rightChars="-50"/>
                    <w:jc w:val="both"/>
                    <w:rPr>
                      <w:rFonts w:hint="default" w:ascii="Times New Roman" w:hAnsi="Times New Roman" w:eastAsia="宋体" w:cs="Times New Roman"/>
                      <w:color w:val="auto"/>
                      <w:szCs w:val="21"/>
                      <w:highlight w:val="none"/>
                      <w:shd w:val="clear" w:color="auto" w:fill="FFFFFF"/>
                    </w:rPr>
                  </w:pPr>
                  <w:r>
                    <w:rPr>
                      <w:rFonts w:hint="default" w:ascii="Times New Roman" w:hAnsi="Times New Roman" w:eastAsia="宋体" w:cs="Times New Roman"/>
                      <w:color w:val="auto"/>
                      <w:szCs w:val="21"/>
                      <w:highlight w:val="none"/>
                      <w:shd w:val="clear" w:color="auto" w:fill="FFFFFF"/>
                      <w:lang w:val="en-US" w:eastAsia="zh-CN"/>
                    </w:rPr>
                    <w:t>ZH14042710006</w:t>
                  </w:r>
                </w:p>
                <w:p w14:paraId="3B1F2027">
                  <w:pPr>
                    <w:keepNext w:val="0"/>
                    <w:keepLines w:val="0"/>
                    <w:suppressLineNumbers w:val="0"/>
                    <w:adjustRightInd w:val="0"/>
                    <w:snapToGrid w:val="0"/>
                    <w:spacing w:before="0" w:beforeAutospacing="0" w:after="0" w:afterAutospacing="0"/>
                    <w:ind w:left="-105" w:leftChars="-50" w:right="-105" w:rightChars="-50"/>
                    <w:jc w:val="both"/>
                    <w:rPr>
                      <w:rFonts w:hint="default" w:ascii="Times New Roman" w:hAnsi="Times New Roman" w:eastAsia="宋体" w:cs="Times New Roman"/>
                      <w:color w:val="auto"/>
                      <w:szCs w:val="21"/>
                      <w:highlight w:val="none"/>
                      <w:shd w:val="clear" w:color="auto" w:fill="FFFFFF"/>
                    </w:rPr>
                  </w:pPr>
                </w:p>
              </w:tc>
              <w:tc>
                <w:tcPr>
                  <w:tcW w:w="1783" w:type="pct"/>
                  <w:tcBorders>
                    <w:tl2br w:val="nil"/>
                    <w:tr2bl w:val="nil"/>
                  </w:tcBorders>
                  <w:noWrap w:val="0"/>
                  <w:vAlign w:val="center"/>
                </w:tcPr>
                <w:p w14:paraId="1A5DDF7D">
                  <w:pPr>
                    <w:keepNext w:val="0"/>
                    <w:keepLines w:val="0"/>
                    <w:suppressLineNumbers w:val="0"/>
                    <w:adjustRightInd w:val="0"/>
                    <w:snapToGrid w:val="0"/>
                    <w:spacing w:before="0" w:beforeAutospacing="0" w:after="0" w:afterAutospacing="0"/>
                    <w:ind w:left="-105" w:leftChars="-50" w:right="-105" w:rightChars="-50"/>
                    <w:rPr>
                      <w:rFonts w:hint="eastAsia" w:ascii="Times New Roman" w:hAnsi="Times New Roman" w:eastAsia="宋体" w:cs="Times New Roman"/>
                      <w:color w:val="auto"/>
                      <w:szCs w:val="21"/>
                      <w:highlight w:val="none"/>
                      <w:shd w:val="clear" w:color="auto" w:fill="FFFFFF"/>
                    </w:rPr>
                  </w:pPr>
                  <w:r>
                    <w:rPr>
                      <w:rFonts w:hint="eastAsia" w:ascii="Times New Roman" w:hAnsi="Times New Roman" w:eastAsia="宋体" w:cs="Times New Roman"/>
                      <w:color w:val="auto"/>
                      <w:szCs w:val="21"/>
                      <w:highlight w:val="none"/>
                      <w:shd w:val="clear" w:color="auto" w:fill="FFFFFF"/>
                      <w:lang w:val="en-US" w:eastAsia="zh-CN"/>
                    </w:rPr>
                    <w:t>1.禁止无序采矿、过度放牧、毁林开荒、开垦草原、毁林采石、采砂</w:t>
                  </w:r>
                  <w:r>
                    <w:rPr>
                      <w:rFonts w:hint="eastAsia" w:ascii="Times New Roman" w:hAnsi="Times New Roman" w:cs="Times New Roman"/>
                      <w:color w:val="auto"/>
                      <w:szCs w:val="21"/>
                      <w:highlight w:val="none"/>
                      <w:shd w:val="clear" w:color="auto" w:fill="FFFFFF"/>
                      <w:lang w:val="en-US" w:eastAsia="zh-CN"/>
                    </w:rPr>
                    <w:t>、</w:t>
                  </w:r>
                  <w:r>
                    <w:rPr>
                      <w:rFonts w:hint="eastAsia" w:ascii="Times New Roman" w:hAnsi="Times New Roman" w:eastAsia="宋体" w:cs="Times New Roman"/>
                      <w:color w:val="auto"/>
                      <w:szCs w:val="21"/>
                      <w:highlight w:val="none"/>
                      <w:shd w:val="clear" w:color="auto" w:fill="FFFFFF"/>
                      <w:lang w:val="en-US" w:eastAsia="zh-CN"/>
                    </w:rPr>
                    <w:t>采土以及其他等损害或不利于维护水源涵养功能的人类活动。2.推进天然林草保护、退耕还林和围栏封育，维护或重建湿地、森林、草原等生态系统。巩固退耕还林、退牧还草成果。3.限制土地资源高消耗产业发展，禁止布局高水资源消耗产业。4.加强对能源和矿产资源开发及建设项目的监管，加大矿山环境整治修复力度，最大限度地减少人为因素造成新的水土流失。5.对水源涵养林和水土保持林</w:t>
                  </w:r>
                  <w:r>
                    <w:rPr>
                      <w:rFonts w:hint="eastAsia" w:ascii="Times New Roman" w:hAnsi="Times New Roman" w:eastAsia="宋体" w:cs="Times New Roman"/>
                      <w:color w:val="auto"/>
                      <w:sz w:val="18"/>
                      <w:szCs w:val="18"/>
                      <w:highlight w:val="none"/>
                      <w:shd w:val="clear" w:color="auto" w:fill="FFFFFF"/>
                      <w:lang w:val="en-US" w:eastAsia="zh-CN"/>
                    </w:rPr>
                    <w:t>只能进行抚育和更新性质的采伐，</w:t>
                  </w:r>
                  <w:r>
                    <w:rPr>
                      <w:rFonts w:hint="eastAsia" w:ascii="Times New Roman" w:hAnsi="Times New Roman" w:eastAsia="宋体" w:cs="Times New Roman"/>
                      <w:color w:val="auto"/>
                      <w:szCs w:val="21"/>
                      <w:highlight w:val="none"/>
                      <w:shd w:val="clear" w:color="auto" w:fill="FFFFFF"/>
                      <w:lang w:val="en-US" w:eastAsia="zh-CN"/>
                    </w:rPr>
                    <w:t>并在采伐后及时更新造林。</w:t>
                  </w:r>
                </w:p>
              </w:tc>
              <w:tc>
                <w:tcPr>
                  <w:tcW w:w="1841" w:type="pct"/>
                  <w:tcBorders>
                    <w:tl2br w:val="nil"/>
                    <w:tr2bl w:val="nil"/>
                  </w:tcBorders>
                  <w:noWrap w:val="0"/>
                  <w:vAlign w:val="center"/>
                </w:tcPr>
                <w:p w14:paraId="05A0DF0A">
                  <w:pPr>
                    <w:keepNext w:val="0"/>
                    <w:keepLines w:val="0"/>
                    <w:suppressLineNumbers w:val="0"/>
                    <w:adjustRightInd w:val="0"/>
                    <w:snapToGrid w:val="0"/>
                    <w:spacing w:before="0" w:beforeAutospacing="0" w:after="0" w:afterAutospacing="0"/>
                    <w:ind w:left="-105" w:leftChars="-50" w:right="-105" w:rightChars="-50"/>
                    <w:rPr>
                      <w:rFonts w:hint="default"/>
                      <w:color w:val="auto"/>
                      <w:highlight w:val="none"/>
                      <w:lang w:val="en-US" w:eastAsia="zh-CN"/>
                    </w:rPr>
                  </w:pPr>
                  <w:r>
                    <w:rPr>
                      <w:rFonts w:hint="eastAsia" w:ascii="Times New Roman" w:hAnsi="Times New Roman" w:cs="Times New Roman"/>
                      <w:color w:val="auto"/>
                      <w:szCs w:val="21"/>
                      <w:highlight w:val="none"/>
                      <w:shd w:val="clear" w:color="auto" w:fill="FFFFFF"/>
                      <w:lang w:val="en-US" w:eastAsia="zh-CN"/>
                    </w:rPr>
                    <w:t>1.本项目不属于损害或不利于维护水源涵养功能的人类活动。2.本项目临时占地共损毁土地2.7460hm</w:t>
                  </w:r>
                  <w:r>
                    <w:rPr>
                      <w:rFonts w:hint="eastAsia" w:ascii="Times New Roman" w:hAnsi="Times New Roman" w:cs="Times New Roman"/>
                      <w:color w:val="auto"/>
                      <w:szCs w:val="21"/>
                      <w:highlight w:val="none"/>
                      <w:shd w:val="clear" w:color="auto" w:fill="FFFFFF"/>
                      <w:vertAlign w:val="superscript"/>
                      <w:lang w:val="en-US" w:eastAsia="zh-CN"/>
                    </w:rPr>
                    <w:t>2</w:t>
                  </w:r>
                  <w:r>
                    <w:rPr>
                      <w:rFonts w:hint="eastAsia" w:ascii="Times New Roman" w:hAnsi="Times New Roman" w:cs="Times New Roman"/>
                      <w:color w:val="auto"/>
                      <w:szCs w:val="21"/>
                      <w:highlight w:val="none"/>
                      <w:shd w:val="clear" w:color="auto" w:fill="FFFFFF"/>
                      <w:lang w:val="en-US" w:eastAsia="zh-CN"/>
                    </w:rPr>
                    <w:t>，损毁土地全部纳入复垦区范围。复垦区范围内为风机吊装施工临时占用土地，无永久性建设用地，复垦区内损毁的土地全部进行复垦，复垦率100%。3.</w:t>
                  </w:r>
                  <w:r>
                    <w:rPr>
                      <w:rFonts w:hint="eastAsia" w:cs="Times New Roman"/>
                      <w:color w:val="auto"/>
                      <w:szCs w:val="21"/>
                      <w:highlight w:val="none"/>
                      <w:shd w:val="clear" w:color="auto" w:fill="FFFFFF"/>
                      <w:lang w:val="en-US" w:eastAsia="zh-CN"/>
                    </w:rPr>
                    <w:t>本项目占用的永久林地：</w:t>
                  </w:r>
                  <w:r>
                    <w:rPr>
                      <w:rFonts w:hint="eastAsia" w:ascii="Times New Roman" w:eastAsia="宋体"/>
                      <w:color w:val="auto"/>
                      <w:highlight w:val="none"/>
                      <w:lang w:val="en-US" w:eastAsia="zh-CN"/>
                    </w:rPr>
                    <w:t>2025年12月1日，山西省林业和草原局以晋林资许准〔2025〕539号文出具了本项目的使用林地草原审核同意书</w:t>
                  </w:r>
                </w:p>
                <w:p w14:paraId="1F5CDB74">
                  <w:pPr>
                    <w:keepNext w:val="0"/>
                    <w:keepLines w:val="0"/>
                    <w:suppressLineNumbers w:val="0"/>
                    <w:adjustRightInd w:val="0"/>
                    <w:snapToGrid w:val="0"/>
                    <w:spacing w:before="0" w:beforeAutospacing="0" w:after="0" w:afterAutospacing="0"/>
                    <w:ind w:left="-105" w:leftChars="-50" w:right="-105" w:rightChars="-50"/>
                    <w:rPr>
                      <w:rFonts w:hint="default"/>
                      <w:color w:val="auto"/>
                      <w:highlight w:val="none"/>
                      <w:lang w:val="en-US" w:eastAsia="zh-CN"/>
                    </w:rPr>
                  </w:pPr>
                </w:p>
                <w:p w14:paraId="1FEAF07A">
                  <w:pPr>
                    <w:keepNext w:val="0"/>
                    <w:keepLines w:val="0"/>
                    <w:suppressLineNumbers w:val="0"/>
                    <w:adjustRightInd w:val="0"/>
                    <w:snapToGrid w:val="0"/>
                    <w:spacing w:before="0" w:beforeAutospacing="0" w:after="0" w:afterAutospacing="0"/>
                    <w:ind w:left="-105" w:leftChars="-50" w:right="-105" w:rightChars="-50"/>
                    <w:rPr>
                      <w:rFonts w:hint="default" w:ascii="Times New Roman" w:hAnsi="Times New Roman" w:eastAsia="宋体" w:cs="Times New Roman"/>
                      <w:color w:val="auto"/>
                      <w:szCs w:val="21"/>
                      <w:highlight w:val="none"/>
                      <w:shd w:val="clear" w:color="auto" w:fill="FFFFFF"/>
                      <w:lang w:val="en-US" w:eastAsia="zh-CN"/>
                    </w:rPr>
                  </w:pPr>
                </w:p>
              </w:tc>
              <w:tc>
                <w:tcPr>
                  <w:tcW w:w="178" w:type="pct"/>
                  <w:tcBorders>
                    <w:tl2br w:val="nil"/>
                    <w:tr2bl w:val="nil"/>
                  </w:tcBorders>
                  <w:noWrap w:val="0"/>
                  <w:vAlign w:val="center"/>
                </w:tcPr>
                <w:p w14:paraId="523F05B2">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shd w:val="clear" w:color="auto" w:fill="FFFFFF"/>
                    </w:rPr>
                  </w:pPr>
                  <w:r>
                    <w:rPr>
                      <w:rFonts w:hint="default" w:ascii="Times New Roman" w:hAnsi="Times New Roman" w:eastAsia="宋体" w:cs="Times New Roman"/>
                      <w:color w:val="auto"/>
                      <w:szCs w:val="21"/>
                      <w:highlight w:val="none"/>
                      <w:shd w:val="clear" w:color="auto" w:fill="FFFFFF"/>
                    </w:rPr>
                    <w:t>符合</w:t>
                  </w:r>
                </w:p>
              </w:tc>
            </w:tr>
            <w:tr w14:paraId="4A5F55B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536" w:hRule="atLeast"/>
              </w:trPr>
              <w:tc>
                <w:tcPr>
                  <w:tcW w:w="615" w:type="pct"/>
                  <w:tcBorders>
                    <w:tl2br w:val="nil"/>
                    <w:tr2bl w:val="nil"/>
                  </w:tcBorders>
                  <w:noWrap w:val="0"/>
                  <w:vAlign w:val="center"/>
                </w:tcPr>
                <w:p w14:paraId="5514F608">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shd w:val="clear" w:color="auto" w:fill="FFFFFF"/>
                      <w:lang w:val="en-US"/>
                    </w:rPr>
                  </w:pPr>
                  <w:r>
                    <w:rPr>
                      <w:rFonts w:hint="default" w:ascii="Times New Roman" w:hAnsi="Times New Roman" w:eastAsia="宋体" w:cs="Times New Roman"/>
                      <w:color w:val="auto"/>
                      <w:szCs w:val="21"/>
                      <w:highlight w:val="none"/>
                      <w:shd w:val="clear" w:color="auto" w:fill="FFFFFF"/>
                      <w:lang w:val="en-US" w:eastAsia="zh-CN"/>
                    </w:rPr>
                    <w:t>壶关县太行山水源涵养生态保护红线优先保护单</w:t>
                  </w:r>
                  <w:r>
                    <w:rPr>
                      <w:rFonts w:hint="eastAsia" w:ascii="Times New Roman" w:hAnsi="Times New Roman" w:cs="Times New Roman"/>
                      <w:color w:val="auto"/>
                      <w:szCs w:val="21"/>
                      <w:highlight w:val="none"/>
                      <w:shd w:val="clear" w:color="auto" w:fill="FFFFFF"/>
                      <w:lang w:val="en-US" w:eastAsia="zh-CN"/>
                    </w:rPr>
                    <w:t>元</w:t>
                  </w:r>
                </w:p>
              </w:tc>
              <w:tc>
                <w:tcPr>
                  <w:tcW w:w="580" w:type="pct"/>
                  <w:tcBorders>
                    <w:tl2br w:val="nil"/>
                    <w:tr2bl w:val="nil"/>
                  </w:tcBorders>
                  <w:noWrap w:val="0"/>
                  <w:vAlign w:val="center"/>
                </w:tcPr>
                <w:p w14:paraId="4FC18A57">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shd w:val="clear" w:color="auto" w:fill="FFFFFF"/>
                    </w:rPr>
                  </w:pPr>
                  <w:r>
                    <w:rPr>
                      <w:rFonts w:hint="default" w:ascii="Times New Roman" w:hAnsi="Times New Roman" w:eastAsia="宋体" w:cs="Times New Roman"/>
                      <w:color w:val="auto"/>
                      <w:szCs w:val="21"/>
                      <w:highlight w:val="none"/>
                      <w:shd w:val="clear" w:color="auto" w:fill="FFFFFF"/>
                      <w:lang w:val="en-US" w:eastAsia="zh-CN"/>
                    </w:rPr>
                    <w:t>ZH14042710003</w:t>
                  </w:r>
                </w:p>
                <w:p w14:paraId="2CBD6983">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shd w:val="clear" w:color="auto" w:fill="FFFFFF"/>
                    </w:rPr>
                  </w:pPr>
                </w:p>
              </w:tc>
              <w:tc>
                <w:tcPr>
                  <w:tcW w:w="1783" w:type="pct"/>
                  <w:tcBorders>
                    <w:tl2br w:val="nil"/>
                    <w:tr2bl w:val="nil"/>
                  </w:tcBorders>
                  <w:noWrap w:val="0"/>
                  <w:vAlign w:val="center"/>
                </w:tcPr>
                <w:p w14:paraId="3EE955D5">
                  <w:pPr>
                    <w:keepNext w:val="0"/>
                    <w:keepLines w:val="0"/>
                    <w:suppressLineNumbers w:val="0"/>
                    <w:adjustRightInd w:val="0"/>
                    <w:snapToGrid w:val="0"/>
                    <w:spacing w:before="0" w:beforeAutospacing="0" w:after="0" w:afterAutospacing="0"/>
                    <w:ind w:left="-105" w:leftChars="-50" w:right="-105" w:rightChars="-50"/>
                    <w:rPr>
                      <w:rFonts w:hint="eastAsia" w:ascii="Times New Roman" w:hAnsi="Times New Roman" w:eastAsia="宋体" w:cs="Times New Roman"/>
                      <w:color w:val="auto"/>
                      <w:szCs w:val="21"/>
                      <w:highlight w:val="none"/>
                      <w:shd w:val="clear" w:color="auto" w:fill="FFFFFF"/>
                    </w:rPr>
                  </w:pPr>
                  <w:r>
                    <w:rPr>
                      <w:rFonts w:hint="eastAsia" w:ascii="Times New Roman" w:hAnsi="Times New Roman" w:eastAsia="宋体" w:cs="Times New Roman"/>
                      <w:color w:val="auto"/>
                      <w:szCs w:val="21"/>
                      <w:highlight w:val="none"/>
                      <w:shd w:val="clear" w:color="auto" w:fill="FFFFFF"/>
                    </w:rPr>
                    <w:t>执行生态保护红线空间布局约束的准入要求。</w:t>
                  </w:r>
                </w:p>
              </w:tc>
              <w:tc>
                <w:tcPr>
                  <w:tcW w:w="1841" w:type="pct"/>
                  <w:tcBorders>
                    <w:tl2br w:val="nil"/>
                    <w:tr2bl w:val="nil"/>
                  </w:tcBorders>
                  <w:noWrap w:val="0"/>
                  <w:vAlign w:val="center"/>
                </w:tcPr>
                <w:p w14:paraId="64586CDC">
                  <w:pPr>
                    <w:keepNext w:val="0"/>
                    <w:keepLines w:val="0"/>
                    <w:suppressLineNumbers w:val="0"/>
                    <w:adjustRightInd w:val="0"/>
                    <w:snapToGrid w:val="0"/>
                    <w:spacing w:before="0" w:beforeAutospacing="0" w:after="0" w:afterAutospacing="0"/>
                    <w:ind w:left="0" w:right="-105" w:rightChars="-50"/>
                    <w:rPr>
                      <w:rFonts w:hint="eastAsia" w:ascii="Times New Roman" w:hAnsi="Times New Roman" w:eastAsia="宋体" w:cs="Times New Roman"/>
                      <w:color w:val="auto"/>
                      <w:szCs w:val="21"/>
                      <w:highlight w:val="none"/>
                      <w:shd w:val="clear" w:color="auto" w:fill="FFFFFF"/>
                      <w:lang w:eastAsia="zh-CN"/>
                    </w:rPr>
                  </w:pPr>
                  <w:r>
                    <w:rPr>
                      <w:rFonts w:hint="default" w:ascii="Times New Roman" w:hAnsi="Times New Roman" w:cs="Times New Roman" w:eastAsiaTheme="minorEastAsia"/>
                      <w:color w:val="auto"/>
                      <w:highlight w:val="none"/>
                      <w:shd w:val="clear" w:color="auto" w:fill="FFFFFF"/>
                      <w:lang w:val="en-US" w:eastAsia="zh-CN"/>
                    </w:rPr>
                    <w:t>根据《长治市2023年度生态环境分区管控动态更新成果公告》</w:t>
                  </w:r>
                  <w:r>
                    <w:rPr>
                      <w:rFonts w:hint="default" w:ascii="Times New Roman" w:hAnsi="Times New Roman" w:cs="Times New Roman"/>
                      <w:color w:val="auto"/>
                      <w:highlight w:val="none"/>
                      <w:shd w:val="clear" w:color="auto" w:fill="FFFFFF"/>
                    </w:rPr>
                    <w:t>可知</w:t>
                  </w:r>
                  <w:r>
                    <w:rPr>
                      <w:rFonts w:hint="default" w:ascii="Times New Roman" w:hAnsi="Times New Roman" w:cs="Times New Roman" w:eastAsiaTheme="minorEastAsia"/>
                      <w:color w:val="auto"/>
                      <w:highlight w:val="none"/>
                      <w:shd w:val="clear" w:color="auto" w:fill="FFFFFF"/>
                      <w:lang w:eastAsia="zh-CN"/>
                    </w:rPr>
                    <w:t>，</w:t>
                  </w:r>
                  <w:r>
                    <w:rPr>
                      <w:rFonts w:hint="default" w:ascii="Times New Roman" w:hAnsi="Times New Roman" w:cs="Times New Roman"/>
                      <w:color w:val="auto"/>
                      <w:highlight w:val="none"/>
                      <w:shd w:val="clear" w:color="auto" w:fill="FFFFFF"/>
                    </w:rPr>
                    <w:t>本项目</w:t>
                  </w:r>
                  <w:r>
                    <w:rPr>
                      <w:rFonts w:hint="default" w:ascii="Times New Roman" w:hAnsi="Times New Roman" w:cs="Times New Roman" w:eastAsiaTheme="minorEastAsia"/>
                      <w:color w:val="auto"/>
                      <w:highlight w:val="none"/>
                      <w:shd w:val="clear" w:color="auto" w:fill="FFFFFF"/>
                      <w:lang w:val="en-US" w:eastAsia="zh-CN"/>
                    </w:rPr>
                    <w:t>风机</w:t>
                  </w:r>
                  <w:r>
                    <w:rPr>
                      <w:rFonts w:hint="default" w:ascii="Times New Roman" w:hAnsi="Times New Roman" w:cs="Times New Roman"/>
                      <w:color w:val="auto"/>
                      <w:highlight w:val="none"/>
                      <w:shd w:val="clear" w:color="auto" w:fill="FFFFFF"/>
                    </w:rPr>
                    <w:t>位于</w:t>
                  </w:r>
                  <w:r>
                    <w:rPr>
                      <w:rFonts w:hint="default" w:ascii="Times New Roman" w:hAnsi="Times New Roman" w:cs="Times New Roman" w:eastAsiaTheme="minorEastAsia"/>
                      <w:color w:val="auto"/>
                      <w:highlight w:val="none"/>
                      <w:shd w:val="clear" w:color="auto" w:fill="FFFFFF"/>
                      <w:lang w:val="en-US" w:eastAsia="zh-CN"/>
                    </w:rPr>
                    <w:t>壶关县太行山水源涵养与水土保持一般生态空间优先保护单元和长治市壶关县一般管控单元</w:t>
                  </w:r>
                  <w:r>
                    <w:rPr>
                      <w:rFonts w:hint="default" w:ascii="Times New Roman" w:hAnsi="Times New Roman" w:cs="Times New Roman" w:eastAsiaTheme="minorEastAsia"/>
                      <w:color w:val="auto"/>
                      <w:highlight w:val="none"/>
                      <w:shd w:val="clear" w:color="auto" w:fill="FFFFFF"/>
                      <w:lang w:eastAsia="zh-CN"/>
                    </w:rPr>
                    <w:t>，</w:t>
                  </w:r>
                  <w:r>
                    <w:rPr>
                      <w:rFonts w:hint="default" w:ascii="Times New Roman" w:hAnsi="Times New Roman" w:cs="Times New Roman" w:eastAsiaTheme="minorEastAsia"/>
                      <w:color w:val="auto"/>
                      <w:highlight w:val="none"/>
                      <w:shd w:val="clear" w:color="auto" w:fill="FFFFFF"/>
                      <w:lang w:val="en-US" w:eastAsia="zh-CN"/>
                    </w:rPr>
                    <w:t>因此本项目风机不占用生态保护红线；6台风机吊装平台共涉及占用生态保护红线1.5703hm</w:t>
                  </w:r>
                  <w:r>
                    <w:rPr>
                      <w:rFonts w:hint="default" w:ascii="Times New Roman" w:hAnsi="Times New Roman" w:cs="Times New Roman" w:eastAsiaTheme="minorEastAsia"/>
                      <w:color w:val="auto"/>
                      <w:highlight w:val="none"/>
                      <w:shd w:val="clear" w:color="auto" w:fill="FFFFFF"/>
                      <w:vertAlign w:val="superscript"/>
                      <w:lang w:val="en-US" w:eastAsia="zh-CN"/>
                    </w:rPr>
                    <w:t>2</w:t>
                  </w:r>
                  <w:r>
                    <w:rPr>
                      <w:rFonts w:hint="default" w:ascii="Times New Roman" w:hAnsi="Times New Roman" w:cs="Times New Roman" w:eastAsiaTheme="minorEastAsia"/>
                      <w:color w:val="auto"/>
                      <w:highlight w:val="none"/>
                      <w:shd w:val="clear" w:color="auto" w:fill="FFFFFF"/>
                      <w:lang w:val="en-US" w:eastAsia="zh-CN"/>
                    </w:rPr>
                    <w:t>，占用生态保护红线属太行山水源涵养生态保护红线，生态功能为水源涵养，红线类型属于一般控制区，不涉及自然保护地，目前《中节能壶关县乡村振兴50MW风电项目临时用地必须且不可避让生态保护红线和减缓生态环境影响措施论证报告》已出具专家论证意见；2025年12月16日，壶关县自然资源局出具了《关于中节能壶关县乡村振兴50MW风电项目符合生态保护红线内允许开展的有限人为活动有关规定的认定意见》，本项目集电线路位于生态保护红线内路径长约13.2436km，涉及生态红线内的塔基占地面积0.4000hm</w:t>
                  </w:r>
                  <w:r>
                    <w:rPr>
                      <w:rFonts w:hint="default" w:ascii="Times New Roman" w:hAnsi="Times New Roman" w:cs="Times New Roman" w:eastAsiaTheme="minorEastAsia"/>
                      <w:color w:val="auto"/>
                      <w:highlight w:val="none"/>
                      <w:shd w:val="clear" w:color="auto" w:fill="FFFFFF"/>
                      <w:vertAlign w:val="superscript"/>
                      <w:lang w:val="en-US" w:eastAsia="zh-CN"/>
                    </w:rPr>
                    <w:t>2</w:t>
                  </w:r>
                  <w:r>
                    <w:rPr>
                      <w:rFonts w:hint="default" w:ascii="Times New Roman" w:hAnsi="Times New Roman" w:cs="Times New Roman" w:eastAsiaTheme="minorEastAsia"/>
                      <w:color w:val="auto"/>
                      <w:highlight w:val="none"/>
                      <w:shd w:val="clear" w:color="auto" w:fill="FFFFFF"/>
                      <w:vertAlign w:val="baseline"/>
                      <w:lang w:val="en-US" w:eastAsia="zh-CN"/>
                    </w:rPr>
                    <w:t>，涉及的生态保护红线为太行山水源涵养生态保护红线一般控制区；</w:t>
                  </w:r>
                  <w:r>
                    <w:rPr>
                      <w:rFonts w:hint="eastAsia" w:cs="Times New Roman" w:eastAsiaTheme="minorEastAsia"/>
                      <w:color w:val="auto"/>
                      <w:highlight w:val="none"/>
                      <w:shd w:val="clear" w:color="auto" w:fill="FFFFFF"/>
                      <w:vertAlign w:val="baseline"/>
                      <w:lang w:val="en-US" w:eastAsia="zh-CN"/>
                    </w:rPr>
                    <w:t>本项目道路全部利用森林防火通道</w:t>
                  </w:r>
                  <w:r>
                    <w:rPr>
                      <w:rFonts w:hint="default" w:ascii="Times New Roman" w:hAnsi="Times New Roman" w:cs="Times New Roman" w:eastAsiaTheme="minorEastAsia"/>
                      <w:color w:val="auto"/>
                      <w:highlight w:val="none"/>
                      <w:shd w:val="clear" w:color="auto" w:fill="FFFFFF"/>
                      <w:vertAlign w:val="baseline"/>
                      <w:lang w:val="en-US" w:eastAsia="zh-CN"/>
                    </w:rPr>
                    <w:t>，无新建道路。</w:t>
                  </w:r>
                </w:p>
              </w:tc>
              <w:tc>
                <w:tcPr>
                  <w:tcW w:w="178" w:type="pct"/>
                  <w:tcBorders>
                    <w:tl2br w:val="nil"/>
                    <w:tr2bl w:val="nil"/>
                  </w:tcBorders>
                  <w:noWrap w:val="0"/>
                  <w:vAlign w:val="center"/>
                </w:tcPr>
                <w:p w14:paraId="58ADE09A">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shd w:val="clear" w:color="auto" w:fill="FFFFFF"/>
                    </w:rPr>
                  </w:pPr>
                  <w:r>
                    <w:rPr>
                      <w:rFonts w:hint="default" w:ascii="Times New Roman" w:hAnsi="Times New Roman" w:eastAsia="宋体" w:cs="Times New Roman"/>
                      <w:color w:val="auto"/>
                      <w:szCs w:val="21"/>
                      <w:highlight w:val="none"/>
                      <w:shd w:val="clear" w:color="auto" w:fill="FFFFFF"/>
                    </w:rPr>
                    <w:t>符合</w:t>
                  </w:r>
                </w:p>
              </w:tc>
            </w:tr>
            <w:tr w14:paraId="0958C40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93" w:hRule="atLeast"/>
              </w:trPr>
              <w:tc>
                <w:tcPr>
                  <w:tcW w:w="615" w:type="pct"/>
                  <w:tcBorders>
                    <w:tl2br w:val="nil"/>
                    <w:tr2bl w:val="nil"/>
                  </w:tcBorders>
                  <w:noWrap w:val="0"/>
                  <w:vAlign w:val="center"/>
                </w:tcPr>
                <w:p w14:paraId="25D006FF">
                  <w:pPr>
                    <w:keepNext w:val="0"/>
                    <w:keepLines w:val="0"/>
                    <w:suppressLineNumbers w:val="0"/>
                    <w:adjustRightInd w:val="0"/>
                    <w:snapToGrid w:val="0"/>
                    <w:spacing w:before="0" w:beforeAutospacing="0" w:after="0" w:afterAutospacing="0"/>
                    <w:ind w:left="-105" w:leftChars="-50" w:right="-105" w:rightChars="-50"/>
                    <w:jc w:val="center"/>
                    <w:rPr>
                      <w:rFonts w:hint="eastAsia" w:ascii="Times New Roman" w:hAnsi="Times New Roman" w:eastAsia="宋体" w:cs="Times New Roman"/>
                      <w:color w:val="auto"/>
                      <w:szCs w:val="21"/>
                      <w:highlight w:val="none"/>
                      <w:shd w:val="clear" w:color="auto" w:fill="FFFFFF"/>
                      <w:lang w:val="en-US" w:eastAsia="zh-CN"/>
                    </w:rPr>
                  </w:pPr>
                  <w:r>
                    <w:rPr>
                      <w:rFonts w:hint="eastAsia" w:ascii="Times New Roman" w:hAnsi="Times New Roman" w:cs="Times New Roman"/>
                      <w:color w:val="auto"/>
                      <w:szCs w:val="21"/>
                      <w:highlight w:val="none"/>
                      <w:shd w:val="clear" w:color="auto" w:fill="FFFFFF"/>
                      <w:lang w:val="en-US" w:eastAsia="zh-CN"/>
                    </w:rPr>
                    <w:t>长治市</w:t>
                  </w:r>
                  <w:r>
                    <w:rPr>
                      <w:rFonts w:hint="eastAsia" w:ascii="Times New Roman" w:hAnsi="Times New Roman" w:eastAsia="宋体" w:cs="Times New Roman"/>
                      <w:color w:val="auto"/>
                      <w:szCs w:val="21"/>
                      <w:highlight w:val="none"/>
                      <w:shd w:val="clear" w:color="auto" w:fill="FFFFFF"/>
                      <w:lang w:val="en-US" w:eastAsia="zh-CN"/>
                    </w:rPr>
                    <w:t>壶关县一般管控单元</w:t>
                  </w:r>
                </w:p>
              </w:tc>
              <w:tc>
                <w:tcPr>
                  <w:tcW w:w="580" w:type="pct"/>
                  <w:tcBorders>
                    <w:tl2br w:val="nil"/>
                    <w:tr2bl w:val="nil"/>
                  </w:tcBorders>
                  <w:noWrap w:val="0"/>
                  <w:vAlign w:val="center"/>
                </w:tcPr>
                <w:p w14:paraId="19DF9FF7">
                  <w:pPr>
                    <w:keepNext w:val="0"/>
                    <w:keepLines w:val="0"/>
                    <w:suppressLineNumbers w:val="0"/>
                    <w:adjustRightInd w:val="0"/>
                    <w:snapToGrid w:val="0"/>
                    <w:spacing w:before="0" w:beforeAutospacing="0" w:after="0" w:afterAutospacing="0"/>
                    <w:ind w:left="-105" w:leftChars="-50" w:right="-105" w:rightChars="-50"/>
                    <w:jc w:val="center"/>
                    <w:rPr>
                      <w:rFonts w:hint="eastAsia" w:ascii="Times New Roman" w:hAnsi="Times New Roman" w:eastAsia="宋体" w:cs="Times New Roman"/>
                      <w:color w:val="auto"/>
                      <w:szCs w:val="21"/>
                      <w:highlight w:val="none"/>
                      <w:shd w:val="clear" w:color="auto" w:fill="FFFFFF"/>
                      <w:lang w:val="en-US" w:eastAsia="zh-CN"/>
                    </w:rPr>
                  </w:pPr>
                  <w:r>
                    <w:rPr>
                      <w:rFonts w:hint="eastAsia" w:ascii="Times New Roman" w:hAnsi="Times New Roman" w:eastAsia="宋体" w:cs="Times New Roman"/>
                      <w:color w:val="auto"/>
                      <w:szCs w:val="21"/>
                      <w:highlight w:val="none"/>
                      <w:shd w:val="clear" w:color="auto" w:fill="FFFFFF"/>
                      <w:lang w:val="en-US" w:eastAsia="zh-CN"/>
                    </w:rPr>
                    <w:t>ZH14042730001</w:t>
                  </w:r>
                </w:p>
                <w:p w14:paraId="4205F3B0">
                  <w:pPr>
                    <w:keepNext w:val="0"/>
                    <w:keepLines w:val="0"/>
                    <w:suppressLineNumbers w:val="0"/>
                    <w:adjustRightInd w:val="0"/>
                    <w:snapToGrid w:val="0"/>
                    <w:spacing w:before="0" w:beforeAutospacing="0" w:after="0" w:afterAutospacing="0"/>
                    <w:ind w:left="-105" w:leftChars="-50" w:right="-105" w:rightChars="-50"/>
                    <w:jc w:val="center"/>
                    <w:rPr>
                      <w:rFonts w:hint="eastAsia" w:ascii="Times New Roman" w:hAnsi="Times New Roman" w:eastAsia="宋体" w:cs="Times New Roman"/>
                      <w:color w:val="auto"/>
                      <w:szCs w:val="21"/>
                      <w:highlight w:val="none"/>
                      <w:shd w:val="clear" w:color="auto" w:fill="FFFFFF"/>
                      <w:lang w:val="en-US" w:eastAsia="zh-CN"/>
                    </w:rPr>
                  </w:pPr>
                </w:p>
              </w:tc>
              <w:tc>
                <w:tcPr>
                  <w:tcW w:w="1783" w:type="pct"/>
                  <w:tcBorders>
                    <w:tl2br w:val="nil"/>
                    <w:tr2bl w:val="nil"/>
                  </w:tcBorders>
                  <w:noWrap w:val="0"/>
                  <w:vAlign w:val="center"/>
                </w:tcPr>
                <w:p w14:paraId="181B59EE">
                  <w:pPr>
                    <w:keepNext w:val="0"/>
                    <w:keepLines w:val="0"/>
                    <w:suppressLineNumbers w:val="0"/>
                    <w:adjustRightInd w:val="0"/>
                    <w:snapToGrid w:val="0"/>
                    <w:spacing w:before="0" w:beforeAutospacing="0" w:after="0" w:afterAutospacing="0"/>
                    <w:ind w:left="-105" w:leftChars="-50" w:right="-105" w:rightChars="-50"/>
                    <w:rPr>
                      <w:rFonts w:hint="eastAsia" w:ascii="Times New Roman" w:hAnsi="Times New Roman" w:eastAsia="宋体" w:cs="Times New Roman"/>
                      <w:color w:val="auto"/>
                      <w:szCs w:val="21"/>
                      <w:highlight w:val="none"/>
                      <w:shd w:val="clear" w:color="auto" w:fill="FFFFFF"/>
                    </w:rPr>
                  </w:pPr>
                  <w:r>
                    <w:rPr>
                      <w:rFonts w:hint="eastAsia" w:ascii="Times New Roman" w:hAnsi="Times New Roman" w:eastAsia="宋体" w:cs="Times New Roman"/>
                      <w:color w:val="auto"/>
                      <w:szCs w:val="21"/>
                      <w:highlight w:val="none"/>
                      <w:shd w:val="clear" w:color="auto" w:fill="FFFFFF"/>
                      <w:lang w:val="en-US" w:eastAsia="zh-CN"/>
                    </w:rPr>
                    <w:t xml:space="preserve">1.执行山西省、长治市空间布局准入的要求。2.排放大气污染物的工业项目应当按照规划和环境保护规定进入工业园区。3.禁止在邻近基本农田区域排放重金属和多环芳烃、石油烃等有机污染物的开发建设活动。 </w:t>
                  </w:r>
                </w:p>
              </w:tc>
              <w:tc>
                <w:tcPr>
                  <w:tcW w:w="1841" w:type="pct"/>
                  <w:tcBorders>
                    <w:tl2br w:val="nil"/>
                    <w:tr2bl w:val="nil"/>
                  </w:tcBorders>
                  <w:noWrap w:val="0"/>
                  <w:vAlign w:val="center"/>
                </w:tcPr>
                <w:p w14:paraId="32DB39C5">
                  <w:pPr>
                    <w:keepNext w:val="0"/>
                    <w:keepLines w:val="0"/>
                    <w:suppressLineNumbers w:val="0"/>
                    <w:adjustRightInd w:val="0"/>
                    <w:snapToGrid w:val="0"/>
                    <w:spacing w:before="0" w:beforeAutospacing="0" w:after="0" w:afterAutospacing="0"/>
                    <w:ind w:left="0" w:right="-105" w:rightChars="-50"/>
                    <w:rPr>
                      <w:rFonts w:hint="default" w:ascii="Times New Roman" w:hAnsi="Times New Roman" w:eastAsia="宋体" w:cs="Times New Roman"/>
                      <w:color w:val="auto"/>
                      <w:szCs w:val="21"/>
                      <w:highlight w:val="none"/>
                      <w:shd w:val="clear" w:color="auto" w:fill="FFFFFF"/>
                    </w:rPr>
                  </w:pPr>
                  <w:r>
                    <w:rPr>
                      <w:rFonts w:hint="default" w:ascii="Times New Roman" w:hAnsi="Times New Roman" w:eastAsia="宋体" w:cs="Times New Roman"/>
                      <w:color w:val="auto"/>
                      <w:szCs w:val="21"/>
                      <w:highlight w:val="none"/>
                      <w:shd w:val="clear" w:color="auto" w:fill="FFFFFF"/>
                    </w:rPr>
                    <w:t>本项目符合山西省</w:t>
                  </w:r>
                  <w:r>
                    <w:rPr>
                      <w:rFonts w:hint="eastAsia" w:ascii="Times New Roman" w:hAnsi="Times New Roman" w:cs="Times New Roman"/>
                      <w:color w:val="auto"/>
                      <w:szCs w:val="21"/>
                      <w:highlight w:val="none"/>
                      <w:shd w:val="clear" w:color="auto" w:fill="FFFFFF"/>
                      <w:lang w:eastAsia="zh-CN"/>
                    </w:rPr>
                    <w:t>、</w:t>
                  </w:r>
                  <w:r>
                    <w:rPr>
                      <w:rFonts w:hint="eastAsia" w:ascii="Times New Roman" w:hAnsi="Times New Roman" w:cs="Times New Roman"/>
                      <w:color w:val="auto"/>
                      <w:szCs w:val="21"/>
                      <w:highlight w:val="none"/>
                      <w:shd w:val="clear" w:color="auto" w:fill="FFFFFF"/>
                      <w:lang w:val="en-US" w:eastAsia="zh-CN"/>
                    </w:rPr>
                    <w:t>长治市</w:t>
                  </w:r>
                  <w:r>
                    <w:rPr>
                      <w:rFonts w:hint="default" w:ascii="Times New Roman" w:hAnsi="Times New Roman" w:eastAsia="宋体" w:cs="Times New Roman"/>
                      <w:color w:val="auto"/>
                      <w:szCs w:val="21"/>
                      <w:highlight w:val="none"/>
                      <w:shd w:val="clear" w:color="auto" w:fill="FFFFFF"/>
                    </w:rPr>
                    <w:t>空间布局的准入要求和污染物排放控制要求。</w:t>
                  </w:r>
                  <w:r>
                    <w:rPr>
                      <w:rFonts w:hint="eastAsia" w:cs="Times New Roman"/>
                      <w:color w:val="auto"/>
                      <w:szCs w:val="21"/>
                      <w:highlight w:val="none"/>
                      <w:shd w:val="clear" w:color="auto" w:fill="FFFFFF"/>
                      <w:lang w:val="en-US" w:eastAsia="zh-CN"/>
                    </w:rPr>
                    <w:t>本</w:t>
                  </w:r>
                  <w:r>
                    <w:rPr>
                      <w:rFonts w:hint="default" w:ascii="Times New Roman" w:hAnsi="Times New Roman" w:eastAsia="宋体" w:cs="Times New Roman"/>
                      <w:color w:val="auto"/>
                      <w:szCs w:val="21"/>
                      <w:highlight w:val="none"/>
                      <w:shd w:val="clear" w:color="auto" w:fill="FFFFFF"/>
                      <w:lang w:val="en-US" w:eastAsia="zh-CN"/>
                    </w:rPr>
                    <w:t>项目运行期不排放废气、废水、有机污染物等。</w:t>
                  </w:r>
                </w:p>
                <w:p w14:paraId="7AFBB218">
                  <w:pPr>
                    <w:keepNext w:val="0"/>
                    <w:keepLines w:val="0"/>
                    <w:suppressLineNumbers w:val="0"/>
                    <w:adjustRightInd w:val="0"/>
                    <w:snapToGrid w:val="0"/>
                    <w:spacing w:before="0" w:beforeAutospacing="0" w:after="0" w:afterAutospacing="0"/>
                    <w:ind w:left="0" w:right="-105" w:rightChars="-50"/>
                    <w:rPr>
                      <w:rFonts w:hint="default" w:ascii="Times New Roman" w:hAnsi="Times New Roman" w:eastAsia="宋体" w:cs="Times New Roman"/>
                      <w:color w:val="auto"/>
                      <w:szCs w:val="21"/>
                      <w:highlight w:val="none"/>
                      <w:shd w:val="clear" w:color="auto" w:fill="FFFFFF"/>
                    </w:rPr>
                  </w:pPr>
                </w:p>
              </w:tc>
              <w:tc>
                <w:tcPr>
                  <w:tcW w:w="178" w:type="pct"/>
                  <w:tcBorders>
                    <w:tl2br w:val="nil"/>
                    <w:tr2bl w:val="nil"/>
                  </w:tcBorders>
                  <w:noWrap w:val="0"/>
                  <w:vAlign w:val="center"/>
                </w:tcPr>
                <w:p w14:paraId="57D69CD0">
                  <w:pPr>
                    <w:keepNext w:val="0"/>
                    <w:keepLines w:val="0"/>
                    <w:suppressLineNumbers w:val="0"/>
                    <w:adjustRightInd w:val="0"/>
                    <w:snapToGrid w:val="0"/>
                    <w:spacing w:before="0" w:beforeAutospacing="0" w:after="0" w:afterAutospacing="0"/>
                    <w:ind w:left="-105" w:leftChars="-50" w:right="-105" w:rightChars="-50"/>
                    <w:jc w:val="center"/>
                    <w:rPr>
                      <w:rFonts w:hint="eastAsia" w:ascii="Times New Roman" w:hAnsi="Times New Roman" w:eastAsia="宋体" w:cs="Times New Roman"/>
                      <w:color w:val="auto"/>
                      <w:szCs w:val="21"/>
                      <w:highlight w:val="none"/>
                      <w:shd w:val="clear" w:color="auto" w:fill="FFFFFF"/>
                      <w:lang w:val="en-US" w:eastAsia="zh-CN"/>
                    </w:rPr>
                  </w:pPr>
                  <w:r>
                    <w:rPr>
                      <w:rFonts w:hint="eastAsia" w:ascii="Times New Roman" w:hAnsi="Times New Roman" w:eastAsia="宋体" w:cs="Times New Roman"/>
                      <w:color w:val="auto"/>
                      <w:szCs w:val="21"/>
                      <w:highlight w:val="none"/>
                      <w:shd w:val="clear" w:color="auto" w:fill="FFFFFF"/>
                      <w:lang w:val="en-US" w:eastAsia="zh-CN"/>
                    </w:rPr>
                    <w:t>符合</w:t>
                  </w:r>
                </w:p>
              </w:tc>
            </w:tr>
          </w:tbl>
          <w:p w14:paraId="2D58193F">
            <w:pPr>
              <w:autoSpaceDE w:val="0"/>
              <w:autoSpaceDN w:val="0"/>
              <w:adjustRightInd w:val="0"/>
              <w:snapToGrid w:val="0"/>
              <w:spacing w:line="480" w:lineRule="exact"/>
              <w:ind w:firstLine="504" w:firstLineChars="200"/>
              <w:rPr>
                <w:color w:val="auto"/>
                <w:kern w:val="0"/>
                <w:sz w:val="24"/>
                <w:highlight w:val="none"/>
              </w:rPr>
            </w:pPr>
            <w:r>
              <w:rPr>
                <w:rFonts w:hint="eastAsia"/>
                <w:color w:val="auto"/>
                <w:spacing w:val="6"/>
                <w:sz w:val="24"/>
                <w:highlight w:val="none"/>
              </w:rPr>
              <w:t>（3）</w:t>
            </w:r>
            <w:r>
              <w:rPr>
                <w:color w:val="auto"/>
                <w:kern w:val="0"/>
                <w:sz w:val="24"/>
                <w:highlight w:val="none"/>
              </w:rPr>
              <w:t>环境质量底线：</w:t>
            </w:r>
          </w:p>
          <w:p w14:paraId="45BDBB73">
            <w:pPr>
              <w:autoSpaceDE w:val="0"/>
              <w:autoSpaceDN w:val="0"/>
              <w:adjustRightInd w:val="0"/>
              <w:snapToGrid w:val="0"/>
              <w:spacing w:line="480" w:lineRule="exact"/>
              <w:ind w:firstLine="480" w:firstLineChars="200"/>
              <w:rPr>
                <w:rFonts w:hint="eastAsia" w:eastAsia="宋体"/>
                <w:color w:val="auto"/>
                <w:kern w:val="0"/>
                <w:sz w:val="24"/>
                <w:highlight w:val="none"/>
                <w:lang w:eastAsia="zh-CN"/>
              </w:rPr>
            </w:pPr>
            <w:r>
              <w:rPr>
                <w:rFonts w:hint="eastAsia"/>
                <w:color w:val="auto"/>
                <w:kern w:val="0"/>
                <w:sz w:val="24"/>
                <w:highlight w:val="none"/>
              </w:rPr>
              <w:t>环境空气质量</w:t>
            </w:r>
            <w:r>
              <w:rPr>
                <w:rFonts w:hint="eastAsia" w:eastAsia="宋体"/>
                <w:color w:val="auto"/>
                <w:kern w:val="0"/>
                <w:sz w:val="24"/>
                <w:highlight w:val="none"/>
                <w:lang w:eastAsia="zh-CN"/>
              </w:rPr>
              <w:t>：</w:t>
            </w:r>
          </w:p>
          <w:p w14:paraId="0B4326BD">
            <w:pPr>
              <w:autoSpaceDE w:val="0"/>
              <w:autoSpaceDN w:val="0"/>
              <w:adjustRightInd w:val="0"/>
              <w:snapToGrid w:val="0"/>
              <w:spacing w:line="480" w:lineRule="exact"/>
              <w:ind w:firstLine="480" w:firstLineChars="200"/>
              <w:rPr>
                <w:color w:val="auto"/>
                <w:kern w:val="0"/>
                <w:sz w:val="24"/>
                <w:highlight w:val="none"/>
              </w:rPr>
            </w:pPr>
            <w:r>
              <w:rPr>
                <w:rFonts w:hint="eastAsia" w:eastAsia="宋体"/>
                <w:color w:val="auto"/>
                <w:sz w:val="24"/>
                <w:highlight w:val="none"/>
                <w:lang w:eastAsia="zh-CN"/>
              </w:rPr>
              <w:t>壶关县2024年</w:t>
            </w:r>
            <w:r>
              <w:rPr>
                <w:rFonts w:hint="eastAsia"/>
                <w:color w:val="auto"/>
                <w:sz w:val="24"/>
                <w:highlight w:val="none"/>
              </w:rPr>
              <w:t>SO</w:t>
            </w:r>
            <w:r>
              <w:rPr>
                <w:rFonts w:hint="eastAsia"/>
                <w:color w:val="auto"/>
                <w:sz w:val="24"/>
                <w:highlight w:val="none"/>
                <w:vertAlign w:val="subscript"/>
              </w:rPr>
              <w:t>2</w:t>
            </w:r>
            <w:r>
              <w:rPr>
                <w:rFonts w:hint="eastAsia"/>
                <w:color w:val="auto"/>
                <w:sz w:val="24"/>
                <w:highlight w:val="none"/>
              </w:rPr>
              <w:t>、NO</w:t>
            </w:r>
            <w:r>
              <w:rPr>
                <w:rFonts w:hint="eastAsia"/>
                <w:color w:val="auto"/>
                <w:sz w:val="24"/>
                <w:highlight w:val="none"/>
                <w:vertAlign w:val="subscript"/>
              </w:rPr>
              <w:t>2</w:t>
            </w:r>
            <w:r>
              <w:rPr>
                <w:rFonts w:hint="eastAsia"/>
                <w:color w:val="auto"/>
                <w:sz w:val="24"/>
                <w:highlight w:val="none"/>
              </w:rPr>
              <w:t>、PM</w:t>
            </w:r>
            <w:r>
              <w:rPr>
                <w:rFonts w:hint="eastAsia"/>
                <w:color w:val="auto"/>
                <w:sz w:val="24"/>
                <w:highlight w:val="none"/>
                <w:vertAlign w:val="subscript"/>
              </w:rPr>
              <w:t>2.5</w:t>
            </w:r>
            <w:r>
              <w:rPr>
                <w:rFonts w:hint="eastAsia"/>
                <w:color w:val="auto"/>
                <w:sz w:val="24"/>
                <w:highlight w:val="none"/>
              </w:rPr>
              <w:t>、CO、和PM</w:t>
            </w:r>
            <w:r>
              <w:rPr>
                <w:rFonts w:hint="eastAsia"/>
                <w:color w:val="auto"/>
                <w:sz w:val="24"/>
                <w:highlight w:val="none"/>
                <w:vertAlign w:val="subscript"/>
              </w:rPr>
              <w:t>10</w:t>
            </w:r>
            <w:r>
              <w:rPr>
                <w:rFonts w:hint="eastAsia"/>
                <w:color w:val="auto"/>
                <w:sz w:val="24"/>
                <w:highlight w:val="none"/>
              </w:rPr>
              <w:t>年评价指标可达到《环境空气质量标准》（GB3095-2012）中二级标准，O</w:t>
            </w:r>
            <w:r>
              <w:rPr>
                <w:rFonts w:hint="eastAsia"/>
                <w:color w:val="auto"/>
                <w:sz w:val="24"/>
                <w:highlight w:val="none"/>
                <w:vertAlign w:val="subscript"/>
              </w:rPr>
              <w:t>3</w:t>
            </w:r>
            <w:r>
              <w:rPr>
                <w:rFonts w:hint="eastAsia"/>
                <w:color w:val="auto"/>
                <w:sz w:val="24"/>
                <w:highlight w:val="none"/>
              </w:rPr>
              <w:t>评价指标超标，为不达标区。</w:t>
            </w:r>
          </w:p>
          <w:p w14:paraId="70BE8B4F">
            <w:pPr>
              <w:autoSpaceDE w:val="0"/>
              <w:autoSpaceDN w:val="0"/>
              <w:adjustRightInd w:val="0"/>
              <w:snapToGrid w:val="0"/>
              <w:spacing w:line="480" w:lineRule="exact"/>
              <w:ind w:firstLine="480" w:firstLineChars="200"/>
              <w:rPr>
                <w:color w:val="auto"/>
                <w:kern w:val="0"/>
                <w:sz w:val="24"/>
                <w:highlight w:val="none"/>
              </w:rPr>
            </w:pPr>
            <w:r>
              <w:rPr>
                <w:rFonts w:hint="eastAsia"/>
                <w:color w:val="auto"/>
                <w:kern w:val="0"/>
                <w:sz w:val="24"/>
                <w:highlight w:val="none"/>
              </w:rPr>
              <w:t>（</w:t>
            </w:r>
            <w:r>
              <w:rPr>
                <w:rFonts w:hint="eastAsia" w:ascii="Times New Roman" w:eastAsia="宋体"/>
                <w:color w:val="auto"/>
                <w:kern w:val="0"/>
                <w:sz w:val="24"/>
                <w:highlight w:val="none"/>
                <w:lang w:val="en-US" w:eastAsia="zh-CN"/>
              </w:rPr>
              <w:t>4</w:t>
            </w:r>
            <w:r>
              <w:rPr>
                <w:rFonts w:hint="eastAsia"/>
                <w:color w:val="auto"/>
                <w:kern w:val="0"/>
                <w:sz w:val="24"/>
                <w:highlight w:val="none"/>
              </w:rPr>
              <w:t>）</w:t>
            </w:r>
            <w:r>
              <w:rPr>
                <w:color w:val="auto"/>
                <w:kern w:val="0"/>
                <w:sz w:val="24"/>
                <w:highlight w:val="none"/>
              </w:rPr>
              <w:t>资源利用上线</w:t>
            </w:r>
          </w:p>
          <w:p w14:paraId="58F34A83">
            <w:pPr>
              <w:autoSpaceDE w:val="0"/>
              <w:autoSpaceDN w:val="0"/>
              <w:adjustRightInd w:val="0"/>
              <w:snapToGrid w:val="0"/>
              <w:spacing w:line="480" w:lineRule="exact"/>
              <w:ind w:firstLine="480" w:firstLineChars="200"/>
              <w:rPr>
                <w:color w:val="auto"/>
                <w:kern w:val="0"/>
                <w:sz w:val="24"/>
                <w:highlight w:val="none"/>
              </w:rPr>
            </w:pPr>
            <w:r>
              <w:rPr>
                <w:rFonts w:hint="eastAsia"/>
                <w:color w:val="auto"/>
                <w:kern w:val="0"/>
                <w:sz w:val="24"/>
                <w:highlight w:val="none"/>
              </w:rPr>
              <w:t>本项目主要涉及土地资源的利用，风力发电项目特点为点征占地，不会大面积占用区域土地资源。项目的建设有利于推进区域风能资源有序开发，提高可再生能源消费占比。一定程度上代替了高污染燃料的消耗。同时，项目在运行过程中产生的各类污废全部可以合理处置和回用，实现了资源的综合利用，不会突破区域的资源利用上线，符合资源利用上线的要求。</w:t>
            </w:r>
          </w:p>
          <w:p w14:paraId="087E6453">
            <w:pPr>
              <w:autoSpaceDE w:val="0"/>
              <w:autoSpaceDN w:val="0"/>
              <w:adjustRightInd w:val="0"/>
              <w:snapToGrid w:val="0"/>
              <w:spacing w:line="480" w:lineRule="exact"/>
              <w:ind w:firstLine="480" w:firstLineChars="200"/>
              <w:rPr>
                <w:color w:val="auto"/>
                <w:kern w:val="0"/>
                <w:sz w:val="24"/>
                <w:highlight w:val="none"/>
              </w:rPr>
            </w:pPr>
            <w:r>
              <w:rPr>
                <w:rFonts w:hint="eastAsia"/>
                <w:color w:val="auto"/>
                <w:kern w:val="0"/>
                <w:sz w:val="24"/>
                <w:highlight w:val="none"/>
              </w:rPr>
              <w:t>综上所述，本项目符合资源利用上线划定原则。</w:t>
            </w:r>
          </w:p>
          <w:p w14:paraId="01137F3B">
            <w:pPr>
              <w:autoSpaceDE w:val="0"/>
              <w:autoSpaceDN w:val="0"/>
              <w:adjustRightInd w:val="0"/>
              <w:snapToGrid w:val="0"/>
              <w:spacing w:line="480" w:lineRule="exact"/>
              <w:ind w:firstLine="480" w:firstLineChars="200"/>
              <w:rPr>
                <w:rFonts w:hint="eastAsia"/>
                <w:color w:val="auto"/>
                <w:kern w:val="0"/>
                <w:sz w:val="24"/>
                <w:highlight w:val="none"/>
                <w:lang w:eastAsia="zh-CN"/>
              </w:rPr>
            </w:pPr>
            <w:r>
              <w:rPr>
                <w:rFonts w:hint="eastAsia" w:eastAsia="宋体"/>
                <w:color w:val="auto"/>
                <w:kern w:val="0"/>
                <w:sz w:val="24"/>
                <w:highlight w:val="none"/>
                <w:lang w:eastAsia="zh-CN"/>
              </w:rPr>
              <w:t>（</w:t>
            </w:r>
            <w:r>
              <w:rPr>
                <w:rFonts w:hint="eastAsia" w:ascii="Times New Roman" w:eastAsia="宋体"/>
                <w:color w:val="auto"/>
                <w:kern w:val="0"/>
                <w:sz w:val="24"/>
                <w:highlight w:val="none"/>
                <w:lang w:val="en-US" w:eastAsia="zh-CN"/>
              </w:rPr>
              <w:t>5</w:t>
            </w:r>
            <w:r>
              <w:rPr>
                <w:rFonts w:hint="eastAsia" w:eastAsia="宋体"/>
                <w:color w:val="auto"/>
                <w:kern w:val="0"/>
                <w:sz w:val="24"/>
                <w:highlight w:val="none"/>
                <w:lang w:eastAsia="zh-CN"/>
              </w:rPr>
              <w:t>）环境准入负面清单</w:t>
            </w:r>
          </w:p>
          <w:p w14:paraId="32D56B8F">
            <w:pPr>
              <w:autoSpaceDE w:val="0"/>
              <w:autoSpaceDN w:val="0"/>
              <w:adjustRightInd w:val="0"/>
              <w:snapToGrid w:val="0"/>
              <w:spacing w:line="480" w:lineRule="exact"/>
              <w:ind w:firstLine="480" w:firstLineChars="200"/>
              <w:rPr>
                <w:rFonts w:hint="default" w:eastAsia="宋体"/>
                <w:color w:val="auto"/>
                <w:kern w:val="0"/>
                <w:sz w:val="24"/>
                <w:highlight w:val="none"/>
                <w:lang w:val="en-US" w:eastAsia="zh-CN"/>
              </w:rPr>
            </w:pPr>
            <w:r>
              <w:rPr>
                <w:rFonts w:hint="eastAsia" w:eastAsia="宋体"/>
                <w:color w:val="auto"/>
                <w:kern w:val="0"/>
                <w:sz w:val="24"/>
                <w:highlight w:val="none"/>
                <w:lang w:val="en-US" w:eastAsia="zh-CN"/>
              </w:rPr>
              <w:t>根据</w:t>
            </w:r>
            <w:r>
              <w:rPr>
                <w:rFonts w:hint="eastAsia" w:eastAsia="宋体"/>
                <w:color w:val="auto"/>
                <w:kern w:val="0"/>
                <w:sz w:val="24"/>
                <w:highlight w:val="none"/>
                <w:lang w:eastAsia="zh-CN"/>
              </w:rPr>
              <w:t>《长治市人民政府关于印发长治市“三线一单”生态环境分区管控实施方案的通知》（长政发〔2021〕21号）</w:t>
            </w:r>
            <w:r>
              <w:rPr>
                <w:rFonts w:hint="eastAsia" w:ascii="Times New Roman" w:eastAsia="宋体"/>
                <w:color w:val="auto"/>
                <w:kern w:val="0"/>
                <w:sz w:val="24"/>
                <w:highlight w:val="none"/>
                <w:lang w:val="en-US" w:eastAsia="zh-CN"/>
              </w:rPr>
              <w:t>的附件2“长治市生态环境准入总体要求”</w:t>
            </w:r>
            <w:r>
              <w:rPr>
                <w:rFonts w:hint="eastAsia" w:eastAsia="宋体"/>
                <w:color w:val="auto"/>
                <w:kern w:val="0"/>
                <w:sz w:val="24"/>
                <w:highlight w:val="none"/>
                <w:lang w:eastAsia="zh-CN"/>
              </w:rPr>
              <w:t>，本项目相关准入分析见表1-</w:t>
            </w:r>
            <w:r>
              <w:rPr>
                <w:rFonts w:hint="eastAsia" w:ascii="Times New Roman" w:eastAsia="宋体"/>
                <w:color w:val="auto"/>
                <w:kern w:val="0"/>
                <w:sz w:val="24"/>
                <w:highlight w:val="none"/>
                <w:lang w:val="en-US" w:eastAsia="zh-CN"/>
              </w:rPr>
              <w:t>4、1-5。</w:t>
            </w:r>
          </w:p>
          <w:p w14:paraId="204397AE">
            <w:pPr>
              <w:autoSpaceDE w:val="0"/>
              <w:autoSpaceDN w:val="0"/>
              <w:adjustRightInd w:val="0"/>
              <w:snapToGrid w:val="0"/>
              <w:ind w:leftChars="-2" w:hanging="4" w:hangingChars="2"/>
              <w:jc w:val="center"/>
              <w:rPr>
                <w:rFonts w:ascii="Times New Roman" w:hAnsi="Times New Roman" w:eastAsia="宋体" w:cs="Times New Roman"/>
                <w:color w:val="auto"/>
                <w:kern w:val="0"/>
                <w:szCs w:val="21"/>
                <w:highlight w:val="none"/>
              </w:rPr>
            </w:pPr>
            <w:r>
              <w:rPr>
                <w:rFonts w:hint="eastAsia" w:ascii="黑体" w:hAnsi="黑体" w:eastAsia="黑体" w:cs="黑体"/>
                <w:color w:val="auto"/>
                <w:kern w:val="0"/>
                <w:szCs w:val="21"/>
                <w:highlight w:val="none"/>
              </w:rPr>
              <w:t>表1-</w:t>
            </w:r>
            <w:r>
              <w:rPr>
                <w:rFonts w:hint="eastAsia" w:ascii="黑体" w:hAnsi="黑体" w:eastAsia="黑体" w:cs="黑体"/>
                <w:color w:val="auto"/>
                <w:kern w:val="0"/>
                <w:szCs w:val="21"/>
                <w:highlight w:val="none"/>
                <w:lang w:val="en-US" w:eastAsia="zh-CN"/>
              </w:rPr>
              <w:t>4</w:t>
            </w:r>
            <w:r>
              <w:rPr>
                <w:rFonts w:hint="eastAsia" w:ascii="黑体" w:hAnsi="黑体" w:eastAsia="黑体" w:cs="黑体"/>
                <w:color w:val="auto"/>
                <w:kern w:val="0"/>
                <w:szCs w:val="21"/>
                <w:highlight w:val="none"/>
              </w:rPr>
              <w:t xml:space="preserve"> </w:t>
            </w:r>
            <w:r>
              <w:rPr>
                <w:rFonts w:hint="eastAsia" w:ascii="黑体" w:hAnsi="黑体" w:eastAsia="黑体" w:cs="黑体"/>
                <w:color w:val="auto"/>
                <w:kern w:val="0"/>
                <w:szCs w:val="21"/>
                <w:highlight w:val="none"/>
                <w:lang w:eastAsia="zh-CN"/>
              </w:rPr>
              <w:t>长治市</w:t>
            </w:r>
            <w:r>
              <w:rPr>
                <w:rFonts w:hint="eastAsia" w:ascii="黑体" w:hAnsi="黑体" w:eastAsia="黑体" w:cs="黑体"/>
                <w:color w:val="auto"/>
                <w:kern w:val="0"/>
                <w:szCs w:val="21"/>
                <w:highlight w:val="none"/>
              </w:rPr>
              <w:t>“三线一单”生态环境分区管控符合性分析</w:t>
            </w:r>
          </w:p>
          <w:tbl>
            <w:tblPr>
              <w:tblStyle w:val="11"/>
              <w:tblW w:w="5000"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438"/>
              <w:gridCol w:w="438"/>
              <w:gridCol w:w="4194"/>
              <w:gridCol w:w="2902"/>
            </w:tblGrid>
            <w:tr w14:paraId="06355CD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6" w:hRule="atLeast"/>
                <w:jc w:val="center"/>
              </w:trPr>
              <w:tc>
                <w:tcPr>
                  <w:tcW w:w="492" w:type="pct"/>
                  <w:gridSpan w:val="2"/>
                  <w:tcBorders>
                    <w:tl2br w:val="nil"/>
                    <w:tr2bl w:val="nil"/>
                  </w:tcBorders>
                  <w:vAlign w:val="center"/>
                </w:tcPr>
                <w:p w14:paraId="5FB00712">
                  <w:pPr>
                    <w:tabs>
                      <w:tab w:val="left" w:pos="0"/>
                    </w:tabs>
                    <w:adjustRightInd w:val="0"/>
                    <w:snapToGrid w:val="0"/>
                    <w:jc w:val="center"/>
                    <w:rPr>
                      <w:rFonts w:ascii="Times New Roman" w:hAnsi="Times New Roman" w:eastAsia="宋体" w:cs="Times New Roman"/>
                      <w:color w:val="auto"/>
                      <w:spacing w:val="6"/>
                      <w:szCs w:val="21"/>
                      <w:highlight w:val="none"/>
                    </w:rPr>
                  </w:pPr>
                  <w:r>
                    <w:rPr>
                      <w:rFonts w:hint="eastAsia" w:ascii="Times New Roman" w:hAnsi="Times New Roman" w:eastAsia="宋体" w:cs="Times New Roman"/>
                      <w:color w:val="auto"/>
                      <w:spacing w:val="6"/>
                      <w:szCs w:val="21"/>
                      <w:highlight w:val="none"/>
                    </w:rPr>
                    <w:t>管控类别</w:t>
                  </w:r>
                </w:p>
              </w:tc>
              <w:tc>
                <w:tcPr>
                  <w:tcW w:w="2658" w:type="pct"/>
                  <w:tcBorders>
                    <w:tl2br w:val="nil"/>
                    <w:tr2bl w:val="nil"/>
                  </w:tcBorders>
                  <w:vAlign w:val="center"/>
                </w:tcPr>
                <w:p w14:paraId="76664E3E">
                  <w:pPr>
                    <w:tabs>
                      <w:tab w:val="left" w:pos="0"/>
                    </w:tabs>
                    <w:adjustRightInd w:val="0"/>
                    <w:snapToGrid w:val="0"/>
                    <w:jc w:val="center"/>
                    <w:rPr>
                      <w:rFonts w:ascii="Times New Roman" w:hAnsi="Times New Roman" w:eastAsia="宋体" w:cs="Times New Roman"/>
                      <w:color w:val="auto"/>
                      <w:spacing w:val="6"/>
                      <w:szCs w:val="21"/>
                      <w:highlight w:val="none"/>
                    </w:rPr>
                  </w:pPr>
                  <w:r>
                    <w:rPr>
                      <w:rFonts w:hint="eastAsia" w:ascii="Times New Roman" w:hAnsi="Times New Roman" w:eastAsia="宋体" w:cs="Times New Roman"/>
                      <w:color w:val="auto"/>
                      <w:spacing w:val="6"/>
                      <w:szCs w:val="21"/>
                      <w:highlight w:val="none"/>
                    </w:rPr>
                    <w:t>要求</w:t>
                  </w:r>
                </w:p>
              </w:tc>
              <w:tc>
                <w:tcPr>
                  <w:tcW w:w="1848" w:type="pct"/>
                  <w:tcBorders>
                    <w:tl2br w:val="nil"/>
                    <w:tr2bl w:val="nil"/>
                  </w:tcBorders>
                  <w:vAlign w:val="center"/>
                </w:tcPr>
                <w:p w14:paraId="597E6671">
                  <w:pPr>
                    <w:tabs>
                      <w:tab w:val="left" w:pos="0"/>
                    </w:tabs>
                    <w:adjustRightInd w:val="0"/>
                    <w:snapToGrid w:val="0"/>
                    <w:jc w:val="center"/>
                    <w:rPr>
                      <w:rFonts w:ascii="Times New Roman" w:hAnsi="Times New Roman" w:eastAsia="宋体" w:cs="Times New Roman"/>
                      <w:color w:val="auto"/>
                      <w:spacing w:val="6"/>
                      <w:szCs w:val="21"/>
                      <w:highlight w:val="none"/>
                    </w:rPr>
                  </w:pPr>
                  <w:r>
                    <w:rPr>
                      <w:rFonts w:hint="eastAsia" w:ascii="Times New Roman" w:hAnsi="Times New Roman" w:eastAsia="宋体" w:cs="Times New Roman"/>
                      <w:color w:val="auto"/>
                      <w:spacing w:val="6"/>
                      <w:szCs w:val="21"/>
                      <w:highlight w:val="none"/>
                    </w:rPr>
                    <w:t>符合性分析</w:t>
                  </w:r>
                </w:p>
              </w:tc>
            </w:tr>
            <w:tr w14:paraId="148BC11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818" w:hRule="atLeast"/>
                <w:jc w:val="center"/>
              </w:trPr>
              <w:tc>
                <w:tcPr>
                  <w:tcW w:w="492" w:type="pct"/>
                  <w:gridSpan w:val="2"/>
                  <w:tcBorders>
                    <w:tl2br w:val="nil"/>
                    <w:tr2bl w:val="nil"/>
                  </w:tcBorders>
                  <w:vAlign w:val="center"/>
                </w:tcPr>
                <w:p w14:paraId="730F11C3">
                  <w:pPr>
                    <w:tabs>
                      <w:tab w:val="left" w:pos="0"/>
                    </w:tabs>
                    <w:adjustRightInd w:val="0"/>
                    <w:snapToGrid w:val="0"/>
                    <w:jc w:val="center"/>
                    <w:rPr>
                      <w:rFonts w:ascii="Times New Roman" w:hAnsi="Times New Roman" w:eastAsia="宋体" w:cs="Times New Roman"/>
                      <w:color w:val="auto"/>
                      <w:spacing w:val="6"/>
                      <w:szCs w:val="21"/>
                      <w:highlight w:val="none"/>
                    </w:rPr>
                  </w:pPr>
                  <w:r>
                    <w:rPr>
                      <w:rFonts w:hint="eastAsia" w:ascii="Times New Roman" w:hAnsi="Times New Roman" w:eastAsia="宋体" w:cs="Times New Roman"/>
                      <w:color w:val="auto"/>
                      <w:spacing w:val="6"/>
                      <w:szCs w:val="21"/>
                      <w:highlight w:val="none"/>
                    </w:rPr>
                    <w:t>空间布局约束</w:t>
                  </w:r>
                </w:p>
              </w:tc>
              <w:tc>
                <w:tcPr>
                  <w:tcW w:w="2658" w:type="pct"/>
                  <w:tcBorders>
                    <w:tl2br w:val="nil"/>
                    <w:tr2bl w:val="nil"/>
                  </w:tcBorders>
                  <w:vAlign w:val="center"/>
                </w:tcPr>
                <w:p w14:paraId="42D46A34">
                  <w:pPr>
                    <w:tabs>
                      <w:tab w:val="left" w:pos="0"/>
                    </w:tabs>
                    <w:adjustRightInd w:val="0"/>
                    <w:snapToGrid w:val="0"/>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1.新建、改建、扩建“两高”项目须符合生态环境保护法律法规和相关法定规划，满足重点污染物排放总量控制、碳排放达峰目标、生态环境准入清单、相关规划环评和相应行业建设项目环境准入条件、环评文件审批原则要求。</w:t>
                  </w:r>
                </w:p>
                <w:p w14:paraId="5637E365">
                  <w:pPr>
                    <w:tabs>
                      <w:tab w:val="left" w:pos="0"/>
                    </w:tabs>
                    <w:adjustRightInd w:val="0"/>
                    <w:snapToGrid w:val="0"/>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2.新建“两高”项目应按照《关于加强重点行业建设项目区域削减措施监督管理的通知》(环环评</w:t>
                  </w:r>
                  <w:r>
                    <w:rPr>
                      <w:rFonts w:hint="eastAsia" w:ascii="Times New Roman" w:hAnsi="Times New Roman" w:eastAsia="宋体" w:cs="Times New Roman"/>
                      <w:color w:val="auto"/>
                      <w:highlight w:val="none"/>
                      <w:lang w:eastAsia="zh-CN"/>
                    </w:rPr>
                    <w:t>〔2021〕45号</w:t>
                  </w:r>
                  <w:r>
                    <w:rPr>
                      <w:rFonts w:hint="eastAsia" w:ascii="Times New Roman" w:hAnsi="Times New Roman" w:eastAsia="宋体" w:cs="Times New Roman"/>
                      <w:color w:val="auto"/>
                      <w:highlight w:val="none"/>
                    </w:rPr>
                    <w:t>)要求依据区域环境质量改善目标，制定配套区域污染物削减方案，采取有效的污染物区域削减措施，腾出足够的环境容量。</w:t>
                  </w:r>
                </w:p>
                <w:p w14:paraId="18DB90DA">
                  <w:pPr>
                    <w:tabs>
                      <w:tab w:val="left" w:pos="0"/>
                    </w:tabs>
                    <w:adjustRightInd w:val="0"/>
                    <w:snapToGrid w:val="0"/>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3.新建、扩建“两高"项目应采用先进适用的工艺技术和装备，单位产品物耗、能耗、水耗等达到清洁生产先进水平，依法制定并严格落实防治土壤与地下水污染的措施。</w:t>
                  </w:r>
                </w:p>
                <w:p w14:paraId="08323AA3">
                  <w:pPr>
                    <w:tabs>
                      <w:tab w:val="left" w:pos="0"/>
                    </w:tabs>
                    <w:adjustRightInd w:val="0"/>
                    <w:snapToGrid w:val="0"/>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4.对纳入生态保护红线的区域，原则上按照禁止开发区域进行管理，严格禁止开发性、生产性建设活动，在符合现行法律法规前提下，除国家重大战略项目外，仅允许对生态功能不造成破坏的有限人为活动。</w:t>
                  </w:r>
                </w:p>
                <w:p w14:paraId="09D5EA82">
                  <w:pPr>
                    <w:tabs>
                      <w:tab w:val="left" w:pos="0"/>
                    </w:tabs>
                    <w:adjustRightInd w:val="0"/>
                    <w:snapToGrid w:val="0"/>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5.在禁养区内禁止新建规模化畜禽养殖项目。</w:t>
                  </w:r>
                </w:p>
                <w:p w14:paraId="39ABA414">
                  <w:pPr>
                    <w:tabs>
                      <w:tab w:val="left" w:pos="0"/>
                    </w:tabs>
                    <w:adjustRightInd w:val="0"/>
                    <w:snapToGrid w:val="0"/>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6.严格控制新建、扩建钢铁、焦化、建材、化工、有色金属等高排放、高污染项目。在居民住宅区等人口密集区域和医院、学校、幼儿园、养老院等其他需要特殊保护的区域及其周边，不得新建、改建和扩建制药、油漆、塑料、橡胶、造纸、饲料等易产生恶臭气体的生产项目或者从事其他产生恶臭气体的生产经营活动。已建成的，应当限期搬迁。</w:t>
                  </w:r>
                </w:p>
                <w:p w14:paraId="6F596ACB">
                  <w:pPr>
                    <w:tabs>
                      <w:tab w:val="left" w:pos="0"/>
                    </w:tabs>
                    <w:adjustRightInd w:val="0"/>
                    <w:snapToGrid w:val="0"/>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7.禁止在居民区和学校、医院、疗养院、养老院、幼儿园等单位周边新建、改建、扩建可能造成土壤污染的建设项目。</w:t>
                  </w:r>
                </w:p>
                <w:p w14:paraId="7954E827">
                  <w:pPr>
                    <w:tabs>
                      <w:tab w:val="left" w:pos="0"/>
                    </w:tabs>
                    <w:adjustRightInd w:val="0"/>
                    <w:snapToGrid w:val="0"/>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8.禁止新增钢铁、焦化、铸造、水泥、平板玻璃等产能;确有必要新建的，应当严格执行产能置换，符合区域、行业规划环评规定。</w:t>
                  </w:r>
                </w:p>
              </w:tc>
              <w:tc>
                <w:tcPr>
                  <w:tcW w:w="1848" w:type="pct"/>
                  <w:tcBorders>
                    <w:tl2br w:val="nil"/>
                    <w:tr2bl w:val="nil"/>
                  </w:tcBorders>
                  <w:vAlign w:val="center"/>
                </w:tcPr>
                <w:p w14:paraId="35F90E64">
                  <w:pPr>
                    <w:tabs>
                      <w:tab w:val="left" w:pos="0"/>
                    </w:tabs>
                    <w:adjustRightInd w:val="0"/>
                    <w:snapToGrid w:val="0"/>
                    <w:rPr>
                      <w:rFonts w:hint="eastAsia" w:ascii="Times New Roman" w:hAnsi="Times New Roman" w:eastAsia="宋体" w:cs="Times New Roman"/>
                      <w:color w:val="auto"/>
                      <w:spacing w:val="6"/>
                      <w:szCs w:val="21"/>
                      <w:highlight w:val="none"/>
                      <w:lang w:eastAsia="zh-CN"/>
                    </w:rPr>
                  </w:pPr>
                  <w:r>
                    <w:rPr>
                      <w:rFonts w:hint="eastAsia" w:ascii="Times New Roman" w:hAnsi="Times New Roman" w:eastAsia="宋体" w:cs="Times New Roman"/>
                      <w:color w:val="auto"/>
                      <w:spacing w:val="6"/>
                      <w:szCs w:val="21"/>
                      <w:highlight w:val="none"/>
                      <w:lang w:val="en-US" w:eastAsia="zh-CN"/>
                    </w:rPr>
                    <w:t>1.</w:t>
                  </w:r>
                  <w:r>
                    <w:rPr>
                      <w:rFonts w:hint="eastAsia" w:ascii="Times New Roman" w:hAnsi="Times New Roman" w:eastAsia="宋体" w:cs="Times New Roman"/>
                      <w:color w:val="auto"/>
                      <w:spacing w:val="6"/>
                      <w:szCs w:val="21"/>
                      <w:highlight w:val="none"/>
                    </w:rPr>
                    <w:t>本项目为风力发电项目，属清洁能源类项目，非高耗能，高排放类项目</w:t>
                  </w:r>
                  <w:r>
                    <w:rPr>
                      <w:rFonts w:hint="eastAsia" w:ascii="Times New Roman" w:hAnsi="Times New Roman" w:eastAsia="宋体" w:cs="Times New Roman"/>
                      <w:color w:val="auto"/>
                      <w:spacing w:val="6"/>
                      <w:szCs w:val="21"/>
                      <w:highlight w:val="none"/>
                      <w:lang w:eastAsia="zh-CN"/>
                    </w:rPr>
                    <w:t>。</w:t>
                  </w:r>
                </w:p>
                <w:p w14:paraId="3D6CD3EE">
                  <w:pPr>
                    <w:tabs>
                      <w:tab w:val="left" w:pos="0"/>
                    </w:tabs>
                    <w:adjustRightInd w:val="0"/>
                    <w:snapToGrid w:val="0"/>
                    <w:rPr>
                      <w:rFonts w:ascii="Times New Roman" w:hAnsi="Times New Roman" w:eastAsia="宋体" w:cs="Times New Roman"/>
                      <w:color w:val="auto"/>
                      <w:spacing w:val="6"/>
                      <w:szCs w:val="21"/>
                      <w:highlight w:val="none"/>
                    </w:rPr>
                  </w:pPr>
                  <w:r>
                    <w:rPr>
                      <w:rFonts w:hint="eastAsia" w:ascii="Times New Roman" w:hAnsi="Times New Roman" w:eastAsia="宋体" w:cs="Times New Roman"/>
                      <w:color w:val="auto"/>
                      <w:spacing w:val="6"/>
                      <w:szCs w:val="21"/>
                      <w:highlight w:val="none"/>
                      <w:lang w:val="en-US" w:eastAsia="zh-CN"/>
                    </w:rPr>
                    <w:t>2.</w:t>
                  </w:r>
                  <w:r>
                    <w:rPr>
                      <w:rFonts w:hint="default" w:ascii="Times New Roman" w:hAnsi="Times New Roman" w:eastAsia="宋体" w:cs="Times New Roman"/>
                      <w:color w:val="auto"/>
                      <w:spacing w:val="6"/>
                      <w:szCs w:val="21"/>
                      <w:highlight w:val="none"/>
                      <w:lang w:val="en-US" w:eastAsia="zh-CN"/>
                    </w:rPr>
                    <w:t>根据《长治市2023年度生态环境分区管控动态更新成果公告》</w:t>
                  </w:r>
                  <w:r>
                    <w:rPr>
                      <w:rFonts w:hint="default" w:ascii="Times New Roman" w:hAnsi="Times New Roman" w:eastAsia="宋体" w:cs="Times New Roman"/>
                      <w:color w:val="auto"/>
                      <w:spacing w:val="6"/>
                      <w:szCs w:val="21"/>
                      <w:highlight w:val="none"/>
                    </w:rPr>
                    <w:t>可知</w:t>
                  </w:r>
                  <w:r>
                    <w:rPr>
                      <w:rFonts w:hint="default" w:ascii="Times New Roman" w:hAnsi="Times New Roman" w:eastAsia="宋体" w:cs="Times New Roman"/>
                      <w:color w:val="auto"/>
                      <w:spacing w:val="6"/>
                      <w:szCs w:val="21"/>
                      <w:highlight w:val="none"/>
                      <w:lang w:eastAsia="zh-CN"/>
                    </w:rPr>
                    <w:t>，</w:t>
                  </w:r>
                  <w:r>
                    <w:rPr>
                      <w:rFonts w:hint="default" w:ascii="Times New Roman" w:hAnsi="Times New Roman" w:eastAsia="宋体" w:cs="Times New Roman"/>
                      <w:color w:val="auto"/>
                      <w:spacing w:val="6"/>
                      <w:szCs w:val="21"/>
                      <w:highlight w:val="none"/>
                    </w:rPr>
                    <w:t>本项目</w:t>
                  </w:r>
                  <w:r>
                    <w:rPr>
                      <w:rFonts w:hint="default" w:ascii="Times New Roman" w:hAnsi="Times New Roman" w:eastAsia="宋体" w:cs="Times New Roman"/>
                      <w:color w:val="auto"/>
                      <w:spacing w:val="6"/>
                      <w:szCs w:val="21"/>
                      <w:highlight w:val="none"/>
                      <w:lang w:val="en-US" w:eastAsia="zh-CN"/>
                    </w:rPr>
                    <w:t>风机</w:t>
                  </w:r>
                  <w:r>
                    <w:rPr>
                      <w:rFonts w:hint="default" w:ascii="Times New Roman" w:hAnsi="Times New Roman" w:eastAsia="宋体" w:cs="Times New Roman"/>
                      <w:color w:val="auto"/>
                      <w:spacing w:val="6"/>
                      <w:szCs w:val="21"/>
                      <w:highlight w:val="none"/>
                    </w:rPr>
                    <w:t>位于</w:t>
                  </w:r>
                  <w:r>
                    <w:rPr>
                      <w:rFonts w:hint="default" w:ascii="Times New Roman" w:hAnsi="Times New Roman" w:eastAsia="宋体" w:cs="Times New Roman"/>
                      <w:color w:val="auto"/>
                      <w:spacing w:val="6"/>
                      <w:szCs w:val="21"/>
                      <w:highlight w:val="none"/>
                      <w:lang w:val="en-US" w:eastAsia="zh-CN"/>
                    </w:rPr>
                    <w:t>壶关县太行山水源涵养与水土保持一般生态空间优先保护单元和长治市壶关县一般管控单元</w:t>
                  </w:r>
                  <w:r>
                    <w:rPr>
                      <w:rFonts w:hint="default" w:ascii="Times New Roman" w:hAnsi="Times New Roman" w:eastAsia="宋体" w:cs="Times New Roman"/>
                      <w:color w:val="auto"/>
                      <w:spacing w:val="6"/>
                      <w:szCs w:val="21"/>
                      <w:highlight w:val="none"/>
                      <w:lang w:eastAsia="zh-CN"/>
                    </w:rPr>
                    <w:t>，</w:t>
                  </w:r>
                  <w:r>
                    <w:rPr>
                      <w:rFonts w:hint="default" w:ascii="Times New Roman" w:hAnsi="Times New Roman" w:eastAsia="宋体" w:cs="Times New Roman"/>
                      <w:color w:val="auto"/>
                      <w:spacing w:val="6"/>
                      <w:szCs w:val="21"/>
                      <w:highlight w:val="none"/>
                      <w:lang w:val="en-US" w:eastAsia="zh-CN"/>
                    </w:rPr>
                    <w:t>因此本项目风机不占用生态保护红线；6台风机吊装平台共涉及占用生态保护红线1.5703hm</w:t>
                  </w:r>
                  <w:r>
                    <w:rPr>
                      <w:rFonts w:hint="default" w:ascii="Times New Roman" w:hAnsi="Times New Roman" w:eastAsia="宋体" w:cs="Times New Roman"/>
                      <w:color w:val="auto"/>
                      <w:spacing w:val="6"/>
                      <w:szCs w:val="21"/>
                      <w:highlight w:val="none"/>
                      <w:vertAlign w:val="superscript"/>
                      <w:lang w:val="en-US" w:eastAsia="zh-CN"/>
                    </w:rPr>
                    <w:t>2</w:t>
                  </w:r>
                  <w:r>
                    <w:rPr>
                      <w:rFonts w:hint="default" w:ascii="Times New Roman" w:hAnsi="Times New Roman" w:eastAsia="宋体" w:cs="Times New Roman"/>
                      <w:color w:val="auto"/>
                      <w:spacing w:val="6"/>
                      <w:szCs w:val="21"/>
                      <w:highlight w:val="none"/>
                      <w:lang w:val="en-US" w:eastAsia="zh-CN"/>
                    </w:rPr>
                    <w:t>，占用生态保护红线属太行山水源涵养生态保护红线，生态功能为水源涵养，红线类型属于一般控制区，不涉及自然保护地，目前《中节能壶关县乡村振兴50MW风电项目临时用地必须且不可避让生态保护红线和减缓生态环境影响措施论证报告》已出具专家论证意见；2025年12月16日，壶关县自然资源局出具了《关于中节能壶关县乡村振兴50MW风电项目符合生态保护红线内允许开展的有限人为活动有关规定的认定意见》，本项目集电线路位于生态保护红线内路径长约13.2436km，涉及生态红线内的塔基占地面积0.4000hm</w:t>
                  </w:r>
                  <w:r>
                    <w:rPr>
                      <w:rFonts w:hint="default" w:ascii="Times New Roman" w:hAnsi="Times New Roman" w:eastAsia="宋体" w:cs="Times New Roman"/>
                      <w:color w:val="auto"/>
                      <w:spacing w:val="6"/>
                      <w:szCs w:val="21"/>
                      <w:highlight w:val="none"/>
                      <w:vertAlign w:val="superscript"/>
                      <w:lang w:val="en-US" w:eastAsia="zh-CN"/>
                    </w:rPr>
                    <w:t>2</w:t>
                  </w:r>
                  <w:r>
                    <w:rPr>
                      <w:rFonts w:hint="default" w:ascii="Times New Roman" w:hAnsi="Times New Roman" w:eastAsia="宋体" w:cs="Times New Roman"/>
                      <w:color w:val="auto"/>
                      <w:spacing w:val="6"/>
                      <w:szCs w:val="21"/>
                      <w:highlight w:val="none"/>
                      <w:lang w:val="en-US" w:eastAsia="zh-CN"/>
                    </w:rPr>
                    <w:t>，涉及的生态保护红线为太行山水源涵养生态保护红线一般控制区；</w:t>
                  </w:r>
                  <w:r>
                    <w:rPr>
                      <w:rFonts w:hint="eastAsia" w:cs="Times New Roman"/>
                      <w:color w:val="auto"/>
                      <w:spacing w:val="6"/>
                      <w:szCs w:val="21"/>
                      <w:highlight w:val="none"/>
                      <w:lang w:val="en-US" w:eastAsia="zh-CN"/>
                    </w:rPr>
                    <w:t>本项目道路全部利用森林防火通道</w:t>
                  </w:r>
                  <w:r>
                    <w:rPr>
                      <w:rFonts w:hint="default" w:ascii="Times New Roman" w:hAnsi="Times New Roman" w:eastAsia="宋体" w:cs="Times New Roman"/>
                      <w:color w:val="auto"/>
                      <w:spacing w:val="6"/>
                      <w:szCs w:val="21"/>
                      <w:highlight w:val="none"/>
                      <w:lang w:val="en-US" w:eastAsia="zh-CN"/>
                    </w:rPr>
                    <w:t>，无新建道路。</w:t>
                  </w:r>
                </w:p>
              </w:tc>
            </w:tr>
            <w:tr w14:paraId="40443F8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40" w:hRule="atLeast"/>
                <w:jc w:val="center"/>
              </w:trPr>
              <w:tc>
                <w:tcPr>
                  <w:tcW w:w="492" w:type="pct"/>
                  <w:gridSpan w:val="2"/>
                  <w:tcBorders>
                    <w:tl2br w:val="nil"/>
                    <w:tr2bl w:val="nil"/>
                  </w:tcBorders>
                  <w:vAlign w:val="center"/>
                </w:tcPr>
                <w:p w14:paraId="2B95E6C8">
                  <w:pPr>
                    <w:tabs>
                      <w:tab w:val="left" w:pos="0"/>
                    </w:tabs>
                    <w:adjustRightInd w:val="0"/>
                    <w:snapToGrid w:val="0"/>
                    <w:jc w:val="center"/>
                    <w:rPr>
                      <w:rFonts w:ascii="Times New Roman" w:hAnsi="Times New Roman" w:eastAsia="宋体" w:cs="Times New Roman"/>
                      <w:color w:val="auto"/>
                      <w:spacing w:val="6"/>
                      <w:szCs w:val="21"/>
                      <w:highlight w:val="none"/>
                    </w:rPr>
                  </w:pPr>
                  <w:r>
                    <w:rPr>
                      <w:rFonts w:hint="eastAsia" w:ascii="Times New Roman" w:hAnsi="Times New Roman" w:eastAsia="宋体" w:cs="Times New Roman"/>
                      <w:color w:val="auto"/>
                      <w:spacing w:val="6"/>
                      <w:szCs w:val="21"/>
                      <w:highlight w:val="none"/>
                    </w:rPr>
                    <w:t>污染物排放管控</w:t>
                  </w:r>
                </w:p>
              </w:tc>
              <w:tc>
                <w:tcPr>
                  <w:tcW w:w="2658" w:type="pct"/>
                  <w:tcBorders>
                    <w:tl2br w:val="nil"/>
                    <w:tr2bl w:val="nil"/>
                  </w:tcBorders>
                  <w:vAlign w:val="center"/>
                </w:tcPr>
                <w:p w14:paraId="455D61F6">
                  <w:pPr>
                    <w:tabs>
                      <w:tab w:val="left" w:pos="0"/>
                    </w:tabs>
                    <w:adjustRightInd w:val="0"/>
                    <w:snapToGrid w:val="0"/>
                    <w:rPr>
                      <w:rFonts w:ascii="Times New Roman" w:hAnsi="Times New Roman" w:eastAsia="宋体" w:cs="Times New Roman"/>
                      <w:color w:val="auto"/>
                      <w:spacing w:val="6"/>
                      <w:szCs w:val="21"/>
                      <w:highlight w:val="none"/>
                    </w:rPr>
                  </w:pPr>
                  <w:r>
                    <w:rPr>
                      <w:rFonts w:hint="eastAsia" w:ascii="Times New Roman" w:hAnsi="Times New Roman" w:eastAsia="宋体" w:cs="Times New Roman"/>
                      <w:color w:val="auto"/>
                      <w:spacing w:val="6"/>
                      <w:szCs w:val="21"/>
                      <w:highlight w:val="none"/>
                    </w:rPr>
                    <w:t>1.污染物排放总量严格落实“十四五”相关目标指标。</w:t>
                  </w:r>
                </w:p>
                <w:p w14:paraId="45798581">
                  <w:pPr>
                    <w:tabs>
                      <w:tab w:val="left" w:pos="0"/>
                    </w:tabs>
                    <w:adjustRightInd w:val="0"/>
                    <w:snapToGrid w:val="0"/>
                    <w:rPr>
                      <w:rFonts w:ascii="Times New Roman" w:hAnsi="Times New Roman" w:eastAsia="宋体" w:cs="Times New Roman"/>
                      <w:color w:val="auto"/>
                      <w:spacing w:val="6"/>
                      <w:szCs w:val="21"/>
                      <w:highlight w:val="none"/>
                    </w:rPr>
                  </w:pPr>
                  <w:r>
                    <w:rPr>
                      <w:rFonts w:hint="eastAsia" w:ascii="Times New Roman" w:hAnsi="Times New Roman" w:eastAsia="宋体" w:cs="Times New Roman"/>
                      <w:color w:val="auto"/>
                      <w:spacing w:val="6"/>
                      <w:szCs w:val="21"/>
                      <w:highlight w:val="none"/>
                    </w:rPr>
                    <w:t>2.工业企业废水及生活污水(含浓盐水等清净下水)处理设施出水水质达到《污水综合排放标准》(DB14/ 1928 -2019)要求，其它指标达行业特别排放限值，将废污水排入城镇排水设施的所有工业、医疗机构执行排水许可证要求。</w:t>
                  </w:r>
                </w:p>
                <w:p w14:paraId="77072B14">
                  <w:pPr>
                    <w:tabs>
                      <w:tab w:val="left" w:pos="0"/>
                    </w:tabs>
                    <w:adjustRightInd w:val="0"/>
                    <w:snapToGrid w:val="0"/>
                    <w:rPr>
                      <w:rFonts w:ascii="Times New Roman" w:hAnsi="Times New Roman" w:eastAsia="宋体" w:cs="Times New Roman"/>
                      <w:color w:val="auto"/>
                      <w:spacing w:val="6"/>
                      <w:szCs w:val="21"/>
                      <w:highlight w:val="none"/>
                    </w:rPr>
                  </w:pPr>
                  <w:r>
                    <w:rPr>
                      <w:rFonts w:hint="eastAsia" w:ascii="Times New Roman" w:hAnsi="Times New Roman" w:eastAsia="宋体" w:cs="Times New Roman"/>
                      <w:color w:val="auto"/>
                      <w:spacing w:val="6"/>
                      <w:szCs w:val="21"/>
                      <w:highlight w:val="none"/>
                    </w:rPr>
                    <w:t>3.火电、炼钢行业执行超低排放标准。</w:t>
                  </w:r>
                </w:p>
                <w:p w14:paraId="5EB1A3F6">
                  <w:pPr>
                    <w:tabs>
                      <w:tab w:val="left" w:pos="0"/>
                    </w:tabs>
                    <w:adjustRightInd w:val="0"/>
                    <w:snapToGrid w:val="0"/>
                    <w:rPr>
                      <w:rFonts w:ascii="Times New Roman" w:hAnsi="Times New Roman" w:eastAsia="宋体" w:cs="Times New Roman"/>
                      <w:color w:val="auto"/>
                      <w:spacing w:val="6"/>
                      <w:szCs w:val="21"/>
                      <w:highlight w:val="none"/>
                    </w:rPr>
                  </w:pPr>
                  <w:r>
                    <w:rPr>
                      <w:rFonts w:hint="eastAsia" w:ascii="Times New Roman" w:hAnsi="Times New Roman" w:eastAsia="宋体" w:cs="Times New Roman"/>
                      <w:color w:val="auto"/>
                      <w:spacing w:val="6"/>
                      <w:szCs w:val="21"/>
                      <w:highlight w:val="none"/>
                    </w:rPr>
                    <w:t>4.焦化、水泥行业按要求完成超低排放改造，污染物排放执行超低排放标准。</w:t>
                  </w:r>
                </w:p>
                <w:p w14:paraId="6F2FB668">
                  <w:pPr>
                    <w:tabs>
                      <w:tab w:val="left" w:pos="0"/>
                    </w:tabs>
                    <w:adjustRightInd w:val="0"/>
                    <w:snapToGrid w:val="0"/>
                    <w:rPr>
                      <w:rFonts w:ascii="Times New Roman" w:hAnsi="Times New Roman" w:eastAsia="宋体" w:cs="Times New Roman"/>
                      <w:color w:val="auto"/>
                      <w:spacing w:val="6"/>
                      <w:szCs w:val="21"/>
                      <w:highlight w:val="none"/>
                    </w:rPr>
                  </w:pPr>
                  <w:r>
                    <w:rPr>
                      <w:rFonts w:hint="eastAsia" w:ascii="Times New Roman" w:hAnsi="Times New Roman" w:eastAsia="宋体" w:cs="Times New Roman"/>
                      <w:color w:val="auto"/>
                      <w:spacing w:val="6"/>
                      <w:szCs w:val="21"/>
                      <w:highlight w:val="none"/>
                    </w:rPr>
                    <w:t>5.加强建筑施工扬尘动态监管，严格落实“六个百分之百”防治措施。</w:t>
                  </w:r>
                </w:p>
                <w:p w14:paraId="7D47BDD8">
                  <w:pPr>
                    <w:tabs>
                      <w:tab w:val="left" w:pos="0"/>
                    </w:tabs>
                    <w:adjustRightInd w:val="0"/>
                    <w:snapToGrid w:val="0"/>
                    <w:rPr>
                      <w:rFonts w:ascii="Times New Roman" w:hAnsi="Times New Roman" w:eastAsia="宋体" w:cs="Times New Roman"/>
                      <w:color w:val="auto"/>
                      <w:spacing w:val="6"/>
                      <w:szCs w:val="21"/>
                      <w:highlight w:val="none"/>
                    </w:rPr>
                  </w:pPr>
                  <w:r>
                    <w:rPr>
                      <w:rFonts w:hint="eastAsia" w:ascii="Times New Roman" w:hAnsi="Times New Roman" w:eastAsia="宋体" w:cs="Times New Roman"/>
                      <w:color w:val="auto"/>
                      <w:spacing w:val="6"/>
                      <w:szCs w:val="21"/>
                      <w:highlight w:val="none"/>
                    </w:rPr>
                    <w:t>6.贮存煤炭、煤矸石、煤渣、煤灰、水泥、石灰、石膏、砂土等易产生扬尘的物料应当密闭，并采取有效抑尘措施。</w:t>
                  </w:r>
                </w:p>
                <w:p w14:paraId="05FC024F">
                  <w:pPr>
                    <w:tabs>
                      <w:tab w:val="left" w:pos="0"/>
                    </w:tabs>
                    <w:adjustRightInd w:val="0"/>
                    <w:snapToGrid w:val="0"/>
                    <w:rPr>
                      <w:rFonts w:ascii="Times New Roman" w:hAnsi="Times New Roman" w:eastAsia="宋体" w:cs="Times New Roman"/>
                      <w:color w:val="auto"/>
                      <w:spacing w:val="6"/>
                      <w:szCs w:val="21"/>
                      <w:highlight w:val="none"/>
                    </w:rPr>
                  </w:pPr>
                  <w:r>
                    <w:rPr>
                      <w:rFonts w:hint="eastAsia" w:ascii="Times New Roman" w:hAnsi="Times New Roman" w:eastAsia="宋体" w:cs="Times New Roman"/>
                      <w:color w:val="auto"/>
                      <w:spacing w:val="6"/>
                      <w:szCs w:val="21"/>
                      <w:highlight w:val="none"/>
                    </w:rPr>
                    <w:t>7.运输煤炭、垃圾、渣土、砂石、土方、灰浆等散装、流体物料的车辆应当采取密闭或者其他措施防止物料遗撒造成扬尘污染，并按照规定路线行驶。</w:t>
                  </w:r>
                </w:p>
                <w:p w14:paraId="50A75A65">
                  <w:pPr>
                    <w:tabs>
                      <w:tab w:val="left" w:pos="0"/>
                    </w:tabs>
                    <w:adjustRightInd w:val="0"/>
                    <w:snapToGrid w:val="0"/>
                    <w:rPr>
                      <w:rFonts w:ascii="Times New Roman" w:hAnsi="Times New Roman" w:eastAsia="宋体" w:cs="Times New Roman"/>
                      <w:color w:val="auto"/>
                      <w:spacing w:val="6"/>
                      <w:szCs w:val="21"/>
                      <w:highlight w:val="none"/>
                    </w:rPr>
                  </w:pPr>
                  <w:r>
                    <w:rPr>
                      <w:rFonts w:hint="eastAsia" w:ascii="Times New Roman" w:hAnsi="Times New Roman" w:eastAsia="宋体" w:cs="Times New Roman"/>
                      <w:color w:val="auto"/>
                      <w:spacing w:val="6"/>
                      <w:szCs w:val="21"/>
                      <w:highlight w:val="none"/>
                    </w:rPr>
                    <w:t>8.从事有色金属矿采选、有色金属冶炼、铅蓄电池制造、皮革及其制品制造、化学原料以及化学制品制造、电镀等的单位，应当执行重金属污染物排放总量控制制度。</w:t>
                  </w:r>
                </w:p>
              </w:tc>
              <w:tc>
                <w:tcPr>
                  <w:tcW w:w="1848" w:type="pct"/>
                  <w:tcBorders>
                    <w:tl2br w:val="nil"/>
                    <w:tr2bl w:val="nil"/>
                  </w:tcBorders>
                  <w:vAlign w:val="center"/>
                </w:tcPr>
                <w:p w14:paraId="2A86820C">
                  <w:pPr>
                    <w:tabs>
                      <w:tab w:val="left" w:pos="0"/>
                    </w:tabs>
                    <w:adjustRightInd w:val="0"/>
                    <w:snapToGrid w:val="0"/>
                    <w:rPr>
                      <w:rFonts w:ascii="Times New Roman" w:hAnsi="Times New Roman" w:eastAsia="宋体" w:cs="Times New Roman"/>
                      <w:color w:val="auto"/>
                      <w:spacing w:val="6"/>
                      <w:szCs w:val="21"/>
                      <w:highlight w:val="none"/>
                    </w:rPr>
                  </w:pPr>
                  <w:r>
                    <w:rPr>
                      <w:rFonts w:hint="eastAsia" w:ascii="Times New Roman" w:hAnsi="Times New Roman" w:eastAsia="宋体" w:cs="Times New Roman"/>
                      <w:color w:val="auto"/>
                      <w:spacing w:val="6"/>
                      <w:szCs w:val="21"/>
                      <w:highlight w:val="none"/>
                    </w:rPr>
                    <w:t>本项目为风力发电项目，不属于“两高”项目，生产过程中不排放废气、废水和废渣，不会对周边土壤和水环境产生污染，采暖采用空调，不新建燃煤自备锅炉。符合污染物排放管控要求。</w:t>
                  </w:r>
                </w:p>
              </w:tc>
            </w:tr>
            <w:tr w14:paraId="5813903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492" w:type="pct"/>
                  <w:gridSpan w:val="2"/>
                  <w:tcBorders>
                    <w:tl2br w:val="nil"/>
                    <w:tr2bl w:val="nil"/>
                  </w:tcBorders>
                  <w:vAlign w:val="center"/>
                </w:tcPr>
                <w:p w14:paraId="5C9BBCAC">
                  <w:pPr>
                    <w:tabs>
                      <w:tab w:val="left" w:pos="0"/>
                    </w:tabs>
                    <w:adjustRightInd w:val="0"/>
                    <w:snapToGrid w:val="0"/>
                    <w:jc w:val="center"/>
                    <w:rPr>
                      <w:rFonts w:ascii="Times New Roman" w:hAnsi="Times New Roman" w:eastAsia="宋体" w:cs="Times New Roman"/>
                      <w:color w:val="auto"/>
                      <w:spacing w:val="6"/>
                      <w:szCs w:val="21"/>
                      <w:highlight w:val="none"/>
                    </w:rPr>
                  </w:pPr>
                  <w:r>
                    <w:rPr>
                      <w:rFonts w:hint="eastAsia" w:ascii="Times New Roman" w:hAnsi="Times New Roman" w:eastAsia="宋体" w:cs="Times New Roman"/>
                      <w:color w:val="auto"/>
                      <w:spacing w:val="6"/>
                      <w:szCs w:val="21"/>
                      <w:highlight w:val="none"/>
                    </w:rPr>
                    <w:t>环境风险防控</w:t>
                  </w:r>
                </w:p>
              </w:tc>
              <w:tc>
                <w:tcPr>
                  <w:tcW w:w="2658" w:type="pct"/>
                  <w:tcBorders>
                    <w:tl2br w:val="nil"/>
                    <w:tr2bl w:val="nil"/>
                  </w:tcBorders>
                  <w:vAlign w:val="center"/>
                </w:tcPr>
                <w:p w14:paraId="539F27AD">
                  <w:pPr>
                    <w:numPr>
                      <w:ilvl w:val="0"/>
                      <w:numId w:val="0"/>
                    </w:numPr>
                    <w:tabs>
                      <w:tab w:val="left" w:pos="0"/>
                    </w:tabs>
                    <w:adjustRightInd w:val="0"/>
                    <w:snapToGrid w:val="0"/>
                    <w:rPr>
                      <w:rFonts w:ascii="Times New Roman" w:hAnsi="Times New Roman" w:eastAsia="宋体" w:cs="Times New Roman"/>
                      <w:color w:val="auto"/>
                      <w:spacing w:val="6"/>
                      <w:szCs w:val="21"/>
                      <w:highlight w:val="none"/>
                    </w:rPr>
                  </w:pPr>
                  <w:r>
                    <w:rPr>
                      <w:rFonts w:hint="eastAsia" w:ascii="Times New Roman" w:hAnsi="Times New Roman" w:eastAsia="宋体" w:cs="Times New Roman"/>
                      <w:color w:val="auto"/>
                      <w:spacing w:val="6"/>
                      <w:szCs w:val="21"/>
                      <w:highlight w:val="none"/>
                      <w:lang w:val="en-US" w:eastAsia="zh-CN"/>
                    </w:rPr>
                    <w:t>1.</w:t>
                  </w:r>
                  <w:r>
                    <w:rPr>
                      <w:rFonts w:hint="eastAsia" w:ascii="Times New Roman" w:hAnsi="Times New Roman" w:eastAsia="宋体" w:cs="Times New Roman"/>
                      <w:color w:val="auto"/>
                      <w:spacing w:val="6"/>
                      <w:szCs w:val="21"/>
                      <w:highlight w:val="none"/>
                    </w:rPr>
                    <w:t>企事业单位和其他生产经营者按照相关规定编制突发环境事件应急预案并向所在地县(区)生态环境部门报备。</w:t>
                  </w:r>
                </w:p>
                <w:p w14:paraId="62647C43">
                  <w:pPr>
                    <w:tabs>
                      <w:tab w:val="left" w:pos="0"/>
                    </w:tabs>
                    <w:adjustRightInd w:val="0"/>
                    <w:snapToGrid w:val="0"/>
                    <w:rPr>
                      <w:rFonts w:ascii="Times New Roman" w:hAnsi="Times New Roman" w:eastAsia="宋体" w:cs="Times New Roman"/>
                      <w:color w:val="auto"/>
                      <w:spacing w:val="6"/>
                      <w:szCs w:val="21"/>
                      <w:highlight w:val="none"/>
                    </w:rPr>
                  </w:pPr>
                  <w:r>
                    <w:rPr>
                      <w:rFonts w:hint="eastAsia" w:ascii="Times New Roman" w:hAnsi="Times New Roman" w:eastAsia="宋体" w:cs="Times New Roman"/>
                      <w:color w:val="auto"/>
                      <w:spacing w:val="6"/>
                      <w:szCs w:val="21"/>
                      <w:highlight w:val="none"/>
                    </w:rPr>
                    <w:t>2.煤矸石、粉煤灰、电石渣等一般工业固体废物贮存、利用、处置要符合相关规范要求。</w:t>
                  </w:r>
                </w:p>
                <w:p w14:paraId="136C0D68">
                  <w:pPr>
                    <w:tabs>
                      <w:tab w:val="left" w:pos="0"/>
                    </w:tabs>
                    <w:adjustRightInd w:val="0"/>
                    <w:snapToGrid w:val="0"/>
                    <w:rPr>
                      <w:rFonts w:ascii="Times New Roman" w:hAnsi="Times New Roman" w:eastAsia="宋体" w:cs="Times New Roman"/>
                      <w:color w:val="auto"/>
                      <w:spacing w:val="6"/>
                      <w:szCs w:val="21"/>
                      <w:highlight w:val="none"/>
                    </w:rPr>
                  </w:pPr>
                  <w:r>
                    <w:rPr>
                      <w:rFonts w:hint="eastAsia" w:ascii="Times New Roman" w:hAnsi="Times New Roman" w:eastAsia="宋体" w:cs="Times New Roman"/>
                      <w:color w:val="auto"/>
                      <w:spacing w:val="6"/>
                      <w:szCs w:val="21"/>
                      <w:highlight w:val="none"/>
                    </w:rPr>
                    <w:t>3.所有危险废物</w:t>
                  </w:r>
                  <w:r>
                    <w:rPr>
                      <w:rFonts w:hint="eastAsia" w:ascii="Times New Roman" w:hAnsi="Times New Roman" w:eastAsia="宋体" w:cs="Times New Roman"/>
                      <w:color w:val="auto"/>
                      <w:spacing w:val="6"/>
                      <w:szCs w:val="21"/>
                      <w:highlight w:val="none"/>
                      <w:lang w:val="en-US" w:eastAsia="zh-CN"/>
                    </w:rPr>
                    <w:t>一</w:t>
                  </w:r>
                  <w:r>
                    <w:rPr>
                      <w:rFonts w:hint="eastAsia" w:ascii="Times New Roman" w:hAnsi="Times New Roman" w:eastAsia="宋体" w:cs="Times New Roman"/>
                      <w:color w:val="auto"/>
                      <w:spacing w:val="6"/>
                      <w:szCs w:val="21"/>
                      <w:highlight w:val="none"/>
                    </w:rPr>
                    <w:t>律规范收集、贮存、转运、利用、处置。</w:t>
                  </w:r>
                </w:p>
                <w:p w14:paraId="3A869F17">
                  <w:pPr>
                    <w:tabs>
                      <w:tab w:val="left" w:pos="0"/>
                    </w:tabs>
                    <w:adjustRightInd w:val="0"/>
                    <w:snapToGrid w:val="0"/>
                    <w:rPr>
                      <w:rFonts w:ascii="Times New Roman" w:hAnsi="Times New Roman" w:eastAsia="宋体" w:cs="Times New Roman"/>
                      <w:color w:val="auto"/>
                      <w:spacing w:val="6"/>
                      <w:szCs w:val="21"/>
                      <w:highlight w:val="none"/>
                    </w:rPr>
                  </w:pPr>
                  <w:r>
                    <w:rPr>
                      <w:rFonts w:hint="eastAsia" w:ascii="Times New Roman" w:hAnsi="Times New Roman" w:eastAsia="宋体" w:cs="Times New Roman"/>
                      <w:color w:val="auto"/>
                      <w:spacing w:val="6"/>
                      <w:szCs w:val="21"/>
                      <w:highlight w:val="none"/>
                    </w:rPr>
                    <w:t>4.严格控制农用地的农药使用量，禁止使用高毒、高残留农药。</w:t>
                  </w:r>
                </w:p>
              </w:tc>
              <w:tc>
                <w:tcPr>
                  <w:tcW w:w="1848" w:type="pct"/>
                  <w:tcBorders>
                    <w:tl2br w:val="nil"/>
                    <w:tr2bl w:val="nil"/>
                  </w:tcBorders>
                  <w:vAlign w:val="center"/>
                </w:tcPr>
                <w:p w14:paraId="42A41FEF">
                  <w:pPr>
                    <w:tabs>
                      <w:tab w:val="left" w:pos="0"/>
                    </w:tabs>
                    <w:adjustRightInd w:val="0"/>
                    <w:snapToGrid w:val="0"/>
                    <w:rPr>
                      <w:rFonts w:ascii="Times New Roman" w:hAnsi="Times New Roman" w:eastAsia="宋体" w:cs="Times New Roman"/>
                      <w:color w:val="auto"/>
                      <w:spacing w:val="6"/>
                      <w:szCs w:val="21"/>
                      <w:highlight w:val="none"/>
                    </w:rPr>
                  </w:pPr>
                  <w:r>
                    <w:rPr>
                      <w:rFonts w:hint="eastAsia" w:ascii="Times New Roman" w:hAnsi="Times New Roman" w:eastAsia="宋体" w:cs="Times New Roman"/>
                      <w:color w:val="auto"/>
                      <w:spacing w:val="6"/>
                      <w:szCs w:val="21"/>
                      <w:highlight w:val="none"/>
                    </w:rPr>
                    <w:t>本项目不属于高风险项目，</w:t>
                  </w:r>
                  <w:r>
                    <w:rPr>
                      <w:rFonts w:hint="eastAsia" w:ascii="Times New Roman" w:hAnsi="Times New Roman" w:eastAsia="宋体" w:cs="Times New Roman"/>
                      <w:color w:val="auto"/>
                      <w:spacing w:val="6"/>
                      <w:szCs w:val="21"/>
                      <w:highlight w:val="none"/>
                      <w:lang w:val="en-US" w:eastAsia="zh-CN"/>
                    </w:rPr>
                    <w:t>风机检修废油和废油桶</w:t>
                  </w:r>
                  <w:r>
                    <w:rPr>
                      <w:rFonts w:hint="eastAsia" w:ascii="Times New Roman" w:hAnsi="Times New Roman" w:eastAsia="宋体" w:cs="Times New Roman"/>
                      <w:color w:val="auto"/>
                      <w:spacing w:val="6"/>
                      <w:szCs w:val="21"/>
                      <w:highlight w:val="none"/>
                    </w:rPr>
                    <w:t>按规范进行收集、贮存、转运、利用、处置。符合环境风险防控要求。</w:t>
                  </w:r>
                </w:p>
              </w:tc>
            </w:tr>
            <w:tr w14:paraId="1F22B31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14" w:hRule="atLeast"/>
                <w:jc w:val="center"/>
              </w:trPr>
              <w:tc>
                <w:tcPr>
                  <w:tcW w:w="246" w:type="pct"/>
                  <w:vMerge w:val="restart"/>
                  <w:tcBorders>
                    <w:tl2br w:val="nil"/>
                    <w:tr2bl w:val="nil"/>
                  </w:tcBorders>
                  <w:vAlign w:val="center"/>
                </w:tcPr>
                <w:p w14:paraId="74093668">
                  <w:pPr>
                    <w:tabs>
                      <w:tab w:val="left" w:pos="0"/>
                    </w:tabs>
                    <w:adjustRightInd w:val="0"/>
                    <w:snapToGrid w:val="0"/>
                    <w:jc w:val="center"/>
                    <w:rPr>
                      <w:rFonts w:ascii="Times New Roman" w:hAnsi="Times New Roman" w:eastAsia="宋体" w:cs="Times New Roman"/>
                      <w:color w:val="auto"/>
                      <w:spacing w:val="6"/>
                      <w:szCs w:val="21"/>
                      <w:highlight w:val="none"/>
                    </w:rPr>
                  </w:pPr>
                  <w:r>
                    <w:rPr>
                      <w:rFonts w:hint="eastAsia" w:ascii="Times New Roman" w:hAnsi="Times New Roman" w:eastAsia="宋体" w:cs="Times New Roman"/>
                      <w:color w:val="auto"/>
                      <w:spacing w:val="6"/>
                      <w:szCs w:val="21"/>
                      <w:highlight w:val="none"/>
                    </w:rPr>
                    <w:t>资源利用效率</w:t>
                  </w:r>
                </w:p>
              </w:tc>
              <w:tc>
                <w:tcPr>
                  <w:tcW w:w="246" w:type="pct"/>
                  <w:tcBorders>
                    <w:tl2br w:val="nil"/>
                    <w:tr2bl w:val="nil"/>
                  </w:tcBorders>
                  <w:vAlign w:val="center"/>
                </w:tcPr>
                <w:p w14:paraId="6BFB7F2E">
                  <w:pPr>
                    <w:tabs>
                      <w:tab w:val="left" w:pos="0"/>
                    </w:tabs>
                    <w:adjustRightInd w:val="0"/>
                    <w:snapToGrid w:val="0"/>
                    <w:jc w:val="center"/>
                    <w:rPr>
                      <w:rFonts w:ascii="Times New Roman" w:hAnsi="Times New Roman" w:eastAsia="宋体" w:cs="Times New Roman"/>
                      <w:color w:val="auto"/>
                      <w:spacing w:val="6"/>
                      <w:szCs w:val="21"/>
                      <w:highlight w:val="none"/>
                    </w:rPr>
                  </w:pPr>
                  <w:r>
                    <w:rPr>
                      <w:rFonts w:hint="eastAsia" w:ascii="Times New Roman" w:hAnsi="Times New Roman" w:eastAsia="宋体" w:cs="Times New Roman"/>
                      <w:color w:val="auto"/>
                      <w:spacing w:val="6"/>
                      <w:szCs w:val="21"/>
                      <w:highlight w:val="none"/>
                    </w:rPr>
                    <w:t>水资源利用</w:t>
                  </w:r>
                </w:p>
              </w:tc>
              <w:tc>
                <w:tcPr>
                  <w:tcW w:w="2658" w:type="pct"/>
                  <w:tcBorders>
                    <w:tl2br w:val="nil"/>
                    <w:tr2bl w:val="nil"/>
                  </w:tcBorders>
                  <w:vAlign w:val="center"/>
                </w:tcPr>
                <w:p w14:paraId="23E16E1D">
                  <w:pPr>
                    <w:tabs>
                      <w:tab w:val="left" w:pos="0"/>
                    </w:tabs>
                    <w:adjustRightInd w:val="0"/>
                    <w:snapToGrid w:val="0"/>
                    <w:rPr>
                      <w:rFonts w:ascii="Times New Roman" w:hAnsi="Times New Roman" w:eastAsia="宋体" w:cs="Times New Roman"/>
                      <w:color w:val="auto"/>
                      <w:spacing w:val="6"/>
                      <w:szCs w:val="21"/>
                      <w:highlight w:val="none"/>
                    </w:rPr>
                  </w:pPr>
                  <w:r>
                    <w:rPr>
                      <w:rFonts w:hint="eastAsia" w:ascii="Times New Roman" w:hAnsi="Times New Roman" w:eastAsia="宋体" w:cs="Times New Roman"/>
                      <w:color w:val="auto"/>
                      <w:spacing w:val="6"/>
                      <w:szCs w:val="21"/>
                      <w:highlight w:val="none"/>
                    </w:rPr>
                    <w:t>1.水资源利用上线严格落实“十四五”相关目标指标。</w:t>
                  </w:r>
                </w:p>
                <w:p w14:paraId="64161FDD">
                  <w:pPr>
                    <w:tabs>
                      <w:tab w:val="left" w:pos="0"/>
                    </w:tabs>
                    <w:adjustRightInd w:val="0"/>
                    <w:snapToGrid w:val="0"/>
                    <w:rPr>
                      <w:rFonts w:ascii="Times New Roman" w:hAnsi="Times New Roman" w:eastAsia="宋体" w:cs="Times New Roman"/>
                      <w:color w:val="auto"/>
                      <w:spacing w:val="6"/>
                      <w:szCs w:val="21"/>
                      <w:highlight w:val="none"/>
                    </w:rPr>
                  </w:pPr>
                  <w:r>
                    <w:rPr>
                      <w:rFonts w:hint="eastAsia" w:ascii="Times New Roman" w:hAnsi="Times New Roman" w:eastAsia="宋体" w:cs="Times New Roman"/>
                      <w:color w:val="auto"/>
                      <w:spacing w:val="6"/>
                      <w:szCs w:val="21"/>
                      <w:highlight w:val="none"/>
                    </w:rPr>
                    <w:t>2.加快推进辛安泉饮用水水源地保护区和泉域重点保护区的保护和生态修复工作。</w:t>
                  </w:r>
                </w:p>
                <w:p w14:paraId="7B90D834">
                  <w:pPr>
                    <w:tabs>
                      <w:tab w:val="left" w:pos="0"/>
                    </w:tabs>
                    <w:adjustRightInd w:val="0"/>
                    <w:snapToGrid w:val="0"/>
                    <w:rPr>
                      <w:rFonts w:ascii="Times New Roman" w:hAnsi="Times New Roman" w:eastAsia="宋体" w:cs="Times New Roman"/>
                      <w:color w:val="auto"/>
                      <w:spacing w:val="6"/>
                      <w:szCs w:val="21"/>
                      <w:highlight w:val="none"/>
                    </w:rPr>
                  </w:pPr>
                  <w:r>
                    <w:rPr>
                      <w:rFonts w:hint="eastAsia" w:ascii="Times New Roman" w:hAnsi="Times New Roman" w:eastAsia="宋体" w:cs="Times New Roman"/>
                      <w:color w:val="auto"/>
                      <w:spacing w:val="6"/>
                      <w:szCs w:val="21"/>
                      <w:highlight w:val="none"/>
                    </w:rPr>
                    <w:t>3.大力推进工业节水改造，鼓励支持企业开展节水技术改造和再生水回用。</w:t>
                  </w:r>
                </w:p>
                <w:p w14:paraId="3A512F70">
                  <w:pPr>
                    <w:tabs>
                      <w:tab w:val="left" w:pos="0"/>
                    </w:tabs>
                    <w:adjustRightInd w:val="0"/>
                    <w:snapToGrid w:val="0"/>
                    <w:rPr>
                      <w:rFonts w:ascii="Times New Roman" w:hAnsi="Times New Roman" w:eastAsia="宋体" w:cs="Times New Roman"/>
                      <w:color w:val="auto"/>
                      <w:spacing w:val="6"/>
                      <w:szCs w:val="21"/>
                      <w:highlight w:val="none"/>
                    </w:rPr>
                  </w:pPr>
                  <w:r>
                    <w:rPr>
                      <w:rFonts w:hint="eastAsia" w:ascii="Times New Roman" w:hAnsi="Times New Roman" w:eastAsia="宋体" w:cs="Times New Roman"/>
                      <w:color w:val="auto"/>
                      <w:spacing w:val="6"/>
                      <w:szCs w:val="21"/>
                      <w:highlight w:val="none"/>
                    </w:rPr>
                    <w:t>4.严格实行水资源管理制度，坚持以水定城、以水定地、以水定人、以水定产，提高水资源集约安全利用水平。</w:t>
                  </w:r>
                </w:p>
                <w:p w14:paraId="00FA1DB2">
                  <w:pPr>
                    <w:tabs>
                      <w:tab w:val="left" w:pos="0"/>
                    </w:tabs>
                    <w:adjustRightInd w:val="0"/>
                    <w:snapToGrid w:val="0"/>
                    <w:rPr>
                      <w:rFonts w:ascii="Times New Roman" w:hAnsi="Times New Roman" w:eastAsia="宋体" w:cs="Times New Roman"/>
                      <w:color w:val="auto"/>
                      <w:spacing w:val="6"/>
                      <w:szCs w:val="21"/>
                      <w:highlight w:val="none"/>
                    </w:rPr>
                  </w:pPr>
                  <w:r>
                    <w:rPr>
                      <w:rFonts w:hint="eastAsia" w:ascii="Times New Roman" w:hAnsi="Times New Roman" w:eastAsia="宋体" w:cs="Times New Roman"/>
                      <w:color w:val="auto"/>
                      <w:spacing w:val="6"/>
                      <w:szCs w:val="21"/>
                      <w:highlight w:val="none"/>
                    </w:rPr>
                    <w:t>5.新建、改建、扩建项目涉及开发利用辛安泉域水资源的必须符合《山西省泉域水资源保护条例》相关规定。</w:t>
                  </w:r>
                </w:p>
              </w:tc>
              <w:tc>
                <w:tcPr>
                  <w:tcW w:w="1848" w:type="pct"/>
                  <w:tcBorders>
                    <w:tl2br w:val="nil"/>
                    <w:tr2bl w:val="nil"/>
                  </w:tcBorders>
                  <w:vAlign w:val="center"/>
                </w:tcPr>
                <w:p w14:paraId="481EF9BE">
                  <w:pPr>
                    <w:tabs>
                      <w:tab w:val="left" w:pos="0"/>
                    </w:tabs>
                    <w:adjustRightInd w:val="0"/>
                    <w:snapToGrid w:val="0"/>
                    <w:rPr>
                      <w:rFonts w:ascii="Times New Roman" w:hAnsi="Times New Roman" w:eastAsia="宋体" w:cs="Times New Roman"/>
                      <w:color w:val="auto"/>
                      <w:spacing w:val="6"/>
                      <w:szCs w:val="21"/>
                      <w:highlight w:val="none"/>
                    </w:rPr>
                  </w:pPr>
                  <w:r>
                    <w:rPr>
                      <w:rFonts w:hint="eastAsia" w:ascii="Times New Roman" w:hAnsi="Times New Roman" w:eastAsia="宋体" w:cs="Times New Roman"/>
                      <w:color w:val="auto"/>
                      <w:spacing w:val="6"/>
                      <w:szCs w:val="21"/>
                      <w:highlight w:val="none"/>
                      <w:lang w:val="en-US" w:eastAsia="zh-CN"/>
                    </w:rPr>
                    <w:t>本</w:t>
                  </w:r>
                  <w:r>
                    <w:rPr>
                      <w:rFonts w:hint="eastAsia" w:ascii="Times New Roman" w:hAnsi="Times New Roman" w:eastAsia="宋体" w:cs="Times New Roman"/>
                      <w:color w:val="auto"/>
                      <w:spacing w:val="6"/>
                      <w:szCs w:val="21"/>
                      <w:highlight w:val="none"/>
                    </w:rPr>
                    <w:t>项目</w:t>
                  </w:r>
                  <w:r>
                    <w:rPr>
                      <w:rFonts w:hint="eastAsia" w:ascii="Times New Roman" w:hAnsi="Times New Roman" w:eastAsia="宋体" w:cs="Times New Roman"/>
                      <w:color w:val="auto"/>
                      <w:spacing w:val="6"/>
                      <w:szCs w:val="21"/>
                      <w:highlight w:val="none"/>
                      <w:lang w:val="en-US" w:eastAsia="zh-CN"/>
                    </w:rPr>
                    <w:t>在</w:t>
                  </w:r>
                  <w:r>
                    <w:rPr>
                      <w:rFonts w:hint="eastAsia" w:ascii="Times New Roman" w:hAnsi="Times New Roman" w:eastAsia="宋体" w:cs="Times New Roman"/>
                      <w:color w:val="auto"/>
                      <w:spacing w:val="6"/>
                      <w:szCs w:val="21"/>
                      <w:highlight w:val="none"/>
                    </w:rPr>
                    <w:t>辛安泉域范围内</w:t>
                  </w:r>
                  <w:r>
                    <w:rPr>
                      <w:rFonts w:hint="eastAsia" w:ascii="Times New Roman" w:hAnsi="Times New Roman" w:eastAsia="宋体" w:cs="Times New Roman"/>
                      <w:color w:val="auto"/>
                      <w:spacing w:val="6"/>
                      <w:szCs w:val="21"/>
                      <w:highlight w:val="none"/>
                      <w:lang w:eastAsia="zh-CN"/>
                    </w:rPr>
                    <w:t>，</w:t>
                  </w:r>
                  <w:r>
                    <w:rPr>
                      <w:rFonts w:hint="eastAsia" w:ascii="Times New Roman" w:hAnsi="Times New Roman" w:eastAsia="宋体" w:cs="Times New Roman"/>
                      <w:color w:val="auto"/>
                      <w:spacing w:val="6"/>
                      <w:szCs w:val="21"/>
                      <w:highlight w:val="none"/>
                      <w:lang w:val="en-US" w:eastAsia="zh-CN"/>
                    </w:rPr>
                    <w:t>与辛安泉域重点保护区范围不重叠</w:t>
                  </w:r>
                  <w:r>
                    <w:rPr>
                      <w:rFonts w:hint="eastAsia" w:ascii="Times New Roman" w:hAnsi="Times New Roman" w:eastAsia="宋体" w:cs="Times New Roman"/>
                      <w:color w:val="auto"/>
                      <w:spacing w:val="6"/>
                      <w:szCs w:val="21"/>
                      <w:highlight w:val="none"/>
                    </w:rPr>
                    <w:t>；本项目</w:t>
                  </w:r>
                  <w:r>
                    <w:rPr>
                      <w:rFonts w:hint="eastAsia" w:ascii="Times New Roman" w:hAnsi="Times New Roman" w:eastAsia="宋体" w:cs="Times New Roman"/>
                      <w:color w:val="auto"/>
                      <w:spacing w:val="6"/>
                      <w:szCs w:val="21"/>
                      <w:highlight w:val="none"/>
                      <w:lang w:val="en-US" w:eastAsia="zh-CN"/>
                    </w:rPr>
                    <w:t>施工期运营期废水均回用不外排，不会对泉域造成影响。</w:t>
                  </w:r>
                </w:p>
              </w:tc>
            </w:tr>
            <w:tr w14:paraId="0488051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246" w:type="pct"/>
                  <w:vMerge w:val="continue"/>
                  <w:tcBorders>
                    <w:tl2br w:val="nil"/>
                    <w:tr2bl w:val="nil"/>
                  </w:tcBorders>
                  <w:vAlign w:val="center"/>
                </w:tcPr>
                <w:p w14:paraId="1D1BB063">
                  <w:pPr>
                    <w:tabs>
                      <w:tab w:val="left" w:pos="0"/>
                    </w:tabs>
                    <w:adjustRightInd w:val="0"/>
                    <w:snapToGrid w:val="0"/>
                    <w:jc w:val="center"/>
                    <w:rPr>
                      <w:rFonts w:ascii="Times New Roman" w:hAnsi="Times New Roman" w:eastAsia="宋体" w:cs="Times New Roman"/>
                      <w:color w:val="auto"/>
                      <w:highlight w:val="none"/>
                    </w:rPr>
                  </w:pPr>
                </w:p>
              </w:tc>
              <w:tc>
                <w:tcPr>
                  <w:tcW w:w="246" w:type="pct"/>
                  <w:tcBorders>
                    <w:tl2br w:val="nil"/>
                    <w:tr2bl w:val="nil"/>
                  </w:tcBorders>
                  <w:vAlign w:val="center"/>
                </w:tcPr>
                <w:p w14:paraId="7342FF0D">
                  <w:pPr>
                    <w:tabs>
                      <w:tab w:val="left" w:pos="0"/>
                    </w:tabs>
                    <w:adjustRightInd w:val="0"/>
                    <w:snapToGrid w:val="0"/>
                    <w:jc w:val="center"/>
                    <w:rPr>
                      <w:rFonts w:ascii="Times New Roman" w:hAnsi="Times New Roman" w:eastAsia="宋体" w:cs="Times New Roman"/>
                      <w:color w:val="auto"/>
                      <w:spacing w:val="6"/>
                      <w:szCs w:val="21"/>
                      <w:highlight w:val="none"/>
                    </w:rPr>
                  </w:pPr>
                  <w:r>
                    <w:rPr>
                      <w:rFonts w:hint="eastAsia" w:ascii="Times New Roman" w:hAnsi="Times New Roman" w:eastAsia="宋体" w:cs="Times New Roman"/>
                      <w:color w:val="auto"/>
                      <w:spacing w:val="6"/>
                      <w:szCs w:val="21"/>
                      <w:highlight w:val="none"/>
                    </w:rPr>
                    <w:t>能源利用</w:t>
                  </w:r>
                </w:p>
              </w:tc>
              <w:tc>
                <w:tcPr>
                  <w:tcW w:w="2658" w:type="pct"/>
                  <w:tcBorders>
                    <w:tl2br w:val="nil"/>
                    <w:tr2bl w:val="nil"/>
                  </w:tcBorders>
                  <w:vAlign w:val="center"/>
                </w:tcPr>
                <w:p w14:paraId="2FACDCD9">
                  <w:pPr>
                    <w:tabs>
                      <w:tab w:val="left" w:pos="0"/>
                    </w:tabs>
                    <w:adjustRightInd w:val="0"/>
                    <w:snapToGrid w:val="0"/>
                    <w:jc w:val="left"/>
                    <w:rPr>
                      <w:rFonts w:ascii="Times New Roman" w:hAnsi="Times New Roman" w:eastAsia="宋体" w:cs="Times New Roman"/>
                      <w:color w:val="auto"/>
                      <w:spacing w:val="6"/>
                      <w:szCs w:val="21"/>
                      <w:highlight w:val="none"/>
                    </w:rPr>
                  </w:pPr>
                  <w:r>
                    <w:rPr>
                      <w:rFonts w:hint="eastAsia" w:ascii="Times New Roman" w:hAnsi="Times New Roman" w:eastAsia="宋体" w:cs="Times New Roman"/>
                      <w:color w:val="auto"/>
                      <w:spacing w:val="6"/>
                      <w:szCs w:val="21"/>
                      <w:highlight w:val="none"/>
                    </w:rPr>
                    <w:t>1.能源利用上线严格落实“十四五”相关目标指标以及碳达峰、碳中和相关要求。</w:t>
                  </w:r>
                </w:p>
                <w:p w14:paraId="02C5F81D">
                  <w:pPr>
                    <w:tabs>
                      <w:tab w:val="left" w:pos="0"/>
                    </w:tabs>
                    <w:adjustRightInd w:val="0"/>
                    <w:snapToGrid w:val="0"/>
                    <w:jc w:val="left"/>
                    <w:rPr>
                      <w:rFonts w:ascii="Times New Roman" w:hAnsi="Times New Roman" w:eastAsia="宋体" w:cs="Times New Roman"/>
                      <w:color w:val="auto"/>
                      <w:spacing w:val="6"/>
                      <w:szCs w:val="21"/>
                      <w:highlight w:val="none"/>
                    </w:rPr>
                  </w:pPr>
                  <w:r>
                    <w:rPr>
                      <w:rFonts w:hint="eastAsia" w:ascii="Times New Roman" w:hAnsi="Times New Roman" w:eastAsia="宋体" w:cs="Times New Roman"/>
                      <w:color w:val="auto"/>
                      <w:spacing w:val="6"/>
                      <w:szCs w:val="21"/>
                      <w:highlight w:val="none"/>
                    </w:rPr>
                    <w:t>2.以煤炭、火电、冶金、建材、化工、焦化等高碳排放行业为重点，推广应用先进工艺和低碳技术，提高能效，有效控制工业领域温室气体排放。</w:t>
                  </w:r>
                </w:p>
              </w:tc>
              <w:tc>
                <w:tcPr>
                  <w:tcW w:w="1848" w:type="pct"/>
                  <w:tcBorders>
                    <w:tl2br w:val="nil"/>
                    <w:tr2bl w:val="nil"/>
                  </w:tcBorders>
                  <w:vAlign w:val="center"/>
                </w:tcPr>
                <w:p w14:paraId="5DED76CE">
                  <w:pPr>
                    <w:tabs>
                      <w:tab w:val="left" w:pos="0"/>
                    </w:tabs>
                    <w:adjustRightInd w:val="0"/>
                    <w:snapToGrid w:val="0"/>
                    <w:jc w:val="left"/>
                    <w:rPr>
                      <w:rFonts w:ascii="Times New Roman" w:hAnsi="Times New Roman" w:eastAsia="宋体" w:cs="Times New Roman"/>
                      <w:color w:val="auto"/>
                      <w:spacing w:val="6"/>
                      <w:szCs w:val="21"/>
                      <w:highlight w:val="none"/>
                    </w:rPr>
                  </w:pPr>
                  <w:r>
                    <w:rPr>
                      <w:rFonts w:hint="eastAsia" w:ascii="Times New Roman" w:hAnsi="Times New Roman" w:eastAsia="宋体" w:cs="Times New Roman"/>
                      <w:color w:val="auto"/>
                      <w:spacing w:val="6"/>
                      <w:szCs w:val="21"/>
                      <w:highlight w:val="none"/>
                    </w:rPr>
                    <w:t>本项目为风电项目，属清洁低碳能源体系，一定程度上代替了高污染燃料的消耗，有利于区域生态环境质量持续改善。</w:t>
                  </w:r>
                </w:p>
              </w:tc>
            </w:tr>
            <w:tr w14:paraId="0DD5430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989" w:hRule="atLeast"/>
                <w:jc w:val="center"/>
              </w:trPr>
              <w:tc>
                <w:tcPr>
                  <w:tcW w:w="246" w:type="pct"/>
                  <w:vMerge w:val="continue"/>
                  <w:tcBorders>
                    <w:tl2br w:val="nil"/>
                    <w:tr2bl w:val="nil"/>
                  </w:tcBorders>
                  <w:vAlign w:val="center"/>
                </w:tcPr>
                <w:p w14:paraId="343F00DE">
                  <w:pPr>
                    <w:tabs>
                      <w:tab w:val="left" w:pos="0"/>
                    </w:tabs>
                    <w:adjustRightInd w:val="0"/>
                    <w:snapToGrid w:val="0"/>
                    <w:jc w:val="center"/>
                    <w:rPr>
                      <w:rFonts w:ascii="Times New Roman" w:hAnsi="Times New Roman" w:eastAsia="宋体" w:cs="Times New Roman"/>
                      <w:color w:val="auto"/>
                      <w:spacing w:val="6"/>
                      <w:szCs w:val="21"/>
                      <w:highlight w:val="none"/>
                    </w:rPr>
                  </w:pPr>
                </w:p>
              </w:tc>
              <w:tc>
                <w:tcPr>
                  <w:tcW w:w="246" w:type="pct"/>
                  <w:tcBorders>
                    <w:tl2br w:val="nil"/>
                    <w:tr2bl w:val="nil"/>
                  </w:tcBorders>
                  <w:vAlign w:val="center"/>
                </w:tcPr>
                <w:p w14:paraId="3BBF964C">
                  <w:pPr>
                    <w:tabs>
                      <w:tab w:val="left" w:pos="0"/>
                    </w:tabs>
                    <w:adjustRightInd w:val="0"/>
                    <w:snapToGrid w:val="0"/>
                    <w:jc w:val="left"/>
                    <w:rPr>
                      <w:rFonts w:ascii="Times New Roman" w:hAnsi="Times New Roman" w:eastAsia="宋体" w:cs="Times New Roman"/>
                      <w:color w:val="auto"/>
                      <w:spacing w:val="6"/>
                      <w:szCs w:val="21"/>
                      <w:highlight w:val="none"/>
                    </w:rPr>
                  </w:pPr>
                  <w:r>
                    <w:rPr>
                      <w:rFonts w:hint="eastAsia" w:ascii="Times New Roman" w:hAnsi="Times New Roman" w:eastAsia="宋体" w:cs="Times New Roman"/>
                      <w:color w:val="auto"/>
                      <w:spacing w:val="6"/>
                      <w:szCs w:val="21"/>
                      <w:highlight w:val="none"/>
                    </w:rPr>
                    <w:t>土地资源利用</w:t>
                  </w:r>
                </w:p>
              </w:tc>
              <w:tc>
                <w:tcPr>
                  <w:tcW w:w="2658" w:type="pct"/>
                  <w:tcBorders>
                    <w:tl2br w:val="nil"/>
                    <w:tr2bl w:val="nil"/>
                  </w:tcBorders>
                  <w:vAlign w:val="center"/>
                </w:tcPr>
                <w:p w14:paraId="2077380A">
                  <w:pPr>
                    <w:tabs>
                      <w:tab w:val="left" w:pos="0"/>
                    </w:tabs>
                    <w:adjustRightInd w:val="0"/>
                    <w:snapToGrid w:val="0"/>
                    <w:jc w:val="left"/>
                    <w:rPr>
                      <w:rFonts w:ascii="Times New Roman" w:hAnsi="Times New Roman" w:eastAsia="宋体" w:cs="Times New Roman"/>
                      <w:color w:val="auto"/>
                      <w:spacing w:val="6"/>
                      <w:szCs w:val="21"/>
                      <w:highlight w:val="none"/>
                    </w:rPr>
                  </w:pPr>
                  <w:r>
                    <w:rPr>
                      <w:rFonts w:hint="eastAsia" w:ascii="Times New Roman" w:hAnsi="Times New Roman" w:eastAsia="宋体" w:cs="Times New Roman"/>
                      <w:color w:val="auto"/>
                      <w:spacing w:val="6"/>
                      <w:szCs w:val="21"/>
                      <w:highlight w:val="none"/>
                    </w:rPr>
                    <w:t>1.土地资源利用上线严格落实“十四五”相关目标指标。</w:t>
                  </w:r>
                </w:p>
                <w:p w14:paraId="0CE197FE">
                  <w:pPr>
                    <w:tabs>
                      <w:tab w:val="left" w:pos="0"/>
                    </w:tabs>
                    <w:adjustRightInd w:val="0"/>
                    <w:snapToGrid w:val="0"/>
                    <w:jc w:val="left"/>
                    <w:rPr>
                      <w:rFonts w:ascii="Times New Roman" w:hAnsi="Times New Roman" w:eastAsia="宋体" w:cs="Times New Roman"/>
                      <w:color w:val="auto"/>
                      <w:spacing w:val="6"/>
                      <w:szCs w:val="21"/>
                      <w:highlight w:val="none"/>
                    </w:rPr>
                  </w:pPr>
                  <w:r>
                    <w:rPr>
                      <w:rFonts w:hint="eastAsia" w:ascii="Times New Roman" w:hAnsi="Times New Roman" w:eastAsia="宋体" w:cs="Times New Roman"/>
                      <w:color w:val="auto"/>
                      <w:spacing w:val="6"/>
                      <w:szCs w:val="21"/>
                      <w:highlight w:val="none"/>
                    </w:rPr>
                    <w:t>2.严格耕地和城镇建设用地总量控制，确保耕地占补平衡，严格建设用地规模控制，落实“增存挂钩”制度，持续加大批而未供和闲置土地处置力度，推进盘活存量建设用地，进一步提高土地利用效率。</w:t>
                  </w:r>
                </w:p>
                <w:p w14:paraId="5CE455B3">
                  <w:pPr>
                    <w:tabs>
                      <w:tab w:val="left" w:pos="0"/>
                    </w:tabs>
                    <w:adjustRightInd w:val="0"/>
                    <w:snapToGrid w:val="0"/>
                    <w:jc w:val="left"/>
                    <w:rPr>
                      <w:rFonts w:ascii="Times New Roman" w:hAnsi="Times New Roman" w:eastAsia="宋体" w:cs="Times New Roman"/>
                      <w:color w:val="auto"/>
                      <w:spacing w:val="6"/>
                      <w:szCs w:val="21"/>
                      <w:highlight w:val="none"/>
                    </w:rPr>
                  </w:pPr>
                  <w:r>
                    <w:rPr>
                      <w:rFonts w:hint="eastAsia" w:ascii="Times New Roman" w:hAnsi="Times New Roman" w:eastAsia="宋体" w:cs="Times New Roman"/>
                      <w:color w:val="auto"/>
                      <w:spacing w:val="6"/>
                      <w:szCs w:val="21"/>
                      <w:highlight w:val="none"/>
                    </w:rPr>
                    <w:t>3.提高矿产资源开发保护水平，落实资源价格形成机制，加快发展固废综合利用产业，提高资源综合利用效率。深入开展生活垃圾分类，加快构建废旧物资循环利用体系，推进“无废城市”建设。</w:t>
                  </w:r>
                </w:p>
                <w:p w14:paraId="302A6F9E">
                  <w:pPr>
                    <w:tabs>
                      <w:tab w:val="left" w:pos="0"/>
                    </w:tabs>
                    <w:adjustRightInd w:val="0"/>
                    <w:snapToGrid w:val="0"/>
                    <w:jc w:val="left"/>
                    <w:rPr>
                      <w:rFonts w:ascii="Times New Roman" w:hAnsi="Times New Roman" w:eastAsia="宋体" w:cs="Times New Roman"/>
                      <w:color w:val="auto"/>
                      <w:spacing w:val="6"/>
                      <w:szCs w:val="21"/>
                      <w:highlight w:val="none"/>
                    </w:rPr>
                  </w:pPr>
                  <w:r>
                    <w:rPr>
                      <w:rFonts w:hint="eastAsia" w:ascii="Times New Roman" w:hAnsi="Times New Roman" w:eastAsia="宋体" w:cs="Times New Roman"/>
                      <w:color w:val="auto"/>
                      <w:spacing w:val="6"/>
                      <w:szCs w:val="21"/>
                      <w:highlight w:val="none"/>
                    </w:rPr>
                    <w:t>4. (疑似)污染地块再开发利用，必须开展土壤环境调查评估</w:t>
                  </w:r>
                  <w:r>
                    <w:rPr>
                      <w:rFonts w:hint="eastAsia" w:ascii="Times New Roman" w:hAnsi="Times New Roman" w:eastAsia="宋体" w:cs="Times New Roman"/>
                      <w:color w:val="auto"/>
                      <w:spacing w:val="6"/>
                      <w:szCs w:val="21"/>
                      <w:highlight w:val="none"/>
                      <w:lang w:eastAsia="zh-CN"/>
                    </w:rPr>
                    <w:t>；</w:t>
                  </w:r>
                  <w:r>
                    <w:rPr>
                      <w:rFonts w:hint="eastAsia" w:ascii="Times New Roman" w:hAnsi="Times New Roman" w:eastAsia="宋体" w:cs="Times New Roman"/>
                      <w:color w:val="auto"/>
                      <w:spacing w:val="6"/>
                      <w:szCs w:val="21"/>
                      <w:highlight w:val="none"/>
                    </w:rPr>
                    <w:t>未开展土壤环境调查评估或经评估对人体健康有严重影响的，</w:t>
                  </w:r>
                  <w:r>
                    <w:rPr>
                      <w:rFonts w:hint="eastAsia" w:cs="Times New Roman"/>
                      <w:color w:val="auto"/>
                      <w:spacing w:val="6"/>
                      <w:szCs w:val="21"/>
                      <w:highlight w:val="none"/>
                      <w:lang w:val="en-US" w:eastAsia="zh-CN"/>
                    </w:rPr>
                    <w:t>未</w:t>
                  </w:r>
                  <w:r>
                    <w:rPr>
                      <w:rFonts w:hint="eastAsia" w:ascii="Times New Roman" w:hAnsi="Times New Roman" w:eastAsia="宋体" w:cs="Times New Roman"/>
                      <w:color w:val="auto"/>
                      <w:spacing w:val="6"/>
                      <w:szCs w:val="21"/>
                      <w:highlight w:val="none"/>
                    </w:rPr>
                    <w:t>经治理修复或治理修复后仍不符合相应规划用地土壤环境要求的，不得纳入用地程序。</w:t>
                  </w:r>
                </w:p>
              </w:tc>
              <w:tc>
                <w:tcPr>
                  <w:tcW w:w="1848" w:type="pct"/>
                  <w:tcBorders>
                    <w:tl2br w:val="nil"/>
                    <w:tr2bl w:val="nil"/>
                  </w:tcBorders>
                  <w:vAlign w:val="center"/>
                </w:tcPr>
                <w:p w14:paraId="20176052">
                  <w:pPr>
                    <w:tabs>
                      <w:tab w:val="left" w:pos="0"/>
                    </w:tabs>
                    <w:adjustRightInd w:val="0"/>
                    <w:snapToGrid w:val="0"/>
                    <w:jc w:val="left"/>
                    <w:rPr>
                      <w:rFonts w:ascii="Times New Roman" w:hAnsi="Times New Roman" w:eastAsia="宋体" w:cs="Times New Roman"/>
                      <w:color w:val="auto"/>
                      <w:spacing w:val="6"/>
                      <w:szCs w:val="21"/>
                      <w:highlight w:val="none"/>
                    </w:rPr>
                  </w:pPr>
                  <w:r>
                    <w:rPr>
                      <w:rFonts w:hint="eastAsia" w:ascii="Times New Roman" w:hAnsi="Times New Roman" w:eastAsia="宋体" w:cs="Times New Roman"/>
                      <w:color w:val="auto"/>
                      <w:spacing w:val="6"/>
                      <w:szCs w:val="21"/>
                      <w:highlight w:val="none"/>
                      <w:lang w:val="en-US" w:eastAsia="zh-CN"/>
                    </w:rPr>
                    <w:t>本项目</w:t>
                  </w:r>
                  <w:r>
                    <w:rPr>
                      <w:rFonts w:hint="eastAsia" w:ascii="Times New Roman" w:hAnsi="Times New Roman" w:eastAsia="宋体" w:cs="Times New Roman"/>
                      <w:color w:val="auto"/>
                      <w:spacing w:val="6"/>
                      <w:szCs w:val="21"/>
                      <w:highlight w:val="none"/>
                    </w:rPr>
                    <w:t>用地已按要求办理了土地预审手续，</w:t>
                  </w:r>
                  <w:r>
                    <w:rPr>
                      <w:rFonts w:hint="eastAsia" w:ascii="Times New Roman" w:hAnsi="Times New Roman" w:eastAsia="宋体" w:cs="Times New Roman"/>
                      <w:color w:val="auto"/>
                      <w:spacing w:val="6"/>
                      <w:szCs w:val="21"/>
                      <w:highlight w:val="none"/>
                      <w:lang w:val="en-US" w:eastAsia="zh-CN"/>
                    </w:rPr>
                    <w:t>不占用永久基本农田，</w:t>
                  </w:r>
                  <w:r>
                    <w:rPr>
                      <w:rFonts w:hint="eastAsia" w:ascii="Times New Roman" w:hAnsi="Times New Roman" w:eastAsia="宋体" w:cs="Times New Roman"/>
                      <w:color w:val="auto"/>
                      <w:spacing w:val="6"/>
                      <w:szCs w:val="21"/>
                      <w:highlight w:val="none"/>
                    </w:rPr>
                    <w:t>符合</w:t>
                  </w:r>
                  <w:r>
                    <w:rPr>
                      <w:rFonts w:hint="eastAsia" w:ascii="Times New Roman" w:hAnsi="Times New Roman" w:eastAsia="宋体" w:cs="Times New Roman"/>
                      <w:color w:val="auto"/>
                      <w:spacing w:val="6"/>
                      <w:szCs w:val="21"/>
                      <w:highlight w:val="none"/>
                      <w:lang w:val="en-US" w:eastAsia="zh-CN"/>
                    </w:rPr>
                    <w:t>土地</w:t>
                  </w:r>
                  <w:r>
                    <w:rPr>
                      <w:rFonts w:hint="eastAsia" w:ascii="Times New Roman" w:hAnsi="Times New Roman" w:eastAsia="宋体" w:cs="Times New Roman"/>
                      <w:color w:val="auto"/>
                      <w:spacing w:val="6"/>
                      <w:szCs w:val="21"/>
                      <w:highlight w:val="none"/>
                    </w:rPr>
                    <w:t>资源利用效率管控要求。</w:t>
                  </w:r>
                </w:p>
              </w:tc>
            </w:tr>
          </w:tbl>
          <w:p w14:paraId="5EAA6BF4">
            <w:pPr>
              <w:pStyle w:val="20"/>
              <w:rPr>
                <w:rFonts w:hint="default"/>
                <w:color w:val="auto"/>
                <w:highlight w:val="none"/>
                <w:lang w:val="en-US"/>
              </w:rPr>
            </w:pPr>
            <w:r>
              <w:rPr>
                <w:rFonts w:hint="eastAsia" w:ascii="黑体" w:hAnsi="黑体" w:eastAsia="黑体" w:cs="黑体"/>
                <w:color w:val="auto"/>
                <w:highlight w:val="none"/>
              </w:rPr>
              <w:t>表1-</w:t>
            </w:r>
            <w:r>
              <w:rPr>
                <w:rFonts w:hint="eastAsia" w:ascii="黑体" w:hAnsi="黑体" w:cs="黑体"/>
                <w:color w:val="auto"/>
                <w:highlight w:val="none"/>
                <w:lang w:val="en-US" w:eastAsia="zh-CN"/>
              </w:rPr>
              <w:t>5</w:t>
            </w:r>
            <w:r>
              <w:rPr>
                <w:color w:val="auto"/>
                <w:highlight w:val="none"/>
              </w:rPr>
              <w:t xml:space="preserve">  </w:t>
            </w:r>
            <w:r>
              <w:rPr>
                <w:rFonts w:hint="eastAsia"/>
                <w:color w:val="auto"/>
                <w:highlight w:val="none"/>
                <w:lang w:val="en-US" w:eastAsia="zh-CN"/>
              </w:rPr>
              <w:t>与</w:t>
            </w:r>
            <w:r>
              <w:rPr>
                <w:rFonts w:hint="default"/>
                <w:color w:val="auto"/>
                <w:highlight w:val="none"/>
                <w:lang w:val="en-US" w:eastAsia="zh-CN"/>
              </w:rPr>
              <w:t>长治市辛安泉域生态环境准入要求</w:t>
            </w:r>
            <w:r>
              <w:rPr>
                <w:rFonts w:hint="eastAsia"/>
                <w:color w:val="auto"/>
                <w:highlight w:val="none"/>
                <w:lang w:val="en-US" w:eastAsia="zh-CN"/>
              </w:rPr>
              <w:t>符合性分析</w:t>
            </w:r>
          </w:p>
          <w:tbl>
            <w:tblPr>
              <w:tblStyle w:val="11"/>
              <w:tblW w:w="4998"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759"/>
              <w:gridCol w:w="4891"/>
              <w:gridCol w:w="1592"/>
              <w:gridCol w:w="727"/>
            </w:tblGrid>
            <w:tr w14:paraId="543F314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476" w:type="pct"/>
                  <w:tcBorders>
                    <w:tl2br w:val="nil"/>
                    <w:tr2bl w:val="nil"/>
                  </w:tcBorders>
                  <w:noWrap w:val="0"/>
                  <w:vAlign w:val="center"/>
                </w:tcPr>
                <w:p w14:paraId="12E7B0F2">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cs="Times New Roman"/>
                      <w:bCs/>
                      <w:color w:val="auto"/>
                      <w:kern w:val="2"/>
                      <w:sz w:val="21"/>
                      <w:szCs w:val="21"/>
                      <w:highlight w:val="none"/>
                      <w:lang w:val="en-US" w:eastAsia="zh-CN"/>
                    </w:rPr>
                  </w:pPr>
                  <w:r>
                    <w:rPr>
                      <w:rFonts w:hint="default" w:ascii="Times New Roman" w:hAnsi="Times New Roman" w:eastAsia="宋体" w:cs="Times New Roman"/>
                      <w:bCs/>
                      <w:color w:val="auto"/>
                      <w:kern w:val="2"/>
                      <w:sz w:val="21"/>
                      <w:szCs w:val="21"/>
                      <w:highlight w:val="none"/>
                      <w:lang w:val="en-US" w:eastAsia="zh-CN" w:bidi="ar"/>
                    </w:rPr>
                    <w:t>管控类别</w:t>
                  </w:r>
                </w:p>
              </w:tc>
              <w:tc>
                <w:tcPr>
                  <w:tcW w:w="3067" w:type="pct"/>
                  <w:tcBorders>
                    <w:tl2br w:val="nil"/>
                    <w:tr2bl w:val="nil"/>
                  </w:tcBorders>
                  <w:noWrap w:val="0"/>
                  <w:vAlign w:val="center"/>
                </w:tcPr>
                <w:p w14:paraId="48C7AD4F">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cs="Times New Roman"/>
                      <w:bCs/>
                      <w:color w:val="auto"/>
                      <w:kern w:val="2"/>
                      <w:sz w:val="21"/>
                      <w:szCs w:val="21"/>
                      <w:highlight w:val="none"/>
                      <w:lang w:val="en-US" w:eastAsia="zh-CN"/>
                    </w:rPr>
                  </w:pPr>
                  <w:r>
                    <w:rPr>
                      <w:rFonts w:hint="default" w:ascii="Times New Roman" w:hAnsi="Times New Roman" w:eastAsia="宋体" w:cs="Times New Roman"/>
                      <w:bCs/>
                      <w:color w:val="auto"/>
                      <w:kern w:val="2"/>
                      <w:sz w:val="21"/>
                      <w:szCs w:val="21"/>
                      <w:highlight w:val="none"/>
                      <w:lang w:val="en-US" w:eastAsia="zh-CN" w:bidi="ar"/>
                    </w:rPr>
                    <w:t>管控要求</w:t>
                  </w:r>
                </w:p>
              </w:tc>
              <w:tc>
                <w:tcPr>
                  <w:tcW w:w="998" w:type="pct"/>
                  <w:tcBorders>
                    <w:tl2br w:val="nil"/>
                    <w:tr2bl w:val="nil"/>
                  </w:tcBorders>
                  <w:noWrap w:val="0"/>
                  <w:vAlign w:val="center"/>
                </w:tcPr>
                <w:p w14:paraId="5F40DC2A">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cs="Times New Roman"/>
                      <w:bCs/>
                      <w:color w:val="auto"/>
                      <w:kern w:val="2"/>
                      <w:sz w:val="21"/>
                      <w:szCs w:val="21"/>
                      <w:highlight w:val="none"/>
                      <w:lang w:val="en-US" w:eastAsia="zh-CN"/>
                    </w:rPr>
                  </w:pPr>
                  <w:r>
                    <w:rPr>
                      <w:rFonts w:hint="default" w:ascii="Times New Roman" w:hAnsi="Times New Roman" w:eastAsia="宋体" w:cs="Times New Roman"/>
                      <w:bCs/>
                      <w:color w:val="auto"/>
                      <w:kern w:val="2"/>
                      <w:sz w:val="21"/>
                      <w:szCs w:val="21"/>
                      <w:highlight w:val="none"/>
                      <w:lang w:val="en-US" w:eastAsia="zh-CN" w:bidi="ar"/>
                    </w:rPr>
                    <w:t>项目符合性分析</w:t>
                  </w:r>
                </w:p>
              </w:tc>
              <w:tc>
                <w:tcPr>
                  <w:tcW w:w="456" w:type="pct"/>
                  <w:tcBorders>
                    <w:tl2br w:val="nil"/>
                    <w:tr2bl w:val="nil"/>
                  </w:tcBorders>
                  <w:noWrap w:val="0"/>
                  <w:vAlign w:val="center"/>
                </w:tcPr>
                <w:p w14:paraId="5D7272B5">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相符性</w:t>
                  </w:r>
                </w:p>
              </w:tc>
            </w:tr>
            <w:tr w14:paraId="3FD2351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jc w:val="center"/>
              </w:trPr>
              <w:tc>
                <w:tcPr>
                  <w:tcW w:w="476" w:type="pct"/>
                  <w:vMerge w:val="restart"/>
                  <w:tcBorders>
                    <w:tl2br w:val="nil"/>
                    <w:tr2bl w:val="nil"/>
                  </w:tcBorders>
                  <w:noWrap w:val="0"/>
                  <w:vAlign w:val="center"/>
                </w:tcPr>
                <w:p w14:paraId="40083077">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cs="Times New Roman"/>
                      <w:bCs/>
                      <w:color w:val="auto"/>
                      <w:kern w:val="2"/>
                      <w:sz w:val="21"/>
                      <w:szCs w:val="21"/>
                      <w:highlight w:val="none"/>
                      <w:lang w:val="en-US" w:eastAsia="zh-CN"/>
                    </w:rPr>
                  </w:pPr>
                  <w:r>
                    <w:rPr>
                      <w:rFonts w:hint="default" w:ascii="Times New Roman" w:hAnsi="Times New Roman" w:eastAsia="宋体" w:cs="Times New Roman"/>
                      <w:bCs/>
                      <w:color w:val="auto"/>
                      <w:kern w:val="2"/>
                      <w:sz w:val="21"/>
                      <w:szCs w:val="21"/>
                      <w:highlight w:val="none"/>
                      <w:lang w:val="en-US" w:eastAsia="zh-CN" w:bidi="ar"/>
                    </w:rPr>
                    <w:t>空间布局约束</w:t>
                  </w:r>
                </w:p>
              </w:tc>
              <w:tc>
                <w:tcPr>
                  <w:tcW w:w="3067" w:type="pct"/>
                  <w:tcBorders>
                    <w:tl2br w:val="nil"/>
                    <w:tr2bl w:val="nil"/>
                  </w:tcBorders>
                  <w:noWrap w:val="0"/>
                  <w:vAlign w:val="center"/>
                </w:tcPr>
                <w:p w14:paraId="761C4CD8">
                  <w:pPr>
                    <w:keepNext w:val="0"/>
                    <w:keepLines w:val="0"/>
                    <w:widowControl w:val="0"/>
                    <w:suppressLineNumbers w:val="0"/>
                    <w:autoSpaceDE w:val="0"/>
                    <w:autoSpaceDN/>
                    <w:spacing w:before="0" w:beforeAutospacing="0" w:after="0" w:afterAutospacing="0"/>
                    <w:ind w:left="0" w:right="0"/>
                    <w:jc w:val="left"/>
                    <w:rPr>
                      <w:rFonts w:hint="default" w:ascii="Times New Roman" w:hAnsi="Times New Roman" w:cs="Times New Roman"/>
                      <w:bCs/>
                      <w:color w:val="auto"/>
                      <w:kern w:val="2"/>
                      <w:sz w:val="21"/>
                      <w:szCs w:val="21"/>
                      <w:highlight w:val="none"/>
                      <w:lang w:val="en-US" w:eastAsia="zh-CN"/>
                    </w:rPr>
                  </w:pPr>
                  <w:r>
                    <w:rPr>
                      <w:rFonts w:hint="default" w:ascii="Times New Roman" w:hAnsi="Times New Roman" w:cs="Times New Roman"/>
                      <w:bCs/>
                      <w:color w:val="auto"/>
                      <w:kern w:val="2"/>
                      <w:sz w:val="21"/>
                      <w:szCs w:val="21"/>
                      <w:highlight w:val="none"/>
                      <w:lang w:val="en-US" w:eastAsia="zh-CN" w:bidi="ar"/>
                    </w:rPr>
                    <w:t>1.</w:t>
                  </w:r>
                  <w:r>
                    <w:rPr>
                      <w:rFonts w:hint="default" w:ascii="Times New Roman" w:hAnsi="Times New Roman" w:eastAsia="宋体" w:cs="Times New Roman"/>
                      <w:bCs/>
                      <w:color w:val="auto"/>
                      <w:kern w:val="2"/>
                      <w:sz w:val="21"/>
                      <w:szCs w:val="21"/>
                      <w:highlight w:val="none"/>
                      <w:lang w:val="en-US" w:eastAsia="zh-CN" w:bidi="ar"/>
                    </w:rPr>
                    <w:t>泉域的重点保护区内禁止在泉水出露带进行采煤、开矿、开山采石和兴建地下工程，新建、改建、扩建与供水设施和保护水源无关的建设项目；重点保护区以外的泉域范围内严格控制兴建耗水量大或对水资源有污染的建设项目。</w:t>
                  </w:r>
                </w:p>
              </w:tc>
              <w:tc>
                <w:tcPr>
                  <w:tcW w:w="998" w:type="pct"/>
                  <w:tcBorders>
                    <w:tl2br w:val="nil"/>
                    <w:tr2bl w:val="nil"/>
                  </w:tcBorders>
                  <w:noWrap w:val="0"/>
                  <w:vAlign w:val="center"/>
                </w:tcPr>
                <w:p w14:paraId="54AE010E">
                  <w:pPr>
                    <w:keepNext w:val="0"/>
                    <w:keepLines w:val="0"/>
                    <w:widowControl w:val="0"/>
                    <w:suppressLineNumbers w:val="0"/>
                    <w:autoSpaceDE w:val="0"/>
                    <w:autoSpaceDN/>
                    <w:spacing w:before="0" w:beforeAutospacing="0" w:after="0" w:afterAutospacing="0"/>
                    <w:ind w:left="0" w:right="0"/>
                    <w:jc w:val="left"/>
                    <w:rPr>
                      <w:rFonts w:hint="default" w:ascii="Times New Roman" w:hAnsi="Times New Roman" w:cs="Times New Roman"/>
                      <w:bCs/>
                      <w:color w:val="auto"/>
                      <w:kern w:val="2"/>
                      <w:sz w:val="21"/>
                      <w:szCs w:val="21"/>
                      <w:highlight w:val="none"/>
                      <w:lang w:val="en-US" w:eastAsia="zh-CN"/>
                    </w:rPr>
                  </w:pPr>
                  <w:r>
                    <w:rPr>
                      <w:rFonts w:hint="default" w:ascii="Times New Roman" w:hAnsi="Times New Roman" w:eastAsia="宋体" w:cs="Times New Roman"/>
                      <w:bCs/>
                      <w:color w:val="auto"/>
                      <w:kern w:val="2"/>
                      <w:sz w:val="21"/>
                      <w:szCs w:val="21"/>
                      <w:highlight w:val="none"/>
                      <w:lang w:val="en-US" w:eastAsia="zh-CN" w:bidi="ar"/>
                    </w:rPr>
                    <w:t>项目不在辛安泉域</w:t>
                  </w:r>
                  <w:r>
                    <w:rPr>
                      <w:rFonts w:hint="default" w:ascii="Times New Roman" w:hAnsi="Times New Roman" w:cs="Times New Roman"/>
                      <w:bCs/>
                      <w:color w:val="auto"/>
                      <w:kern w:val="2"/>
                      <w:sz w:val="21"/>
                      <w:szCs w:val="21"/>
                      <w:highlight w:val="none"/>
                      <w:lang w:val="en-US" w:eastAsia="zh-CN" w:bidi="ar"/>
                    </w:rPr>
                    <w:t>的</w:t>
                  </w:r>
                  <w:r>
                    <w:rPr>
                      <w:rFonts w:hint="default" w:ascii="Times New Roman" w:hAnsi="Times New Roman" w:eastAsia="宋体" w:cs="Times New Roman"/>
                      <w:bCs/>
                      <w:color w:val="auto"/>
                      <w:kern w:val="2"/>
                      <w:sz w:val="21"/>
                      <w:szCs w:val="21"/>
                      <w:highlight w:val="none"/>
                      <w:lang w:val="en-US" w:eastAsia="zh-CN" w:bidi="ar"/>
                    </w:rPr>
                    <w:t>重点保护区</w:t>
                  </w:r>
                  <w:r>
                    <w:rPr>
                      <w:rFonts w:hint="default" w:ascii="Times New Roman" w:hAnsi="Times New Roman" w:cs="Times New Roman"/>
                      <w:bCs/>
                      <w:color w:val="auto"/>
                      <w:kern w:val="2"/>
                      <w:sz w:val="21"/>
                      <w:szCs w:val="21"/>
                      <w:highlight w:val="none"/>
                      <w:lang w:val="en-US" w:eastAsia="zh-CN" w:bidi="ar"/>
                    </w:rPr>
                    <w:t>内</w:t>
                  </w:r>
                </w:p>
              </w:tc>
              <w:tc>
                <w:tcPr>
                  <w:tcW w:w="456" w:type="pct"/>
                  <w:tcBorders>
                    <w:tl2br w:val="nil"/>
                    <w:tr2bl w:val="nil"/>
                  </w:tcBorders>
                  <w:noWrap w:val="0"/>
                  <w:vAlign w:val="center"/>
                </w:tcPr>
                <w:p w14:paraId="13E48CBB">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cs="Times New Roman"/>
                      <w:color w:val="auto"/>
                      <w:highlight w:val="none"/>
                      <w:shd w:val="clear" w:color="auto" w:fill="FFFFFF"/>
                      <w:lang w:val="en-US" w:eastAsia="zh-CN"/>
                    </w:rPr>
                    <w:t>符合</w:t>
                  </w:r>
                </w:p>
              </w:tc>
            </w:tr>
            <w:tr w14:paraId="5612D7F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476" w:type="pct"/>
                  <w:vMerge w:val="continue"/>
                  <w:tcBorders>
                    <w:tl2br w:val="nil"/>
                    <w:tr2bl w:val="nil"/>
                  </w:tcBorders>
                  <w:noWrap w:val="0"/>
                  <w:vAlign w:val="center"/>
                </w:tcPr>
                <w:p w14:paraId="44C5F2ED">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lang w:val="en-US" w:eastAsia="zh-CN"/>
                    </w:rPr>
                  </w:pPr>
                </w:p>
              </w:tc>
              <w:tc>
                <w:tcPr>
                  <w:tcW w:w="3067" w:type="pct"/>
                  <w:tcBorders>
                    <w:tl2br w:val="nil"/>
                    <w:tr2bl w:val="nil"/>
                  </w:tcBorders>
                  <w:noWrap w:val="0"/>
                  <w:vAlign w:val="center"/>
                </w:tcPr>
                <w:p w14:paraId="06A10C9A">
                  <w:pPr>
                    <w:keepNext w:val="0"/>
                    <w:keepLines w:val="0"/>
                    <w:widowControl w:val="0"/>
                    <w:suppressLineNumbers w:val="0"/>
                    <w:autoSpaceDE w:val="0"/>
                    <w:autoSpaceDN/>
                    <w:spacing w:before="0" w:beforeAutospacing="0" w:after="0" w:afterAutospacing="0"/>
                    <w:ind w:left="0" w:right="0"/>
                    <w:jc w:val="left"/>
                    <w:rPr>
                      <w:rFonts w:hint="default" w:ascii="Times New Roman" w:hAnsi="Times New Roman" w:eastAsia="宋体" w:cs="Times New Roman"/>
                      <w:bCs/>
                      <w:color w:val="auto"/>
                      <w:kern w:val="2"/>
                      <w:sz w:val="21"/>
                      <w:szCs w:val="21"/>
                      <w:highlight w:val="none"/>
                      <w:lang w:val="en-US" w:eastAsia="zh-CN"/>
                    </w:rPr>
                  </w:pPr>
                  <w:r>
                    <w:rPr>
                      <w:rFonts w:hint="default" w:ascii="Times New Roman" w:hAnsi="Times New Roman" w:eastAsia="宋体" w:cs="Times New Roman"/>
                      <w:bCs/>
                      <w:color w:val="auto"/>
                      <w:kern w:val="2"/>
                      <w:sz w:val="21"/>
                      <w:szCs w:val="21"/>
                      <w:highlight w:val="none"/>
                      <w:lang w:val="en-US" w:eastAsia="zh-CN" w:bidi="ar"/>
                    </w:rPr>
                    <w:t>2.辛安泉饮用水水源地一级保护区内禁止新建、改建、扩建与供水设施、防洪设施和保护水源无关的建设项目。</w:t>
                  </w:r>
                </w:p>
              </w:tc>
              <w:tc>
                <w:tcPr>
                  <w:tcW w:w="998" w:type="pct"/>
                  <w:tcBorders>
                    <w:tl2br w:val="nil"/>
                    <w:tr2bl w:val="nil"/>
                  </w:tcBorders>
                  <w:noWrap w:val="0"/>
                  <w:vAlign w:val="center"/>
                </w:tcPr>
                <w:p w14:paraId="3D6B3222">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lang w:val="en-US" w:eastAsia="zh-CN"/>
                    </w:rPr>
                  </w:pPr>
                  <w:r>
                    <w:rPr>
                      <w:rFonts w:hint="default" w:ascii="Times New Roman" w:hAnsi="Times New Roman" w:eastAsia="宋体" w:cs="Times New Roman"/>
                      <w:bCs/>
                      <w:color w:val="auto"/>
                      <w:kern w:val="2"/>
                      <w:sz w:val="21"/>
                      <w:szCs w:val="21"/>
                      <w:highlight w:val="none"/>
                      <w:lang w:val="en-US" w:eastAsia="zh-CN" w:bidi="ar"/>
                    </w:rPr>
                    <w:t>项目不在辛安泉饮用水水源地一级保护区内</w:t>
                  </w:r>
                </w:p>
              </w:tc>
              <w:tc>
                <w:tcPr>
                  <w:tcW w:w="456" w:type="pct"/>
                  <w:tcBorders>
                    <w:tl2br w:val="nil"/>
                    <w:tr2bl w:val="nil"/>
                  </w:tcBorders>
                  <w:noWrap w:val="0"/>
                  <w:vAlign w:val="center"/>
                </w:tcPr>
                <w:p w14:paraId="52505730">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highlight w:val="none"/>
                      <w:lang w:val="en-US" w:eastAsia="zh-CN"/>
                    </w:rPr>
                  </w:pPr>
                  <w:r>
                    <w:rPr>
                      <w:rFonts w:hint="default" w:ascii="Times New Roman" w:hAnsi="Times New Roman" w:cs="Times New Roman"/>
                      <w:color w:val="auto"/>
                      <w:highlight w:val="none"/>
                      <w:shd w:val="clear" w:color="auto" w:fill="FFFFFF"/>
                      <w:lang w:val="en-US" w:eastAsia="zh-CN"/>
                    </w:rPr>
                    <w:t>符合</w:t>
                  </w:r>
                </w:p>
              </w:tc>
            </w:tr>
            <w:tr w14:paraId="05DF7B0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476" w:type="pct"/>
                  <w:vMerge w:val="continue"/>
                  <w:tcBorders>
                    <w:tl2br w:val="nil"/>
                    <w:tr2bl w:val="nil"/>
                  </w:tcBorders>
                  <w:noWrap w:val="0"/>
                  <w:vAlign w:val="center"/>
                </w:tcPr>
                <w:p w14:paraId="369A5ABD">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lang w:val="en-US" w:eastAsia="zh-CN"/>
                    </w:rPr>
                  </w:pPr>
                </w:p>
              </w:tc>
              <w:tc>
                <w:tcPr>
                  <w:tcW w:w="3067" w:type="pct"/>
                  <w:tcBorders>
                    <w:tl2br w:val="nil"/>
                    <w:tr2bl w:val="nil"/>
                  </w:tcBorders>
                  <w:noWrap w:val="0"/>
                  <w:vAlign w:val="center"/>
                </w:tcPr>
                <w:p w14:paraId="1E21F178">
                  <w:pPr>
                    <w:keepNext w:val="0"/>
                    <w:keepLines w:val="0"/>
                    <w:widowControl w:val="0"/>
                    <w:suppressLineNumbers w:val="0"/>
                    <w:autoSpaceDE w:val="0"/>
                    <w:autoSpaceDN/>
                    <w:spacing w:before="0" w:beforeAutospacing="0" w:after="0" w:afterAutospacing="0"/>
                    <w:ind w:left="0" w:right="0"/>
                    <w:jc w:val="left"/>
                    <w:rPr>
                      <w:rFonts w:hint="default" w:ascii="Times New Roman" w:hAnsi="Times New Roman" w:eastAsia="宋体" w:cs="Times New Roman"/>
                      <w:bCs/>
                      <w:color w:val="auto"/>
                      <w:kern w:val="2"/>
                      <w:sz w:val="21"/>
                      <w:szCs w:val="21"/>
                      <w:highlight w:val="none"/>
                      <w:lang w:val="en-US" w:eastAsia="zh-CN"/>
                    </w:rPr>
                  </w:pPr>
                  <w:r>
                    <w:rPr>
                      <w:rFonts w:hint="default" w:ascii="Times New Roman" w:hAnsi="Times New Roman" w:eastAsia="宋体" w:cs="Times New Roman"/>
                      <w:bCs/>
                      <w:color w:val="auto"/>
                      <w:kern w:val="2"/>
                      <w:sz w:val="21"/>
                      <w:szCs w:val="21"/>
                      <w:highlight w:val="none"/>
                      <w:lang w:val="en-US" w:eastAsia="zh-CN" w:bidi="ar"/>
                    </w:rPr>
                    <w:t>3.辛安泉饮用水水源地二级保护区内禁止新建、改建、扩建炼焦、化工、炼油、冶炼、电镀、皮革、造纸、制浆、印染、染料、放射性以及其他排放污染物的建设项目；禁止建设畜禽养殖场、养殖小区；禁止建设工业固体废物、粪便和易溶、有毒有害废弃物集中贮存、处置的设施、场所和生活垃圾填埋场、转运站。</w:t>
                  </w:r>
                </w:p>
              </w:tc>
              <w:tc>
                <w:tcPr>
                  <w:tcW w:w="998" w:type="pct"/>
                  <w:tcBorders>
                    <w:tl2br w:val="nil"/>
                    <w:tr2bl w:val="nil"/>
                  </w:tcBorders>
                  <w:noWrap w:val="0"/>
                  <w:vAlign w:val="center"/>
                </w:tcPr>
                <w:p w14:paraId="6F785B30">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lang w:val="en-US" w:eastAsia="zh-CN"/>
                    </w:rPr>
                  </w:pPr>
                  <w:r>
                    <w:rPr>
                      <w:rFonts w:hint="default" w:ascii="Times New Roman" w:hAnsi="Times New Roman" w:eastAsia="宋体" w:cs="Times New Roman"/>
                      <w:bCs/>
                      <w:color w:val="auto"/>
                      <w:kern w:val="2"/>
                      <w:sz w:val="21"/>
                      <w:szCs w:val="21"/>
                      <w:highlight w:val="none"/>
                      <w:lang w:val="en-US" w:eastAsia="zh-CN" w:bidi="ar"/>
                    </w:rPr>
                    <w:t>项目不在辛安泉饮用水水源地二级保护区内</w:t>
                  </w:r>
                </w:p>
              </w:tc>
              <w:tc>
                <w:tcPr>
                  <w:tcW w:w="456" w:type="pct"/>
                  <w:tcBorders>
                    <w:tl2br w:val="nil"/>
                    <w:tr2bl w:val="nil"/>
                  </w:tcBorders>
                  <w:noWrap w:val="0"/>
                  <w:vAlign w:val="center"/>
                </w:tcPr>
                <w:p w14:paraId="3AAE08EE">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highlight w:val="none"/>
                      <w:lang w:val="en-US" w:eastAsia="zh-CN"/>
                    </w:rPr>
                  </w:pPr>
                  <w:r>
                    <w:rPr>
                      <w:rFonts w:hint="default" w:ascii="Times New Roman" w:hAnsi="Times New Roman" w:cs="Times New Roman"/>
                      <w:color w:val="auto"/>
                      <w:highlight w:val="none"/>
                      <w:shd w:val="clear" w:color="auto" w:fill="FFFFFF"/>
                      <w:lang w:val="en-US" w:eastAsia="zh-CN"/>
                    </w:rPr>
                    <w:t>符合</w:t>
                  </w:r>
                </w:p>
              </w:tc>
            </w:tr>
            <w:tr w14:paraId="2519819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476" w:type="pct"/>
                  <w:vMerge w:val="continue"/>
                  <w:tcBorders>
                    <w:tl2br w:val="nil"/>
                    <w:tr2bl w:val="nil"/>
                  </w:tcBorders>
                  <w:noWrap w:val="0"/>
                  <w:vAlign w:val="center"/>
                </w:tcPr>
                <w:p w14:paraId="29A40BFD">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lang w:val="en-US" w:eastAsia="zh-CN"/>
                    </w:rPr>
                  </w:pPr>
                </w:p>
              </w:tc>
              <w:tc>
                <w:tcPr>
                  <w:tcW w:w="3067" w:type="pct"/>
                  <w:tcBorders>
                    <w:tl2br w:val="nil"/>
                    <w:tr2bl w:val="nil"/>
                  </w:tcBorders>
                  <w:noWrap w:val="0"/>
                  <w:vAlign w:val="center"/>
                </w:tcPr>
                <w:p w14:paraId="6F2C1883">
                  <w:pPr>
                    <w:keepNext w:val="0"/>
                    <w:keepLines w:val="0"/>
                    <w:widowControl w:val="0"/>
                    <w:suppressLineNumbers w:val="0"/>
                    <w:autoSpaceDE w:val="0"/>
                    <w:autoSpaceDN/>
                    <w:spacing w:before="0" w:beforeAutospacing="0" w:after="0" w:afterAutospacing="0"/>
                    <w:ind w:left="0" w:right="0"/>
                    <w:jc w:val="left"/>
                    <w:rPr>
                      <w:rFonts w:hint="default" w:ascii="Times New Roman" w:hAnsi="Times New Roman" w:eastAsia="宋体" w:cs="Times New Roman"/>
                      <w:bCs/>
                      <w:color w:val="auto"/>
                      <w:kern w:val="2"/>
                      <w:sz w:val="21"/>
                      <w:szCs w:val="21"/>
                      <w:highlight w:val="none"/>
                      <w:lang w:val="en-US" w:eastAsia="zh-CN"/>
                    </w:rPr>
                  </w:pPr>
                  <w:r>
                    <w:rPr>
                      <w:rFonts w:hint="default" w:ascii="Times New Roman" w:hAnsi="Times New Roman" w:eastAsia="宋体" w:cs="Times New Roman"/>
                      <w:bCs/>
                      <w:color w:val="auto"/>
                      <w:kern w:val="2"/>
                      <w:sz w:val="21"/>
                      <w:szCs w:val="21"/>
                      <w:highlight w:val="none"/>
                      <w:lang w:val="en-US" w:eastAsia="zh-CN" w:bidi="ar"/>
                    </w:rPr>
                    <w:t>4.辛安泉饮用水水源地准保护区范围内禁止新建、扩建对水体污染严重的建设项目。</w:t>
                  </w:r>
                </w:p>
              </w:tc>
              <w:tc>
                <w:tcPr>
                  <w:tcW w:w="998" w:type="pct"/>
                  <w:tcBorders>
                    <w:tl2br w:val="nil"/>
                    <w:tr2bl w:val="nil"/>
                  </w:tcBorders>
                  <w:noWrap w:val="0"/>
                  <w:vAlign w:val="center"/>
                </w:tcPr>
                <w:p w14:paraId="6C1A1B83">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lang w:val="en-US" w:eastAsia="zh-CN"/>
                    </w:rPr>
                  </w:pPr>
                  <w:r>
                    <w:rPr>
                      <w:rFonts w:hint="default" w:ascii="Times New Roman" w:hAnsi="Times New Roman" w:eastAsia="宋体" w:cs="Times New Roman"/>
                      <w:bCs/>
                      <w:color w:val="auto"/>
                      <w:kern w:val="2"/>
                      <w:sz w:val="21"/>
                      <w:szCs w:val="21"/>
                      <w:highlight w:val="none"/>
                      <w:lang w:val="en-US" w:eastAsia="zh-CN" w:bidi="ar"/>
                    </w:rPr>
                    <w:t>项目不在辛安泉饮用水水源地准保护区范围内</w:t>
                  </w:r>
                </w:p>
              </w:tc>
              <w:tc>
                <w:tcPr>
                  <w:tcW w:w="456" w:type="pct"/>
                  <w:tcBorders>
                    <w:tl2br w:val="nil"/>
                    <w:tr2bl w:val="nil"/>
                  </w:tcBorders>
                  <w:noWrap w:val="0"/>
                  <w:vAlign w:val="center"/>
                </w:tcPr>
                <w:p w14:paraId="68022418">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highlight w:val="none"/>
                      <w:lang w:val="en-US" w:eastAsia="zh-CN"/>
                    </w:rPr>
                  </w:pPr>
                  <w:r>
                    <w:rPr>
                      <w:rFonts w:hint="default" w:ascii="Times New Roman" w:hAnsi="Times New Roman" w:cs="Times New Roman"/>
                      <w:color w:val="auto"/>
                      <w:highlight w:val="none"/>
                      <w:shd w:val="clear" w:color="auto" w:fill="FFFFFF"/>
                      <w:lang w:val="en-US" w:eastAsia="zh-CN"/>
                    </w:rPr>
                    <w:t>符合</w:t>
                  </w:r>
                </w:p>
              </w:tc>
            </w:tr>
            <w:tr w14:paraId="5E74650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476" w:type="pct"/>
                  <w:vMerge w:val="restart"/>
                  <w:tcBorders>
                    <w:tl2br w:val="nil"/>
                    <w:tr2bl w:val="nil"/>
                  </w:tcBorders>
                  <w:noWrap w:val="0"/>
                  <w:vAlign w:val="center"/>
                </w:tcPr>
                <w:p w14:paraId="673027DB">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rPr>
                  </w:pPr>
                  <w:r>
                    <w:rPr>
                      <w:rFonts w:hint="default" w:ascii="Times New Roman" w:hAnsi="Times New Roman" w:eastAsia="宋体" w:cs="Times New Roman"/>
                      <w:bCs/>
                      <w:color w:val="auto"/>
                      <w:kern w:val="2"/>
                      <w:sz w:val="21"/>
                      <w:szCs w:val="21"/>
                      <w:highlight w:val="none"/>
                      <w:lang w:val="en-US" w:eastAsia="zh-CN" w:bidi="ar"/>
                    </w:rPr>
                    <w:t>污染物排放管控</w:t>
                  </w:r>
                </w:p>
              </w:tc>
              <w:tc>
                <w:tcPr>
                  <w:tcW w:w="3067" w:type="pct"/>
                  <w:tcBorders>
                    <w:tl2br w:val="nil"/>
                    <w:tr2bl w:val="nil"/>
                  </w:tcBorders>
                  <w:noWrap w:val="0"/>
                  <w:vAlign w:val="center"/>
                </w:tcPr>
                <w:p w14:paraId="14E162E4">
                  <w:pPr>
                    <w:keepNext w:val="0"/>
                    <w:keepLines w:val="0"/>
                    <w:widowControl w:val="0"/>
                    <w:suppressLineNumbers w:val="0"/>
                    <w:autoSpaceDE w:val="0"/>
                    <w:autoSpaceDN/>
                    <w:spacing w:before="0" w:beforeAutospacing="0" w:after="0" w:afterAutospacing="0"/>
                    <w:ind w:left="0" w:right="0"/>
                    <w:jc w:val="left"/>
                    <w:rPr>
                      <w:rFonts w:hint="default" w:ascii="Times New Roman" w:hAnsi="Times New Roman" w:eastAsia="宋体" w:cs="Times New Roman"/>
                      <w:bCs/>
                      <w:color w:val="auto"/>
                      <w:kern w:val="2"/>
                      <w:sz w:val="21"/>
                      <w:szCs w:val="21"/>
                      <w:highlight w:val="none"/>
                      <w:lang w:val="en-US" w:eastAsia="zh-CN"/>
                    </w:rPr>
                  </w:pPr>
                  <w:r>
                    <w:rPr>
                      <w:rFonts w:hint="default" w:ascii="Times New Roman" w:hAnsi="Times New Roman" w:eastAsia="宋体" w:cs="Times New Roman"/>
                      <w:bCs/>
                      <w:color w:val="auto"/>
                      <w:kern w:val="2"/>
                      <w:sz w:val="21"/>
                      <w:szCs w:val="21"/>
                      <w:highlight w:val="none"/>
                      <w:lang w:val="en-US" w:eastAsia="zh-CN" w:bidi="ar"/>
                    </w:rPr>
                    <w:t>1.泉域的重点保护区内禁止将已污染含水层与未污染含水层的地下水混合开采，禁止倾倒、排放工业废渣和城市生活垃圾、污水及其他废弃物；重点保护区以外的泉域范围内不得利用渗坑、渗井、溶洞、废弃钻孔等排放工业废水、城市生活污水，倾倒污物、废渣和城市生活垃圾。</w:t>
                  </w:r>
                </w:p>
              </w:tc>
              <w:tc>
                <w:tcPr>
                  <w:tcW w:w="998" w:type="pct"/>
                  <w:tcBorders>
                    <w:tl2br w:val="nil"/>
                    <w:tr2bl w:val="nil"/>
                  </w:tcBorders>
                  <w:noWrap w:val="0"/>
                  <w:vAlign w:val="center"/>
                </w:tcPr>
                <w:p w14:paraId="5790603D">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rPr>
                  </w:pPr>
                  <w:r>
                    <w:rPr>
                      <w:rFonts w:hint="default" w:ascii="Times New Roman" w:hAnsi="Times New Roman" w:eastAsia="宋体" w:cs="Times New Roman"/>
                      <w:bCs/>
                      <w:color w:val="auto"/>
                      <w:kern w:val="2"/>
                      <w:sz w:val="21"/>
                      <w:szCs w:val="21"/>
                      <w:highlight w:val="none"/>
                      <w:lang w:val="en-US" w:eastAsia="zh-CN" w:bidi="ar"/>
                    </w:rPr>
                    <w:t>项目不在辛安泉域</w:t>
                  </w:r>
                  <w:r>
                    <w:rPr>
                      <w:rFonts w:hint="default" w:ascii="Times New Roman" w:hAnsi="Times New Roman" w:cs="Times New Roman"/>
                      <w:bCs/>
                      <w:color w:val="auto"/>
                      <w:kern w:val="2"/>
                      <w:sz w:val="21"/>
                      <w:szCs w:val="21"/>
                      <w:highlight w:val="none"/>
                      <w:lang w:val="en-US" w:eastAsia="zh-CN" w:bidi="ar"/>
                    </w:rPr>
                    <w:t>的</w:t>
                  </w:r>
                  <w:r>
                    <w:rPr>
                      <w:rFonts w:hint="default" w:ascii="Times New Roman" w:hAnsi="Times New Roman" w:eastAsia="宋体" w:cs="Times New Roman"/>
                      <w:bCs/>
                      <w:color w:val="auto"/>
                      <w:kern w:val="2"/>
                      <w:sz w:val="21"/>
                      <w:szCs w:val="21"/>
                      <w:highlight w:val="none"/>
                      <w:lang w:val="en-US" w:eastAsia="zh-CN" w:bidi="ar"/>
                    </w:rPr>
                    <w:t>重点保护区</w:t>
                  </w:r>
                  <w:r>
                    <w:rPr>
                      <w:rFonts w:hint="default" w:ascii="Times New Roman" w:hAnsi="Times New Roman" w:cs="Times New Roman"/>
                      <w:bCs/>
                      <w:color w:val="auto"/>
                      <w:kern w:val="2"/>
                      <w:sz w:val="21"/>
                      <w:szCs w:val="21"/>
                      <w:highlight w:val="none"/>
                      <w:lang w:val="en-US" w:eastAsia="zh-CN" w:bidi="ar"/>
                    </w:rPr>
                    <w:t>内，</w:t>
                  </w:r>
                  <w:r>
                    <w:rPr>
                      <w:rFonts w:hint="default" w:ascii="Times New Roman" w:hAnsi="Times New Roman" w:eastAsia="宋体" w:cs="Times New Roman"/>
                      <w:bCs/>
                      <w:color w:val="auto"/>
                      <w:kern w:val="2"/>
                      <w:sz w:val="21"/>
                      <w:szCs w:val="21"/>
                      <w:highlight w:val="none"/>
                      <w:lang w:val="en-US" w:eastAsia="zh-CN" w:bidi="ar"/>
                    </w:rPr>
                    <w:t>风电场区运营期不产生废水</w:t>
                  </w:r>
                  <w:r>
                    <w:rPr>
                      <w:rFonts w:hint="default" w:ascii="Times New Roman" w:hAnsi="Times New Roman" w:cs="Times New Roman"/>
                      <w:bCs/>
                      <w:color w:val="auto"/>
                      <w:kern w:val="2"/>
                      <w:sz w:val="21"/>
                      <w:szCs w:val="21"/>
                      <w:highlight w:val="none"/>
                      <w:lang w:val="en-US" w:eastAsia="zh-CN" w:bidi="ar"/>
                    </w:rPr>
                    <w:t>，</w:t>
                  </w:r>
                  <w:r>
                    <w:rPr>
                      <w:rFonts w:hint="default" w:ascii="Times New Roman" w:hAnsi="Times New Roman" w:eastAsia="宋体" w:cs="Times New Roman"/>
                      <w:bCs/>
                      <w:color w:val="auto"/>
                      <w:kern w:val="2"/>
                      <w:sz w:val="21"/>
                      <w:szCs w:val="21"/>
                      <w:highlight w:val="none"/>
                      <w:lang w:val="en-US" w:eastAsia="zh-CN" w:bidi="ar"/>
                    </w:rPr>
                    <w:t>固废</w:t>
                  </w:r>
                  <w:r>
                    <w:rPr>
                      <w:rFonts w:hint="default" w:ascii="Times New Roman" w:hAnsi="Times New Roman" w:cs="Times New Roman"/>
                      <w:bCs/>
                      <w:color w:val="auto"/>
                      <w:kern w:val="2"/>
                      <w:sz w:val="21"/>
                      <w:szCs w:val="21"/>
                      <w:highlight w:val="none"/>
                      <w:lang w:val="en-US" w:eastAsia="zh-CN" w:bidi="ar"/>
                    </w:rPr>
                    <w:t>可得到合理处置，不会随意倾倒</w:t>
                  </w:r>
                  <w:r>
                    <w:rPr>
                      <w:rFonts w:hint="default" w:ascii="Times New Roman" w:hAnsi="Times New Roman" w:eastAsia="宋体" w:cs="Times New Roman"/>
                      <w:bCs/>
                      <w:color w:val="auto"/>
                      <w:kern w:val="2"/>
                      <w:sz w:val="21"/>
                      <w:szCs w:val="21"/>
                      <w:highlight w:val="none"/>
                      <w:lang w:val="en-US" w:eastAsia="zh-CN" w:bidi="ar"/>
                    </w:rPr>
                    <w:t>污物、废渣</w:t>
                  </w:r>
                </w:p>
              </w:tc>
              <w:tc>
                <w:tcPr>
                  <w:tcW w:w="456" w:type="pct"/>
                  <w:tcBorders>
                    <w:tl2br w:val="nil"/>
                    <w:tr2bl w:val="nil"/>
                  </w:tcBorders>
                  <w:noWrap w:val="0"/>
                  <w:vAlign w:val="center"/>
                </w:tcPr>
                <w:p w14:paraId="0885C409">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cs="Times New Roman"/>
                      <w:color w:val="auto"/>
                      <w:highlight w:val="none"/>
                      <w:shd w:val="clear" w:color="auto" w:fill="FFFFFF"/>
                      <w:lang w:val="en-US" w:eastAsia="zh-CN"/>
                    </w:rPr>
                    <w:t>符合</w:t>
                  </w:r>
                </w:p>
              </w:tc>
            </w:tr>
            <w:tr w14:paraId="490D105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476" w:type="pct"/>
                  <w:vMerge w:val="continue"/>
                  <w:tcBorders>
                    <w:tl2br w:val="nil"/>
                    <w:tr2bl w:val="nil"/>
                  </w:tcBorders>
                  <w:noWrap w:val="0"/>
                  <w:vAlign w:val="center"/>
                </w:tcPr>
                <w:p w14:paraId="21654751">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lang w:val="en-US" w:eastAsia="zh-CN"/>
                    </w:rPr>
                  </w:pPr>
                </w:p>
              </w:tc>
              <w:tc>
                <w:tcPr>
                  <w:tcW w:w="3067" w:type="pct"/>
                  <w:tcBorders>
                    <w:tl2br w:val="nil"/>
                    <w:tr2bl w:val="nil"/>
                  </w:tcBorders>
                  <w:noWrap w:val="0"/>
                  <w:vAlign w:val="center"/>
                </w:tcPr>
                <w:p w14:paraId="7921C5E1">
                  <w:pPr>
                    <w:keepNext w:val="0"/>
                    <w:keepLines w:val="0"/>
                    <w:widowControl w:val="0"/>
                    <w:suppressLineNumbers w:val="0"/>
                    <w:autoSpaceDE w:val="0"/>
                    <w:autoSpaceDN/>
                    <w:spacing w:before="0" w:beforeAutospacing="0" w:after="0" w:afterAutospacing="0"/>
                    <w:ind w:left="0" w:right="0"/>
                    <w:jc w:val="left"/>
                    <w:rPr>
                      <w:rFonts w:hint="default" w:ascii="Times New Roman" w:hAnsi="Times New Roman" w:eastAsia="宋体" w:cs="Times New Roman"/>
                      <w:bCs/>
                      <w:color w:val="auto"/>
                      <w:kern w:val="2"/>
                      <w:sz w:val="21"/>
                      <w:szCs w:val="21"/>
                      <w:highlight w:val="none"/>
                      <w:lang w:val="en-US" w:eastAsia="zh-CN"/>
                    </w:rPr>
                  </w:pPr>
                  <w:r>
                    <w:rPr>
                      <w:rFonts w:hint="default" w:ascii="Times New Roman" w:hAnsi="Times New Roman" w:eastAsia="宋体" w:cs="Times New Roman"/>
                      <w:bCs/>
                      <w:color w:val="auto"/>
                      <w:kern w:val="2"/>
                      <w:sz w:val="21"/>
                      <w:szCs w:val="21"/>
                      <w:highlight w:val="none"/>
                      <w:lang w:val="en-US" w:eastAsia="zh-CN" w:bidi="ar"/>
                    </w:rPr>
                    <w:t>2.辛安泉饮用水水源地一级保护区内禁止倾倒、堆放工业废渣、废液、垃圾、粪便、油类和其他有害废弃物；禁止从事网箱养殖、旅游、游泳、垂钓、水上训练或者其他可能污染饮用水水体的活动。</w:t>
                  </w:r>
                </w:p>
              </w:tc>
              <w:tc>
                <w:tcPr>
                  <w:tcW w:w="998" w:type="pct"/>
                  <w:tcBorders>
                    <w:tl2br w:val="nil"/>
                    <w:tr2bl w:val="nil"/>
                  </w:tcBorders>
                  <w:noWrap w:val="0"/>
                  <w:vAlign w:val="center"/>
                </w:tcPr>
                <w:p w14:paraId="2EAF8EE7">
                  <w:pPr>
                    <w:keepNext w:val="0"/>
                    <w:keepLines w:val="0"/>
                    <w:widowControl w:val="0"/>
                    <w:suppressLineNumbers w:val="0"/>
                    <w:autoSpaceDE w:val="0"/>
                    <w:autoSpaceDN/>
                    <w:spacing w:before="0" w:beforeAutospacing="0" w:after="0" w:afterAutospacing="0"/>
                    <w:ind w:left="0" w:right="0"/>
                    <w:jc w:val="left"/>
                    <w:rPr>
                      <w:rFonts w:hint="default" w:ascii="Times New Roman" w:hAnsi="Times New Roman" w:eastAsia="宋体" w:cs="Times New Roman"/>
                      <w:bCs/>
                      <w:color w:val="auto"/>
                      <w:kern w:val="2"/>
                      <w:sz w:val="21"/>
                      <w:szCs w:val="21"/>
                      <w:highlight w:val="none"/>
                      <w:lang w:val="en-US" w:eastAsia="zh-CN"/>
                    </w:rPr>
                  </w:pPr>
                  <w:r>
                    <w:rPr>
                      <w:rFonts w:hint="default" w:ascii="Times New Roman" w:hAnsi="Times New Roman" w:eastAsia="宋体" w:cs="Times New Roman"/>
                      <w:bCs/>
                      <w:color w:val="auto"/>
                      <w:kern w:val="2"/>
                      <w:sz w:val="21"/>
                      <w:szCs w:val="21"/>
                      <w:highlight w:val="none"/>
                      <w:lang w:val="en-US" w:eastAsia="zh-CN" w:bidi="ar"/>
                    </w:rPr>
                    <w:t>风电场区不在辛安泉饮用水水源地一级保护区范围内</w:t>
                  </w:r>
                </w:p>
              </w:tc>
              <w:tc>
                <w:tcPr>
                  <w:tcW w:w="456" w:type="pct"/>
                  <w:tcBorders>
                    <w:tl2br w:val="nil"/>
                    <w:tr2bl w:val="nil"/>
                  </w:tcBorders>
                  <w:noWrap w:val="0"/>
                  <w:vAlign w:val="center"/>
                </w:tcPr>
                <w:p w14:paraId="3C7002AE">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cs="Times New Roman"/>
                      <w:color w:val="auto"/>
                      <w:highlight w:val="none"/>
                      <w:shd w:val="clear" w:color="auto" w:fill="FFFFFF"/>
                      <w:lang w:val="en-US" w:eastAsia="zh-CN"/>
                    </w:rPr>
                    <w:t>符合</w:t>
                  </w:r>
                </w:p>
              </w:tc>
            </w:tr>
            <w:tr w14:paraId="340DC41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476" w:type="pct"/>
                  <w:vMerge w:val="continue"/>
                  <w:tcBorders>
                    <w:tl2br w:val="nil"/>
                    <w:tr2bl w:val="nil"/>
                  </w:tcBorders>
                  <w:noWrap w:val="0"/>
                  <w:vAlign w:val="center"/>
                </w:tcPr>
                <w:p w14:paraId="6FAB97B9">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lang w:val="en-US" w:eastAsia="zh-CN"/>
                    </w:rPr>
                  </w:pPr>
                </w:p>
              </w:tc>
              <w:tc>
                <w:tcPr>
                  <w:tcW w:w="3067" w:type="pct"/>
                  <w:tcBorders>
                    <w:tl2br w:val="nil"/>
                    <w:tr2bl w:val="nil"/>
                  </w:tcBorders>
                  <w:noWrap w:val="0"/>
                  <w:vAlign w:val="center"/>
                </w:tcPr>
                <w:p w14:paraId="022DF9AA">
                  <w:pPr>
                    <w:keepNext w:val="0"/>
                    <w:keepLines w:val="0"/>
                    <w:widowControl w:val="0"/>
                    <w:suppressLineNumbers w:val="0"/>
                    <w:autoSpaceDE w:val="0"/>
                    <w:autoSpaceDN/>
                    <w:spacing w:before="0" w:beforeAutospacing="0" w:after="0" w:afterAutospacing="0"/>
                    <w:ind w:left="0" w:right="0"/>
                    <w:jc w:val="left"/>
                    <w:rPr>
                      <w:rFonts w:hint="default" w:ascii="Times New Roman" w:hAnsi="Times New Roman" w:eastAsia="宋体" w:cs="Times New Roman"/>
                      <w:bCs/>
                      <w:color w:val="auto"/>
                      <w:kern w:val="2"/>
                      <w:sz w:val="21"/>
                      <w:szCs w:val="21"/>
                      <w:highlight w:val="none"/>
                      <w:lang w:val="en-US" w:eastAsia="zh-CN"/>
                    </w:rPr>
                  </w:pPr>
                  <w:r>
                    <w:rPr>
                      <w:rFonts w:hint="default" w:ascii="Times New Roman" w:hAnsi="Times New Roman" w:eastAsia="宋体" w:cs="Times New Roman"/>
                      <w:bCs/>
                      <w:color w:val="auto"/>
                      <w:kern w:val="2"/>
                      <w:sz w:val="21"/>
                      <w:szCs w:val="21"/>
                      <w:highlight w:val="none"/>
                      <w:lang w:val="en-US" w:eastAsia="zh-CN" w:bidi="ar"/>
                    </w:rPr>
                    <w:t>3.辛安泉饮用水水源地二级保护区内禁止使用农药，丢弃农药、农药包装物或者清洗施药器械；禁止利用未经净化的污水灌溉农田。</w:t>
                  </w:r>
                </w:p>
              </w:tc>
              <w:tc>
                <w:tcPr>
                  <w:tcW w:w="998" w:type="pct"/>
                  <w:tcBorders>
                    <w:tl2br w:val="nil"/>
                    <w:tr2bl w:val="nil"/>
                  </w:tcBorders>
                  <w:noWrap w:val="0"/>
                  <w:vAlign w:val="center"/>
                </w:tcPr>
                <w:p w14:paraId="241223D8">
                  <w:pPr>
                    <w:keepNext w:val="0"/>
                    <w:keepLines w:val="0"/>
                    <w:widowControl w:val="0"/>
                    <w:suppressLineNumbers w:val="0"/>
                    <w:autoSpaceDE w:val="0"/>
                    <w:autoSpaceDN/>
                    <w:spacing w:before="0" w:beforeAutospacing="0" w:after="0" w:afterAutospacing="0"/>
                    <w:ind w:left="0" w:right="0"/>
                    <w:jc w:val="left"/>
                    <w:rPr>
                      <w:rFonts w:hint="default" w:ascii="Times New Roman" w:hAnsi="Times New Roman" w:eastAsia="宋体" w:cs="Times New Roman"/>
                      <w:bCs/>
                      <w:color w:val="auto"/>
                      <w:kern w:val="2"/>
                      <w:sz w:val="21"/>
                      <w:szCs w:val="21"/>
                      <w:highlight w:val="none"/>
                      <w:lang w:val="en-US" w:eastAsia="zh-CN"/>
                    </w:rPr>
                  </w:pPr>
                  <w:r>
                    <w:rPr>
                      <w:rFonts w:hint="default" w:ascii="Times New Roman" w:hAnsi="Times New Roman" w:eastAsia="宋体" w:cs="Times New Roman"/>
                      <w:bCs/>
                      <w:color w:val="auto"/>
                      <w:kern w:val="2"/>
                      <w:sz w:val="21"/>
                      <w:szCs w:val="21"/>
                      <w:highlight w:val="none"/>
                      <w:lang w:val="en-US" w:eastAsia="zh-CN" w:bidi="ar"/>
                    </w:rPr>
                    <w:t>风电场区不在辛安泉饮用水水源地二级保护区范围内</w:t>
                  </w:r>
                </w:p>
              </w:tc>
              <w:tc>
                <w:tcPr>
                  <w:tcW w:w="456" w:type="pct"/>
                  <w:tcBorders>
                    <w:tl2br w:val="nil"/>
                    <w:tr2bl w:val="nil"/>
                  </w:tcBorders>
                  <w:noWrap w:val="0"/>
                  <w:vAlign w:val="center"/>
                </w:tcPr>
                <w:p w14:paraId="42EF3B66">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cs="Times New Roman"/>
                      <w:color w:val="auto"/>
                      <w:highlight w:val="none"/>
                      <w:shd w:val="clear" w:color="auto" w:fill="FFFFFF"/>
                      <w:lang w:val="en-US" w:eastAsia="zh-CN"/>
                    </w:rPr>
                    <w:t>符合</w:t>
                  </w:r>
                </w:p>
              </w:tc>
            </w:tr>
            <w:tr w14:paraId="1ADD00F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476" w:type="pct"/>
                  <w:vMerge w:val="continue"/>
                  <w:tcBorders>
                    <w:tl2br w:val="nil"/>
                    <w:tr2bl w:val="nil"/>
                  </w:tcBorders>
                  <w:noWrap w:val="0"/>
                  <w:vAlign w:val="center"/>
                </w:tcPr>
                <w:p w14:paraId="19912367">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lang w:val="en-US" w:eastAsia="zh-CN"/>
                    </w:rPr>
                  </w:pPr>
                </w:p>
              </w:tc>
              <w:tc>
                <w:tcPr>
                  <w:tcW w:w="3067" w:type="pct"/>
                  <w:tcBorders>
                    <w:tl2br w:val="nil"/>
                    <w:tr2bl w:val="nil"/>
                  </w:tcBorders>
                  <w:noWrap w:val="0"/>
                  <w:vAlign w:val="center"/>
                </w:tcPr>
                <w:p w14:paraId="05F89A67">
                  <w:pPr>
                    <w:keepNext w:val="0"/>
                    <w:keepLines w:val="0"/>
                    <w:widowControl w:val="0"/>
                    <w:suppressLineNumbers w:val="0"/>
                    <w:autoSpaceDE w:val="0"/>
                    <w:autoSpaceDN/>
                    <w:spacing w:before="0" w:beforeAutospacing="0" w:after="0" w:afterAutospacing="0"/>
                    <w:ind w:left="0" w:right="0"/>
                    <w:jc w:val="left"/>
                    <w:rPr>
                      <w:rFonts w:hint="default" w:ascii="Times New Roman" w:hAnsi="Times New Roman" w:eastAsia="宋体" w:cs="Times New Roman"/>
                      <w:bCs/>
                      <w:color w:val="auto"/>
                      <w:kern w:val="2"/>
                      <w:sz w:val="21"/>
                      <w:szCs w:val="21"/>
                      <w:highlight w:val="none"/>
                      <w:lang w:val="en-US" w:eastAsia="zh-CN"/>
                    </w:rPr>
                  </w:pPr>
                  <w:r>
                    <w:rPr>
                      <w:rFonts w:hint="default" w:ascii="Times New Roman" w:hAnsi="Times New Roman" w:eastAsia="宋体" w:cs="Times New Roman"/>
                      <w:bCs/>
                      <w:color w:val="auto"/>
                      <w:kern w:val="2"/>
                      <w:sz w:val="21"/>
                      <w:szCs w:val="21"/>
                      <w:highlight w:val="none"/>
                      <w:lang w:val="en-US" w:eastAsia="zh-CN" w:bidi="ar"/>
                    </w:rPr>
                    <w:t>4.辛安泉饮用水水源地准保护区范围内禁止直接或者间接向水域排放不符合国家以及地方规定排放标准的废水；禁止使用不符合《农田灌溉水质标准》的污水灌溉农田；禁止利用渗井、废弃矿井、废弃井孔等排放工业废水、生活污水和矿坑水。</w:t>
                  </w:r>
                </w:p>
              </w:tc>
              <w:tc>
                <w:tcPr>
                  <w:tcW w:w="998" w:type="pct"/>
                  <w:tcBorders>
                    <w:tl2br w:val="nil"/>
                    <w:tr2bl w:val="nil"/>
                  </w:tcBorders>
                  <w:noWrap w:val="0"/>
                  <w:vAlign w:val="center"/>
                </w:tcPr>
                <w:p w14:paraId="3917B8F1">
                  <w:pPr>
                    <w:keepNext w:val="0"/>
                    <w:keepLines w:val="0"/>
                    <w:widowControl w:val="0"/>
                    <w:suppressLineNumbers w:val="0"/>
                    <w:autoSpaceDE w:val="0"/>
                    <w:autoSpaceDN/>
                    <w:spacing w:before="0" w:beforeAutospacing="0" w:after="0" w:afterAutospacing="0"/>
                    <w:ind w:left="0" w:right="0"/>
                    <w:jc w:val="left"/>
                    <w:rPr>
                      <w:rFonts w:hint="default" w:ascii="Times New Roman" w:hAnsi="Times New Roman" w:eastAsia="宋体" w:cs="Times New Roman"/>
                      <w:bCs/>
                      <w:color w:val="auto"/>
                      <w:kern w:val="2"/>
                      <w:sz w:val="21"/>
                      <w:szCs w:val="21"/>
                      <w:highlight w:val="none"/>
                      <w:lang w:val="en-US" w:eastAsia="zh-CN"/>
                    </w:rPr>
                  </w:pPr>
                  <w:r>
                    <w:rPr>
                      <w:rFonts w:hint="default" w:ascii="Times New Roman" w:hAnsi="Times New Roman" w:eastAsia="宋体" w:cs="Times New Roman"/>
                      <w:bCs/>
                      <w:color w:val="auto"/>
                      <w:kern w:val="2"/>
                      <w:sz w:val="21"/>
                      <w:szCs w:val="21"/>
                      <w:highlight w:val="none"/>
                      <w:lang w:val="en-US" w:eastAsia="zh-CN" w:bidi="ar"/>
                    </w:rPr>
                    <w:t>风电场区不在辛安泉饮用水水源地准保护区范围内</w:t>
                  </w:r>
                </w:p>
              </w:tc>
              <w:tc>
                <w:tcPr>
                  <w:tcW w:w="456" w:type="pct"/>
                  <w:tcBorders>
                    <w:tl2br w:val="nil"/>
                    <w:tr2bl w:val="nil"/>
                  </w:tcBorders>
                  <w:noWrap w:val="0"/>
                  <w:vAlign w:val="center"/>
                </w:tcPr>
                <w:p w14:paraId="3070F921">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cs="Times New Roman"/>
                      <w:color w:val="auto"/>
                      <w:highlight w:val="none"/>
                      <w:shd w:val="clear" w:color="auto" w:fill="FFFFFF"/>
                      <w:lang w:val="en-US" w:eastAsia="zh-CN"/>
                    </w:rPr>
                    <w:t>符合</w:t>
                  </w:r>
                </w:p>
              </w:tc>
            </w:tr>
            <w:tr w14:paraId="106DD46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476" w:type="pct"/>
                  <w:tcBorders>
                    <w:tl2br w:val="nil"/>
                    <w:tr2bl w:val="nil"/>
                  </w:tcBorders>
                  <w:noWrap w:val="0"/>
                  <w:vAlign w:val="center"/>
                </w:tcPr>
                <w:p w14:paraId="1D92933F">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cs="Times New Roman"/>
                      <w:bCs/>
                      <w:color w:val="auto"/>
                      <w:kern w:val="2"/>
                      <w:sz w:val="21"/>
                      <w:szCs w:val="21"/>
                      <w:highlight w:val="none"/>
                      <w:lang w:val="en-US" w:eastAsia="zh-CN"/>
                    </w:rPr>
                  </w:pPr>
                  <w:r>
                    <w:rPr>
                      <w:rFonts w:hint="default" w:ascii="Times New Roman" w:hAnsi="Times New Roman" w:eastAsia="宋体" w:cs="Times New Roman"/>
                      <w:bCs/>
                      <w:color w:val="auto"/>
                      <w:kern w:val="2"/>
                      <w:sz w:val="21"/>
                      <w:szCs w:val="21"/>
                      <w:highlight w:val="none"/>
                      <w:lang w:val="en-US" w:eastAsia="zh-CN" w:bidi="ar"/>
                    </w:rPr>
                    <w:t>环境风险</w:t>
                  </w:r>
                </w:p>
              </w:tc>
              <w:tc>
                <w:tcPr>
                  <w:tcW w:w="3067" w:type="pct"/>
                  <w:tcBorders>
                    <w:tl2br w:val="nil"/>
                    <w:tr2bl w:val="nil"/>
                  </w:tcBorders>
                  <w:noWrap w:val="0"/>
                  <w:vAlign w:val="center"/>
                </w:tcPr>
                <w:p w14:paraId="7E424C64">
                  <w:pPr>
                    <w:keepNext w:val="0"/>
                    <w:keepLines w:val="0"/>
                    <w:widowControl w:val="0"/>
                    <w:suppressLineNumbers w:val="0"/>
                    <w:autoSpaceDE w:val="0"/>
                    <w:autoSpaceDN/>
                    <w:spacing w:before="0" w:beforeAutospacing="0" w:after="0" w:afterAutospacing="0"/>
                    <w:ind w:left="0" w:right="0"/>
                    <w:jc w:val="left"/>
                    <w:rPr>
                      <w:rFonts w:hint="default" w:ascii="Times New Roman" w:hAnsi="Times New Roman" w:eastAsia="宋体" w:cs="Times New Roman"/>
                      <w:bCs/>
                      <w:color w:val="auto"/>
                      <w:kern w:val="2"/>
                      <w:sz w:val="21"/>
                      <w:szCs w:val="21"/>
                      <w:highlight w:val="none"/>
                      <w:lang w:val="en-US" w:eastAsia="zh-CN"/>
                    </w:rPr>
                  </w:pPr>
                  <w:r>
                    <w:rPr>
                      <w:rFonts w:hint="default" w:ascii="Times New Roman" w:hAnsi="Times New Roman" w:eastAsia="宋体" w:cs="Times New Roman"/>
                      <w:bCs/>
                      <w:color w:val="auto"/>
                      <w:kern w:val="2"/>
                      <w:sz w:val="21"/>
                      <w:szCs w:val="21"/>
                      <w:highlight w:val="none"/>
                      <w:lang w:val="en-US" w:eastAsia="zh-CN" w:bidi="ar"/>
                    </w:rPr>
                    <w:t>泉域范围内，石化生产、存贮、销售企业以及工业园区、矿山开采区、矿山渣场、垃圾填埋场以及危险废物堆放场等的运营、管理单位应当进行必要的防渗处理。报废矿井、钻井以及取水井应当实施封井回填。</w:t>
                  </w:r>
                </w:p>
              </w:tc>
              <w:tc>
                <w:tcPr>
                  <w:tcW w:w="998" w:type="pct"/>
                  <w:tcBorders>
                    <w:tl2br w:val="nil"/>
                    <w:tr2bl w:val="nil"/>
                  </w:tcBorders>
                  <w:noWrap w:val="0"/>
                  <w:vAlign w:val="center"/>
                </w:tcPr>
                <w:p w14:paraId="75F2AA42">
                  <w:pPr>
                    <w:keepNext w:val="0"/>
                    <w:keepLines w:val="0"/>
                    <w:widowControl w:val="0"/>
                    <w:suppressLineNumbers w:val="0"/>
                    <w:autoSpaceDE w:val="0"/>
                    <w:autoSpaceDN/>
                    <w:spacing w:before="0" w:beforeAutospacing="0" w:after="0" w:afterAutospacing="0"/>
                    <w:ind w:left="0" w:right="0"/>
                    <w:jc w:val="left"/>
                    <w:rPr>
                      <w:rFonts w:hint="default" w:ascii="Times New Roman" w:hAnsi="Times New Roman" w:eastAsia="宋体" w:cs="Times New Roman"/>
                      <w:bCs/>
                      <w:color w:val="auto"/>
                      <w:kern w:val="2"/>
                      <w:sz w:val="21"/>
                      <w:szCs w:val="21"/>
                      <w:highlight w:val="none"/>
                      <w:lang w:val="en-US" w:eastAsia="zh-CN"/>
                    </w:rPr>
                  </w:pPr>
                  <w:r>
                    <w:rPr>
                      <w:rFonts w:hint="default" w:ascii="Times New Roman" w:hAnsi="Times New Roman" w:eastAsia="宋体" w:cs="Times New Roman"/>
                      <w:bCs/>
                      <w:color w:val="auto"/>
                      <w:kern w:val="2"/>
                      <w:sz w:val="21"/>
                      <w:szCs w:val="21"/>
                      <w:highlight w:val="none"/>
                      <w:lang w:val="en-US" w:eastAsia="zh-CN"/>
                    </w:rPr>
                    <w:t>风电场区</w:t>
                  </w:r>
                  <w:r>
                    <w:rPr>
                      <w:rFonts w:hint="default" w:ascii="Times New Roman" w:hAnsi="Times New Roman" w:eastAsia="宋体" w:cs="Times New Roman"/>
                      <w:bCs/>
                      <w:color w:val="auto"/>
                      <w:kern w:val="2"/>
                      <w:sz w:val="21"/>
                      <w:szCs w:val="21"/>
                      <w:highlight w:val="none"/>
                      <w:lang w:val="en-US" w:eastAsia="zh-CN" w:bidi="ar"/>
                    </w:rPr>
                    <w:t>不在辛安泉域范围内</w:t>
                  </w:r>
                </w:p>
              </w:tc>
              <w:tc>
                <w:tcPr>
                  <w:tcW w:w="456" w:type="pct"/>
                  <w:tcBorders>
                    <w:tl2br w:val="nil"/>
                    <w:tr2bl w:val="nil"/>
                  </w:tcBorders>
                  <w:noWrap w:val="0"/>
                  <w:vAlign w:val="center"/>
                </w:tcPr>
                <w:p w14:paraId="1C0DA42B">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rPr>
                  </w:pPr>
                  <w:r>
                    <w:rPr>
                      <w:rFonts w:hint="default" w:ascii="Times New Roman" w:hAnsi="Times New Roman" w:cs="Times New Roman"/>
                      <w:color w:val="auto"/>
                      <w:highlight w:val="none"/>
                      <w:shd w:val="clear" w:color="auto" w:fill="FFFFFF"/>
                      <w:lang w:val="en-US" w:eastAsia="zh-CN"/>
                    </w:rPr>
                    <w:t>符合</w:t>
                  </w:r>
                </w:p>
              </w:tc>
            </w:tr>
            <w:tr w14:paraId="7FD5B08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476" w:type="pct"/>
                  <w:vMerge w:val="restart"/>
                  <w:tcBorders>
                    <w:tl2br w:val="nil"/>
                    <w:tr2bl w:val="nil"/>
                  </w:tcBorders>
                  <w:noWrap w:val="0"/>
                  <w:vAlign w:val="center"/>
                </w:tcPr>
                <w:p w14:paraId="6032271C">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rPr>
                  </w:pPr>
                  <w:r>
                    <w:rPr>
                      <w:rFonts w:hint="default" w:ascii="Times New Roman" w:hAnsi="Times New Roman" w:eastAsia="宋体" w:cs="Times New Roman"/>
                      <w:bCs/>
                      <w:color w:val="auto"/>
                      <w:kern w:val="2"/>
                      <w:sz w:val="21"/>
                      <w:szCs w:val="21"/>
                      <w:highlight w:val="none"/>
                      <w:lang w:val="en-US" w:eastAsia="zh-CN" w:bidi="ar"/>
                    </w:rPr>
                    <w:t>资源利用效率</w:t>
                  </w:r>
                </w:p>
              </w:tc>
              <w:tc>
                <w:tcPr>
                  <w:tcW w:w="3067" w:type="pct"/>
                  <w:tcBorders>
                    <w:tl2br w:val="nil"/>
                    <w:tr2bl w:val="nil"/>
                  </w:tcBorders>
                  <w:noWrap w:val="0"/>
                  <w:vAlign w:val="center"/>
                </w:tcPr>
                <w:p w14:paraId="0C753A46">
                  <w:pPr>
                    <w:keepNext w:val="0"/>
                    <w:keepLines w:val="0"/>
                    <w:widowControl w:val="0"/>
                    <w:suppressLineNumbers w:val="0"/>
                    <w:autoSpaceDE w:val="0"/>
                    <w:autoSpaceDN/>
                    <w:spacing w:before="0" w:beforeAutospacing="0" w:after="0" w:afterAutospacing="0"/>
                    <w:ind w:left="0" w:right="0"/>
                    <w:jc w:val="left"/>
                    <w:rPr>
                      <w:rFonts w:hint="default" w:ascii="Times New Roman" w:hAnsi="Times New Roman" w:eastAsia="宋体" w:cs="Times New Roman"/>
                      <w:bCs/>
                      <w:color w:val="auto"/>
                      <w:kern w:val="2"/>
                      <w:sz w:val="21"/>
                      <w:szCs w:val="21"/>
                      <w:highlight w:val="none"/>
                      <w:lang w:val="en-US" w:eastAsia="zh-CN"/>
                    </w:rPr>
                  </w:pPr>
                  <w:r>
                    <w:rPr>
                      <w:rFonts w:hint="default" w:ascii="Times New Roman" w:hAnsi="Times New Roman" w:eastAsia="宋体" w:cs="Times New Roman"/>
                      <w:bCs/>
                      <w:color w:val="auto"/>
                      <w:kern w:val="2"/>
                      <w:sz w:val="21"/>
                      <w:szCs w:val="21"/>
                      <w:highlight w:val="none"/>
                      <w:lang w:val="en-US" w:eastAsia="zh-CN" w:bidi="ar"/>
                    </w:rPr>
                    <w:t>1.泉域的重点保护区内禁止擅自打井、挖泉、截流、引水；重点保护区以外的泉域范围内应控制岩溶地下水开采，合理开发孔隙裂隙地下水。</w:t>
                  </w:r>
                </w:p>
              </w:tc>
              <w:tc>
                <w:tcPr>
                  <w:tcW w:w="998" w:type="pct"/>
                  <w:tcBorders>
                    <w:tl2br w:val="nil"/>
                    <w:tr2bl w:val="nil"/>
                  </w:tcBorders>
                  <w:noWrap w:val="0"/>
                  <w:vAlign w:val="center"/>
                </w:tcPr>
                <w:p w14:paraId="7874F32F">
                  <w:pPr>
                    <w:keepNext w:val="0"/>
                    <w:keepLines w:val="0"/>
                    <w:widowControl w:val="0"/>
                    <w:suppressLineNumbers w:val="0"/>
                    <w:autoSpaceDE w:val="0"/>
                    <w:autoSpaceDN/>
                    <w:spacing w:before="0" w:beforeAutospacing="0" w:after="0" w:afterAutospacing="0"/>
                    <w:ind w:left="0" w:right="0"/>
                    <w:jc w:val="left"/>
                    <w:rPr>
                      <w:rFonts w:hint="default" w:ascii="Times New Roman" w:hAnsi="Times New Roman" w:eastAsia="宋体" w:cs="Times New Roman"/>
                      <w:bCs/>
                      <w:color w:val="auto"/>
                      <w:kern w:val="2"/>
                      <w:sz w:val="21"/>
                      <w:szCs w:val="21"/>
                      <w:highlight w:val="none"/>
                      <w:lang w:val="en-US" w:eastAsia="zh-CN"/>
                    </w:rPr>
                  </w:pPr>
                  <w:r>
                    <w:rPr>
                      <w:rFonts w:hint="default" w:ascii="Times New Roman" w:hAnsi="Times New Roman" w:eastAsia="宋体" w:cs="Times New Roman"/>
                      <w:bCs/>
                      <w:color w:val="auto"/>
                      <w:kern w:val="2"/>
                      <w:sz w:val="21"/>
                      <w:szCs w:val="21"/>
                      <w:highlight w:val="none"/>
                      <w:lang w:val="en-US" w:eastAsia="zh-CN"/>
                    </w:rPr>
                    <w:t>风电场区</w:t>
                  </w:r>
                  <w:r>
                    <w:rPr>
                      <w:rFonts w:hint="default" w:ascii="Times New Roman" w:hAnsi="Times New Roman" w:eastAsia="宋体" w:cs="Times New Roman"/>
                      <w:bCs/>
                      <w:color w:val="auto"/>
                      <w:kern w:val="2"/>
                      <w:sz w:val="21"/>
                      <w:szCs w:val="21"/>
                      <w:highlight w:val="none"/>
                      <w:lang w:val="en-US" w:eastAsia="zh-CN" w:bidi="ar"/>
                    </w:rPr>
                    <w:t>不在泉域的重点保护区内，不开采地下水</w:t>
                  </w:r>
                </w:p>
              </w:tc>
              <w:tc>
                <w:tcPr>
                  <w:tcW w:w="456" w:type="pct"/>
                  <w:tcBorders>
                    <w:tl2br w:val="nil"/>
                    <w:tr2bl w:val="nil"/>
                  </w:tcBorders>
                  <w:noWrap w:val="0"/>
                  <w:vAlign w:val="center"/>
                </w:tcPr>
                <w:p w14:paraId="2A22B111">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rPr>
                  </w:pPr>
                  <w:r>
                    <w:rPr>
                      <w:rFonts w:hint="default" w:ascii="Times New Roman" w:hAnsi="Times New Roman" w:cs="Times New Roman"/>
                      <w:color w:val="auto"/>
                      <w:highlight w:val="none"/>
                      <w:shd w:val="clear" w:color="auto" w:fill="FFFFFF"/>
                      <w:lang w:val="en-US" w:eastAsia="zh-CN"/>
                    </w:rPr>
                    <w:t>符合</w:t>
                  </w:r>
                </w:p>
              </w:tc>
            </w:tr>
            <w:tr w14:paraId="41A6199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476" w:type="pct"/>
                  <w:vMerge w:val="continue"/>
                  <w:tcBorders>
                    <w:tl2br w:val="nil"/>
                    <w:tr2bl w:val="nil"/>
                  </w:tcBorders>
                  <w:noWrap w:val="0"/>
                  <w:vAlign w:val="center"/>
                </w:tcPr>
                <w:p w14:paraId="1CBABEDB">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
                    </w:rPr>
                  </w:pPr>
                </w:p>
              </w:tc>
              <w:tc>
                <w:tcPr>
                  <w:tcW w:w="3067" w:type="pct"/>
                  <w:tcBorders>
                    <w:tl2br w:val="nil"/>
                    <w:tr2bl w:val="nil"/>
                  </w:tcBorders>
                  <w:noWrap w:val="0"/>
                  <w:vAlign w:val="center"/>
                </w:tcPr>
                <w:p w14:paraId="4367E58C">
                  <w:pPr>
                    <w:keepNext w:val="0"/>
                    <w:keepLines w:val="0"/>
                    <w:widowControl w:val="0"/>
                    <w:suppressLineNumbers w:val="0"/>
                    <w:autoSpaceDE w:val="0"/>
                    <w:autoSpaceDN/>
                    <w:spacing w:before="0" w:beforeAutospacing="0" w:after="0" w:afterAutospacing="0"/>
                    <w:ind w:left="0" w:right="0"/>
                    <w:jc w:val="left"/>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bidi="ar"/>
                    </w:rPr>
                    <w:t>2.泉域范围内，任何单位或者个人取用岩溶地下水，应当依法办理取水许可手续，严禁未经批准擅自取水；经批准取用辛安泉岩溶地下水的单位或者个人，应当依照取水许可规定的条件取水，不得超出核定的取水量，不得转供水。未经批准不得擅自改变取水用途，确需改变的，需经原批准机关审查同意；严格控制辛安泉岩溶地下水开采，实行区域限制许可制度，制定各县（区）岩溶水开采控制指标。对岩溶水取水量已达到或者超过控制指标的县（区），暂停新增岩溶水取水许可；对岩溶水取水量接近控制指标的县（区），限制新增岩溶水取水许可。</w:t>
                  </w:r>
                </w:p>
              </w:tc>
              <w:tc>
                <w:tcPr>
                  <w:tcW w:w="998" w:type="pct"/>
                  <w:tcBorders>
                    <w:tl2br w:val="nil"/>
                    <w:tr2bl w:val="nil"/>
                  </w:tcBorders>
                  <w:noWrap w:val="0"/>
                  <w:vAlign w:val="center"/>
                </w:tcPr>
                <w:p w14:paraId="2E75A071">
                  <w:pPr>
                    <w:keepNext w:val="0"/>
                    <w:keepLines w:val="0"/>
                    <w:widowControl w:val="0"/>
                    <w:suppressLineNumbers w:val="0"/>
                    <w:autoSpaceDE w:val="0"/>
                    <w:autoSpaceDN/>
                    <w:spacing w:before="0" w:beforeAutospacing="0" w:after="0" w:afterAutospacing="0"/>
                    <w:ind w:left="0" w:right="0"/>
                    <w:jc w:val="left"/>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bCs/>
                      <w:color w:val="auto"/>
                      <w:kern w:val="2"/>
                      <w:sz w:val="21"/>
                      <w:szCs w:val="21"/>
                      <w:highlight w:val="none"/>
                      <w:lang w:val="en-US" w:eastAsia="zh-CN"/>
                    </w:rPr>
                    <w:t>风电场区</w:t>
                  </w:r>
                  <w:r>
                    <w:rPr>
                      <w:rFonts w:hint="default" w:ascii="Times New Roman" w:hAnsi="Times New Roman" w:eastAsia="宋体" w:cs="Times New Roman"/>
                      <w:bCs/>
                      <w:color w:val="auto"/>
                      <w:kern w:val="2"/>
                      <w:sz w:val="21"/>
                      <w:szCs w:val="21"/>
                      <w:highlight w:val="none"/>
                      <w:lang w:val="en-US" w:eastAsia="zh-CN" w:bidi="ar"/>
                    </w:rPr>
                    <w:t>不在泉域范围内，不取用地下水</w:t>
                  </w:r>
                </w:p>
              </w:tc>
              <w:tc>
                <w:tcPr>
                  <w:tcW w:w="456" w:type="pct"/>
                  <w:tcBorders>
                    <w:tl2br w:val="nil"/>
                    <w:tr2bl w:val="nil"/>
                  </w:tcBorders>
                  <w:noWrap w:val="0"/>
                  <w:vAlign w:val="center"/>
                </w:tcPr>
                <w:p w14:paraId="41D59DB5">
                  <w:pPr>
                    <w:keepNext w:val="0"/>
                    <w:keepLines w:val="0"/>
                    <w:widowControl w:val="0"/>
                    <w:suppressLineNumbers w:val="0"/>
                    <w:autoSpaceDE w:val="0"/>
                    <w:autoSpaceDN/>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rPr>
                  </w:pPr>
                  <w:r>
                    <w:rPr>
                      <w:rFonts w:hint="default" w:ascii="Times New Roman" w:hAnsi="Times New Roman" w:cs="Times New Roman"/>
                      <w:color w:val="auto"/>
                      <w:highlight w:val="none"/>
                      <w:shd w:val="clear" w:color="auto" w:fill="FFFFFF"/>
                      <w:lang w:val="en-US" w:eastAsia="zh-CN"/>
                    </w:rPr>
                    <w:t>符合</w:t>
                  </w:r>
                </w:p>
              </w:tc>
            </w:tr>
          </w:tbl>
          <w:p w14:paraId="5F84C2E7">
            <w:pPr>
              <w:autoSpaceDE w:val="0"/>
              <w:autoSpaceDN w:val="0"/>
              <w:adjustRightInd w:val="0"/>
              <w:snapToGrid w:val="0"/>
              <w:spacing w:line="480" w:lineRule="exact"/>
              <w:ind w:firstLine="480" w:firstLineChars="200"/>
              <w:rPr>
                <w:color w:val="auto"/>
                <w:kern w:val="0"/>
                <w:sz w:val="24"/>
                <w:highlight w:val="none"/>
              </w:rPr>
            </w:pPr>
            <w:r>
              <w:rPr>
                <w:rFonts w:hint="eastAsia"/>
                <w:color w:val="auto"/>
                <w:kern w:val="0"/>
                <w:sz w:val="24"/>
                <w:highlight w:val="none"/>
              </w:rPr>
              <w:t>2、与《山西省生态环境厅关于加强风力发电建设项目生态环境保护监管的通知》（晋环环函〔2019〕542号）文件符合性分析</w:t>
            </w:r>
          </w:p>
          <w:p w14:paraId="4BB2ECA2">
            <w:pPr>
              <w:pStyle w:val="20"/>
              <w:rPr>
                <w:color w:val="auto"/>
                <w:highlight w:val="none"/>
              </w:rPr>
            </w:pPr>
            <w:r>
              <w:rPr>
                <w:rFonts w:hint="eastAsia" w:ascii="黑体" w:hAnsi="黑体" w:eastAsia="黑体" w:cs="黑体"/>
                <w:color w:val="auto"/>
                <w:highlight w:val="none"/>
              </w:rPr>
              <w:t>表1-</w:t>
            </w:r>
            <w:r>
              <w:rPr>
                <w:rFonts w:hint="eastAsia" w:ascii="黑体" w:hAnsi="黑体" w:cs="黑体"/>
                <w:color w:val="auto"/>
                <w:highlight w:val="none"/>
                <w:lang w:val="en-US" w:eastAsia="zh-CN"/>
              </w:rPr>
              <w:t>6</w:t>
            </w:r>
            <w:r>
              <w:rPr>
                <w:color w:val="auto"/>
                <w:highlight w:val="none"/>
              </w:rPr>
              <w:t xml:space="preserve">  与（晋环环函〔2019〕542号）文符合性分析</w:t>
            </w:r>
          </w:p>
          <w:tbl>
            <w:tblPr>
              <w:tblStyle w:val="10"/>
              <w:tblW w:w="48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458"/>
              <w:gridCol w:w="3557"/>
              <w:gridCol w:w="790"/>
            </w:tblGrid>
            <w:tr w14:paraId="2877E7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15" w:type="pct"/>
                  <w:vAlign w:val="center"/>
                </w:tcPr>
                <w:p w14:paraId="2A2CD9D9">
                  <w:pPr>
                    <w:snapToGrid w:val="0"/>
                    <w:jc w:val="center"/>
                    <w:rPr>
                      <w:color w:val="auto"/>
                      <w:highlight w:val="none"/>
                    </w:rPr>
                  </w:pPr>
                  <w:r>
                    <w:rPr>
                      <w:color w:val="auto"/>
                      <w:highlight w:val="none"/>
                    </w:rPr>
                    <w:t>文件要求</w:t>
                  </w:r>
                </w:p>
              </w:tc>
              <w:tc>
                <w:tcPr>
                  <w:tcW w:w="2278" w:type="pct"/>
                  <w:vAlign w:val="center"/>
                </w:tcPr>
                <w:p w14:paraId="15AE1FE5">
                  <w:pPr>
                    <w:snapToGrid w:val="0"/>
                    <w:jc w:val="center"/>
                    <w:rPr>
                      <w:color w:val="auto"/>
                      <w:highlight w:val="none"/>
                    </w:rPr>
                  </w:pPr>
                  <w:r>
                    <w:rPr>
                      <w:color w:val="auto"/>
                      <w:highlight w:val="none"/>
                    </w:rPr>
                    <w:t>本项目情况</w:t>
                  </w:r>
                </w:p>
              </w:tc>
              <w:tc>
                <w:tcPr>
                  <w:tcW w:w="506" w:type="pct"/>
                  <w:vAlign w:val="center"/>
                </w:tcPr>
                <w:p w14:paraId="540A414C">
                  <w:pPr>
                    <w:snapToGrid w:val="0"/>
                    <w:jc w:val="center"/>
                    <w:rPr>
                      <w:color w:val="auto"/>
                      <w:highlight w:val="none"/>
                    </w:rPr>
                  </w:pPr>
                  <w:r>
                    <w:rPr>
                      <w:color w:val="auto"/>
                      <w:highlight w:val="none"/>
                    </w:rPr>
                    <w:t>符合性</w:t>
                  </w:r>
                </w:p>
              </w:tc>
            </w:tr>
            <w:tr w14:paraId="4EC7AB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15" w:type="pct"/>
                  <w:vAlign w:val="center"/>
                </w:tcPr>
                <w:p w14:paraId="1B03E86F">
                  <w:pPr>
                    <w:snapToGrid w:val="0"/>
                    <w:rPr>
                      <w:color w:val="auto"/>
                      <w:highlight w:val="none"/>
                    </w:rPr>
                  </w:pPr>
                  <w:r>
                    <w:rPr>
                      <w:color w:val="auto"/>
                      <w:highlight w:val="none"/>
                    </w:rPr>
                    <w:t>风力发电项目不得布置在自然保护区、风景名胜区、自然遗产地等生态保护红线区域，以及国家公园、森林公园、湿地公园、地质公园、天然林保护区、人工林区、一二级公益林地、高山草甸和鸟类主要迁徙通道等区域。</w:t>
                  </w:r>
                </w:p>
              </w:tc>
              <w:tc>
                <w:tcPr>
                  <w:tcW w:w="2278" w:type="pct"/>
                  <w:vAlign w:val="center"/>
                </w:tcPr>
                <w:p w14:paraId="5F87358A">
                  <w:pPr>
                    <w:snapToGrid w:val="0"/>
                    <w:rPr>
                      <w:rFonts w:hint="default" w:ascii="Times New Roman" w:eastAsia="宋体"/>
                      <w:color w:val="auto"/>
                      <w:highlight w:val="none"/>
                      <w:lang w:val="en-US" w:eastAsia="zh-CN"/>
                    </w:rPr>
                  </w:pPr>
                  <w:r>
                    <w:rPr>
                      <w:rFonts w:hint="eastAsia" w:ascii="Times New Roman" w:eastAsia="宋体"/>
                      <w:color w:val="auto"/>
                      <w:highlight w:val="none"/>
                      <w:lang w:val="en-US" w:eastAsia="zh-CN"/>
                    </w:rPr>
                    <w:t>本项目风机不占用生态保护红线；本项目6台风机吊装平台占用生态保护红线，共涉及占用生态保护红线1.5703hm</w:t>
                  </w:r>
                  <w:r>
                    <w:rPr>
                      <w:rFonts w:hint="eastAsia" w:ascii="Times New Roman" w:eastAsia="宋体"/>
                      <w:color w:val="auto"/>
                      <w:highlight w:val="none"/>
                      <w:vertAlign w:val="superscript"/>
                      <w:lang w:val="en-US" w:eastAsia="zh-CN"/>
                    </w:rPr>
                    <w:t>2</w:t>
                  </w:r>
                  <w:r>
                    <w:rPr>
                      <w:rFonts w:hint="eastAsia" w:ascii="Times New Roman" w:eastAsia="宋体"/>
                      <w:color w:val="auto"/>
                      <w:highlight w:val="none"/>
                      <w:vertAlign w:val="baseline"/>
                      <w:lang w:val="en-US" w:eastAsia="zh-CN"/>
                    </w:rPr>
                    <w:t>，目前《中节能壶关县乡村振兴50MW风电项目临时用地必须且不可避让生态保护红线和减缓生态环境影响措施论证报告》已出具专家论证意见；集电线路位于生态保护红线内路径长约13.2436km，涉及生态红线内的塔基占地面积0.4000hm</w:t>
                  </w:r>
                  <w:r>
                    <w:rPr>
                      <w:rFonts w:hint="eastAsia" w:ascii="Times New Roman" w:eastAsia="宋体"/>
                      <w:color w:val="auto"/>
                      <w:highlight w:val="none"/>
                      <w:vertAlign w:val="superscript"/>
                      <w:lang w:val="en-US" w:eastAsia="zh-CN"/>
                    </w:rPr>
                    <w:t>2</w:t>
                  </w:r>
                  <w:r>
                    <w:rPr>
                      <w:rFonts w:hint="eastAsia" w:ascii="Times New Roman" w:eastAsia="宋体"/>
                      <w:color w:val="auto"/>
                      <w:highlight w:val="none"/>
                      <w:vertAlign w:val="baseline"/>
                      <w:lang w:val="en-US" w:eastAsia="zh-CN"/>
                    </w:rPr>
                    <w:t>，2025年12月16日，壶关县自然资源局出具了《关于中节能壶关县乡村振兴50MW风电项目符合生态保护红线内允许开展的有限人为活动有关规定的认定意见》。</w:t>
                  </w:r>
                </w:p>
                <w:p w14:paraId="7FF898B4">
                  <w:pPr>
                    <w:pStyle w:val="4"/>
                    <w:rPr>
                      <w:color w:val="auto"/>
                      <w:highlight w:val="none"/>
                    </w:rPr>
                  </w:pPr>
                  <w:r>
                    <w:rPr>
                      <w:rFonts w:hint="eastAsia" w:ascii="Times New Roman" w:eastAsia="宋体"/>
                      <w:color w:val="auto"/>
                      <w:highlight w:val="none"/>
                      <w:lang w:val="en-US" w:eastAsia="zh-CN"/>
                    </w:rPr>
                    <w:t>本项目</w:t>
                  </w:r>
                  <w:r>
                    <w:rPr>
                      <w:rFonts w:hint="eastAsia"/>
                      <w:color w:val="auto"/>
                      <w:highlight w:val="none"/>
                    </w:rPr>
                    <w:t>风机选址</w:t>
                  </w:r>
                  <w:r>
                    <w:rPr>
                      <w:color w:val="auto"/>
                      <w:highlight w:val="none"/>
                    </w:rPr>
                    <w:t>不涉及国家公园、森林公园、湿地公园、地质公园、天然林保护区、</w:t>
                  </w:r>
                  <w:r>
                    <w:rPr>
                      <w:rFonts w:hint="eastAsia"/>
                      <w:color w:val="auto"/>
                      <w:highlight w:val="none"/>
                    </w:rPr>
                    <w:t>人工林区、一级公益林地、</w:t>
                  </w:r>
                  <w:r>
                    <w:rPr>
                      <w:color w:val="auto"/>
                      <w:highlight w:val="none"/>
                    </w:rPr>
                    <w:t>高山草甸和鸟类主要迁徙通道等区域</w:t>
                  </w:r>
                  <w:r>
                    <w:rPr>
                      <w:rFonts w:hint="eastAsia"/>
                      <w:color w:val="auto"/>
                      <w:highlight w:val="none"/>
                    </w:rPr>
                    <w:t>。</w:t>
                  </w:r>
                  <w:r>
                    <w:rPr>
                      <w:rFonts w:hint="eastAsia"/>
                      <w:color w:val="auto"/>
                      <w:highlight w:val="none"/>
                      <w:lang w:val="en-US" w:eastAsia="zh-CN"/>
                    </w:rPr>
                    <w:t>关于项目永久占用的国家二级公益林，</w:t>
                  </w:r>
                  <w:r>
                    <w:rPr>
                      <w:rFonts w:hint="eastAsia" w:ascii="Times New Roman" w:eastAsia="宋体"/>
                      <w:color w:val="auto"/>
                      <w:highlight w:val="none"/>
                      <w:lang w:val="en-US" w:eastAsia="zh-CN"/>
                    </w:rPr>
                    <w:t>2025年12月1日，山西省林业和草原局以晋林资许准〔2025〕539号文出具了本项目的使用林地草原审核同意书</w:t>
                  </w:r>
                  <w:r>
                    <w:rPr>
                      <w:rFonts w:hint="eastAsia"/>
                      <w:color w:val="auto"/>
                      <w:highlight w:val="none"/>
                      <w:lang w:eastAsia="zh-CN"/>
                    </w:rPr>
                    <w:t>；</w:t>
                  </w:r>
                  <w:r>
                    <w:rPr>
                      <w:rFonts w:hint="eastAsia"/>
                      <w:color w:val="auto"/>
                      <w:highlight w:val="none"/>
                      <w:lang w:val="en-US" w:eastAsia="zh-CN"/>
                    </w:rPr>
                    <w:t>关于临时占用国家二级公益林区域，参照临时占地的管理办法，编制土地复垦方案</w:t>
                  </w:r>
                  <w:r>
                    <w:rPr>
                      <w:rFonts w:hint="eastAsia" w:ascii="Times New Roman" w:eastAsia="宋体"/>
                      <w:color w:val="auto"/>
                      <w:highlight w:val="none"/>
                      <w:lang w:val="en-US" w:eastAsia="zh-CN"/>
                    </w:rPr>
                    <w:t>。</w:t>
                  </w:r>
                </w:p>
              </w:tc>
              <w:tc>
                <w:tcPr>
                  <w:tcW w:w="506" w:type="pct"/>
                  <w:vAlign w:val="center"/>
                </w:tcPr>
                <w:p w14:paraId="7F071BEF">
                  <w:pPr>
                    <w:snapToGrid w:val="0"/>
                    <w:jc w:val="center"/>
                    <w:rPr>
                      <w:color w:val="auto"/>
                      <w:highlight w:val="none"/>
                    </w:rPr>
                  </w:pPr>
                  <w:r>
                    <w:rPr>
                      <w:color w:val="auto"/>
                      <w:highlight w:val="none"/>
                    </w:rPr>
                    <w:t>符合</w:t>
                  </w:r>
                </w:p>
              </w:tc>
            </w:tr>
            <w:tr w14:paraId="61DCF5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15" w:type="pct"/>
                  <w:vAlign w:val="center"/>
                </w:tcPr>
                <w:p w14:paraId="5D07EAA1">
                  <w:pPr>
                    <w:snapToGrid w:val="0"/>
                    <w:rPr>
                      <w:color w:val="auto"/>
                      <w:highlight w:val="none"/>
                    </w:rPr>
                  </w:pPr>
                  <w:r>
                    <w:rPr>
                      <w:color w:val="auto"/>
                      <w:highlight w:val="none"/>
                    </w:rPr>
                    <w:t>严格落实风力发电项目生态保护措施；制定详细的施工方案和植被恢复方案，避让乔灌林、采用降低生态破坏的设备运输方式，避免或减少对植被的破坏和对自然景观的影响。在施工完成后，种植适应当地自然条件的优势草灌植物，采取有效措施及时进行植被恢复。对植被良好的区域进行表土剥离作业时，须设置专门堆放场，并采取防止流失的措施，为后期植被恢复创造条件。科学制定切实可行的风电机组区、进场进站道路区升压站区、施工场地区、输电线路区，最大限度缩小风电机组、进场检修道路施工边界加强施工期和运营期各项水土流失防治与生态恢复措施，施工过程中产生的弃土弃渣要定点堆放，并及时覆土绿化，恢复植被,施工结束后须将剥离土回用于植被恢复。</w:t>
                  </w:r>
                </w:p>
              </w:tc>
              <w:tc>
                <w:tcPr>
                  <w:tcW w:w="2278" w:type="pct"/>
                  <w:vAlign w:val="center"/>
                </w:tcPr>
                <w:p w14:paraId="13C11CA0">
                  <w:pPr>
                    <w:snapToGrid w:val="0"/>
                    <w:rPr>
                      <w:color w:val="auto"/>
                      <w:highlight w:val="none"/>
                    </w:rPr>
                  </w:pPr>
                  <w:r>
                    <w:rPr>
                      <w:color w:val="auto"/>
                      <w:highlight w:val="none"/>
                    </w:rPr>
                    <w:t>评价要求建设单位制定详细的施工方案和植被恢复方案，建设过程中优化各施工区域设计，最大限度缩小施工边界。对剥离的表土进行分区暂存，施工结束后将剥离表土用于植被恢复。施工期严格控制施工作业范围，减少植被破坏及对自然景观的影响，加强施工期和运营期各项水土流失防治措施与生态恢复措施。</w:t>
                  </w:r>
                </w:p>
              </w:tc>
              <w:tc>
                <w:tcPr>
                  <w:tcW w:w="506" w:type="pct"/>
                  <w:vAlign w:val="center"/>
                </w:tcPr>
                <w:p w14:paraId="7273DC72">
                  <w:pPr>
                    <w:snapToGrid w:val="0"/>
                    <w:jc w:val="center"/>
                    <w:rPr>
                      <w:color w:val="auto"/>
                      <w:highlight w:val="none"/>
                    </w:rPr>
                  </w:pPr>
                  <w:r>
                    <w:rPr>
                      <w:color w:val="auto"/>
                      <w:highlight w:val="none"/>
                    </w:rPr>
                    <w:t>符合</w:t>
                  </w:r>
                </w:p>
              </w:tc>
            </w:tr>
            <w:tr w14:paraId="26492E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15" w:type="pct"/>
                  <w:vAlign w:val="center"/>
                </w:tcPr>
                <w:p w14:paraId="74CAD0A1">
                  <w:pPr>
                    <w:snapToGrid w:val="0"/>
                    <w:rPr>
                      <w:color w:val="auto"/>
                      <w:highlight w:val="none"/>
                    </w:rPr>
                  </w:pPr>
                  <w:r>
                    <w:rPr>
                      <w:color w:val="auto"/>
                      <w:highlight w:val="none"/>
                    </w:rPr>
                    <w:t>加强风电项目生态环境保护监督管理。依法开展环境影响评价、竣工环境保护验收等工作，严格落实生态保护措施。</w:t>
                  </w:r>
                </w:p>
              </w:tc>
              <w:tc>
                <w:tcPr>
                  <w:tcW w:w="2278" w:type="pct"/>
                  <w:vAlign w:val="center"/>
                </w:tcPr>
                <w:p w14:paraId="23B2B351">
                  <w:pPr>
                    <w:snapToGrid w:val="0"/>
                    <w:rPr>
                      <w:color w:val="auto"/>
                      <w:highlight w:val="none"/>
                    </w:rPr>
                  </w:pPr>
                  <w:r>
                    <w:rPr>
                      <w:color w:val="auto"/>
                      <w:highlight w:val="none"/>
                    </w:rPr>
                    <w:t>评价要求施工期间加强对本项目生态环境保护的监管，施工结束后及时开展竣工环境保护验收工作。</w:t>
                  </w:r>
                </w:p>
              </w:tc>
              <w:tc>
                <w:tcPr>
                  <w:tcW w:w="506" w:type="pct"/>
                  <w:vAlign w:val="center"/>
                </w:tcPr>
                <w:p w14:paraId="1995E399">
                  <w:pPr>
                    <w:snapToGrid w:val="0"/>
                    <w:jc w:val="center"/>
                    <w:rPr>
                      <w:color w:val="auto"/>
                      <w:highlight w:val="none"/>
                    </w:rPr>
                  </w:pPr>
                  <w:r>
                    <w:rPr>
                      <w:color w:val="auto"/>
                      <w:highlight w:val="none"/>
                    </w:rPr>
                    <w:t>符合</w:t>
                  </w:r>
                </w:p>
              </w:tc>
            </w:tr>
          </w:tbl>
          <w:p w14:paraId="52D2E338">
            <w:pPr>
              <w:autoSpaceDE w:val="0"/>
              <w:autoSpaceDN w:val="0"/>
              <w:adjustRightInd w:val="0"/>
              <w:snapToGrid w:val="0"/>
              <w:spacing w:line="480" w:lineRule="exact"/>
              <w:ind w:firstLine="480" w:firstLineChars="200"/>
              <w:rPr>
                <w:color w:val="auto"/>
                <w:kern w:val="0"/>
                <w:sz w:val="24"/>
                <w:highlight w:val="none"/>
              </w:rPr>
            </w:pPr>
            <w:r>
              <w:rPr>
                <w:rFonts w:hint="eastAsia" w:ascii="Times New Roman" w:eastAsia="宋体"/>
                <w:color w:val="auto"/>
                <w:kern w:val="0"/>
                <w:sz w:val="24"/>
                <w:highlight w:val="none"/>
                <w:lang w:val="en-US" w:eastAsia="zh-CN"/>
              </w:rPr>
              <w:t>3</w:t>
            </w:r>
            <w:r>
              <w:rPr>
                <w:rFonts w:hint="eastAsia"/>
                <w:color w:val="auto"/>
                <w:kern w:val="0"/>
                <w:sz w:val="24"/>
                <w:highlight w:val="none"/>
              </w:rPr>
              <w:t>、项目与各局支持性文件的符合性分析</w:t>
            </w:r>
          </w:p>
          <w:p w14:paraId="7F63B867">
            <w:pPr>
              <w:autoSpaceDE w:val="0"/>
              <w:autoSpaceDN w:val="0"/>
              <w:adjustRightInd w:val="0"/>
              <w:snapToGrid w:val="0"/>
              <w:spacing w:line="480" w:lineRule="exact"/>
              <w:ind w:firstLine="480" w:firstLineChars="200"/>
              <w:rPr>
                <w:color w:val="auto"/>
                <w:kern w:val="0"/>
                <w:sz w:val="24"/>
                <w:highlight w:val="none"/>
              </w:rPr>
            </w:pPr>
            <w:r>
              <w:rPr>
                <w:rFonts w:hint="eastAsia"/>
                <w:color w:val="auto"/>
                <w:kern w:val="0"/>
                <w:sz w:val="24"/>
                <w:highlight w:val="none"/>
              </w:rPr>
              <w:t>本项目在选址阶段，建设单位已征求</w:t>
            </w:r>
            <w:r>
              <w:rPr>
                <w:rFonts w:hint="eastAsia" w:eastAsia="宋体"/>
                <w:color w:val="auto"/>
                <w:kern w:val="0"/>
                <w:sz w:val="24"/>
                <w:highlight w:val="none"/>
                <w:lang w:eastAsia="zh-CN"/>
              </w:rPr>
              <w:t>壶关县</w:t>
            </w:r>
            <w:r>
              <w:rPr>
                <w:rFonts w:hint="eastAsia"/>
                <w:color w:val="auto"/>
                <w:kern w:val="0"/>
                <w:sz w:val="24"/>
                <w:highlight w:val="none"/>
              </w:rPr>
              <w:t>自然资源局、</w:t>
            </w:r>
            <w:r>
              <w:rPr>
                <w:rFonts w:hint="eastAsia" w:eastAsia="宋体"/>
                <w:color w:val="auto"/>
                <w:kern w:val="0"/>
                <w:sz w:val="24"/>
                <w:highlight w:val="none"/>
                <w:lang w:eastAsia="zh-CN"/>
              </w:rPr>
              <w:t>壶关县</w:t>
            </w:r>
            <w:r>
              <w:rPr>
                <w:rFonts w:hint="eastAsia"/>
                <w:color w:val="auto"/>
                <w:kern w:val="0"/>
                <w:sz w:val="24"/>
                <w:highlight w:val="none"/>
              </w:rPr>
              <w:t>水利局、</w:t>
            </w:r>
            <w:r>
              <w:rPr>
                <w:rFonts w:hint="eastAsia" w:eastAsia="宋体"/>
                <w:color w:val="auto"/>
                <w:kern w:val="0"/>
                <w:sz w:val="24"/>
                <w:highlight w:val="none"/>
                <w:lang w:eastAsia="zh-CN"/>
              </w:rPr>
              <w:t>壶关县</w:t>
            </w:r>
            <w:r>
              <w:rPr>
                <w:rFonts w:hint="eastAsia"/>
                <w:color w:val="auto"/>
                <w:kern w:val="0"/>
                <w:sz w:val="24"/>
                <w:highlight w:val="none"/>
              </w:rPr>
              <w:t>林业局、</w:t>
            </w:r>
            <w:r>
              <w:rPr>
                <w:rFonts w:hint="eastAsia" w:eastAsia="宋体"/>
                <w:color w:val="auto"/>
                <w:kern w:val="0"/>
                <w:sz w:val="24"/>
                <w:highlight w:val="none"/>
                <w:lang w:eastAsia="zh-CN"/>
              </w:rPr>
              <w:t>壶关县</w:t>
            </w:r>
            <w:r>
              <w:rPr>
                <w:rFonts w:hint="eastAsia"/>
                <w:color w:val="auto"/>
                <w:kern w:val="0"/>
                <w:sz w:val="24"/>
                <w:highlight w:val="none"/>
              </w:rPr>
              <w:t>文化和旅游局、</w:t>
            </w:r>
            <w:r>
              <w:rPr>
                <w:rFonts w:hint="eastAsia" w:eastAsia="宋体"/>
                <w:color w:val="auto"/>
                <w:kern w:val="0"/>
                <w:sz w:val="24"/>
                <w:highlight w:val="none"/>
                <w:lang w:eastAsia="zh-CN"/>
              </w:rPr>
              <w:t>长治市</w:t>
            </w:r>
            <w:r>
              <w:rPr>
                <w:rFonts w:hint="eastAsia"/>
                <w:color w:val="auto"/>
                <w:kern w:val="0"/>
                <w:sz w:val="24"/>
                <w:highlight w:val="none"/>
              </w:rPr>
              <w:t>生态环境局</w:t>
            </w:r>
            <w:r>
              <w:rPr>
                <w:rFonts w:hint="eastAsia" w:eastAsia="宋体"/>
                <w:color w:val="auto"/>
                <w:kern w:val="0"/>
                <w:sz w:val="24"/>
                <w:highlight w:val="none"/>
                <w:lang w:eastAsia="zh-CN"/>
              </w:rPr>
              <w:t>壶关县</w:t>
            </w:r>
            <w:r>
              <w:rPr>
                <w:rFonts w:hint="eastAsia"/>
                <w:color w:val="auto"/>
                <w:kern w:val="0"/>
                <w:sz w:val="24"/>
                <w:highlight w:val="none"/>
              </w:rPr>
              <w:t>分局等管理部门的意见，相关部门意见及本项目落实情况见下表。</w:t>
            </w:r>
          </w:p>
          <w:p w14:paraId="4724C2B2">
            <w:pPr>
              <w:pStyle w:val="20"/>
              <w:rPr>
                <w:color w:val="auto"/>
                <w:highlight w:val="none"/>
              </w:rPr>
            </w:pPr>
            <w:r>
              <w:rPr>
                <w:rFonts w:hint="eastAsia" w:ascii="黑体" w:hAnsi="黑体" w:eastAsia="黑体" w:cs="黑体"/>
                <w:color w:val="auto"/>
                <w:highlight w:val="none"/>
              </w:rPr>
              <w:t>表1-</w:t>
            </w:r>
            <w:r>
              <w:rPr>
                <w:rFonts w:hint="eastAsia" w:ascii="黑体" w:hAnsi="黑体" w:cs="黑体"/>
                <w:color w:val="auto"/>
                <w:highlight w:val="none"/>
                <w:lang w:val="en-US" w:eastAsia="zh-CN"/>
              </w:rPr>
              <w:t>7</w:t>
            </w:r>
            <w:r>
              <w:rPr>
                <w:color w:val="auto"/>
                <w:highlight w:val="none"/>
              </w:rPr>
              <w:t xml:space="preserve">    </w:t>
            </w:r>
            <w:r>
              <w:rPr>
                <w:rFonts w:ascii="黑体" w:hAnsi="黑体"/>
                <w:color w:val="auto"/>
                <w:highlight w:val="none"/>
              </w:rPr>
              <w:t>相关部门选址复函意见表</w:t>
            </w:r>
          </w:p>
          <w:tbl>
            <w:tblPr>
              <w:tblStyle w:val="10"/>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15" w:type="dxa"/>
                <w:left w:w="15" w:type="dxa"/>
                <w:bottom w:w="15" w:type="dxa"/>
                <w:right w:w="15" w:type="dxa"/>
              </w:tblCellMar>
            </w:tblPr>
            <w:tblGrid>
              <w:gridCol w:w="430"/>
              <w:gridCol w:w="1214"/>
              <w:gridCol w:w="3446"/>
              <w:gridCol w:w="2882"/>
            </w:tblGrid>
            <w:tr w14:paraId="29AABF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147" w:hRule="atLeast"/>
              </w:trPr>
              <w:tc>
                <w:tcPr>
                  <w:tcW w:w="270" w:type="pct"/>
                  <w:vAlign w:val="center"/>
                </w:tcPr>
                <w:p w14:paraId="684E07FE">
                  <w:pPr>
                    <w:widowControl/>
                    <w:jc w:val="center"/>
                    <w:rPr>
                      <w:color w:val="auto"/>
                      <w:kern w:val="0"/>
                      <w:highlight w:val="none"/>
                    </w:rPr>
                  </w:pPr>
                  <w:r>
                    <w:rPr>
                      <w:color w:val="auto"/>
                      <w:kern w:val="0"/>
                      <w:highlight w:val="none"/>
                    </w:rPr>
                    <w:t>序号</w:t>
                  </w:r>
                </w:p>
              </w:tc>
              <w:tc>
                <w:tcPr>
                  <w:tcW w:w="761" w:type="pct"/>
                  <w:vAlign w:val="center"/>
                </w:tcPr>
                <w:p w14:paraId="1495999B">
                  <w:pPr>
                    <w:jc w:val="center"/>
                    <w:rPr>
                      <w:color w:val="auto"/>
                      <w:kern w:val="0"/>
                      <w:highlight w:val="none"/>
                    </w:rPr>
                  </w:pPr>
                  <w:r>
                    <w:rPr>
                      <w:color w:val="auto"/>
                      <w:kern w:val="0"/>
                      <w:highlight w:val="none"/>
                    </w:rPr>
                    <w:t>单位</w:t>
                  </w:r>
                </w:p>
              </w:tc>
              <w:tc>
                <w:tcPr>
                  <w:tcW w:w="2161" w:type="pct"/>
                  <w:vAlign w:val="center"/>
                </w:tcPr>
                <w:p w14:paraId="4A328C3A">
                  <w:pPr>
                    <w:widowControl/>
                    <w:jc w:val="center"/>
                    <w:rPr>
                      <w:color w:val="auto"/>
                      <w:kern w:val="0"/>
                      <w:highlight w:val="none"/>
                    </w:rPr>
                  </w:pPr>
                  <w:r>
                    <w:rPr>
                      <w:color w:val="auto"/>
                      <w:kern w:val="0"/>
                      <w:highlight w:val="none"/>
                    </w:rPr>
                    <w:t>回函重要内容</w:t>
                  </w:r>
                </w:p>
              </w:tc>
              <w:tc>
                <w:tcPr>
                  <w:tcW w:w="1807" w:type="pct"/>
                  <w:vAlign w:val="center"/>
                </w:tcPr>
                <w:p w14:paraId="103A5A66">
                  <w:pPr>
                    <w:jc w:val="center"/>
                    <w:rPr>
                      <w:color w:val="auto"/>
                      <w:kern w:val="0"/>
                      <w:highlight w:val="none"/>
                    </w:rPr>
                  </w:pPr>
                  <w:r>
                    <w:rPr>
                      <w:color w:val="auto"/>
                      <w:highlight w:val="none"/>
                    </w:rPr>
                    <w:t>落实情况</w:t>
                  </w:r>
                </w:p>
              </w:tc>
            </w:tr>
            <w:tr w14:paraId="0DA80B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147" w:hRule="atLeast"/>
              </w:trPr>
              <w:tc>
                <w:tcPr>
                  <w:tcW w:w="270" w:type="pct"/>
                  <w:vAlign w:val="center"/>
                </w:tcPr>
                <w:p w14:paraId="16914B14">
                  <w:pPr>
                    <w:widowControl/>
                    <w:jc w:val="center"/>
                    <w:rPr>
                      <w:color w:val="auto"/>
                      <w:kern w:val="0"/>
                      <w:highlight w:val="none"/>
                    </w:rPr>
                  </w:pPr>
                  <w:r>
                    <w:rPr>
                      <w:color w:val="auto"/>
                      <w:kern w:val="0"/>
                      <w:highlight w:val="none"/>
                    </w:rPr>
                    <w:t>1</w:t>
                  </w:r>
                </w:p>
              </w:tc>
              <w:tc>
                <w:tcPr>
                  <w:tcW w:w="761" w:type="pct"/>
                  <w:vAlign w:val="center"/>
                </w:tcPr>
                <w:p w14:paraId="5EF9F44A">
                  <w:pPr>
                    <w:widowControl/>
                    <w:jc w:val="center"/>
                    <w:rPr>
                      <w:color w:val="auto"/>
                      <w:kern w:val="0"/>
                      <w:highlight w:val="none"/>
                    </w:rPr>
                  </w:pPr>
                  <w:r>
                    <w:rPr>
                      <w:rFonts w:hint="eastAsia" w:eastAsia="宋体"/>
                      <w:color w:val="auto"/>
                      <w:kern w:val="0"/>
                      <w:highlight w:val="none"/>
                      <w:lang w:eastAsia="zh-CN"/>
                    </w:rPr>
                    <w:t>壶关县</w:t>
                  </w:r>
                  <w:r>
                    <w:rPr>
                      <w:color w:val="auto"/>
                      <w:kern w:val="0"/>
                      <w:highlight w:val="none"/>
                    </w:rPr>
                    <w:t>自然资源局</w:t>
                  </w:r>
                </w:p>
              </w:tc>
              <w:tc>
                <w:tcPr>
                  <w:tcW w:w="2161" w:type="pct"/>
                  <w:vAlign w:val="center"/>
                </w:tcPr>
                <w:p w14:paraId="361D934D">
                  <w:pPr>
                    <w:widowControl/>
                    <w:ind w:firstLine="420" w:firstLineChars="200"/>
                    <w:rPr>
                      <w:rFonts w:hint="eastAsia" w:eastAsia="宋体"/>
                      <w:color w:val="auto"/>
                      <w:kern w:val="0"/>
                      <w:highlight w:val="none"/>
                      <w:lang w:eastAsia="zh-CN"/>
                    </w:rPr>
                  </w:pPr>
                  <w:r>
                    <w:rPr>
                      <w:rFonts w:hint="eastAsia"/>
                      <w:color w:val="auto"/>
                      <w:kern w:val="0"/>
                      <w:highlight w:val="none"/>
                    </w:rPr>
                    <w:t>经核查，该项目用地范围与地质遗迹保护范围不重叠</w:t>
                  </w:r>
                  <w:r>
                    <w:rPr>
                      <w:rFonts w:hint="eastAsia" w:eastAsia="宋体"/>
                      <w:color w:val="auto"/>
                      <w:kern w:val="0"/>
                      <w:highlight w:val="none"/>
                      <w:lang w:eastAsia="zh-CN"/>
                    </w:rPr>
                    <w:t>。</w:t>
                  </w:r>
                </w:p>
              </w:tc>
              <w:tc>
                <w:tcPr>
                  <w:tcW w:w="1807" w:type="pct"/>
                  <w:vAlign w:val="center"/>
                </w:tcPr>
                <w:p w14:paraId="27A8B156">
                  <w:pPr>
                    <w:widowControl/>
                    <w:ind w:firstLine="420" w:firstLineChars="200"/>
                    <w:rPr>
                      <w:color w:val="auto"/>
                      <w:kern w:val="0"/>
                      <w:highlight w:val="none"/>
                    </w:rPr>
                  </w:pPr>
                  <w:r>
                    <w:rPr>
                      <w:color w:val="auto"/>
                      <w:kern w:val="0"/>
                      <w:highlight w:val="none"/>
                    </w:rPr>
                    <w:t>本项目选址不涉及地质遗迹保护范围。</w:t>
                  </w:r>
                </w:p>
              </w:tc>
            </w:tr>
            <w:tr w14:paraId="18E2D3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147" w:hRule="atLeast"/>
              </w:trPr>
              <w:tc>
                <w:tcPr>
                  <w:tcW w:w="270" w:type="pct"/>
                  <w:vAlign w:val="center"/>
                </w:tcPr>
                <w:p w14:paraId="02C2B75D">
                  <w:pPr>
                    <w:widowControl/>
                    <w:jc w:val="center"/>
                    <w:rPr>
                      <w:color w:val="auto"/>
                      <w:kern w:val="0"/>
                      <w:highlight w:val="none"/>
                    </w:rPr>
                  </w:pPr>
                  <w:r>
                    <w:rPr>
                      <w:color w:val="auto"/>
                      <w:kern w:val="0"/>
                      <w:highlight w:val="none"/>
                    </w:rPr>
                    <w:t>2</w:t>
                  </w:r>
                </w:p>
              </w:tc>
              <w:tc>
                <w:tcPr>
                  <w:tcW w:w="761" w:type="pct"/>
                  <w:vAlign w:val="center"/>
                </w:tcPr>
                <w:p w14:paraId="03012CBA">
                  <w:pPr>
                    <w:widowControl/>
                    <w:jc w:val="center"/>
                    <w:rPr>
                      <w:color w:val="auto"/>
                      <w:kern w:val="0"/>
                      <w:highlight w:val="none"/>
                    </w:rPr>
                  </w:pPr>
                  <w:r>
                    <w:rPr>
                      <w:rFonts w:hint="eastAsia" w:eastAsia="宋体"/>
                      <w:color w:val="auto"/>
                      <w:kern w:val="0"/>
                      <w:highlight w:val="none"/>
                      <w:lang w:eastAsia="zh-CN"/>
                    </w:rPr>
                    <w:t>长治市生态环境局壶关县分局</w:t>
                  </w:r>
                </w:p>
              </w:tc>
              <w:tc>
                <w:tcPr>
                  <w:tcW w:w="2161" w:type="pct"/>
                  <w:vAlign w:val="center"/>
                </w:tcPr>
                <w:p w14:paraId="5A0AEC55">
                  <w:pPr>
                    <w:widowControl/>
                    <w:ind w:firstLine="420" w:firstLineChars="200"/>
                    <w:rPr>
                      <w:color w:val="auto"/>
                      <w:kern w:val="0"/>
                      <w:highlight w:val="none"/>
                    </w:rPr>
                  </w:pPr>
                  <w:r>
                    <w:rPr>
                      <w:rFonts w:hint="eastAsia"/>
                      <w:color w:val="auto"/>
                      <w:kern w:val="0"/>
                      <w:highlight w:val="none"/>
                    </w:rPr>
                    <w:t>经核查，该项目申请的用地范围与现已划定的饮用水水源地保护区范围不重叠。</w:t>
                  </w:r>
                </w:p>
              </w:tc>
              <w:tc>
                <w:tcPr>
                  <w:tcW w:w="1807" w:type="pct"/>
                  <w:vAlign w:val="center"/>
                </w:tcPr>
                <w:p w14:paraId="70196273">
                  <w:pPr>
                    <w:widowControl/>
                    <w:ind w:firstLine="420" w:firstLineChars="200"/>
                    <w:rPr>
                      <w:color w:val="auto"/>
                      <w:highlight w:val="none"/>
                    </w:rPr>
                  </w:pPr>
                  <w:r>
                    <w:rPr>
                      <w:color w:val="auto"/>
                      <w:highlight w:val="none"/>
                    </w:rPr>
                    <w:t>本项目选址不涉及饮用水水源地保护区。</w:t>
                  </w:r>
                </w:p>
              </w:tc>
            </w:tr>
            <w:tr w14:paraId="51EF8B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147" w:hRule="atLeast"/>
              </w:trPr>
              <w:tc>
                <w:tcPr>
                  <w:tcW w:w="270" w:type="pct"/>
                  <w:vAlign w:val="center"/>
                </w:tcPr>
                <w:p w14:paraId="50D33462">
                  <w:pPr>
                    <w:widowControl/>
                    <w:jc w:val="center"/>
                    <w:rPr>
                      <w:color w:val="auto"/>
                      <w:kern w:val="0"/>
                      <w:highlight w:val="none"/>
                    </w:rPr>
                  </w:pPr>
                  <w:r>
                    <w:rPr>
                      <w:color w:val="auto"/>
                      <w:kern w:val="0"/>
                      <w:highlight w:val="none"/>
                    </w:rPr>
                    <w:t>3</w:t>
                  </w:r>
                </w:p>
              </w:tc>
              <w:tc>
                <w:tcPr>
                  <w:tcW w:w="761" w:type="pct"/>
                  <w:vAlign w:val="center"/>
                </w:tcPr>
                <w:p w14:paraId="518D63C6">
                  <w:pPr>
                    <w:widowControl/>
                    <w:jc w:val="center"/>
                    <w:rPr>
                      <w:color w:val="auto"/>
                      <w:kern w:val="0"/>
                      <w:highlight w:val="none"/>
                    </w:rPr>
                  </w:pPr>
                  <w:r>
                    <w:rPr>
                      <w:rFonts w:hint="eastAsia" w:eastAsia="宋体"/>
                      <w:color w:val="auto"/>
                      <w:kern w:val="0"/>
                      <w:highlight w:val="none"/>
                      <w:lang w:eastAsia="zh-CN"/>
                    </w:rPr>
                    <w:t>壶关县</w:t>
                  </w:r>
                  <w:r>
                    <w:rPr>
                      <w:color w:val="auto"/>
                      <w:kern w:val="0"/>
                      <w:highlight w:val="none"/>
                    </w:rPr>
                    <w:t>林业局</w:t>
                  </w:r>
                </w:p>
              </w:tc>
              <w:tc>
                <w:tcPr>
                  <w:tcW w:w="2161" w:type="pct"/>
                  <w:vAlign w:val="center"/>
                </w:tcPr>
                <w:p w14:paraId="127F8BB4">
                  <w:pPr>
                    <w:widowControl/>
                    <w:ind w:firstLine="420" w:firstLineChars="200"/>
                    <w:jc w:val="left"/>
                    <w:rPr>
                      <w:color w:val="auto"/>
                      <w:highlight w:val="none"/>
                    </w:rPr>
                  </w:pPr>
                  <w:r>
                    <w:rPr>
                      <w:rFonts w:hint="eastAsia"/>
                      <w:color w:val="auto"/>
                      <w:highlight w:val="none"/>
                    </w:rPr>
                    <w:t>经我局核查，该范围在《壶关县林草生态综合监测数据库》(2022年度)》中与自然保护区、风景名胜区、森林公园、湿地公园、地质公园、国家一级公益林、I级保护林地、山西永久性生态公益林不重叠</w:t>
                  </w:r>
                  <w:r>
                    <w:rPr>
                      <w:rFonts w:hint="eastAsia" w:eastAsia="宋体"/>
                      <w:color w:val="auto"/>
                      <w:highlight w:val="none"/>
                      <w:lang w:eastAsia="zh-CN"/>
                    </w:rPr>
                    <w:t>；</w:t>
                  </w:r>
                  <w:r>
                    <w:rPr>
                      <w:rFonts w:hint="eastAsia"/>
                      <w:color w:val="auto"/>
                      <w:highlight w:val="none"/>
                    </w:rPr>
                    <w:t>与二级国家级公益林、</w:t>
                  </w:r>
                  <w:r>
                    <w:rPr>
                      <w:rFonts w:hint="default" w:ascii="Times New Roman" w:hAnsi="Times New Roman" w:cs="Times New Roman"/>
                      <w:color w:val="auto"/>
                      <w:highlight w:val="none"/>
                      <w:lang w:val="en-US" w:eastAsia="zh-CN"/>
                    </w:rPr>
                    <w:t>Ⅱ</w:t>
                  </w:r>
                  <w:r>
                    <w:rPr>
                      <w:rFonts w:hint="eastAsia"/>
                      <w:color w:val="auto"/>
                      <w:highlight w:val="none"/>
                    </w:rPr>
                    <w:t>级保护林地重叠。</w:t>
                  </w:r>
                </w:p>
              </w:tc>
              <w:tc>
                <w:tcPr>
                  <w:tcW w:w="1807" w:type="pct"/>
                  <w:vAlign w:val="center"/>
                </w:tcPr>
                <w:p w14:paraId="4366985A">
                  <w:pPr>
                    <w:widowControl/>
                    <w:ind w:firstLine="420" w:firstLineChars="200"/>
                    <w:rPr>
                      <w:rFonts w:hint="default" w:eastAsia="宋体"/>
                      <w:color w:val="auto"/>
                      <w:highlight w:val="none"/>
                      <w:lang w:val="en-US" w:eastAsia="zh-CN"/>
                    </w:rPr>
                  </w:pPr>
                  <w:r>
                    <w:rPr>
                      <w:rFonts w:hint="eastAsia" w:ascii="Times New Roman" w:eastAsia="宋体"/>
                      <w:color w:val="auto"/>
                      <w:highlight w:val="none"/>
                      <w:lang w:val="en-US" w:eastAsia="zh-CN"/>
                    </w:rPr>
                    <w:t>2025年12月1日，山西省林业和草原局以晋林资许准〔2025〕39号文出具了本项目的使用林地草原审核同意书。</w:t>
                  </w:r>
                </w:p>
              </w:tc>
            </w:tr>
            <w:tr w14:paraId="03B204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877" w:hRule="atLeast"/>
              </w:trPr>
              <w:tc>
                <w:tcPr>
                  <w:tcW w:w="270" w:type="pct"/>
                  <w:vAlign w:val="center"/>
                </w:tcPr>
                <w:p w14:paraId="6DCEB45A">
                  <w:pPr>
                    <w:widowControl/>
                    <w:jc w:val="center"/>
                    <w:rPr>
                      <w:color w:val="auto"/>
                      <w:kern w:val="0"/>
                      <w:highlight w:val="none"/>
                    </w:rPr>
                  </w:pPr>
                  <w:r>
                    <w:rPr>
                      <w:color w:val="auto"/>
                      <w:kern w:val="0"/>
                      <w:highlight w:val="none"/>
                    </w:rPr>
                    <w:t>4</w:t>
                  </w:r>
                </w:p>
              </w:tc>
              <w:tc>
                <w:tcPr>
                  <w:tcW w:w="761" w:type="pct"/>
                  <w:vAlign w:val="center"/>
                </w:tcPr>
                <w:p w14:paraId="2DE9E399">
                  <w:pPr>
                    <w:widowControl/>
                    <w:jc w:val="center"/>
                    <w:rPr>
                      <w:rFonts w:hint="default"/>
                      <w:color w:val="auto"/>
                      <w:kern w:val="0"/>
                      <w:highlight w:val="none"/>
                      <w:lang w:val="en-US"/>
                    </w:rPr>
                  </w:pPr>
                  <w:r>
                    <w:rPr>
                      <w:rFonts w:hint="eastAsia" w:eastAsia="宋体"/>
                      <w:color w:val="auto"/>
                      <w:kern w:val="0"/>
                      <w:highlight w:val="none"/>
                      <w:lang w:eastAsia="zh-CN"/>
                    </w:rPr>
                    <w:t>壶关县</w:t>
                  </w:r>
                  <w:r>
                    <w:rPr>
                      <w:rFonts w:hint="eastAsia" w:ascii="Times New Roman" w:eastAsia="宋体"/>
                      <w:color w:val="auto"/>
                      <w:kern w:val="0"/>
                      <w:highlight w:val="none"/>
                      <w:lang w:val="en-US" w:eastAsia="zh-CN"/>
                    </w:rPr>
                    <w:t>水利局</w:t>
                  </w:r>
                </w:p>
              </w:tc>
              <w:tc>
                <w:tcPr>
                  <w:tcW w:w="2161" w:type="pct"/>
                  <w:vAlign w:val="center"/>
                </w:tcPr>
                <w:p w14:paraId="19181E3A">
                  <w:pPr>
                    <w:widowControl/>
                    <w:ind w:firstLine="420" w:firstLineChars="200"/>
                    <w:rPr>
                      <w:color w:val="auto"/>
                      <w:kern w:val="0"/>
                      <w:highlight w:val="none"/>
                    </w:rPr>
                  </w:pPr>
                  <w:r>
                    <w:rPr>
                      <w:rFonts w:hint="eastAsia"/>
                      <w:color w:val="auto"/>
                      <w:kern w:val="0"/>
                      <w:highlight w:val="none"/>
                    </w:rPr>
                    <w:t>经审核，该项目建设用地部分区域在辛安泉域范围内，与辛安泉域重点保护区不重叠。根据《山西省泉域水资源保护条例》规定，建设单位应当在开工前取得泉域所在地审批部门批准的泉域水资源影响评价报告。根据《中华人民共和国水土保持法》(水利部令第53号)规定，该项目在开工前需编制水土保持方案，经行政审批服务管理局批复后方可施工。并且在项目开工建设前，要详细调查项目区域内供水设施分布情况，确保工程建设和运行期间供水正常。</w:t>
                  </w:r>
                </w:p>
              </w:tc>
              <w:tc>
                <w:tcPr>
                  <w:tcW w:w="1807" w:type="pct"/>
                  <w:vAlign w:val="center"/>
                </w:tcPr>
                <w:p w14:paraId="4D4C5051">
                  <w:pPr>
                    <w:widowControl/>
                    <w:ind w:firstLine="420" w:firstLineChars="200"/>
                    <w:rPr>
                      <w:color w:val="auto"/>
                      <w:highlight w:val="none"/>
                    </w:rPr>
                  </w:pPr>
                  <w:r>
                    <w:rPr>
                      <w:color w:val="auto"/>
                      <w:highlight w:val="none"/>
                    </w:rPr>
                    <w:t>本项目选址</w:t>
                  </w:r>
                  <w:r>
                    <w:rPr>
                      <w:rFonts w:hint="eastAsia" w:ascii="Times New Roman" w:eastAsia="宋体"/>
                      <w:color w:val="auto"/>
                      <w:highlight w:val="none"/>
                      <w:lang w:val="en-US" w:eastAsia="zh-CN"/>
                    </w:rPr>
                    <w:t>在辛安泉域内，不在重点泉域保护区范围内。</w:t>
                  </w:r>
                </w:p>
              </w:tc>
            </w:tr>
            <w:tr w14:paraId="04D1DB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270" w:type="pct"/>
                  <w:vAlign w:val="center"/>
                </w:tcPr>
                <w:p w14:paraId="5F664A60">
                  <w:pPr>
                    <w:widowControl/>
                    <w:jc w:val="center"/>
                    <w:rPr>
                      <w:color w:val="auto"/>
                      <w:kern w:val="0"/>
                      <w:highlight w:val="none"/>
                    </w:rPr>
                  </w:pPr>
                  <w:r>
                    <w:rPr>
                      <w:color w:val="auto"/>
                      <w:kern w:val="0"/>
                      <w:highlight w:val="none"/>
                    </w:rPr>
                    <w:t>5</w:t>
                  </w:r>
                </w:p>
              </w:tc>
              <w:tc>
                <w:tcPr>
                  <w:tcW w:w="761" w:type="pct"/>
                  <w:vAlign w:val="center"/>
                </w:tcPr>
                <w:p w14:paraId="72402FF2">
                  <w:pPr>
                    <w:widowControl/>
                    <w:jc w:val="center"/>
                    <w:rPr>
                      <w:color w:val="auto"/>
                      <w:kern w:val="0"/>
                      <w:highlight w:val="none"/>
                    </w:rPr>
                  </w:pPr>
                  <w:r>
                    <w:rPr>
                      <w:rFonts w:hint="eastAsia" w:eastAsia="宋体"/>
                      <w:color w:val="auto"/>
                      <w:kern w:val="0"/>
                      <w:highlight w:val="none"/>
                      <w:lang w:eastAsia="zh-CN"/>
                    </w:rPr>
                    <w:t>壶关县</w:t>
                  </w:r>
                  <w:r>
                    <w:rPr>
                      <w:color w:val="auto"/>
                      <w:kern w:val="0"/>
                      <w:highlight w:val="none"/>
                    </w:rPr>
                    <w:t>文化和旅游局</w:t>
                  </w:r>
                </w:p>
              </w:tc>
              <w:tc>
                <w:tcPr>
                  <w:tcW w:w="2161" w:type="pct"/>
                  <w:vAlign w:val="center"/>
                </w:tcPr>
                <w:p w14:paraId="237C4669">
                  <w:pPr>
                    <w:widowControl/>
                    <w:ind w:firstLine="420" w:firstLineChars="200"/>
                    <w:rPr>
                      <w:color w:val="auto"/>
                      <w:kern w:val="0"/>
                      <w:highlight w:val="none"/>
                    </w:rPr>
                  </w:pPr>
                  <w:r>
                    <w:rPr>
                      <w:rFonts w:hint="eastAsia"/>
                      <w:color w:val="auto"/>
                      <w:kern w:val="0"/>
                      <w:highlight w:val="none"/>
                    </w:rPr>
                    <w:t>经核查，该项目用地范围与我县地上不可移动文物无重叠情况。我局要求，该项目在开工前，须按程序进行地下文物考古调查勘探。如在施工过程中，发现古遗址、古墓葬等地下文物遗存，须保护现场并立即报告我局。</w:t>
                  </w:r>
                </w:p>
              </w:tc>
              <w:tc>
                <w:tcPr>
                  <w:tcW w:w="1807" w:type="pct"/>
                  <w:vAlign w:val="center"/>
                </w:tcPr>
                <w:p w14:paraId="71A5E868">
                  <w:pPr>
                    <w:widowControl/>
                    <w:ind w:firstLine="420" w:firstLineChars="200"/>
                    <w:rPr>
                      <w:color w:val="auto"/>
                      <w:highlight w:val="none"/>
                    </w:rPr>
                  </w:pPr>
                  <w:r>
                    <w:rPr>
                      <w:color w:val="auto"/>
                      <w:highlight w:val="none"/>
                    </w:rPr>
                    <w:t>本项目</w:t>
                  </w:r>
                  <w:r>
                    <w:rPr>
                      <w:rFonts w:hint="eastAsia"/>
                      <w:color w:val="auto"/>
                      <w:highlight w:val="none"/>
                    </w:rPr>
                    <w:t>占地</w:t>
                  </w:r>
                  <w:r>
                    <w:rPr>
                      <w:color w:val="auto"/>
                      <w:highlight w:val="none"/>
                    </w:rPr>
                    <w:t>范围内不涉及全国第三次文物普查登记的不可移动文物。如后续施工建设中发现地下文物，应立即停工并报文物主管部门组织处理后方可继续施工。</w:t>
                  </w:r>
                </w:p>
              </w:tc>
            </w:tr>
          </w:tbl>
          <w:p w14:paraId="01EA8220">
            <w:pPr>
              <w:autoSpaceDE w:val="0"/>
              <w:autoSpaceDN w:val="0"/>
              <w:adjustRightInd w:val="0"/>
              <w:snapToGrid w:val="0"/>
              <w:spacing w:line="480" w:lineRule="exact"/>
              <w:ind w:firstLine="480" w:firstLineChars="200"/>
              <w:rPr>
                <w:color w:val="auto"/>
                <w:kern w:val="0"/>
                <w:sz w:val="24"/>
                <w:highlight w:val="none"/>
              </w:rPr>
            </w:pPr>
            <w:r>
              <w:rPr>
                <w:rFonts w:hint="eastAsia" w:ascii="Times New Roman" w:eastAsia="宋体"/>
                <w:color w:val="auto"/>
                <w:kern w:val="0"/>
                <w:sz w:val="24"/>
                <w:highlight w:val="none"/>
                <w:lang w:val="en-US" w:eastAsia="zh-CN"/>
              </w:rPr>
              <w:t>4</w:t>
            </w:r>
            <w:r>
              <w:rPr>
                <w:rFonts w:hint="eastAsia"/>
                <w:color w:val="auto"/>
                <w:kern w:val="0"/>
                <w:sz w:val="24"/>
                <w:highlight w:val="none"/>
              </w:rPr>
              <w:t>、与城市规划、国土空间规划等地方相关规划的符合性分析</w:t>
            </w:r>
          </w:p>
          <w:p w14:paraId="60C369D3">
            <w:pPr>
              <w:autoSpaceDE w:val="0"/>
              <w:autoSpaceDN w:val="0"/>
              <w:adjustRightInd w:val="0"/>
              <w:snapToGrid w:val="0"/>
              <w:spacing w:line="480" w:lineRule="exact"/>
              <w:ind w:firstLine="480" w:firstLineChars="200"/>
              <w:rPr>
                <w:color w:val="auto"/>
                <w:kern w:val="0"/>
                <w:sz w:val="24"/>
                <w:highlight w:val="none"/>
              </w:rPr>
            </w:pPr>
            <w:r>
              <w:rPr>
                <w:rFonts w:hint="eastAsia"/>
                <w:color w:val="auto"/>
                <w:kern w:val="0"/>
                <w:sz w:val="24"/>
                <w:highlight w:val="none"/>
              </w:rPr>
              <w:t>（1）并网建设计划</w:t>
            </w:r>
          </w:p>
          <w:p w14:paraId="1C8EA4A6">
            <w:pPr>
              <w:autoSpaceDE w:val="0"/>
              <w:autoSpaceDN w:val="0"/>
              <w:adjustRightInd w:val="0"/>
              <w:snapToGrid w:val="0"/>
              <w:spacing w:line="480" w:lineRule="exact"/>
              <w:ind w:firstLine="480" w:firstLineChars="200"/>
              <w:rPr>
                <w:color w:val="auto"/>
                <w:kern w:val="0"/>
                <w:sz w:val="24"/>
                <w:highlight w:val="none"/>
              </w:rPr>
            </w:pPr>
            <w:r>
              <w:rPr>
                <w:rFonts w:hint="eastAsia"/>
                <w:color w:val="auto"/>
                <w:kern w:val="0"/>
                <w:sz w:val="24"/>
                <w:highlight w:val="none"/>
              </w:rPr>
              <w:t>山西省能源局发布的《关于做好2024年驭风行动助力乡村振兴工程方案实施工作的通知》（晋能源新能源发〔2024〕213号）将</w:t>
            </w:r>
            <w:r>
              <w:rPr>
                <w:rFonts w:hint="eastAsia" w:eastAsia="宋体"/>
                <w:color w:val="auto"/>
                <w:kern w:val="0"/>
                <w:sz w:val="24"/>
                <w:highlight w:val="none"/>
                <w:lang w:eastAsia="zh-CN"/>
              </w:rPr>
              <w:t>中节能壶关县乡村振兴50MW风电项目</w:t>
            </w:r>
            <w:r>
              <w:rPr>
                <w:rFonts w:hint="eastAsia"/>
                <w:color w:val="auto"/>
                <w:kern w:val="0"/>
                <w:sz w:val="24"/>
                <w:highlight w:val="none"/>
              </w:rPr>
              <w:t>列入</w:t>
            </w:r>
            <w:r>
              <w:rPr>
                <w:rFonts w:hint="eastAsia" w:ascii="Times New Roman" w:eastAsia="宋体"/>
                <w:color w:val="auto"/>
                <w:kern w:val="0"/>
                <w:sz w:val="24"/>
                <w:highlight w:val="none"/>
                <w:lang w:val="en-US" w:eastAsia="zh-CN"/>
              </w:rPr>
              <w:t>山西省2024年驭风行动助力乡村振兴工程试点项目清单</w:t>
            </w:r>
            <w:r>
              <w:rPr>
                <w:rFonts w:hint="eastAsia"/>
                <w:color w:val="auto"/>
                <w:kern w:val="0"/>
                <w:sz w:val="24"/>
                <w:highlight w:val="none"/>
              </w:rPr>
              <w:t>。</w:t>
            </w:r>
          </w:p>
          <w:p w14:paraId="2DF021C9">
            <w:pPr>
              <w:autoSpaceDE w:val="0"/>
              <w:autoSpaceDN w:val="0"/>
              <w:adjustRightInd w:val="0"/>
              <w:snapToGrid w:val="0"/>
              <w:spacing w:line="480" w:lineRule="exact"/>
              <w:ind w:firstLine="480" w:firstLineChars="200"/>
              <w:rPr>
                <w:color w:val="auto"/>
                <w:kern w:val="0"/>
                <w:sz w:val="24"/>
                <w:highlight w:val="none"/>
              </w:rPr>
            </w:pPr>
            <w:r>
              <w:rPr>
                <w:rFonts w:hint="eastAsia"/>
                <w:color w:val="auto"/>
                <w:kern w:val="0"/>
                <w:sz w:val="24"/>
                <w:highlight w:val="none"/>
              </w:rPr>
              <w:t>（2）国土空间规划</w:t>
            </w:r>
          </w:p>
          <w:p w14:paraId="3FAE12D6">
            <w:pPr>
              <w:autoSpaceDE w:val="0"/>
              <w:autoSpaceDN w:val="0"/>
              <w:adjustRightInd w:val="0"/>
              <w:snapToGrid w:val="0"/>
              <w:spacing w:line="480" w:lineRule="exact"/>
              <w:ind w:firstLine="480" w:firstLineChars="200"/>
              <w:rPr>
                <w:rFonts w:hint="eastAsia"/>
                <w:color w:val="auto"/>
                <w:kern w:val="0"/>
                <w:sz w:val="24"/>
                <w:highlight w:val="none"/>
              </w:rPr>
            </w:pPr>
            <w:r>
              <w:rPr>
                <w:rFonts w:hint="eastAsia" w:ascii="Times New Roman" w:eastAsia="宋体"/>
                <w:color w:val="auto"/>
                <w:kern w:val="0"/>
                <w:sz w:val="24"/>
                <w:highlight w:val="none"/>
                <w:lang w:val="en-US" w:eastAsia="zh-CN"/>
              </w:rPr>
              <w:t>本项目已列入《壶关县国土空间总体规划（2021-2035 年）》近期建设重点项目清单，符合壶关县国土空间总体规划。</w:t>
            </w:r>
          </w:p>
          <w:p w14:paraId="23DB3F24">
            <w:pPr>
              <w:autoSpaceDE w:val="0"/>
              <w:autoSpaceDN w:val="0"/>
              <w:adjustRightInd w:val="0"/>
              <w:snapToGrid w:val="0"/>
              <w:spacing w:line="480" w:lineRule="exact"/>
              <w:ind w:firstLine="480" w:firstLineChars="200"/>
              <w:rPr>
                <w:color w:val="auto"/>
                <w:kern w:val="0"/>
                <w:sz w:val="24"/>
                <w:highlight w:val="none"/>
              </w:rPr>
            </w:pPr>
            <w:r>
              <w:rPr>
                <w:rFonts w:hint="eastAsia" w:ascii="Times New Roman" w:eastAsia="宋体"/>
                <w:color w:val="auto"/>
                <w:kern w:val="0"/>
                <w:sz w:val="24"/>
                <w:highlight w:val="none"/>
                <w:lang w:val="en-US" w:eastAsia="zh-CN"/>
              </w:rPr>
              <w:t>5</w:t>
            </w:r>
            <w:r>
              <w:rPr>
                <w:rFonts w:hint="eastAsia"/>
                <w:color w:val="auto"/>
                <w:kern w:val="0"/>
                <w:sz w:val="24"/>
                <w:highlight w:val="none"/>
              </w:rPr>
              <w:t>、符合性分析结论</w:t>
            </w:r>
          </w:p>
          <w:p w14:paraId="49E6937E">
            <w:pPr>
              <w:autoSpaceDE w:val="0"/>
              <w:autoSpaceDN w:val="0"/>
              <w:adjustRightInd w:val="0"/>
              <w:snapToGrid w:val="0"/>
              <w:spacing w:line="480" w:lineRule="exact"/>
              <w:ind w:firstLine="480" w:firstLineChars="200"/>
              <w:rPr>
                <w:rFonts w:hint="eastAsia"/>
                <w:color w:val="auto"/>
                <w:kern w:val="0"/>
                <w:sz w:val="24"/>
                <w:highlight w:val="none"/>
              </w:rPr>
            </w:pPr>
            <w:r>
              <w:rPr>
                <w:rFonts w:hint="eastAsia"/>
                <w:color w:val="auto"/>
                <w:kern w:val="0"/>
                <w:sz w:val="24"/>
                <w:highlight w:val="none"/>
              </w:rPr>
              <w:t>综上，本项目规模、性质和工艺路线符合国家和山西省有关环境保护法律法规、标准、政策、规范。</w:t>
            </w:r>
          </w:p>
          <w:p w14:paraId="362D9106">
            <w:pPr>
              <w:pStyle w:val="7"/>
              <w:ind w:left="0" w:leftChars="0" w:firstLine="0" w:firstLineChars="0"/>
              <w:rPr>
                <w:color w:val="auto"/>
                <w:highlight w:val="none"/>
              </w:rPr>
            </w:pPr>
          </w:p>
          <w:p w14:paraId="60E0AFFF">
            <w:pPr>
              <w:rPr>
                <w:color w:val="auto"/>
                <w:highlight w:val="none"/>
              </w:rPr>
            </w:pPr>
          </w:p>
          <w:p w14:paraId="501AC212">
            <w:pPr>
              <w:rPr>
                <w:color w:val="auto"/>
                <w:highlight w:val="none"/>
              </w:rPr>
            </w:pPr>
          </w:p>
          <w:p w14:paraId="29145A94">
            <w:pPr>
              <w:rPr>
                <w:color w:val="auto"/>
                <w:highlight w:val="none"/>
              </w:rPr>
            </w:pPr>
          </w:p>
          <w:p w14:paraId="322A09BC">
            <w:pPr>
              <w:rPr>
                <w:color w:val="auto"/>
                <w:highlight w:val="none"/>
              </w:rPr>
            </w:pPr>
          </w:p>
          <w:p w14:paraId="5CBEEF28">
            <w:pPr>
              <w:rPr>
                <w:color w:val="auto"/>
                <w:highlight w:val="none"/>
              </w:rPr>
            </w:pPr>
          </w:p>
          <w:p w14:paraId="63FAF4C2">
            <w:pPr>
              <w:rPr>
                <w:color w:val="auto"/>
                <w:highlight w:val="none"/>
              </w:rPr>
            </w:pPr>
          </w:p>
          <w:p w14:paraId="759A5D15">
            <w:pPr>
              <w:rPr>
                <w:color w:val="auto"/>
                <w:highlight w:val="none"/>
              </w:rPr>
            </w:pPr>
          </w:p>
          <w:p w14:paraId="703E1BE0">
            <w:pPr>
              <w:rPr>
                <w:color w:val="auto"/>
                <w:highlight w:val="none"/>
              </w:rPr>
            </w:pPr>
          </w:p>
          <w:p w14:paraId="47458CD4">
            <w:pPr>
              <w:rPr>
                <w:color w:val="auto"/>
                <w:highlight w:val="none"/>
              </w:rPr>
            </w:pPr>
          </w:p>
          <w:p w14:paraId="6A08A9F3">
            <w:pPr>
              <w:rPr>
                <w:color w:val="auto"/>
                <w:highlight w:val="none"/>
              </w:rPr>
            </w:pPr>
          </w:p>
          <w:p w14:paraId="1594D97A">
            <w:pPr>
              <w:rPr>
                <w:color w:val="auto"/>
                <w:highlight w:val="none"/>
              </w:rPr>
            </w:pPr>
          </w:p>
          <w:p w14:paraId="38FBCF36">
            <w:pPr>
              <w:rPr>
                <w:color w:val="auto"/>
                <w:highlight w:val="none"/>
              </w:rPr>
            </w:pPr>
          </w:p>
          <w:p w14:paraId="1A40BC48">
            <w:pPr>
              <w:rPr>
                <w:color w:val="auto"/>
                <w:highlight w:val="none"/>
              </w:rPr>
            </w:pPr>
          </w:p>
          <w:p w14:paraId="76EE2A99">
            <w:pPr>
              <w:rPr>
                <w:color w:val="auto"/>
                <w:highlight w:val="none"/>
              </w:rPr>
            </w:pPr>
          </w:p>
          <w:p w14:paraId="0B285F96">
            <w:pPr>
              <w:rPr>
                <w:color w:val="auto"/>
                <w:highlight w:val="none"/>
              </w:rPr>
            </w:pPr>
          </w:p>
          <w:p w14:paraId="4F879714">
            <w:pPr>
              <w:rPr>
                <w:color w:val="auto"/>
                <w:highlight w:val="none"/>
              </w:rPr>
            </w:pPr>
          </w:p>
          <w:p w14:paraId="562976BC">
            <w:pPr>
              <w:rPr>
                <w:color w:val="auto"/>
                <w:highlight w:val="none"/>
              </w:rPr>
            </w:pPr>
          </w:p>
          <w:p w14:paraId="61F2AA88">
            <w:pPr>
              <w:rPr>
                <w:color w:val="auto"/>
                <w:highlight w:val="none"/>
              </w:rPr>
            </w:pPr>
          </w:p>
          <w:p w14:paraId="30BA2186">
            <w:pPr>
              <w:rPr>
                <w:color w:val="auto"/>
                <w:highlight w:val="none"/>
              </w:rPr>
            </w:pPr>
          </w:p>
          <w:p w14:paraId="509E9F43">
            <w:pPr>
              <w:rPr>
                <w:color w:val="auto"/>
                <w:highlight w:val="none"/>
              </w:rPr>
            </w:pPr>
          </w:p>
          <w:p w14:paraId="0BBC2647">
            <w:pPr>
              <w:rPr>
                <w:color w:val="auto"/>
                <w:highlight w:val="none"/>
              </w:rPr>
            </w:pPr>
          </w:p>
          <w:p w14:paraId="7451B044">
            <w:pPr>
              <w:rPr>
                <w:color w:val="auto"/>
                <w:highlight w:val="none"/>
              </w:rPr>
            </w:pPr>
          </w:p>
          <w:p w14:paraId="7B7F9DF4">
            <w:pPr>
              <w:rPr>
                <w:color w:val="auto"/>
                <w:highlight w:val="none"/>
              </w:rPr>
            </w:pPr>
          </w:p>
          <w:p w14:paraId="527CD48A">
            <w:pPr>
              <w:rPr>
                <w:color w:val="auto"/>
                <w:highlight w:val="none"/>
              </w:rPr>
            </w:pPr>
          </w:p>
          <w:p w14:paraId="0914DDDC">
            <w:pPr>
              <w:rPr>
                <w:color w:val="auto"/>
                <w:highlight w:val="none"/>
              </w:rPr>
            </w:pPr>
          </w:p>
          <w:p w14:paraId="0A9270D2">
            <w:pPr>
              <w:rPr>
                <w:color w:val="auto"/>
                <w:highlight w:val="none"/>
              </w:rPr>
            </w:pPr>
          </w:p>
          <w:p w14:paraId="715763B7">
            <w:pPr>
              <w:rPr>
                <w:color w:val="auto"/>
                <w:highlight w:val="none"/>
              </w:rPr>
            </w:pPr>
          </w:p>
          <w:p w14:paraId="41A3584E">
            <w:pPr>
              <w:rPr>
                <w:color w:val="auto"/>
                <w:highlight w:val="none"/>
              </w:rPr>
            </w:pPr>
          </w:p>
          <w:p w14:paraId="3F84A321">
            <w:pPr>
              <w:rPr>
                <w:color w:val="auto"/>
                <w:highlight w:val="none"/>
              </w:rPr>
            </w:pPr>
          </w:p>
          <w:p w14:paraId="5051A884">
            <w:pPr>
              <w:rPr>
                <w:color w:val="auto"/>
                <w:highlight w:val="none"/>
              </w:rPr>
            </w:pPr>
          </w:p>
          <w:p w14:paraId="0B648533">
            <w:pPr>
              <w:rPr>
                <w:color w:val="auto"/>
                <w:highlight w:val="none"/>
              </w:rPr>
            </w:pPr>
          </w:p>
          <w:p w14:paraId="76195515">
            <w:pPr>
              <w:rPr>
                <w:color w:val="auto"/>
                <w:highlight w:val="none"/>
              </w:rPr>
            </w:pPr>
          </w:p>
          <w:p w14:paraId="59B18A81">
            <w:pPr>
              <w:rPr>
                <w:color w:val="auto"/>
                <w:highlight w:val="none"/>
              </w:rPr>
            </w:pPr>
          </w:p>
          <w:p w14:paraId="593DEA2A">
            <w:pPr>
              <w:rPr>
                <w:color w:val="auto"/>
                <w:highlight w:val="none"/>
              </w:rPr>
            </w:pPr>
          </w:p>
          <w:p w14:paraId="67942023">
            <w:pPr>
              <w:rPr>
                <w:color w:val="auto"/>
                <w:highlight w:val="none"/>
              </w:rPr>
            </w:pPr>
          </w:p>
          <w:p w14:paraId="403D0179">
            <w:pPr>
              <w:rPr>
                <w:color w:val="auto"/>
                <w:highlight w:val="none"/>
              </w:rPr>
            </w:pPr>
          </w:p>
          <w:p w14:paraId="076030D0">
            <w:pPr>
              <w:rPr>
                <w:color w:val="auto"/>
                <w:highlight w:val="none"/>
              </w:rPr>
            </w:pPr>
          </w:p>
          <w:p w14:paraId="2AD2F130">
            <w:pPr>
              <w:rPr>
                <w:color w:val="auto"/>
                <w:highlight w:val="none"/>
              </w:rPr>
            </w:pPr>
          </w:p>
          <w:p w14:paraId="36D3F746">
            <w:pPr>
              <w:rPr>
                <w:color w:val="auto"/>
                <w:highlight w:val="none"/>
              </w:rPr>
            </w:pPr>
          </w:p>
          <w:p w14:paraId="41E1D16D">
            <w:pPr>
              <w:rPr>
                <w:color w:val="auto"/>
                <w:highlight w:val="none"/>
              </w:rPr>
            </w:pPr>
          </w:p>
          <w:p w14:paraId="1F49159F">
            <w:pPr>
              <w:rPr>
                <w:color w:val="auto"/>
                <w:highlight w:val="none"/>
              </w:rPr>
            </w:pPr>
          </w:p>
          <w:p w14:paraId="36117322">
            <w:pPr>
              <w:rPr>
                <w:color w:val="auto"/>
                <w:highlight w:val="none"/>
              </w:rPr>
            </w:pPr>
          </w:p>
          <w:p w14:paraId="1B42D30F">
            <w:pPr>
              <w:rPr>
                <w:color w:val="auto"/>
                <w:highlight w:val="none"/>
              </w:rPr>
            </w:pPr>
          </w:p>
          <w:p w14:paraId="1C97335D">
            <w:pPr>
              <w:rPr>
                <w:color w:val="auto"/>
                <w:highlight w:val="none"/>
              </w:rPr>
            </w:pPr>
          </w:p>
          <w:p w14:paraId="5195F9D3">
            <w:pPr>
              <w:rPr>
                <w:color w:val="auto"/>
                <w:highlight w:val="none"/>
              </w:rPr>
            </w:pPr>
          </w:p>
          <w:p w14:paraId="0DB4356B">
            <w:pPr>
              <w:rPr>
                <w:color w:val="auto"/>
                <w:highlight w:val="none"/>
              </w:rPr>
            </w:pPr>
          </w:p>
          <w:p w14:paraId="06161C9D">
            <w:pPr>
              <w:rPr>
                <w:color w:val="auto"/>
                <w:highlight w:val="none"/>
              </w:rPr>
            </w:pPr>
          </w:p>
          <w:p w14:paraId="3D7AC32D">
            <w:pPr>
              <w:rPr>
                <w:color w:val="auto"/>
                <w:highlight w:val="none"/>
              </w:rPr>
            </w:pPr>
          </w:p>
          <w:p w14:paraId="432B6ADF">
            <w:pPr>
              <w:rPr>
                <w:color w:val="auto"/>
                <w:highlight w:val="none"/>
              </w:rPr>
            </w:pPr>
          </w:p>
          <w:p w14:paraId="5CC9210E">
            <w:pPr>
              <w:rPr>
                <w:color w:val="auto"/>
                <w:highlight w:val="none"/>
              </w:rPr>
            </w:pPr>
          </w:p>
          <w:p w14:paraId="77F83DBF">
            <w:pPr>
              <w:rPr>
                <w:color w:val="auto"/>
                <w:highlight w:val="none"/>
              </w:rPr>
            </w:pPr>
          </w:p>
        </w:tc>
      </w:tr>
    </w:tbl>
    <w:p w14:paraId="13E03FDB">
      <w:pPr>
        <w:spacing w:line="360" w:lineRule="auto"/>
        <w:outlineLvl w:val="0"/>
        <w:rPr>
          <w:rFonts w:eastAsia="黑体"/>
          <w:color w:val="auto"/>
          <w:sz w:val="30"/>
          <w:highlight w:val="none"/>
        </w:rPr>
        <w:sectPr>
          <w:footerReference r:id="rId4"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680EB71B">
      <w:pPr>
        <w:pStyle w:val="9"/>
        <w:jc w:val="center"/>
        <w:outlineLvl w:val="0"/>
        <w:rPr>
          <w:rFonts w:hint="eastAsia"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t>二、建设内容</w:t>
      </w:r>
    </w:p>
    <w:tbl>
      <w:tblPr>
        <w:tblStyle w:val="10"/>
        <w:tblW w:w="909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8405"/>
      </w:tblGrid>
      <w:tr w14:paraId="4ED72F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97" w:hRule="atLeast"/>
          <w:jc w:val="center"/>
        </w:trPr>
        <w:tc>
          <w:tcPr>
            <w:tcW w:w="710" w:type="dxa"/>
            <w:vAlign w:val="center"/>
          </w:tcPr>
          <w:p w14:paraId="17936E96">
            <w:pPr>
              <w:adjustRightInd w:val="0"/>
              <w:snapToGrid w:val="0"/>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地理位置</w:t>
            </w:r>
          </w:p>
        </w:tc>
        <w:tc>
          <w:tcPr>
            <w:tcW w:w="8380" w:type="dxa"/>
            <w:vAlign w:val="center"/>
          </w:tcPr>
          <w:p w14:paraId="0E0639ED">
            <w:pPr>
              <w:adjustRightInd w:val="0"/>
              <w:snapToGrid w:val="0"/>
              <w:spacing w:line="480" w:lineRule="exact"/>
              <w:ind w:firstLine="480" w:firstLineChars="200"/>
              <w:jc w:val="left"/>
              <w:rPr>
                <w:color w:val="auto"/>
                <w:sz w:val="24"/>
                <w:highlight w:val="none"/>
              </w:rPr>
            </w:pPr>
            <w:r>
              <w:rPr>
                <w:rFonts w:hint="eastAsia" w:eastAsia="宋体"/>
                <w:color w:val="auto"/>
                <w:sz w:val="24"/>
                <w:highlight w:val="none"/>
                <w:lang w:eastAsia="zh-CN"/>
              </w:rPr>
              <w:t>中节能壶关县乡村振兴50MW风电项目</w:t>
            </w:r>
            <w:r>
              <w:rPr>
                <w:rFonts w:hint="eastAsia"/>
                <w:color w:val="auto"/>
                <w:sz w:val="24"/>
                <w:highlight w:val="none"/>
              </w:rPr>
              <w:t>位于</w:t>
            </w:r>
            <w:r>
              <w:rPr>
                <w:rFonts w:hint="eastAsia"/>
                <w:color w:val="auto"/>
                <w:sz w:val="24"/>
                <w:highlight w:val="none"/>
                <w:lang w:val="en-US" w:eastAsia="zh-CN"/>
              </w:rPr>
              <w:t>壶关县石坡乡、店上镇、东井岭乡，</w:t>
            </w:r>
            <w:r>
              <w:rPr>
                <w:rFonts w:hint="eastAsia"/>
                <w:color w:val="auto"/>
                <w:sz w:val="24"/>
                <w:highlight w:val="none"/>
              </w:rPr>
              <w:t>风电场区范围介于：</w:t>
            </w:r>
            <w:r>
              <w:rPr>
                <w:rFonts w:hint="default" w:ascii="Times New Roman" w:hAnsi="Times New Roman" w:cs="Times New Roman"/>
                <w:color w:val="auto"/>
                <w:sz w:val="24"/>
                <w:highlight w:val="none"/>
              </w:rPr>
              <w:t>E113°17′10.753″至E113°25'04.371"</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N35°55′32.787″至N36°1′48.519″</w:t>
            </w:r>
            <w:r>
              <w:rPr>
                <w:rFonts w:hint="eastAsia" w:ascii="Times New Roman" w:hAnsi="Times New Roman" w:cs="Times New Roman"/>
                <w:color w:val="auto"/>
                <w:sz w:val="24"/>
                <w:highlight w:val="none"/>
                <w:lang w:eastAsia="zh-CN"/>
              </w:rPr>
              <w:t>。</w:t>
            </w:r>
            <w:r>
              <w:rPr>
                <w:rFonts w:hint="eastAsia"/>
                <w:color w:val="auto"/>
                <w:sz w:val="24"/>
                <w:highlight w:val="none"/>
              </w:rPr>
              <w:t>场区范围内山势起伏，场内风机机位点高程在</w:t>
            </w:r>
            <w:r>
              <w:rPr>
                <w:color w:val="auto"/>
                <w:sz w:val="24"/>
                <w:highlight w:val="none"/>
              </w:rPr>
              <w:t>1</w:t>
            </w:r>
            <w:r>
              <w:rPr>
                <w:rFonts w:hint="eastAsia" w:ascii="Times New Roman" w:eastAsia="宋体"/>
                <w:color w:val="auto"/>
                <w:sz w:val="24"/>
                <w:highlight w:val="none"/>
                <w:lang w:val="en-US" w:eastAsia="zh-CN"/>
              </w:rPr>
              <w:t>400</w:t>
            </w:r>
            <w:r>
              <w:rPr>
                <w:color w:val="auto"/>
                <w:sz w:val="24"/>
                <w:highlight w:val="none"/>
              </w:rPr>
              <w:t>m~1</w:t>
            </w:r>
            <w:r>
              <w:rPr>
                <w:rFonts w:hint="eastAsia" w:ascii="Times New Roman" w:eastAsia="宋体"/>
                <w:color w:val="auto"/>
                <w:sz w:val="24"/>
                <w:highlight w:val="none"/>
                <w:lang w:val="en-US" w:eastAsia="zh-CN"/>
              </w:rPr>
              <w:t>800</w:t>
            </w:r>
            <w:r>
              <w:rPr>
                <w:color w:val="auto"/>
                <w:sz w:val="24"/>
                <w:highlight w:val="none"/>
              </w:rPr>
              <w:t>m</w:t>
            </w:r>
            <w:r>
              <w:rPr>
                <w:rFonts w:hint="eastAsia"/>
                <w:color w:val="auto"/>
                <w:sz w:val="24"/>
                <w:highlight w:val="none"/>
              </w:rPr>
              <w:t>之间。</w:t>
            </w:r>
          </w:p>
          <w:p w14:paraId="1FE8ECE0">
            <w:pPr>
              <w:adjustRightInd w:val="0"/>
              <w:snapToGrid w:val="0"/>
              <w:spacing w:line="480" w:lineRule="exact"/>
              <w:ind w:firstLine="480" w:firstLineChars="200"/>
              <w:jc w:val="left"/>
              <w:rPr>
                <w:color w:val="auto"/>
                <w:sz w:val="24"/>
                <w:highlight w:val="none"/>
              </w:rPr>
            </w:pPr>
            <w:r>
              <w:rPr>
                <w:rFonts w:hint="eastAsia"/>
                <w:color w:val="auto"/>
                <w:sz w:val="24"/>
                <w:highlight w:val="none"/>
              </w:rPr>
              <w:t>风场范围拐点坐标见下表。</w:t>
            </w:r>
            <w:r>
              <w:rPr>
                <w:color w:val="auto"/>
                <w:sz w:val="24"/>
                <w:highlight w:val="none"/>
              </w:rPr>
              <w:t>区域</w:t>
            </w:r>
            <w:r>
              <w:rPr>
                <w:rFonts w:hint="eastAsia"/>
                <w:color w:val="auto"/>
                <w:sz w:val="24"/>
                <w:highlight w:val="none"/>
              </w:rPr>
              <w:t>位置见附图1，地理位置见附图2。</w:t>
            </w:r>
          </w:p>
          <w:p w14:paraId="45D4148F">
            <w:pPr>
              <w:pStyle w:val="20"/>
              <w:rPr>
                <w:color w:val="auto"/>
                <w:highlight w:val="none"/>
              </w:rPr>
            </w:pPr>
            <w:r>
              <w:rPr>
                <w:color w:val="auto"/>
                <w:highlight w:val="none"/>
              </w:rPr>
              <w:t>表</w:t>
            </w:r>
            <w:r>
              <w:rPr>
                <w:rFonts w:hint="eastAsia" w:ascii="黑体" w:hAnsi="黑体" w:eastAsia="黑体" w:cs="黑体"/>
                <w:color w:val="auto"/>
                <w:highlight w:val="none"/>
              </w:rPr>
              <w:t>2-1</w:t>
            </w:r>
            <w:r>
              <w:rPr>
                <w:color w:val="auto"/>
                <w:highlight w:val="none"/>
              </w:rPr>
              <w:t xml:space="preserve">   风场范围拐点坐标    2000国家大地坐标系</w:t>
            </w:r>
          </w:p>
          <w:tbl>
            <w:tblPr>
              <w:tblStyle w:val="10"/>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02"/>
              <w:gridCol w:w="3109"/>
              <w:gridCol w:w="3348"/>
            </w:tblGrid>
            <w:tr w14:paraId="230FF5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43" w:type="pct"/>
                  <w:vMerge w:val="restart"/>
                  <w:vAlign w:val="center"/>
                </w:tcPr>
                <w:p w14:paraId="74257ADA">
                  <w:pPr>
                    <w:pStyle w:val="20"/>
                    <w:jc w:val="center"/>
                    <w:rPr>
                      <w:rFonts w:eastAsia="宋体"/>
                      <w:color w:val="auto"/>
                      <w:highlight w:val="none"/>
                    </w:rPr>
                  </w:pPr>
                  <w:r>
                    <w:rPr>
                      <w:rFonts w:eastAsia="宋体"/>
                      <w:color w:val="auto"/>
                      <w:highlight w:val="none"/>
                    </w:rPr>
                    <w:t>编号</w:t>
                  </w:r>
                </w:p>
              </w:tc>
              <w:tc>
                <w:tcPr>
                  <w:tcW w:w="3956" w:type="pct"/>
                  <w:gridSpan w:val="2"/>
                  <w:vAlign w:val="center"/>
                </w:tcPr>
                <w:p w14:paraId="5CE6F348">
                  <w:pPr>
                    <w:pStyle w:val="20"/>
                    <w:jc w:val="center"/>
                    <w:rPr>
                      <w:rFonts w:eastAsia="宋体"/>
                      <w:color w:val="auto"/>
                      <w:highlight w:val="none"/>
                    </w:rPr>
                  </w:pPr>
                  <w:r>
                    <w:rPr>
                      <w:rFonts w:eastAsia="宋体"/>
                      <w:color w:val="auto"/>
                      <w:highlight w:val="none"/>
                    </w:rPr>
                    <w:t>坐标</w:t>
                  </w:r>
                </w:p>
              </w:tc>
            </w:tr>
            <w:tr w14:paraId="74B22C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43" w:type="pct"/>
                  <w:vMerge w:val="continue"/>
                  <w:vAlign w:val="center"/>
                </w:tcPr>
                <w:p w14:paraId="363DF8B9">
                  <w:pPr>
                    <w:pStyle w:val="20"/>
                    <w:jc w:val="center"/>
                    <w:rPr>
                      <w:rFonts w:eastAsia="宋体"/>
                      <w:color w:val="auto"/>
                      <w:highlight w:val="none"/>
                    </w:rPr>
                  </w:pPr>
                </w:p>
              </w:tc>
              <w:tc>
                <w:tcPr>
                  <w:tcW w:w="1905" w:type="pct"/>
                  <w:vAlign w:val="center"/>
                </w:tcPr>
                <w:p w14:paraId="027B9339">
                  <w:pPr>
                    <w:pStyle w:val="20"/>
                    <w:jc w:val="center"/>
                    <w:rPr>
                      <w:rFonts w:eastAsia="宋体"/>
                      <w:color w:val="auto"/>
                      <w:highlight w:val="none"/>
                    </w:rPr>
                  </w:pPr>
                  <w:r>
                    <w:rPr>
                      <w:rFonts w:hint="eastAsia" w:eastAsia="宋体"/>
                      <w:color w:val="auto"/>
                      <w:highlight w:val="none"/>
                    </w:rPr>
                    <w:t>经度（°E）</w:t>
                  </w:r>
                </w:p>
              </w:tc>
              <w:tc>
                <w:tcPr>
                  <w:tcW w:w="2050" w:type="pct"/>
                  <w:vAlign w:val="center"/>
                </w:tcPr>
                <w:p w14:paraId="59CBA628">
                  <w:pPr>
                    <w:pStyle w:val="20"/>
                    <w:jc w:val="center"/>
                    <w:rPr>
                      <w:rFonts w:eastAsia="宋体"/>
                      <w:color w:val="auto"/>
                      <w:highlight w:val="none"/>
                    </w:rPr>
                  </w:pPr>
                  <w:r>
                    <w:rPr>
                      <w:rFonts w:hint="eastAsia" w:eastAsia="宋体"/>
                      <w:color w:val="auto"/>
                      <w:highlight w:val="none"/>
                    </w:rPr>
                    <w:t>纬度（°N）</w:t>
                  </w:r>
                </w:p>
              </w:tc>
            </w:tr>
            <w:tr w14:paraId="512343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43" w:type="pct"/>
                  <w:vAlign w:val="center"/>
                </w:tcPr>
                <w:p w14:paraId="7251695B">
                  <w:pPr>
                    <w:pStyle w:val="20"/>
                    <w:jc w:val="center"/>
                    <w:rPr>
                      <w:rFonts w:eastAsia="宋体"/>
                      <w:color w:val="auto"/>
                      <w:highlight w:val="none"/>
                    </w:rPr>
                  </w:pPr>
                  <w:r>
                    <w:rPr>
                      <w:color w:val="auto"/>
                      <w:highlight w:val="none"/>
                    </w:rPr>
                    <w:t>1</w:t>
                  </w:r>
                </w:p>
              </w:tc>
              <w:tc>
                <w:tcPr>
                  <w:tcW w:w="1905" w:type="pct"/>
                  <w:vAlign w:val="center"/>
                </w:tcPr>
                <w:p w14:paraId="3843B887">
                  <w:pPr>
                    <w:pStyle w:val="20"/>
                    <w:jc w:val="center"/>
                    <w:rPr>
                      <w:rFonts w:eastAsia="宋体"/>
                      <w:color w:val="auto"/>
                      <w:highlight w:val="none"/>
                    </w:rPr>
                  </w:pPr>
                  <w:r>
                    <w:rPr>
                      <w:rFonts w:hint="eastAsia" w:eastAsia="宋体"/>
                      <w:color w:val="auto"/>
                      <w:highlight w:val="none"/>
                      <w:lang w:val="en-US" w:eastAsia="zh-CN"/>
                    </w:rPr>
                    <w:t>113.33513260</w:t>
                  </w:r>
                </w:p>
              </w:tc>
              <w:tc>
                <w:tcPr>
                  <w:tcW w:w="2050" w:type="pct"/>
                  <w:vAlign w:val="center"/>
                </w:tcPr>
                <w:p w14:paraId="190ADF3F">
                  <w:pPr>
                    <w:pStyle w:val="20"/>
                    <w:jc w:val="center"/>
                    <w:rPr>
                      <w:rFonts w:eastAsia="宋体"/>
                      <w:color w:val="auto"/>
                      <w:highlight w:val="none"/>
                    </w:rPr>
                  </w:pPr>
                  <w:r>
                    <w:rPr>
                      <w:rFonts w:hint="eastAsia" w:eastAsia="宋体"/>
                      <w:color w:val="auto"/>
                      <w:highlight w:val="none"/>
                      <w:lang w:val="en-US" w:eastAsia="zh-CN"/>
                    </w:rPr>
                    <w:t>36.03429794</w:t>
                  </w:r>
                </w:p>
              </w:tc>
            </w:tr>
            <w:tr w14:paraId="7D57A9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43" w:type="pct"/>
                  <w:vAlign w:val="center"/>
                </w:tcPr>
                <w:p w14:paraId="50DA1C38">
                  <w:pPr>
                    <w:pStyle w:val="20"/>
                    <w:jc w:val="center"/>
                    <w:rPr>
                      <w:rFonts w:eastAsia="宋体"/>
                      <w:color w:val="auto"/>
                      <w:highlight w:val="none"/>
                    </w:rPr>
                  </w:pPr>
                  <w:r>
                    <w:rPr>
                      <w:color w:val="auto"/>
                      <w:highlight w:val="none"/>
                    </w:rPr>
                    <w:t>2</w:t>
                  </w:r>
                </w:p>
              </w:tc>
              <w:tc>
                <w:tcPr>
                  <w:tcW w:w="1905" w:type="pct"/>
                  <w:vAlign w:val="center"/>
                </w:tcPr>
                <w:p w14:paraId="5A79671C">
                  <w:pPr>
                    <w:pStyle w:val="20"/>
                    <w:jc w:val="center"/>
                    <w:rPr>
                      <w:rFonts w:eastAsia="宋体"/>
                      <w:color w:val="auto"/>
                      <w:highlight w:val="none"/>
                    </w:rPr>
                  </w:pPr>
                  <w:r>
                    <w:rPr>
                      <w:rFonts w:hint="eastAsia" w:eastAsia="宋体"/>
                      <w:color w:val="auto"/>
                      <w:highlight w:val="none"/>
                      <w:lang w:val="en-US" w:eastAsia="zh-CN"/>
                    </w:rPr>
                    <w:t>113.41478348</w:t>
                  </w:r>
                </w:p>
              </w:tc>
              <w:tc>
                <w:tcPr>
                  <w:tcW w:w="2050" w:type="pct"/>
                  <w:vAlign w:val="center"/>
                </w:tcPr>
                <w:p w14:paraId="7E75840C">
                  <w:pPr>
                    <w:pStyle w:val="20"/>
                    <w:jc w:val="center"/>
                    <w:rPr>
                      <w:rFonts w:eastAsia="宋体"/>
                      <w:color w:val="auto"/>
                      <w:highlight w:val="none"/>
                    </w:rPr>
                  </w:pPr>
                  <w:r>
                    <w:rPr>
                      <w:rFonts w:hint="eastAsia" w:eastAsia="宋体"/>
                      <w:color w:val="auto"/>
                      <w:highlight w:val="none"/>
                      <w:lang w:val="en-US" w:eastAsia="zh-CN"/>
                    </w:rPr>
                    <w:t>36.02210999</w:t>
                  </w:r>
                </w:p>
              </w:tc>
            </w:tr>
            <w:tr w14:paraId="7E533A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43" w:type="pct"/>
                  <w:vAlign w:val="center"/>
                </w:tcPr>
                <w:p w14:paraId="27052E35">
                  <w:pPr>
                    <w:pStyle w:val="20"/>
                    <w:jc w:val="center"/>
                    <w:rPr>
                      <w:rFonts w:eastAsia="宋体"/>
                      <w:color w:val="auto"/>
                      <w:highlight w:val="none"/>
                    </w:rPr>
                  </w:pPr>
                  <w:r>
                    <w:rPr>
                      <w:color w:val="auto"/>
                      <w:highlight w:val="none"/>
                    </w:rPr>
                    <w:t>3</w:t>
                  </w:r>
                </w:p>
              </w:tc>
              <w:tc>
                <w:tcPr>
                  <w:tcW w:w="1905" w:type="pct"/>
                  <w:vAlign w:val="center"/>
                </w:tcPr>
                <w:p w14:paraId="0CCA6A05">
                  <w:pPr>
                    <w:pStyle w:val="20"/>
                    <w:jc w:val="center"/>
                    <w:rPr>
                      <w:rFonts w:eastAsia="宋体"/>
                      <w:color w:val="auto"/>
                      <w:highlight w:val="none"/>
                    </w:rPr>
                  </w:pPr>
                  <w:r>
                    <w:rPr>
                      <w:rFonts w:hint="eastAsia" w:eastAsia="宋体"/>
                      <w:color w:val="auto"/>
                      <w:highlight w:val="none"/>
                      <w:lang w:val="en-US" w:eastAsia="zh-CN"/>
                    </w:rPr>
                    <w:t>113.41821671</w:t>
                  </w:r>
                </w:p>
              </w:tc>
              <w:tc>
                <w:tcPr>
                  <w:tcW w:w="2050" w:type="pct"/>
                  <w:vAlign w:val="center"/>
                </w:tcPr>
                <w:p w14:paraId="4C51EF39">
                  <w:pPr>
                    <w:pStyle w:val="20"/>
                    <w:jc w:val="center"/>
                    <w:rPr>
                      <w:rFonts w:eastAsia="宋体"/>
                      <w:color w:val="auto"/>
                      <w:highlight w:val="none"/>
                    </w:rPr>
                  </w:pPr>
                  <w:r>
                    <w:rPr>
                      <w:rFonts w:hint="eastAsia" w:eastAsia="宋体"/>
                      <w:color w:val="auto"/>
                      <w:highlight w:val="none"/>
                      <w:lang w:val="en-US" w:eastAsia="zh-CN"/>
                    </w:rPr>
                    <w:t>36.00030899</w:t>
                  </w:r>
                </w:p>
              </w:tc>
            </w:tr>
            <w:tr w14:paraId="10FDF4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43" w:type="pct"/>
                  <w:vAlign w:val="center"/>
                </w:tcPr>
                <w:p w14:paraId="59F4029E">
                  <w:pPr>
                    <w:pStyle w:val="20"/>
                    <w:jc w:val="center"/>
                    <w:rPr>
                      <w:rFonts w:eastAsia="宋体"/>
                      <w:color w:val="auto"/>
                      <w:highlight w:val="none"/>
                    </w:rPr>
                  </w:pPr>
                  <w:r>
                    <w:rPr>
                      <w:color w:val="auto"/>
                      <w:highlight w:val="none"/>
                    </w:rPr>
                    <w:t>4</w:t>
                  </w:r>
                </w:p>
              </w:tc>
              <w:tc>
                <w:tcPr>
                  <w:tcW w:w="1905" w:type="pct"/>
                  <w:vAlign w:val="center"/>
                </w:tcPr>
                <w:p w14:paraId="01153DA5">
                  <w:pPr>
                    <w:pStyle w:val="20"/>
                    <w:jc w:val="center"/>
                    <w:rPr>
                      <w:rFonts w:eastAsia="宋体"/>
                      <w:color w:val="auto"/>
                      <w:highlight w:val="none"/>
                    </w:rPr>
                  </w:pPr>
                  <w:r>
                    <w:rPr>
                      <w:rFonts w:hint="eastAsia" w:eastAsia="宋体"/>
                      <w:color w:val="auto"/>
                      <w:highlight w:val="none"/>
                      <w:lang w:val="en-US" w:eastAsia="zh-CN"/>
                    </w:rPr>
                    <w:t>113.34629059</w:t>
                  </w:r>
                </w:p>
              </w:tc>
              <w:tc>
                <w:tcPr>
                  <w:tcW w:w="2050" w:type="pct"/>
                  <w:vAlign w:val="center"/>
                </w:tcPr>
                <w:p w14:paraId="26EA990B">
                  <w:pPr>
                    <w:pStyle w:val="20"/>
                    <w:jc w:val="center"/>
                    <w:rPr>
                      <w:rFonts w:eastAsia="宋体"/>
                      <w:color w:val="auto"/>
                      <w:highlight w:val="none"/>
                    </w:rPr>
                  </w:pPr>
                  <w:r>
                    <w:rPr>
                      <w:rFonts w:hint="eastAsia" w:eastAsia="宋体"/>
                      <w:color w:val="auto"/>
                      <w:highlight w:val="none"/>
                      <w:lang w:val="en-US" w:eastAsia="zh-CN"/>
                    </w:rPr>
                    <w:t>35.98297119</w:t>
                  </w:r>
                </w:p>
              </w:tc>
            </w:tr>
            <w:tr w14:paraId="32FB56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43" w:type="pct"/>
                  <w:vAlign w:val="center"/>
                </w:tcPr>
                <w:p w14:paraId="79872B8F">
                  <w:pPr>
                    <w:pStyle w:val="20"/>
                    <w:jc w:val="center"/>
                    <w:rPr>
                      <w:rFonts w:eastAsia="宋体"/>
                      <w:color w:val="auto"/>
                      <w:highlight w:val="none"/>
                    </w:rPr>
                  </w:pPr>
                  <w:r>
                    <w:rPr>
                      <w:color w:val="auto"/>
                      <w:highlight w:val="none"/>
                    </w:rPr>
                    <w:t>5</w:t>
                  </w:r>
                </w:p>
              </w:tc>
              <w:tc>
                <w:tcPr>
                  <w:tcW w:w="1905" w:type="pct"/>
                  <w:vAlign w:val="center"/>
                </w:tcPr>
                <w:p w14:paraId="519EF6EF">
                  <w:pPr>
                    <w:pStyle w:val="20"/>
                    <w:jc w:val="center"/>
                    <w:rPr>
                      <w:rFonts w:eastAsia="宋体"/>
                      <w:color w:val="auto"/>
                      <w:highlight w:val="none"/>
                    </w:rPr>
                  </w:pPr>
                  <w:r>
                    <w:rPr>
                      <w:rFonts w:hint="eastAsia" w:eastAsia="宋体"/>
                      <w:color w:val="auto"/>
                      <w:highlight w:val="none"/>
                      <w:lang w:val="en-US" w:eastAsia="zh-CN"/>
                    </w:rPr>
                    <w:t>113.29290390</w:t>
                  </w:r>
                </w:p>
              </w:tc>
              <w:tc>
                <w:tcPr>
                  <w:tcW w:w="2050" w:type="pct"/>
                  <w:vAlign w:val="center"/>
                </w:tcPr>
                <w:p w14:paraId="5A74194C">
                  <w:pPr>
                    <w:pStyle w:val="20"/>
                    <w:jc w:val="center"/>
                    <w:rPr>
                      <w:rFonts w:eastAsia="宋体"/>
                      <w:color w:val="auto"/>
                      <w:highlight w:val="none"/>
                    </w:rPr>
                  </w:pPr>
                  <w:r>
                    <w:rPr>
                      <w:rFonts w:hint="eastAsia" w:eastAsia="宋体"/>
                      <w:color w:val="auto"/>
                      <w:highlight w:val="none"/>
                      <w:lang w:val="en-US" w:eastAsia="zh-CN"/>
                    </w:rPr>
                    <w:t>35.92031479</w:t>
                  </w:r>
                </w:p>
              </w:tc>
            </w:tr>
            <w:tr w14:paraId="276497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43" w:type="pct"/>
                  <w:vAlign w:val="center"/>
                </w:tcPr>
                <w:p w14:paraId="6F3AB013">
                  <w:pPr>
                    <w:pStyle w:val="20"/>
                    <w:jc w:val="center"/>
                    <w:rPr>
                      <w:rFonts w:eastAsia="宋体"/>
                      <w:color w:val="auto"/>
                      <w:highlight w:val="none"/>
                    </w:rPr>
                  </w:pPr>
                  <w:r>
                    <w:rPr>
                      <w:color w:val="auto"/>
                      <w:highlight w:val="none"/>
                    </w:rPr>
                    <w:t>6</w:t>
                  </w:r>
                </w:p>
              </w:tc>
              <w:tc>
                <w:tcPr>
                  <w:tcW w:w="1905" w:type="pct"/>
                  <w:vAlign w:val="center"/>
                </w:tcPr>
                <w:p w14:paraId="3981C3EF">
                  <w:pPr>
                    <w:pStyle w:val="20"/>
                    <w:jc w:val="center"/>
                    <w:rPr>
                      <w:rFonts w:eastAsia="宋体"/>
                      <w:color w:val="auto"/>
                      <w:highlight w:val="none"/>
                    </w:rPr>
                  </w:pPr>
                  <w:r>
                    <w:rPr>
                      <w:rFonts w:hint="eastAsia" w:eastAsia="宋体"/>
                      <w:color w:val="auto"/>
                      <w:highlight w:val="none"/>
                      <w:lang w:val="en-US" w:eastAsia="zh-CN"/>
                    </w:rPr>
                    <w:t>113.28002930</w:t>
                  </w:r>
                </w:p>
              </w:tc>
              <w:tc>
                <w:tcPr>
                  <w:tcW w:w="2050" w:type="pct"/>
                  <w:vAlign w:val="center"/>
                </w:tcPr>
                <w:p w14:paraId="42468B8E">
                  <w:pPr>
                    <w:pStyle w:val="20"/>
                    <w:jc w:val="center"/>
                    <w:rPr>
                      <w:rFonts w:eastAsia="宋体"/>
                      <w:color w:val="auto"/>
                      <w:highlight w:val="none"/>
                    </w:rPr>
                  </w:pPr>
                  <w:r>
                    <w:rPr>
                      <w:rFonts w:hint="eastAsia" w:eastAsia="宋体"/>
                      <w:color w:val="auto"/>
                      <w:highlight w:val="none"/>
                      <w:lang w:val="en-US" w:eastAsia="zh-CN"/>
                    </w:rPr>
                    <w:t>35.92889786</w:t>
                  </w:r>
                </w:p>
              </w:tc>
            </w:tr>
            <w:tr w14:paraId="202157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43" w:type="pct"/>
                  <w:vAlign w:val="center"/>
                </w:tcPr>
                <w:p w14:paraId="590F76EB">
                  <w:pPr>
                    <w:pStyle w:val="20"/>
                    <w:jc w:val="center"/>
                    <w:rPr>
                      <w:rFonts w:eastAsia="宋体"/>
                      <w:color w:val="auto"/>
                      <w:highlight w:val="none"/>
                    </w:rPr>
                  </w:pPr>
                  <w:r>
                    <w:rPr>
                      <w:color w:val="auto"/>
                      <w:highlight w:val="none"/>
                    </w:rPr>
                    <w:t>7</w:t>
                  </w:r>
                </w:p>
              </w:tc>
              <w:tc>
                <w:tcPr>
                  <w:tcW w:w="1905" w:type="pct"/>
                  <w:vAlign w:val="center"/>
                </w:tcPr>
                <w:p w14:paraId="4151EEB0">
                  <w:pPr>
                    <w:pStyle w:val="20"/>
                    <w:jc w:val="center"/>
                    <w:rPr>
                      <w:rFonts w:eastAsia="宋体"/>
                      <w:color w:val="auto"/>
                      <w:highlight w:val="none"/>
                    </w:rPr>
                  </w:pPr>
                  <w:r>
                    <w:rPr>
                      <w:rFonts w:hint="eastAsia" w:eastAsia="宋体"/>
                      <w:color w:val="auto"/>
                      <w:highlight w:val="none"/>
                      <w:lang w:val="en-US" w:eastAsia="zh-CN"/>
                    </w:rPr>
                    <w:t>113.31590652</w:t>
                  </w:r>
                </w:p>
              </w:tc>
              <w:tc>
                <w:tcPr>
                  <w:tcW w:w="2050" w:type="pct"/>
                  <w:vAlign w:val="center"/>
                </w:tcPr>
                <w:p w14:paraId="7F3E9D31">
                  <w:pPr>
                    <w:pStyle w:val="20"/>
                    <w:jc w:val="center"/>
                    <w:rPr>
                      <w:rFonts w:eastAsia="宋体"/>
                      <w:color w:val="auto"/>
                      <w:highlight w:val="none"/>
                    </w:rPr>
                  </w:pPr>
                  <w:r>
                    <w:rPr>
                      <w:rFonts w:hint="eastAsia" w:eastAsia="宋体"/>
                      <w:color w:val="auto"/>
                      <w:highlight w:val="none"/>
                      <w:lang w:val="en-US" w:eastAsia="zh-CN"/>
                    </w:rPr>
                    <w:t>36.02279663</w:t>
                  </w:r>
                </w:p>
              </w:tc>
            </w:tr>
          </w:tbl>
          <w:p w14:paraId="3A14E663">
            <w:pPr>
              <w:adjustRightInd w:val="0"/>
              <w:snapToGrid w:val="0"/>
              <w:spacing w:line="480" w:lineRule="exact"/>
              <w:ind w:firstLine="480" w:firstLineChars="200"/>
              <w:jc w:val="left"/>
              <w:rPr>
                <w:color w:val="auto"/>
                <w:sz w:val="24"/>
                <w:highlight w:val="none"/>
              </w:rPr>
            </w:pPr>
          </w:p>
        </w:tc>
      </w:tr>
      <w:tr w14:paraId="76B01F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710" w:type="dxa"/>
            <w:vAlign w:val="center"/>
          </w:tcPr>
          <w:p w14:paraId="3057116F">
            <w:pPr>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 w:val="24"/>
                <w:szCs w:val="24"/>
                <w:highlight w:val="none"/>
              </w:rPr>
              <w:t>项目组成及规模</w:t>
            </w:r>
          </w:p>
        </w:tc>
        <w:tc>
          <w:tcPr>
            <w:tcW w:w="8380" w:type="dxa"/>
            <w:vAlign w:val="center"/>
          </w:tcPr>
          <w:p w14:paraId="1744A3D9">
            <w:pPr>
              <w:adjustRightInd w:val="0"/>
              <w:snapToGrid w:val="0"/>
              <w:spacing w:line="480" w:lineRule="exact"/>
              <w:ind w:firstLine="480" w:firstLineChars="200"/>
              <w:jc w:val="left"/>
              <w:rPr>
                <w:color w:val="auto"/>
                <w:sz w:val="24"/>
                <w:highlight w:val="none"/>
              </w:rPr>
            </w:pPr>
            <w:r>
              <w:rPr>
                <w:rFonts w:hint="eastAsia"/>
                <w:color w:val="auto"/>
                <w:sz w:val="24"/>
                <w:highlight w:val="none"/>
              </w:rPr>
              <w:t>1、项目概况</w:t>
            </w:r>
          </w:p>
          <w:p w14:paraId="6075A66C">
            <w:pPr>
              <w:adjustRightInd w:val="0"/>
              <w:snapToGrid w:val="0"/>
              <w:spacing w:line="480" w:lineRule="exact"/>
              <w:ind w:firstLine="480" w:firstLineChars="200"/>
              <w:jc w:val="left"/>
              <w:rPr>
                <w:rFonts w:hint="eastAsia"/>
                <w:color w:val="auto"/>
                <w:sz w:val="24"/>
                <w:highlight w:val="none"/>
                <w:lang w:val="en-US" w:eastAsia="zh-CN"/>
              </w:rPr>
            </w:pPr>
            <w:r>
              <w:rPr>
                <w:rFonts w:hint="eastAsia"/>
                <w:color w:val="auto"/>
                <w:sz w:val="24"/>
                <w:highlight w:val="none"/>
              </w:rPr>
              <w:t>2024年</w:t>
            </w:r>
            <w:r>
              <w:rPr>
                <w:rFonts w:hint="eastAsia" w:ascii="Times New Roman" w:eastAsia="宋体"/>
                <w:color w:val="auto"/>
                <w:sz w:val="24"/>
                <w:highlight w:val="none"/>
                <w:lang w:val="en-US" w:eastAsia="zh-CN"/>
              </w:rPr>
              <w:t>11</w:t>
            </w:r>
            <w:r>
              <w:rPr>
                <w:rFonts w:hint="eastAsia"/>
                <w:color w:val="auto"/>
                <w:sz w:val="24"/>
                <w:highlight w:val="none"/>
              </w:rPr>
              <w:t>月</w:t>
            </w:r>
            <w:r>
              <w:rPr>
                <w:rFonts w:hint="eastAsia" w:ascii="Times New Roman" w:eastAsia="宋体"/>
                <w:color w:val="auto"/>
                <w:sz w:val="24"/>
                <w:highlight w:val="none"/>
                <w:lang w:val="en-US" w:eastAsia="zh-CN"/>
              </w:rPr>
              <w:t>1</w:t>
            </w:r>
            <w:r>
              <w:rPr>
                <w:rFonts w:hint="eastAsia"/>
                <w:color w:val="auto"/>
                <w:sz w:val="24"/>
                <w:highlight w:val="none"/>
              </w:rPr>
              <w:t>日，</w:t>
            </w:r>
            <w:r>
              <w:rPr>
                <w:rFonts w:hint="eastAsia" w:ascii="Times New Roman" w:eastAsia="宋体"/>
                <w:color w:val="auto"/>
                <w:sz w:val="24"/>
                <w:highlight w:val="none"/>
                <w:lang w:val="en-US" w:eastAsia="zh-CN"/>
              </w:rPr>
              <w:t>壶关县</w:t>
            </w:r>
            <w:r>
              <w:rPr>
                <w:rFonts w:hint="eastAsia"/>
                <w:color w:val="auto"/>
                <w:sz w:val="24"/>
                <w:highlight w:val="none"/>
              </w:rPr>
              <w:t>行政审批服务管理局</w:t>
            </w:r>
            <w:r>
              <w:rPr>
                <w:rFonts w:hint="eastAsia" w:ascii="Times New Roman" w:eastAsia="宋体"/>
                <w:color w:val="auto"/>
                <w:sz w:val="24"/>
                <w:highlight w:val="none"/>
                <w:lang w:val="en-US" w:eastAsia="zh-CN"/>
              </w:rPr>
              <w:t>出具了本项目的备案证；</w:t>
            </w:r>
            <w:r>
              <w:rPr>
                <w:rFonts w:hint="eastAsia"/>
                <w:color w:val="auto"/>
                <w:sz w:val="24"/>
                <w:highlight w:val="none"/>
              </w:rPr>
              <w:t>202</w:t>
            </w:r>
            <w:r>
              <w:rPr>
                <w:rFonts w:hint="eastAsia" w:ascii="Times New Roman" w:eastAsia="宋体"/>
                <w:color w:val="auto"/>
                <w:sz w:val="24"/>
                <w:highlight w:val="none"/>
                <w:lang w:val="en-US" w:eastAsia="zh-CN"/>
              </w:rPr>
              <w:t>5</w:t>
            </w:r>
            <w:r>
              <w:rPr>
                <w:rFonts w:hint="eastAsia"/>
                <w:color w:val="auto"/>
                <w:sz w:val="24"/>
                <w:highlight w:val="none"/>
              </w:rPr>
              <w:t>年</w:t>
            </w:r>
            <w:r>
              <w:rPr>
                <w:rFonts w:hint="eastAsia" w:ascii="Times New Roman" w:eastAsia="宋体"/>
                <w:color w:val="auto"/>
                <w:sz w:val="24"/>
                <w:highlight w:val="none"/>
                <w:lang w:val="en-US" w:eastAsia="zh-CN"/>
              </w:rPr>
              <w:t>4</w:t>
            </w:r>
            <w:r>
              <w:rPr>
                <w:rFonts w:hint="eastAsia"/>
                <w:color w:val="auto"/>
                <w:sz w:val="24"/>
                <w:highlight w:val="none"/>
              </w:rPr>
              <w:t>月1</w:t>
            </w:r>
            <w:r>
              <w:rPr>
                <w:rFonts w:hint="eastAsia" w:ascii="Times New Roman" w:eastAsia="宋体"/>
                <w:color w:val="auto"/>
                <w:sz w:val="24"/>
                <w:highlight w:val="none"/>
                <w:lang w:val="en-US" w:eastAsia="zh-CN"/>
              </w:rPr>
              <w:t>7</w:t>
            </w:r>
            <w:r>
              <w:rPr>
                <w:rFonts w:hint="eastAsia"/>
                <w:color w:val="auto"/>
                <w:sz w:val="24"/>
                <w:highlight w:val="none"/>
              </w:rPr>
              <w:t>日，</w:t>
            </w:r>
            <w:r>
              <w:rPr>
                <w:rFonts w:hint="eastAsia" w:ascii="Times New Roman" w:eastAsia="宋体"/>
                <w:color w:val="auto"/>
                <w:sz w:val="24"/>
                <w:highlight w:val="none"/>
                <w:lang w:val="en-US" w:eastAsia="zh-CN"/>
              </w:rPr>
              <w:t>壶关县</w:t>
            </w:r>
            <w:r>
              <w:rPr>
                <w:rFonts w:hint="eastAsia"/>
                <w:color w:val="auto"/>
                <w:sz w:val="24"/>
                <w:highlight w:val="none"/>
              </w:rPr>
              <w:t>自然资源局出具本项目用地预审与选址意见书，用字第140427202500001号</w:t>
            </w:r>
            <w:r>
              <w:rPr>
                <w:rFonts w:hint="eastAsia"/>
                <w:color w:val="auto"/>
                <w:sz w:val="24"/>
                <w:highlight w:val="none"/>
                <w:lang w:eastAsia="zh-CN"/>
              </w:rPr>
              <w:t>，</w:t>
            </w:r>
            <w:r>
              <w:rPr>
                <w:rFonts w:hint="eastAsia"/>
                <w:color w:val="auto"/>
                <w:sz w:val="24"/>
                <w:highlight w:val="none"/>
                <w:lang w:val="en-US" w:eastAsia="zh-CN"/>
              </w:rPr>
              <w:t>拟建设规模为单机容量5MW的风力发电机组10台，总装机容量为50MW；由于风机设备厂家技术升级，主推机型升级为6.25MW风力发电机型，因此对风电机组方案进一步优化，最终在10个点位里择优选用8个点位。</w:t>
            </w:r>
          </w:p>
          <w:p w14:paraId="6A211B06">
            <w:pPr>
              <w:adjustRightInd w:val="0"/>
              <w:snapToGrid w:val="0"/>
              <w:spacing w:line="480" w:lineRule="exact"/>
              <w:ind w:firstLine="480" w:firstLineChars="200"/>
              <w:jc w:val="left"/>
              <w:rPr>
                <w:color w:val="auto"/>
                <w:sz w:val="24"/>
                <w:highlight w:val="none"/>
              </w:rPr>
            </w:pPr>
            <w:r>
              <w:rPr>
                <w:rFonts w:hint="eastAsia"/>
                <w:color w:val="auto"/>
                <w:sz w:val="24"/>
                <w:highlight w:val="none"/>
              </w:rPr>
              <w:t>2、风电场工程组成</w:t>
            </w:r>
          </w:p>
          <w:p w14:paraId="131694CB">
            <w:pPr>
              <w:adjustRightInd w:val="0"/>
              <w:snapToGrid w:val="0"/>
              <w:spacing w:line="480" w:lineRule="exact"/>
              <w:ind w:firstLine="480" w:firstLineChars="200"/>
              <w:jc w:val="left"/>
              <w:rPr>
                <w:color w:val="auto"/>
                <w:sz w:val="24"/>
                <w:highlight w:val="none"/>
              </w:rPr>
            </w:pPr>
            <w:r>
              <w:rPr>
                <w:rFonts w:hint="eastAsia"/>
                <w:color w:val="auto"/>
                <w:sz w:val="24"/>
                <w:highlight w:val="none"/>
              </w:rPr>
              <w:t>本项目拟安装</w:t>
            </w:r>
            <w:r>
              <w:rPr>
                <w:rFonts w:hint="eastAsia" w:ascii="Times New Roman" w:eastAsia="宋体"/>
                <w:color w:val="auto"/>
                <w:sz w:val="24"/>
                <w:highlight w:val="none"/>
                <w:lang w:val="en-US" w:eastAsia="zh-CN"/>
              </w:rPr>
              <w:t>8</w:t>
            </w:r>
            <w:r>
              <w:rPr>
                <w:rFonts w:hint="eastAsia"/>
                <w:color w:val="auto"/>
                <w:sz w:val="24"/>
                <w:highlight w:val="none"/>
              </w:rPr>
              <w:t>台单机容量为</w:t>
            </w:r>
            <w:r>
              <w:rPr>
                <w:rFonts w:hint="eastAsia" w:ascii="Times New Roman" w:eastAsia="宋体"/>
                <w:color w:val="auto"/>
                <w:sz w:val="24"/>
                <w:highlight w:val="none"/>
                <w:lang w:val="en-US" w:eastAsia="zh-CN"/>
              </w:rPr>
              <w:t>6.25</w:t>
            </w:r>
            <w:r>
              <w:rPr>
                <w:color w:val="auto"/>
                <w:sz w:val="24"/>
                <w:highlight w:val="none"/>
              </w:rPr>
              <w:t xml:space="preserve">MW </w:t>
            </w:r>
            <w:r>
              <w:rPr>
                <w:rFonts w:hint="eastAsia"/>
                <w:color w:val="auto"/>
                <w:sz w:val="24"/>
                <w:highlight w:val="none"/>
              </w:rPr>
              <w:t>的风电机组，总装机容量为50</w:t>
            </w:r>
            <w:r>
              <w:rPr>
                <w:color w:val="auto"/>
                <w:sz w:val="24"/>
                <w:highlight w:val="none"/>
              </w:rPr>
              <w:t>MW</w:t>
            </w:r>
            <w:r>
              <w:rPr>
                <w:rFonts w:hint="eastAsia"/>
                <w:color w:val="auto"/>
                <w:sz w:val="24"/>
                <w:highlight w:val="none"/>
              </w:rPr>
              <w:t>，年上网电量为</w:t>
            </w:r>
            <w:r>
              <w:rPr>
                <w:rFonts w:hint="eastAsia"/>
                <w:color w:val="auto"/>
                <w:sz w:val="24"/>
                <w:highlight w:val="none"/>
                <w:lang w:val="en-US" w:eastAsia="zh-CN"/>
              </w:rPr>
              <w:t>11305</w:t>
            </w:r>
            <w:r>
              <w:rPr>
                <w:rFonts w:hint="eastAsia" w:ascii="Times New Roman" w:eastAsia="宋体"/>
                <w:color w:val="auto"/>
                <w:sz w:val="24"/>
                <w:highlight w:val="none"/>
                <w:lang w:val="en-US" w:eastAsia="zh-CN"/>
              </w:rPr>
              <w:t>万k</w:t>
            </w:r>
            <w:r>
              <w:rPr>
                <w:color w:val="auto"/>
                <w:sz w:val="24"/>
                <w:highlight w:val="none"/>
              </w:rPr>
              <w:t>W·h</w:t>
            </w:r>
            <w:r>
              <w:rPr>
                <w:rFonts w:hint="eastAsia"/>
                <w:color w:val="auto"/>
                <w:sz w:val="24"/>
                <w:highlight w:val="none"/>
              </w:rPr>
              <w:t>，等效满负荷小时数为</w:t>
            </w:r>
            <w:r>
              <w:rPr>
                <w:rFonts w:hint="eastAsia" w:ascii="Times New Roman" w:eastAsia="宋体"/>
                <w:color w:val="auto"/>
                <w:sz w:val="24"/>
                <w:highlight w:val="none"/>
                <w:lang w:val="en-US" w:eastAsia="zh-CN"/>
              </w:rPr>
              <w:t>1959.12</w:t>
            </w:r>
            <w:r>
              <w:rPr>
                <w:rFonts w:hint="eastAsia"/>
                <w:color w:val="auto"/>
                <w:sz w:val="24"/>
                <w:highlight w:val="none"/>
              </w:rPr>
              <w:t>小时。风电场工程特征见表</w:t>
            </w:r>
            <w:r>
              <w:rPr>
                <w:color w:val="auto"/>
                <w:sz w:val="24"/>
                <w:highlight w:val="none"/>
              </w:rPr>
              <w:t>2-2</w:t>
            </w:r>
            <w:r>
              <w:rPr>
                <w:rFonts w:hint="eastAsia"/>
                <w:color w:val="auto"/>
                <w:sz w:val="24"/>
                <w:highlight w:val="none"/>
              </w:rPr>
              <w:t>。</w:t>
            </w:r>
          </w:p>
          <w:p w14:paraId="6456DA87">
            <w:pPr>
              <w:widowControl/>
              <w:spacing w:line="440" w:lineRule="exact"/>
              <w:ind w:firstLine="480"/>
              <w:jc w:val="center"/>
              <w:rPr>
                <w:rFonts w:hint="eastAsia" w:ascii="黑体" w:hAnsi="黑体" w:eastAsia="黑体" w:cs="黑体"/>
                <w:color w:val="auto"/>
                <w:szCs w:val="21"/>
                <w:highlight w:val="none"/>
              </w:rPr>
            </w:pPr>
            <w:r>
              <w:rPr>
                <w:rFonts w:hint="eastAsia" w:ascii="黑体" w:hAnsi="黑体" w:eastAsia="黑体" w:cs="黑体"/>
                <w:color w:val="auto"/>
                <w:szCs w:val="21"/>
                <w:highlight w:val="none"/>
              </w:rPr>
              <w:t>表2-2  风电场工程主要特征及设备</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73"/>
              <w:gridCol w:w="770"/>
              <w:gridCol w:w="2295"/>
              <w:gridCol w:w="2261"/>
              <w:gridCol w:w="1560"/>
            </w:tblGrid>
            <w:tr w14:paraId="1A5B25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780" w:type="pct"/>
                  <w:vAlign w:val="center"/>
                </w:tcPr>
                <w:p w14:paraId="730A6261">
                  <w:pPr>
                    <w:widowControl/>
                    <w:jc w:val="center"/>
                    <w:rPr>
                      <w:color w:val="auto"/>
                      <w:highlight w:val="none"/>
                    </w:rPr>
                  </w:pPr>
                  <w:r>
                    <w:rPr>
                      <w:color w:val="auto"/>
                      <w:highlight w:val="none"/>
                    </w:rPr>
                    <w:t>项目</w:t>
                  </w:r>
                </w:p>
              </w:tc>
              <w:tc>
                <w:tcPr>
                  <w:tcW w:w="1878" w:type="pct"/>
                  <w:gridSpan w:val="2"/>
                  <w:vAlign w:val="center"/>
                </w:tcPr>
                <w:p w14:paraId="706D0E4F">
                  <w:pPr>
                    <w:widowControl/>
                    <w:jc w:val="center"/>
                    <w:rPr>
                      <w:color w:val="auto"/>
                      <w:highlight w:val="none"/>
                    </w:rPr>
                  </w:pPr>
                  <w:r>
                    <w:rPr>
                      <w:color w:val="auto"/>
                      <w:highlight w:val="none"/>
                    </w:rPr>
                    <w:t>名称</w:t>
                  </w:r>
                </w:p>
              </w:tc>
              <w:tc>
                <w:tcPr>
                  <w:tcW w:w="1385" w:type="pct"/>
                  <w:vAlign w:val="center"/>
                </w:tcPr>
                <w:p w14:paraId="22CADC45">
                  <w:pPr>
                    <w:widowControl/>
                    <w:jc w:val="center"/>
                    <w:rPr>
                      <w:color w:val="auto"/>
                      <w:highlight w:val="none"/>
                    </w:rPr>
                  </w:pPr>
                  <w:r>
                    <w:rPr>
                      <w:color w:val="auto"/>
                      <w:highlight w:val="none"/>
                    </w:rPr>
                    <w:t>单位/型号</w:t>
                  </w:r>
                </w:p>
              </w:tc>
              <w:tc>
                <w:tcPr>
                  <w:tcW w:w="956" w:type="pct"/>
                  <w:vAlign w:val="center"/>
                </w:tcPr>
                <w:p w14:paraId="5B710860">
                  <w:pPr>
                    <w:widowControl/>
                    <w:jc w:val="center"/>
                    <w:rPr>
                      <w:color w:val="auto"/>
                      <w:highlight w:val="none"/>
                    </w:rPr>
                  </w:pPr>
                  <w:r>
                    <w:rPr>
                      <w:color w:val="auto"/>
                      <w:highlight w:val="none"/>
                    </w:rPr>
                    <w:t>数量</w:t>
                  </w:r>
                </w:p>
              </w:tc>
            </w:tr>
            <w:tr w14:paraId="075C26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780" w:type="pct"/>
                  <w:vMerge w:val="restart"/>
                  <w:vAlign w:val="center"/>
                </w:tcPr>
                <w:p w14:paraId="35B630FD">
                  <w:pPr>
                    <w:widowControl/>
                    <w:jc w:val="center"/>
                    <w:rPr>
                      <w:color w:val="auto"/>
                      <w:highlight w:val="none"/>
                    </w:rPr>
                  </w:pPr>
                  <w:r>
                    <w:rPr>
                      <w:color w:val="auto"/>
                      <w:highlight w:val="none"/>
                    </w:rPr>
                    <w:t>风电场</w:t>
                  </w:r>
                </w:p>
                <w:p w14:paraId="29823493">
                  <w:pPr>
                    <w:widowControl/>
                    <w:jc w:val="center"/>
                    <w:rPr>
                      <w:color w:val="auto"/>
                      <w:highlight w:val="none"/>
                    </w:rPr>
                  </w:pPr>
                  <w:r>
                    <w:rPr>
                      <w:color w:val="auto"/>
                      <w:highlight w:val="none"/>
                    </w:rPr>
                    <w:t>场址</w:t>
                  </w:r>
                </w:p>
              </w:tc>
              <w:tc>
                <w:tcPr>
                  <w:tcW w:w="1878" w:type="pct"/>
                  <w:gridSpan w:val="2"/>
                  <w:vAlign w:val="center"/>
                </w:tcPr>
                <w:p w14:paraId="0327BD01">
                  <w:pPr>
                    <w:widowControl/>
                    <w:jc w:val="center"/>
                    <w:rPr>
                      <w:color w:val="auto"/>
                      <w:highlight w:val="none"/>
                    </w:rPr>
                  </w:pPr>
                  <w:r>
                    <w:rPr>
                      <w:color w:val="auto"/>
                      <w:highlight w:val="none"/>
                    </w:rPr>
                    <w:t>海拔</w:t>
                  </w:r>
                </w:p>
              </w:tc>
              <w:tc>
                <w:tcPr>
                  <w:tcW w:w="1385" w:type="pct"/>
                  <w:vAlign w:val="center"/>
                </w:tcPr>
                <w:p w14:paraId="268A7B6C">
                  <w:pPr>
                    <w:widowControl/>
                    <w:jc w:val="center"/>
                    <w:rPr>
                      <w:color w:val="auto"/>
                      <w:highlight w:val="none"/>
                    </w:rPr>
                  </w:pPr>
                  <w:r>
                    <w:rPr>
                      <w:color w:val="auto"/>
                      <w:highlight w:val="none"/>
                    </w:rPr>
                    <w:t>m</w:t>
                  </w:r>
                </w:p>
              </w:tc>
              <w:tc>
                <w:tcPr>
                  <w:tcW w:w="956" w:type="pct"/>
                  <w:vAlign w:val="center"/>
                </w:tcPr>
                <w:p w14:paraId="29ADB096">
                  <w:pPr>
                    <w:widowControl/>
                    <w:jc w:val="center"/>
                    <w:rPr>
                      <w:color w:val="auto"/>
                      <w:highlight w:val="none"/>
                    </w:rPr>
                  </w:pPr>
                  <w:r>
                    <w:rPr>
                      <w:color w:val="auto"/>
                      <w:highlight w:val="none"/>
                    </w:rPr>
                    <w:t>1</w:t>
                  </w:r>
                  <w:r>
                    <w:rPr>
                      <w:rFonts w:hint="eastAsia" w:ascii="Times New Roman" w:eastAsia="宋体"/>
                      <w:color w:val="auto"/>
                      <w:highlight w:val="none"/>
                      <w:lang w:val="en-US" w:eastAsia="zh-CN"/>
                    </w:rPr>
                    <w:t>400</w:t>
                  </w:r>
                  <w:r>
                    <w:rPr>
                      <w:color w:val="auto"/>
                      <w:highlight w:val="none"/>
                    </w:rPr>
                    <w:t>~1</w:t>
                  </w:r>
                  <w:r>
                    <w:rPr>
                      <w:rFonts w:hint="eastAsia" w:ascii="Times New Roman" w:eastAsia="宋体"/>
                      <w:color w:val="auto"/>
                      <w:highlight w:val="none"/>
                      <w:lang w:val="en-US" w:eastAsia="zh-CN"/>
                    </w:rPr>
                    <w:t>800</w:t>
                  </w:r>
                </w:p>
              </w:tc>
            </w:tr>
            <w:tr w14:paraId="213A56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780" w:type="pct"/>
                  <w:vMerge w:val="continue"/>
                  <w:vAlign w:val="center"/>
                </w:tcPr>
                <w:p w14:paraId="753E3605">
                  <w:pPr>
                    <w:widowControl/>
                    <w:jc w:val="center"/>
                    <w:rPr>
                      <w:color w:val="auto"/>
                      <w:highlight w:val="none"/>
                    </w:rPr>
                  </w:pPr>
                </w:p>
              </w:tc>
              <w:tc>
                <w:tcPr>
                  <w:tcW w:w="1878" w:type="pct"/>
                  <w:gridSpan w:val="2"/>
                  <w:vAlign w:val="center"/>
                </w:tcPr>
                <w:p w14:paraId="6EAB5420">
                  <w:pPr>
                    <w:widowControl/>
                    <w:jc w:val="center"/>
                    <w:rPr>
                      <w:color w:val="auto"/>
                      <w:highlight w:val="none"/>
                    </w:rPr>
                  </w:pPr>
                  <w:r>
                    <w:rPr>
                      <w:color w:val="auto"/>
                      <w:highlight w:val="none"/>
                    </w:rPr>
                    <w:t>经度（东经）</w:t>
                  </w:r>
                </w:p>
              </w:tc>
              <w:tc>
                <w:tcPr>
                  <w:tcW w:w="2341" w:type="pct"/>
                  <w:gridSpan w:val="2"/>
                  <w:vAlign w:val="center"/>
                </w:tcPr>
                <w:p w14:paraId="3DC748A2">
                  <w:pPr>
                    <w:widowControl/>
                    <w:jc w:val="center"/>
                    <w:rPr>
                      <w:color w:val="auto"/>
                      <w:highlight w:val="none"/>
                    </w:rPr>
                  </w:pPr>
                  <w:r>
                    <w:rPr>
                      <w:rFonts w:hint="default"/>
                      <w:color w:val="auto"/>
                      <w:highlight w:val="none"/>
                    </w:rPr>
                    <w:t>113°19'03.612"</w:t>
                  </w:r>
                  <w:r>
                    <w:rPr>
                      <w:rFonts w:hint="eastAsia" w:ascii="Times New Roman" w:eastAsia="宋体"/>
                      <w:color w:val="auto"/>
                      <w:highlight w:val="none"/>
                      <w:lang w:val="en-US" w:eastAsia="zh-CN"/>
                    </w:rPr>
                    <w:t>~</w:t>
                  </w:r>
                  <w:r>
                    <w:rPr>
                      <w:rFonts w:hint="default"/>
                      <w:color w:val="auto"/>
                      <w:highlight w:val="none"/>
                    </w:rPr>
                    <w:t>113°25'04.371"</w:t>
                  </w:r>
                </w:p>
              </w:tc>
            </w:tr>
            <w:tr w14:paraId="63E04C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780" w:type="pct"/>
                  <w:vMerge w:val="continue"/>
                  <w:vAlign w:val="center"/>
                </w:tcPr>
                <w:p w14:paraId="5608E8B1">
                  <w:pPr>
                    <w:widowControl/>
                    <w:jc w:val="center"/>
                    <w:rPr>
                      <w:color w:val="auto"/>
                      <w:highlight w:val="none"/>
                    </w:rPr>
                  </w:pPr>
                </w:p>
              </w:tc>
              <w:tc>
                <w:tcPr>
                  <w:tcW w:w="1878" w:type="pct"/>
                  <w:gridSpan w:val="2"/>
                  <w:vAlign w:val="center"/>
                </w:tcPr>
                <w:p w14:paraId="2ED3C12B">
                  <w:pPr>
                    <w:widowControl/>
                    <w:jc w:val="center"/>
                    <w:rPr>
                      <w:color w:val="auto"/>
                      <w:highlight w:val="none"/>
                    </w:rPr>
                  </w:pPr>
                  <w:r>
                    <w:rPr>
                      <w:color w:val="auto"/>
                      <w:highlight w:val="none"/>
                    </w:rPr>
                    <w:t>纬度（北纬）</w:t>
                  </w:r>
                </w:p>
              </w:tc>
              <w:tc>
                <w:tcPr>
                  <w:tcW w:w="2341" w:type="pct"/>
                  <w:gridSpan w:val="2"/>
                  <w:vAlign w:val="center"/>
                </w:tcPr>
                <w:p w14:paraId="0CA6538F">
                  <w:pPr>
                    <w:widowControl/>
                    <w:jc w:val="center"/>
                    <w:rPr>
                      <w:color w:val="auto"/>
                      <w:highlight w:val="none"/>
                    </w:rPr>
                  </w:pPr>
                  <w:r>
                    <w:rPr>
                      <w:rFonts w:hint="default"/>
                      <w:color w:val="auto"/>
                      <w:highlight w:val="none"/>
                    </w:rPr>
                    <w:t>35°56'38.950"</w:t>
                  </w:r>
                  <w:r>
                    <w:rPr>
                      <w:rFonts w:hint="eastAsia" w:ascii="Times New Roman" w:eastAsia="宋体"/>
                      <w:color w:val="auto"/>
                      <w:highlight w:val="none"/>
                      <w:lang w:val="en-US" w:eastAsia="zh-CN"/>
                    </w:rPr>
                    <w:t>~</w:t>
                  </w:r>
                  <w:r>
                    <w:rPr>
                      <w:rFonts w:hint="default"/>
                      <w:color w:val="auto"/>
                      <w:highlight w:val="none"/>
                    </w:rPr>
                    <w:t>36°00'46.191"</w:t>
                  </w:r>
                </w:p>
              </w:tc>
            </w:tr>
            <w:tr w14:paraId="46A3B0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780" w:type="pct"/>
                  <w:vMerge w:val="continue"/>
                  <w:vAlign w:val="center"/>
                </w:tcPr>
                <w:p w14:paraId="2EE84807">
                  <w:pPr>
                    <w:widowControl/>
                    <w:jc w:val="center"/>
                    <w:rPr>
                      <w:color w:val="auto"/>
                      <w:highlight w:val="none"/>
                    </w:rPr>
                  </w:pPr>
                </w:p>
              </w:tc>
              <w:tc>
                <w:tcPr>
                  <w:tcW w:w="1878" w:type="pct"/>
                  <w:gridSpan w:val="2"/>
                  <w:vAlign w:val="center"/>
                </w:tcPr>
                <w:p w14:paraId="20200D56">
                  <w:pPr>
                    <w:widowControl/>
                    <w:jc w:val="center"/>
                    <w:rPr>
                      <w:color w:val="auto"/>
                      <w:highlight w:val="none"/>
                    </w:rPr>
                  </w:pPr>
                  <w:r>
                    <w:rPr>
                      <w:color w:val="auto"/>
                      <w:highlight w:val="none"/>
                    </w:rPr>
                    <w:t>年平均风速</w:t>
                  </w:r>
                </w:p>
              </w:tc>
              <w:tc>
                <w:tcPr>
                  <w:tcW w:w="1385" w:type="pct"/>
                  <w:vAlign w:val="center"/>
                </w:tcPr>
                <w:p w14:paraId="08AC5916">
                  <w:pPr>
                    <w:widowControl/>
                    <w:jc w:val="center"/>
                    <w:rPr>
                      <w:color w:val="auto"/>
                      <w:highlight w:val="none"/>
                    </w:rPr>
                  </w:pPr>
                  <w:r>
                    <w:rPr>
                      <w:color w:val="auto"/>
                      <w:highlight w:val="none"/>
                    </w:rPr>
                    <w:t>m/s</w:t>
                  </w:r>
                </w:p>
              </w:tc>
              <w:tc>
                <w:tcPr>
                  <w:tcW w:w="956" w:type="pct"/>
                  <w:vAlign w:val="center"/>
                </w:tcPr>
                <w:p w14:paraId="56E26759">
                  <w:pPr>
                    <w:widowControl/>
                    <w:jc w:val="center"/>
                    <w:rPr>
                      <w:rFonts w:hint="default" w:eastAsia="宋体"/>
                      <w:color w:val="auto"/>
                      <w:highlight w:val="none"/>
                      <w:lang w:val="en-US" w:eastAsia="zh-CN"/>
                    </w:rPr>
                  </w:pPr>
                  <w:r>
                    <w:rPr>
                      <w:rFonts w:hint="eastAsia" w:ascii="Times New Roman" w:eastAsia="宋体"/>
                      <w:color w:val="auto"/>
                      <w:highlight w:val="none"/>
                      <w:lang w:val="en-US" w:eastAsia="zh-CN"/>
                    </w:rPr>
                    <w:t>5.35</w:t>
                  </w:r>
                </w:p>
              </w:tc>
            </w:tr>
            <w:tr w14:paraId="292624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780" w:type="pct"/>
                  <w:vMerge w:val="continue"/>
                  <w:vAlign w:val="center"/>
                </w:tcPr>
                <w:p w14:paraId="10BDB38B">
                  <w:pPr>
                    <w:widowControl/>
                    <w:jc w:val="center"/>
                    <w:rPr>
                      <w:color w:val="auto"/>
                      <w:highlight w:val="none"/>
                    </w:rPr>
                  </w:pPr>
                </w:p>
              </w:tc>
              <w:tc>
                <w:tcPr>
                  <w:tcW w:w="1878" w:type="pct"/>
                  <w:gridSpan w:val="2"/>
                  <w:vAlign w:val="center"/>
                </w:tcPr>
                <w:p w14:paraId="589D950A">
                  <w:pPr>
                    <w:widowControl/>
                    <w:jc w:val="center"/>
                    <w:rPr>
                      <w:color w:val="auto"/>
                      <w:highlight w:val="none"/>
                    </w:rPr>
                  </w:pPr>
                  <w:r>
                    <w:rPr>
                      <w:color w:val="auto"/>
                      <w:highlight w:val="none"/>
                    </w:rPr>
                    <w:t>盛行风向</w:t>
                  </w:r>
                </w:p>
              </w:tc>
              <w:tc>
                <w:tcPr>
                  <w:tcW w:w="2341" w:type="pct"/>
                  <w:gridSpan w:val="2"/>
                  <w:vAlign w:val="center"/>
                </w:tcPr>
                <w:p w14:paraId="306B8DA8">
                  <w:pPr>
                    <w:pStyle w:val="21"/>
                    <w:jc w:val="center"/>
                    <w:rPr>
                      <w:rFonts w:ascii="Times New Roman" w:cs="Times New Roman"/>
                      <w:color w:val="auto"/>
                      <w:highlight w:val="none"/>
                    </w:rPr>
                  </w:pPr>
                  <w:r>
                    <w:rPr>
                      <w:rFonts w:hint="eastAsia" w:ascii="Times New Roman" w:cs="Times New Roman"/>
                      <w:color w:val="auto"/>
                      <w:highlight w:val="none"/>
                      <w:lang w:val="en-US" w:eastAsia="zh-CN"/>
                    </w:rPr>
                    <w:t>W</w:t>
                  </w:r>
                  <w:r>
                    <w:rPr>
                      <w:rFonts w:ascii="Times New Roman" w:cs="Times New Roman"/>
                      <w:color w:val="auto"/>
                      <w:highlight w:val="none"/>
                    </w:rPr>
                    <w:t>NW</w:t>
                  </w:r>
                </w:p>
              </w:tc>
            </w:tr>
            <w:tr w14:paraId="02EF7D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780" w:type="pct"/>
                  <w:vMerge w:val="restart"/>
                  <w:vAlign w:val="center"/>
                </w:tcPr>
                <w:p w14:paraId="3753EEE3">
                  <w:pPr>
                    <w:widowControl/>
                    <w:jc w:val="center"/>
                    <w:rPr>
                      <w:color w:val="auto"/>
                      <w:highlight w:val="none"/>
                    </w:rPr>
                  </w:pPr>
                  <w:r>
                    <w:rPr>
                      <w:color w:val="auto"/>
                      <w:highlight w:val="none"/>
                    </w:rPr>
                    <w:t>主要设备</w:t>
                  </w:r>
                </w:p>
                <w:p w14:paraId="2A005BE0">
                  <w:pPr>
                    <w:widowControl/>
                    <w:jc w:val="center"/>
                    <w:rPr>
                      <w:color w:val="auto"/>
                      <w:highlight w:val="none"/>
                    </w:rPr>
                  </w:pPr>
                  <w:r>
                    <w:rPr>
                      <w:color w:val="auto"/>
                      <w:highlight w:val="none"/>
                    </w:rPr>
                    <w:t>技术参数</w:t>
                  </w:r>
                </w:p>
              </w:tc>
              <w:tc>
                <w:tcPr>
                  <w:tcW w:w="472" w:type="pct"/>
                  <w:vMerge w:val="restart"/>
                  <w:vAlign w:val="center"/>
                </w:tcPr>
                <w:p w14:paraId="6AD158F2">
                  <w:pPr>
                    <w:widowControl/>
                    <w:ind w:left="-128" w:leftChars="-61" w:right="-78" w:rightChars="-37"/>
                    <w:jc w:val="center"/>
                    <w:rPr>
                      <w:color w:val="auto"/>
                      <w:highlight w:val="none"/>
                    </w:rPr>
                  </w:pPr>
                  <w:r>
                    <w:rPr>
                      <w:color w:val="auto"/>
                      <w:highlight w:val="none"/>
                    </w:rPr>
                    <w:t>发电</w:t>
                  </w:r>
                </w:p>
                <w:p w14:paraId="7C4E1B12">
                  <w:pPr>
                    <w:widowControl/>
                    <w:ind w:left="-128" w:leftChars="-61" w:right="-78" w:rightChars="-37"/>
                    <w:jc w:val="center"/>
                    <w:rPr>
                      <w:color w:val="auto"/>
                      <w:highlight w:val="none"/>
                    </w:rPr>
                  </w:pPr>
                  <w:r>
                    <w:rPr>
                      <w:color w:val="auto"/>
                      <w:highlight w:val="none"/>
                    </w:rPr>
                    <w:t>工程</w:t>
                  </w:r>
                </w:p>
              </w:tc>
              <w:tc>
                <w:tcPr>
                  <w:tcW w:w="1406" w:type="pct"/>
                  <w:vAlign w:val="center"/>
                </w:tcPr>
                <w:p w14:paraId="5B7175C0">
                  <w:pPr>
                    <w:jc w:val="center"/>
                    <w:rPr>
                      <w:color w:val="auto"/>
                      <w:highlight w:val="none"/>
                    </w:rPr>
                  </w:pPr>
                  <w:r>
                    <w:rPr>
                      <w:color w:val="auto"/>
                      <w:highlight w:val="none"/>
                    </w:rPr>
                    <w:t>风机</w:t>
                  </w:r>
                </w:p>
              </w:tc>
              <w:tc>
                <w:tcPr>
                  <w:tcW w:w="1385" w:type="pct"/>
                  <w:vAlign w:val="center"/>
                </w:tcPr>
                <w:p w14:paraId="2ABF3C77">
                  <w:pPr>
                    <w:widowControl/>
                    <w:jc w:val="center"/>
                    <w:rPr>
                      <w:color w:val="auto"/>
                      <w:highlight w:val="none"/>
                    </w:rPr>
                  </w:pPr>
                  <w:r>
                    <w:rPr>
                      <w:color w:val="auto"/>
                      <w:highlight w:val="none"/>
                    </w:rPr>
                    <w:t>台数</w:t>
                  </w:r>
                </w:p>
              </w:tc>
              <w:tc>
                <w:tcPr>
                  <w:tcW w:w="956" w:type="pct"/>
                  <w:vAlign w:val="center"/>
                </w:tcPr>
                <w:p w14:paraId="057F626C">
                  <w:pPr>
                    <w:widowControl/>
                    <w:jc w:val="center"/>
                    <w:rPr>
                      <w:rFonts w:hint="eastAsia" w:eastAsia="宋体"/>
                      <w:color w:val="auto"/>
                      <w:highlight w:val="none"/>
                      <w:lang w:val="en-US" w:eastAsia="zh-CN"/>
                    </w:rPr>
                  </w:pPr>
                  <w:r>
                    <w:rPr>
                      <w:rFonts w:hint="eastAsia" w:ascii="Times New Roman" w:eastAsia="宋体"/>
                      <w:color w:val="auto"/>
                      <w:highlight w:val="none"/>
                      <w:lang w:val="en-US" w:eastAsia="zh-CN"/>
                    </w:rPr>
                    <w:t>8</w:t>
                  </w:r>
                </w:p>
              </w:tc>
            </w:tr>
            <w:tr w14:paraId="0CBEC6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780" w:type="pct"/>
                  <w:vMerge w:val="continue"/>
                  <w:vAlign w:val="center"/>
                </w:tcPr>
                <w:p w14:paraId="38B861FB">
                  <w:pPr>
                    <w:widowControl/>
                    <w:jc w:val="center"/>
                    <w:rPr>
                      <w:color w:val="auto"/>
                      <w:highlight w:val="none"/>
                    </w:rPr>
                  </w:pPr>
                </w:p>
              </w:tc>
              <w:tc>
                <w:tcPr>
                  <w:tcW w:w="472" w:type="pct"/>
                  <w:vMerge w:val="continue"/>
                  <w:vAlign w:val="center"/>
                </w:tcPr>
                <w:p w14:paraId="1493A03F">
                  <w:pPr>
                    <w:widowControl/>
                    <w:ind w:left="-128" w:leftChars="-61" w:right="-78" w:rightChars="-37"/>
                    <w:jc w:val="center"/>
                    <w:rPr>
                      <w:color w:val="auto"/>
                      <w:highlight w:val="none"/>
                    </w:rPr>
                  </w:pPr>
                </w:p>
              </w:tc>
              <w:tc>
                <w:tcPr>
                  <w:tcW w:w="1406" w:type="pct"/>
                  <w:vAlign w:val="center"/>
                </w:tcPr>
                <w:p w14:paraId="7E7754FE">
                  <w:pPr>
                    <w:jc w:val="center"/>
                    <w:rPr>
                      <w:color w:val="auto"/>
                      <w:highlight w:val="none"/>
                    </w:rPr>
                  </w:pPr>
                  <w:r>
                    <w:rPr>
                      <w:color w:val="auto"/>
                      <w:highlight w:val="none"/>
                    </w:rPr>
                    <w:t>额定功率</w:t>
                  </w:r>
                </w:p>
              </w:tc>
              <w:tc>
                <w:tcPr>
                  <w:tcW w:w="1385" w:type="pct"/>
                  <w:vAlign w:val="center"/>
                </w:tcPr>
                <w:p w14:paraId="430498BF">
                  <w:pPr>
                    <w:widowControl/>
                    <w:jc w:val="center"/>
                    <w:rPr>
                      <w:color w:val="auto"/>
                      <w:highlight w:val="none"/>
                    </w:rPr>
                  </w:pPr>
                  <w:r>
                    <w:rPr>
                      <w:color w:val="auto"/>
                      <w:highlight w:val="none"/>
                    </w:rPr>
                    <w:t>kW</w:t>
                  </w:r>
                </w:p>
              </w:tc>
              <w:tc>
                <w:tcPr>
                  <w:tcW w:w="956" w:type="pct"/>
                  <w:vAlign w:val="center"/>
                </w:tcPr>
                <w:p w14:paraId="2264B69F">
                  <w:pPr>
                    <w:widowControl/>
                    <w:jc w:val="center"/>
                    <w:rPr>
                      <w:rFonts w:hint="default" w:eastAsia="宋体"/>
                      <w:color w:val="auto"/>
                      <w:highlight w:val="none"/>
                      <w:lang w:val="en-US" w:eastAsia="zh-CN"/>
                    </w:rPr>
                  </w:pPr>
                  <w:r>
                    <w:rPr>
                      <w:rFonts w:hint="eastAsia" w:ascii="Times New Roman" w:eastAsia="宋体"/>
                      <w:color w:val="auto"/>
                      <w:highlight w:val="none"/>
                      <w:lang w:val="en-US" w:eastAsia="zh-CN"/>
                    </w:rPr>
                    <w:t>6250</w:t>
                  </w:r>
                </w:p>
              </w:tc>
            </w:tr>
            <w:tr w14:paraId="424C3F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780" w:type="pct"/>
                  <w:vMerge w:val="continue"/>
                  <w:vAlign w:val="center"/>
                </w:tcPr>
                <w:p w14:paraId="0DCF4D8B">
                  <w:pPr>
                    <w:widowControl/>
                    <w:jc w:val="center"/>
                    <w:rPr>
                      <w:color w:val="auto"/>
                      <w:highlight w:val="none"/>
                    </w:rPr>
                  </w:pPr>
                </w:p>
              </w:tc>
              <w:tc>
                <w:tcPr>
                  <w:tcW w:w="472" w:type="pct"/>
                  <w:vMerge w:val="continue"/>
                  <w:vAlign w:val="center"/>
                </w:tcPr>
                <w:p w14:paraId="64DE9055">
                  <w:pPr>
                    <w:widowControl/>
                    <w:ind w:left="-128" w:leftChars="-61" w:right="-78" w:rightChars="-37"/>
                    <w:jc w:val="center"/>
                    <w:rPr>
                      <w:color w:val="auto"/>
                      <w:highlight w:val="none"/>
                    </w:rPr>
                  </w:pPr>
                </w:p>
              </w:tc>
              <w:tc>
                <w:tcPr>
                  <w:tcW w:w="1406" w:type="pct"/>
                  <w:vAlign w:val="center"/>
                </w:tcPr>
                <w:p w14:paraId="4953E79E">
                  <w:pPr>
                    <w:jc w:val="center"/>
                    <w:rPr>
                      <w:color w:val="auto"/>
                      <w:highlight w:val="none"/>
                    </w:rPr>
                  </w:pPr>
                  <w:r>
                    <w:rPr>
                      <w:color w:val="auto"/>
                      <w:highlight w:val="none"/>
                    </w:rPr>
                    <w:t>叶片数</w:t>
                  </w:r>
                </w:p>
              </w:tc>
              <w:tc>
                <w:tcPr>
                  <w:tcW w:w="1385" w:type="pct"/>
                  <w:vAlign w:val="center"/>
                </w:tcPr>
                <w:p w14:paraId="32E970F7">
                  <w:pPr>
                    <w:widowControl/>
                    <w:jc w:val="center"/>
                    <w:rPr>
                      <w:color w:val="auto"/>
                      <w:highlight w:val="none"/>
                    </w:rPr>
                  </w:pPr>
                  <w:r>
                    <w:rPr>
                      <w:color w:val="auto"/>
                      <w:highlight w:val="none"/>
                    </w:rPr>
                    <w:t>片</w:t>
                  </w:r>
                </w:p>
              </w:tc>
              <w:tc>
                <w:tcPr>
                  <w:tcW w:w="956" w:type="pct"/>
                  <w:vAlign w:val="center"/>
                </w:tcPr>
                <w:p w14:paraId="409F8208">
                  <w:pPr>
                    <w:widowControl/>
                    <w:jc w:val="center"/>
                    <w:rPr>
                      <w:color w:val="auto"/>
                      <w:highlight w:val="none"/>
                    </w:rPr>
                  </w:pPr>
                  <w:r>
                    <w:rPr>
                      <w:color w:val="auto"/>
                      <w:highlight w:val="none"/>
                    </w:rPr>
                    <w:t>3</w:t>
                  </w:r>
                </w:p>
              </w:tc>
            </w:tr>
            <w:tr w14:paraId="25B9CE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780" w:type="pct"/>
                  <w:vMerge w:val="continue"/>
                  <w:vAlign w:val="center"/>
                </w:tcPr>
                <w:p w14:paraId="0231CB59">
                  <w:pPr>
                    <w:widowControl/>
                    <w:jc w:val="center"/>
                    <w:rPr>
                      <w:color w:val="auto"/>
                      <w:highlight w:val="none"/>
                    </w:rPr>
                  </w:pPr>
                </w:p>
              </w:tc>
              <w:tc>
                <w:tcPr>
                  <w:tcW w:w="472" w:type="pct"/>
                  <w:vMerge w:val="continue"/>
                  <w:vAlign w:val="center"/>
                </w:tcPr>
                <w:p w14:paraId="4B52D03A">
                  <w:pPr>
                    <w:widowControl/>
                    <w:ind w:left="-128" w:leftChars="-61" w:right="-78" w:rightChars="-37"/>
                    <w:jc w:val="center"/>
                    <w:rPr>
                      <w:color w:val="auto"/>
                      <w:highlight w:val="none"/>
                    </w:rPr>
                  </w:pPr>
                </w:p>
              </w:tc>
              <w:tc>
                <w:tcPr>
                  <w:tcW w:w="1406" w:type="pct"/>
                  <w:vAlign w:val="center"/>
                </w:tcPr>
                <w:p w14:paraId="430B1212">
                  <w:pPr>
                    <w:jc w:val="center"/>
                    <w:rPr>
                      <w:color w:val="auto"/>
                      <w:highlight w:val="none"/>
                    </w:rPr>
                  </w:pPr>
                  <w:r>
                    <w:rPr>
                      <w:color w:val="auto"/>
                      <w:highlight w:val="none"/>
                    </w:rPr>
                    <w:t>叶轮直径</w:t>
                  </w:r>
                </w:p>
              </w:tc>
              <w:tc>
                <w:tcPr>
                  <w:tcW w:w="1385" w:type="pct"/>
                  <w:vAlign w:val="center"/>
                </w:tcPr>
                <w:p w14:paraId="1AC11495">
                  <w:pPr>
                    <w:widowControl/>
                    <w:jc w:val="center"/>
                    <w:rPr>
                      <w:color w:val="auto"/>
                      <w:highlight w:val="none"/>
                    </w:rPr>
                  </w:pPr>
                  <w:r>
                    <w:rPr>
                      <w:color w:val="auto"/>
                      <w:highlight w:val="none"/>
                    </w:rPr>
                    <w:t>m</w:t>
                  </w:r>
                </w:p>
              </w:tc>
              <w:tc>
                <w:tcPr>
                  <w:tcW w:w="956" w:type="pct"/>
                  <w:vAlign w:val="center"/>
                </w:tcPr>
                <w:p w14:paraId="7C3F5C03">
                  <w:pPr>
                    <w:widowControl/>
                    <w:jc w:val="center"/>
                    <w:rPr>
                      <w:rFonts w:hint="eastAsia" w:eastAsia="宋体"/>
                      <w:color w:val="auto"/>
                      <w:highlight w:val="none"/>
                      <w:lang w:val="en-US" w:eastAsia="zh-CN"/>
                    </w:rPr>
                  </w:pPr>
                  <w:r>
                    <w:rPr>
                      <w:color w:val="auto"/>
                      <w:highlight w:val="none"/>
                    </w:rPr>
                    <w:t>20</w:t>
                  </w:r>
                  <w:r>
                    <w:rPr>
                      <w:rFonts w:hint="eastAsia" w:ascii="Times New Roman" w:eastAsia="宋体"/>
                      <w:color w:val="auto"/>
                      <w:highlight w:val="none"/>
                      <w:lang w:val="en-US" w:eastAsia="zh-CN"/>
                    </w:rPr>
                    <w:t>4</w:t>
                  </w:r>
                </w:p>
              </w:tc>
            </w:tr>
            <w:tr w14:paraId="32C567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780" w:type="pct"/>
                  <w:vMerge w:val="continue"/>
                  <w:vAlign w:val="center"/>
                </w:tcPr>
                <w:p w14:paraId="6439EEB4">
                  <w:pPr>
                    <w:widowControl/>
                    <w:jc w:val="center"/>
                    <w:rPr>
                      <w:color w:val="auto"/>
                      <w:highlight w:val="none"/>
                    </w:rPr>
                  </w:pPr>
                </w:p>
              </w:tc>
              <w:tc>
                <w:tcPr>
                  <w:tcW w:w="472" w:type="pct"/>
                  <w:vMerge w:val="continue"/>
                  <w:vAlign w:val="center"/>
                </w:tcPr>
                <w:p w14:paraId="1D8749E8">
                  <w:pPr>
                    <w:widowControl/>
                    <w:ind w:left="-128" w:leftChars="-61" w:right="-78" w:rightChars="-37"/>
                    <w:jc w:val="center"/>
                    <w:rPr>
                      <w:color w:val="auto"/>
                      <w:highlight w:val="none"/>
                    </w:rPr>
                  </w:pPr>
                </w:p>
              </w:tc>
              <w:tc>
                <w:tcPr>
                  <w:tcW w:w="1406" w:type="pct"/>
                  <w:vAlign w:val="center"/>
                </w:tcPr>
                <w:p w14:paraId="6A2B0CF0">
                  <w:pPr>
                    <w:jc w:val="center"/>
                    <w:rPr>
                      <w:color w:val="auto"/>
                      <w:highlight w:val="none"/>
                    </w:rPr>
                  </w:pPr>
                  <w:r>
                    <w:rPr>
                      <w:color w:val="auto"/>
                      <w:highlight w:val="none"/>
                    </w:rPr>
                    <w:t>扫风面积</w:t>
                  </w:r>
                </w:p>
              </w:tc>
              <w:tc>
                <w:tcPr>
                  <w:tcW w:w="1385" w:type="pct"/>
                  <w:vAlign w:val="center"/>
                </w:tcPr>
                <w:p w14:paraId="109C5438">
                  <w:pPr>
                    <w:jc w:val="center"/>
                    <w:rPr>
                      <w:color w:val="auto"/>
                      <w:highlight w:val="none"/>
                    </w:rPr>
                  </w:pPr>
                  <w:r>
                    <w:rPr>
                      <w:color w:val="auto"/>
                      <w:highlight w:val="none"/>
                    </w:rPr>
                    <w:t>m</w:t>
                  </w:r>
                  <w:r>
                    <w:rPr>
                      <w:color w:val="auto"/>
                      <w:highlight w:val="none"/>
                      <w:vertAlign w:val="superscript"/>
                    </w:rPr>
                    <w:t>2</w:t>
                  </w:r>
                </w:p>
              </w:tc>
              <w:tc>
                <w:tcPr>
                  <w:tcW w:w="956" w:type="pct"/>
                  <w:vAlign w:val="center"/>
                </w:tcPr>
                <w:p w14:paraId="58579394">
                  <w:pPr>
                    <w:jc w:val="center"/>
                    <w:rPr>
                      <w:rFonts w:hint="default" w:eastAsia="宋体"/>
                      <w:color w:val="auto"/>
                      <w:highlight w:val="none"/>
                      <w:lang w:val="en-US" w:eastAsia="zh-CN"/>
                    </w:rPr>
                  </w:pPr>
                  <w:r>
                    <w:rPr>
                      <w:rFonts w:hint="eastAsia" w:ascii="Times New Roman" w:eastAsia="宋体"/>
                      <w:color w:val="auto"/>
                      <w:highlight w:val="none"/>
                      <w:lang w:val="en-US" w:eastAsia="zh-CN"/>
                    </w:rPr>
                    <w:t>38013</w:t>
                  </w:r>
                </w:p>
              </w:tc>
            </w:tr>
            <w:tr w14:paraId="6C7976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780" w:type="pct"/>
                  <w:vMerge w:val="continue"/>
                  <w:vAlign w:val="center"/>
                </w:tcPr>
                <w:p w14:paraId="5A146EC8">
                  <w:pPr>
                    <w:widowControl/>
                    <w:jc w:val="center"/>
                    <w:rPr>
                      <w:color w:val="auto"/>
                      <w:highlight w:val="none"/>
                    </w:rPr>
                  </w:pPr>
                </w:p>
              </w:tc>
              <w:tc>
                <w:tcPr>
                  <w:tcW w:w="472" w:type="pct"/>
                  <w:vMerge w:val="continue"/>
                  <w:vAlign w:val="center"/>
                </w:tcPr>
                <w:p w14:paraId="5CEAE065">
                  <w:pPr>
                    <w:widowControl/>
                    <w:ind w:left="-128" w:leftChars="-61" w:right="-78" w:rightChars="-37"/>
                    <w:jc w:val="center"/>
                    <w:rPr>
                      <w:color w:val="auto"/>
                      <w:highlight w:val="none"/>
                    </w:rPr>
                  </w:pPr>
                </w:p>
              </w:tc>
              <w:tc>
                <w:tcPr>
                  <w:tcW w:w="1406" w:type="pct"/>
                  <w:vAlign w:val="center"/>
                </w:tcPr>
                <w:p w14:paraId="39AF788E">
                  <w:pPr>
                    <w:jc w:val="center"/>
                    <w:rPr>
                      <w:color w:val="auto"/>
                      <w:highlight w:val="none"/>
                    </w:rPr>
                  </w:pPr>
                  <w:r>
                    <w:rPr>
                      <w:color w:val="auto"/>
                      <w:highlight w:val="none"/>
                    </w:rPr>
                    <w:t>切入风速</w:t>
                  </w:r>
                </w:p>
              </w:tc>
              <w:tc>
                <w:tcPr>
                  <w:tcW w:w="1385" w:type="pct"/>
                  <w:vAlign w:val="center"/>
                </w:tcPr>
                <w:p w14:paraId="1BB0AEB6">
                  <w:pPr>
                    <w:widowControl/>
                    <w:jc w:val="center"/>
                    <w:rPr>
                      <w:color w:val="auto"/>
                      <w:highlight w:val="none"/>
                    </w:rPr>
                  </w:pPr>
                  <w:r>
                    <w:rPr>
                      <w:color w:val="auto"/>
                      <w:highlight w:val="none"/>
                    </w:rPr>
                    <w:t>m/s</w:t>
                  </w:r>
                </w:p>
              </w:tc>
              <w:tc>
                <w:tcPr>
                  <w:tcW w:w="956" w:type="pct"/>
                  <w:vAlign w:val="center"/>
                </w:tcPr>
                <w:p w14:paraId="642B4EC3">
                  <w:pPr>
                    <w:widowControl/>
                    <w:jc w:val="center"/>
                    <w:rPr>
                      <w:color w:val="auto"/>
                      <w:highlight w:val="none"/>
                    </w:rPr>
                  </w:pPr>
                  <w:r>
                    <w:rPr>
                      <w:rFonts w:hint="eastAsia"/>
                      <w:color w:val="auto"/>
                      <w:highlight w:val="none"/>
                    </w:rPr>
                    <w:t>3</w:t>
                  </w:r>
                </w:p>
              </w:tc>
            </w:tr>
            <w:tr w14:paraId="0944D4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780" w:type="pct"/>
                  <w:vMerge w:val="continue"/>
                  <w:vAlign w:val="center"/>
                </w:tcPr>
                <w:p w14:paraId="0AB435BD">
                  <w:pPr>
                    <w:widowControl/>
                    <w:jc w:val="center"/>
                    <w:rPr>
                      <w:color w:val="auto"/>
                      <w:highlight w:val="none"/>
                    </w:rPr>
                  </w:pPr>
                </w:p>
              </w:tc>
              <w:tc>
                <w:tcPr>
                  <w:tcW w:w="472" w:type="pct"/>
                  <w:vMerge w:val="continue"/>
                  <w:vAlign w:val="center"/>
                </w:tcPr>
                <w:p w14:paraId="3E7E3DFF">
                  <w:pPr>
                    <w:widowControl/>
                    <w:ind w:left="-128" w:leftChars="-61" w:right="-78" w:rightChars="-37"/>
                    <w:jc w:val="center"/>
                    <w:rPr>
                      <w:color w:val="auto"/>
                      <w:highlight w:val="none"/>
                    </w:rPr>
                  </w:pPr>
                </w:p>
              </w:tc>
              <w:tc>
                <w:tcPr>
                  <w:tcW w:w="1406" w:type="pct"/>
                  <w:vAlign w:val="center"/>
                </w:tcPr>
                <w:p w14:paraId="0C1D2B2B">
                  <w:pPr>
                    <w:jc w:val="center"/>
                    <w:rPr>
                      <w:color w:val="auto"/>
                      <w:highlight w:val="none"/>
                    </w:rPr>
                  </w:pPr>
                  <w:r>
                    <w:rPr>
                      <w:color w:val="auto"/>
                      <w:highlight w:val="none"/>
                    </w:rPr>
                    <w:t>额定风速</w:t>
                  </w:r>
                </w:p>
              </w:tc>
              <w:tc>
                <w:tcPr>
                  <w:tcW w:w="1385" w:type="pct"/>
                  <w:vAlign w:val="center"/>
                </w:tcPr>
                <w:p w14:paraId="560DC7B1">
                  <w:pPr>
                    <w:widowControl/>
                    <w:jc w:val="center"/>
                    <w:rPr>
                      <w:color w:val="auto"/>
                      <w:highlight w:val="none"/>
                    </w:rPr>
                  </w:pPr>
                  <w:r>
                    <w:rPr>
                      <w:color w:val="auto"/>
                      <w:highlight w:val="none"/>
                    </w:rPr>
                    <w:t>m/s</w:t>
                  </w:r>
                </w:p>
              </w:tc>
              <w:tc>
                <w:tcPr>
                  <w:tcW w:w="956" w:type="pct"/>
                  <w:vAlign w:val="center"/>
                </w:tcPr>
                <w:p w14:paraId="69B2BE8B">
                  <w:pPr>
                    <w:widowControl/>
                    <w:jc w:val="center"/>
                    <w:rPr>
                      <w:rFonts w:hint="eastAsia" w:eastAsia="宋体"/>
                      <w:color w:val="auto"/>
                      <w:highlight w:val="none"/>
                      <w:lang w:val="en-US" w:eastAsia="zh-CN"/>
                    </w:rPr>
                  </w:pPr>
                  <w:r>
                    <w:rPr>
                      <w:rFonts w:hint="eastAsia"/>
                      <w:color w:val="auto"/>
                      <w:highlight w:val="none"/>
                    </w:rPr>
                    <w:t>10.</w:t>
                  </w:r>
                  <w:r>
                    <w:rPr>
                      <w:rFonts w:hint="eastAsia" w:ascii="Times New Roman" w:eastAsia="宋体"/>
                      <w:color w:val="auto"/>
                      <w:highlight w:val="none"/>
                      <w:lang w:val="en-US" w:eastAsia="zh-CN"/>
                    </w:rPr>
                    <w:t>5</w:t>
                  </w:r>
                </w:p>
              </w:tc>
            </w:tr>
            <w:tr w14:paraId="6F4446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780" w:type="pct"/>
                  <w:vMerge w:val="continue"/>
                  <w:vAlign w:val="center"/>
                </w:tcPr>
                <w:p w14:paraId="308FA1D3">
                  <w:pPr>
                    <w:widowControl/>
                    <w:jc w:val="center"/>
                    <w:rPr>
                      <w:color w:val="auto"/>
                      <w:highlight w:val="none"/>
                    </w:rPr>
                  </w:pPr>
                </w:p>
              </w:tc>
              <w:tc>
                <w:tcPr>
                  <w:tcW w:w="472" w:type="pct"/>
                  <w:vMerge w:val="continue"/>
                  <w:vAlign w:val="center"/>
                </w:tcPr>
                <w:p w14:paraId="113FD7D3">
                  <w:pPr>
                    <w:widowControl/>
                    <w:ind w:left="-128" w:leftChars="-61" w:right="-78" w:rightChars="-37"/>
                    <w:jc w:val="center"/>
                    <w:rPr>
                      <w:color w:val="auto"/>
                      <w:highlight w:val="none"/>
                    </w:rPr>
                  </w:pPr>
                </w:p>
              </w:tc>
              <w:tc>
                <w:tcPr>
                  <w:tcW w:w="1406" w:type="pct"/>
                  <w:vAlign w:val="center"/>
                </w:tcPr>
                <w:p w14:paraId="594767A8">
                  <w:pPr>
                    <w:jc w:val="center"/>
                    <w:rPr>
                      <w:color w:val="auto"/>
                      <w:highlight w:val="none"/>
                    </w:rPr>
                  </w:pPr>
                  <w:r>
                    <w:rPr>
                      <w:color w:val="auto"/>
                      <w:highlight w:val="none"/>
                    </w:rPr>
                    <w:t>切出风速</w:t>
                  </w:r>
                </w:p>
              </w:tc>
              <w:tc>
                <w:tcPr>
                  <w:tcW w:w="1385" w:type="pct"/>
                  <w:vAlign w:val="center"/>
                </w:tcPr>
                <w:p w14:paraId="2360861A">
                  <w:pPr>
                    <w:widowControl/>
                    <w:jc w:val="center"/>
                    <w:rPr>
                      <w:color w:val="auto"/>
                      <w:highlight w:val="none"/>
                    </w:rPr>
                  </w:pPr>
                  <w:r>
                    <w:rPr>
                      <w:color w:val="auto"/>
                      <w:highlight w:val="none"/>
                    </w:rPr>
                    <w:t>m/s</w:t>
                  </w:r>
                </w:p>
              </w:tc>
              <w:tc>
                <w:tcPr>
                  <w:tcW w:w="956" w:type="pct"/>
                  <w:vAlign w:val="center"/>
                </w:tcPr>
                <w:p w14:paraId="490566C4">
                  <w:pPr>
                    <w:widowControl/>
                    <w:jc w:val="center"/>
                    <w:rPr>
                      <w:rFonts w:hint="eastAsia" w:eastAsia="宋体"/>
                      <w:color w:val="auto"/>
                      <w:highlight w:val="none"/>
                      <w:lang w:val="en-US" w:eastAsia="zh-CN"/>
                    </w:rPr>
                  </w:pPr>
                  <w:r>
                    <w:rPr>
                      <w:color w:val="auto"/>
                      <w:highlight w:val="none"/>
                    </w:rPr>
                    <w:t>2</w:t>
                  </w:r>
                  <w:r>
                    <w:rPr>
                      <w:rFonts w:hint="eastAsia" w:ascii="Times New Roman" w:eastAsia="宋体"/>
                      <w:color w:val="auto"/>
                      <w:highlight w:val="none"/>
                      <w:lang w:val="en-US" w:eastAsia="zh-CN"/>
                    </w:rPr>
                    <w:t>5</w:t>
                  </w:r>
                </w:p>
              </w:tc>
            </w:tr>
            <w:tr w14:paraId="648995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780" w:type="pct"/>
                  <w:vMerge w:val="continue"/>
                  <w:vAlign w:val="center"/>
                </w:tcPr>
                <w:p w14:paraId="294F43B4">
                  <w:pPr>
                    <w:widowControl/>
                    <w:jc w:val="center"/>
                    <w:rPr>
                      <w:color w:val="auto"/>
                      <w:highlight w:val="none"/>
                    </w:rPr>
                  </w:pPr>
                </w:p>
              </w:tc>
              <w:tc>
                <w:tcPr>
                  <w:tcW w:w="472" w:type="pct"/>
                  <w:vMerge w:val="continue"/>
                  <w:vAlign w:val="center"/>
                </w:tcPr>
                <w:p w14:paraId="60E52489">
                  <w:pPr>
                    <w:widowControl/>
                    <w:ind w:left="-128" w:leftChars="-61" w:right="-78" w:rightChars="-37"/>
                    <w:jc w:val="center"/>
                    <w:rPr>
                      <w:color w:val="auto"/>
                      <w:highlight w:val="none"/>
                    </w:rPr>
                  </w:pPr>
                </w:p>
              </w:tc>
              <w:tc>
                <w:tcPr>
                  <w:tcW w:w="1406" w:type="pct"/>
                  <w:vAlign w:val="center"/>
                </w:tcPr>
                <w:p w14:paraId="51B774EF">
                  <w:pPr>
                    <w:jc w:val="center"/>
                    <w:rPr>
                      <w:color w:val="auto"/>
                      <w:highlight w:val="none"/>
                    </w:rPr>
                  </w:pPr>
                  <w:r>
                    <w:rPr>
                      <w:color w:val="auto"/>
                      <w:highlight w:val="none"/>
                    </w:rPr>
                    <w:t>安全风速</w:t>
                  </w:r>
                </w:p>
              </w:tc>
              <w:tc>
                <w:tcPr>
                  <w:tcW w:w="1385" w:type="pct"/>
                  <w:vAlign w:val="center"/>
                </w:tcPr>
                <w:p w14:paraId="060DD483">
                  <w:pPr>
                    <w:widowControl/>
                    <w:jc w:val="center"/>
                    <w:rPr>
                      <w:color w:val="auto"/>
                      <w:highlight w:val="none"/>
                    </w:rPr>
                  </w:pPr>
                  <w:r>
                    <w:rPr>
                      <w:color w:val="auto"/>
                      <w:highlight w:val="none"/>
                    </w:rPr>
                    <w:t>m/s</w:t>
                  </w:r>
                </w:p>
              </w:tc>
              <w:tc>
                <w:tcPr>
                  <w:tcW w:w="956" w:type="pct"/>
                  <w:vAlign w:val="center"/>
                </w:tcPr>
                <w:p w14:paraId="5B9E5757">
                  <w:pPr>
                    <w:widowControl/>
                    <w:jc w:val="center"/>
                    <w:rPr>
                      <w:rFonts w:hint="default" w:eastAsia="宋体"/>
                      <w:color w:val="auto"/>
                      <w:highlight w:val="none"/>
                      <w:lang w:val="en-US" w:eastAsia="zh-CN"/>
                    </w:rPr>
                  </w:pPr>
                  <w:r>
                    <w:rPr>
                      <w:rFonts w:hint="eastAsia" w:ascii="Times New Roman" w:eastAsia="宋体"/>
                      <w:color w:val="auto"/>
                      <w:highlight w:val="none"/>
                      <w:lang w:val="en-US" w:eastAsia="zh-CN"/>
                    </w:rPr>
                    <w:t>52.5</w:t>
                  </w:r>
                </w:p>
              </w:tc>
            </w:tr>
            <w:tr w14:paraId="3E8131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780" w:type="pct"/>
                  <w:vMerge w:val="continue"/>
                  <w:vAlign w:val="center"/>
                </w:tcPr>
                <w:p w14:paraId="0D4584BD">
                  <w:pPr>
                    <w:widowControl/>
                    <w:jc w:val="center"/>
                    <w:rPr>
                      <w:color w:val="auto"/>
                      <w:highlight w:val="none"/>
                    </w:rPr>
                  </w:pPr>
                </w:p>
              </w:tc>
              <w:tc>
                <w:tcPr>
                  <w:tcW w:w="472" w:type="pct"/>
                  <w:vMerge w:val="continue"/>
                  <w:vAlign w:val="center"/>
                </w:tcPr>
                <w:p w14:paraId="3F020C45">
                  <w:pPr>
                    <w:widowControl/>
                    <w:ind w:left="-128" w:leftChars="-61" w:right="-78" w:rightChars="-37"/>
                    <w:jc w:val="center"/>
                    <w:rPr>
                      <w:color w:val="auto"/>
                      <w:highlight w:val="none"/>
                    </w:rPr>
                  </w:pPr>
                </w:p>
              </w:tc>
              <w:tc>
                <w:tcPr>
                  <w:tcW w:w="1406" w:type="pct"/>
                  <w:vAlign w:val="center"/>
                </w:tcPr>
                <w:p w14:paraId="4C9D8317">
                  <w:pPr>
                    <w:jc w:val="center"/>
                    <w:rPr>
                      <w:color w:val="auto"/>
                      <w:highlight w:val="none"/>
                    </w:rPr>
                  </w:pPr>
                  <w:r>
                    <w:rPr>
                      <w:color w:val="auto"/>
                      <w:highlight w:val="none"/>
                    </w:rPr>
                    <w:t>轮毂高度</w:t>
                  </w:r>
                </w:p>
              </w:tc>
              <w:tc>
                <w:tcPr>
                  <w:tcW w:w="1385" w:type="pct"/>
                  <w:vAlign w:val="center"/>
                </w:tcPr>
                <w:p w14:paraId="51BAE2E5">
                  <w:pPr>
                    <w:widowControl/>
                    <w:jc w:val="center"/>
                    <w:rPr>
                      <w:color w:val="auto"/>
                      <w:highlight w:val="none"/>
                    </w:rPr>
                  </w:pPr>
                  <w:r>
                    <w:rPr>
                      <w:color w:val="auto"/>
                      <w:highlight w:val="none"/>
                    </w:rPr>
                    <w:t>m</w:t>
                  </w:r>
                </w:p>
              </w:tc>
              <w:tc>
                <w:tcPr>
                  <w:tcW w:w="956" w:type="pct"/>
                  <w:vAlign w:val="center"/>
                </w:tcPr>
                <w:p w14:paraId="099F475B">
                  <w:pPr>
                    <w:widowControl/>
                    <w:jc w:val="center"/>
                    <w:rPr>
                      <w:rFonts w:hint="default" w:eastAsia="宋体"/>
                      <w:color w:val="auto"/>
                      <w:highlight w:val="none"/>
                      <w:lang w:val="en-US" w:eastAsia="zh-CN"/>
                    </w:rPr>
                  </w:pPr>
                  <w:r>
                    <w:rPr>
                      <w:color w:val="auto"/>
                      <w:highlight w:val="none"/>
                    </w:rPr>
                    <w:t>1</w:t>
                  </w:r>
                  <w:r>
                    <w:rPr>
                      <w:rFonts w:hint="eastAsia" w:ascii="Times New Roman" w:eastAsia="宋体"/>
                      <w:color w:val="auto"/>
                      <w:highlight w:val="none"/>
                      <w:lang w:val="en-US" w:eastAsia="zh-CN"/>
                    </w:rPr>
                    <w:t>40</w:t>
                  </w:r>
                </w:p>
              </w:tc>
            </w:tr>
            <w:tr w14:paraId="30808F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780" w:type="pct"/>
                  <w:vMerge w:val="continue"/>
                  <w:vAlign w:val="center"/>
                </w:tcPr>
                <w:p w14:paraId="7D577AC3">
                  <w:pPr>
                    <w:widowControl/>
                    <w:jc w:val="center"/>
                    <w:rPr>
                      <w:color w:val="auto"/>
                      <w:highlight w:val="none"/>
                    </w:rPr>
                  </w:pPr>
                </w:p>
              </w:tc>
              <w:tc>
                <w:tcPr>
                  <w:tcW w:w="472" w:type="pct"/>
                  <w:vMerge w:val="continue"/>
                  <w:vAlign w:val="center"/>
                </w:tcPr>
                <w:p w14:paraId="200D8B0B">
                  <w:pPr>
                    <w:widowControl/>
                    <w:ind w:left="-128" w:leftChars="-61" w:right="-78" w:rightChars="-37"/>
                    <w:jc w:val="center"/>
                    <w:rPr>
                      <w:color w:val="auto"/>
                      <w:highlight w:val="none"/>
                    </w:rPr>
                  </w:pPr>
                </w:p>
              </w:tc>
              <w:tc>
                <w:tcPr>
                  <w:tcW w:w="1406" w:type="pct"/>
                  <w:vAlign w:val="center"/>
                </w:tcPr>
                <w:p w14:paraId="429BF6BE">
                  <w:pPr>
                    <w:jc w:val="center"/>
                    <w:rPr>
                      <w:color w:val="auto"/>
                      <w:highlight w:val="none"/>
                    </w:rPr>
                  </w:pPr>
                  <w:r>
                    <w:rPr>
                      <w:color w:val="auto"/>
                      <w:szCs w:val="21"/>
                      <w:highlight w:val="none"/>
                    </w:rPr>
                    <w:t>发电机额定功率</w:t>
                  </w:r>
                </w:p>
              </w:tc>
              <w:tc>
                <w:tcPr>
                  <w:tcW w:w="1385" w:type="pct"/>
                  <w:vAlign w:val="center"/>
                </w:tcPr>
                <w:p w14:paraId="7455B761">
                  <w:pPr>
                    <w:widowControl/>
                    <w:jc w:val="center"/>
                    <w:rPr>
                      <w:color w:val="auto"/>
                      <w:highlight w:val="none"/>
                    </w:rPr>
                  </w:pPr>
                  <w:r>
                    <w:rPr>
                      <w:color w:val="auto"/>
                      <w:szCs w:val="21"/>
                      <w:highlight w:val="none"/>
                    </w:rPr>
                    <w:t>kW</w:t>
                  </w:r>
                </w:p>
              </w:tc>
              <w:tc>
                <w:tcPr>
                  <w:tcW w:w="956" w:type="pct"/>
                  <w:vAlign w:val="center"/>
                </w:tcPr>
                <w:p w14:paraId="1768F4B5">
                  <w:pPr>
                    <w:widowControl/>
                    <w:jc w:val="center"/>
                    <w:rPr>
                      <w:rFonts w:hint="default" w:eastAsia="宋体"/>
                      <w:color w:val="auto"/>
                      <w:highlight w:val="none"/>
                      <w:lang w:val="en-US" w:eastAsia="zh-CN"/>
                    </w:rPr>
                  </w:pPr>
                  <w:r>
                    <w:rPr>
                      <w:rFonts w:hint="eastAsia" w:ascii="Times New Roman" w:eastAsia="宋体"/>
                      <w:color w:val="auto"/>
                      <w:highlight w:val="none"/>
                      <w:lang w:val="en-US" w:eastAsia="zh-CN"/>
                    </w:rPr>
                    <w:t>6500</w:t>
                  </w:r>
                </w:p>
              </w:tc>
            </w:tr>
            <w:tr w14:paraId="67A82F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780" w:type="pct"/>
                  <w:vMerge w:val="continue"/>
                  <w:vAlign w:val="center"/>
                </w:tcPr>
                <w:p w14:paraId="4F1F796D">
                  <w:pPr>
                    <w:widowControl/>
                    <w:jc w:val="center"/>
                    <w:rPr>
                      <w:color w:val="auto"/>
                      <w:highlight w:val="none"/>
                    </w:rPr>
                  </w:pPr>
                </w:p>
              </w:tc>
              <w:tc>
                <w:tcPr>
                  <w:tcW w:w="472" w:type="pct"/>
                  <w:vMerge w:val="continue"/>
                  <w:vAlign w:val="center"/>
                </w:tcPr>
                <w:p w14:paraId="0582391F">
                  <w:pPr>
                    <w:widowControl/>
                    <w:ind w:left="-128" w:leftChars="-61" w:right="-78" w:rightChars="-37"/>
                    <w:jc w:val="center"/>
                    <w:rPr>
                      <w:color w:val="auto"/>
                      <w:highlight w:val="none"/>
                    </w:rPr>
                  </w:pPr>
                </w:p>
              </w:tc>
              <w:tc>
                <w:tcPr>
                  <w:tcW w:w="1406" w:type="pct"/>
                  <w:vAlign w:val="center"/>
                </w:tcPr>
                <w:p w14:paraId="6FD60AAA">
                  <w:pPr>
                    <w:jc w:val="center"/>
                    <w:rPr>
                      <w:color w:val="auto"/>
                      <w:highlight w:val="none"/>
                    </w:rPr>
                  </w:pPr>
                  <w:r>
                    <w:rPr>
                      <w:color w:val="auto"/>
                      <w:szCs w:val="21"/>
                      <w:highlight w:val="none"/>
                    </w:rPr>
                    <w:t>发电机功率因数</w:t>
                  </w:r>
                </w:p>
              </w:tc>
              <w:tc>
                <w:tcPr>
                  <w:tcW w:w="1385" w:type="pct"/>
                  <w:vAlign w:val="center"/>
                </w:tcPr>
                <w:p w14:paraId="016402A3">
                  <w:pPr>
                    <w:widowControl/>
                    <w:jc w:val="center"/>
                    <w:rPr>
                      <w:color w:val="auto"/>
                      <w:highlight w:val="none"/>
                    </w:rPr>
                  </w:pPr>
                  <w:r>
                    <w:rPr>
                      <w:color w:val="auto"/>
                      <w:highlight w:val="none"/>
                    </w:rPr>
                    <w:t>--</w:t>
                  </w:r>
                </w:p>
              </w:tc>
              <w:tc>
                <w:tcPr>
                  <w:tcW w:w="956" w:type="pct"/>
                  <w:vAlign w:val="center"/>
                </w:tcPr>
                <w:p w14:paraId="74C5E9D3">
                  <w:pPr>
                    <w:widowControl/>
                    <w:jc w:val="center"/>
                    <w:rPr>
                      <w:color w:val="auto"/>
                      <w:highlight w:val="none"/>
                    </w:rPr>
                  </w:pPr>
                  <w:r>
                    <w:rPr>
                      <w:rFonts w:hint="eastAsia"/>
                      <w:color w:val="auto"/>
                      <w:szCs w:val="21"/>
                      <w:highlight w:val="none"/>
                    </w:rPr>
                    <w:t>-0.95～+0.95</w:t>
                  </w:r>
                </w:p>
              </w:tc>
            </w:tr>
            <w:tr w14:paraId="760A6F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780" w:type="pct"/>
                  <w:vMerge w:val="continue"/>
                  <w:vAlign w:val="center"/>
                </w:tcPr>
                <w:p w14:paraId="3A40884D">
                  <w:pPr>
                    <w:widowControl/>
                    <w:jc w:val="center"/>
                    <w:rPr>
                      <w:color w:val="auto"/>
                      <w:highlight w:val="none"/>
                    </w:rPr>
                  </w:pPr>
                </w:p>
              </w:tc>
              <w:tc>
                <w:tcPr>
                  <w:tcW w:w="472" w:type="pct"/>
                  <w:vMerge w:val="continue"/>
                  <w:vAlign w:val="center"/>
                </w:tcPr>
                <w:p w14:paraId="58B9BE19">
                  <w:pPr>
                    <w:widowControl/>
                    <w:ind w:left="-128" w:leftChars="-61" w:right="-78" w:rightChars="-37"/>
                    <w:jc w:val="center"/>
                    <w:rPr>
                      <w:color w:val="auto"/>
                      <w:highlight w:val="none"/>
                    </w:rPr>
                  </w:pPr>
                </w:p>
              </w:tc>
              <w:tc>
                <w:tcPr>
                  <w:tcW w:w="1406" w:type="pct"/>
                  <w:vAlign w:val="center"/>
                </w:tcPr>
                <w:p w14:paraId="68BEB3E6">
                  <w:pPr>
                    <w:jc w:val="center"/>
                    <w:rPr>
                      <w:color w:val="auto"/>
                      <w:highlight w:val="none"/>
                    </w:rPr>
                  </w:pPr>
                  <w:r>
                    <w:rPr>
                      <w:color w:val="auto"/>
                      <w:szCs w:val="21"/>
                      <w:highlight w:val="none"/>
                    </w:rPr>
                    <w:t>发电机额定电压</w:t>
                  </w:r>
                </w:p>
              </w:tc>
              <w:tc>
                <w:tcPr>
                  <w:tcW w:w="1385" w:type="pct"/>
                  <w:vAlign w:val="center"/>
                </w:tcPr>
                <w:p w14:paraId="77087131">
                  <w:pPr>
                    <w:widowControl/>
                    <w:jc w:val="center"/>
                    <w:rPr>
                      <w:color w:val="auto"/>
                      <w:highlight w:val="none"/>
                    </w:rPr>
                  </w:pPr>
                  <w:r>
                    <w:rPr>
                      <w:color w:val="auto"/>
                      <w:szCs w:val="21"/>
                      <w:highlight w:val="none"/>
                    </w:rPr>
                    <w:t>kV</w:t>
                  </w:r>
                </w:p>
              </w:tc>
              <w:tc>
                <w:tcPr>
                  <w:tcW w:w="956" w:type="pct"/>
                </w:tcPr>
                <w:p w14:paraId="19EB618F">
                  <w:pPr>
                    <w:widowControl/>
                    <w:jc w:val="center"/>
                    <w:rPr>
                      <w:color w:val="auto"/>
                      <w:highlight w:val="none"/>
                    </w:rPr>
                  </w:pPr>
                  <w:r>
                    <w:rPr>
                      <w:color w:val="auto"/>
                      <w:szCs w:val="21"/>
                      <w:highlight w:val="none"/>
                    </w:rPr>
                    <w:t>1.14</w:t>
                  </w:r>
                </w:p>
              </w:tc>
            </w:tr>
            <w:tr w14:paraId="462E73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780" w:type="pct"/>
                  <w:vMerge w:val="continue"/>
                  <w:vAlign w:val="center"/>
                </w:tcPr>
                <w:p w14:paraId="09537090">
                  <w:pPr>
                    <w:widowControl/>
                    <w:jc w:val="center"/>
                    <w:rPr>
                      <w:color w:val="auto"/>
                      <w:highlight w:val="none"/>
                    </w:rPr>
                  </w:pPr>
                </w:p>
              </w:tc>
              <w:tc>
                <w:tcPr>
                  <w:tcW w:w="472" w:type="pct"/>
                  <w:vMerge w:val="continue"/>
                  <w:vAlign w:val="center"/>
                </w:tcPr>
                <w:p w14:paraId="6111FD2E">
                  <w:pPr>
                    <w:widowControl/>
                    <w:ind w:left="-128" w:leftChars="-61" w:right="-78" w:rightChars="-37"/>
                    <w:jc w:val="center"/>
                    <w:rPr>
                      <w:color w:val="auto"/>
                      <w:highlight w:val="none"/>
                    </w:rPr>
                  </w:pPr>
                </w:p>
              </w:tc>
              <w:tc>
                <w:tcPr>
                  <w:tcW w:w="1406" w:type="pct"/>
                  <w:vAlign w:val="center"/>
                </w:tcPr>
                <w:p w14:paraId="0A2AC8BF">
                  <w:pPr>
                    <w:jc w:val="center"/>
                    <w:rPr>
                      <w:color w:val="auto"/>
                      <w:highlight w:val="none"/>
                    </w:rPr>
                  </w:pPr>
                  <w:r>
                    <w:rPr>
                      <w:color w:val="auto"/>
                      <w:highlight w:val="none"/>
                    </w:rPr>
                    <w:t>箱式变压器</w:t>
                  </w:r>
                </w:p>
              </w:tc>
              <w:tc>
                <w:tcPr>
                  <w:tcW w:w="1385" w:type="pct"/>
                  <w:vAlign w:val="center"/>
                </w:tcPr>
                <w:p w14:paraId="2664049B">
                  <w:pPr>
                    <w:pStyle w:val="21"/>
                    <w:jc w:val="center"/>
                    <w:rPr>
                      <w:rFonts w:ascii="Times New Roman" w:cs="Times New Roman"/>
                      <w:color w:val="auto"/>
                      <w:highlight w:val="none"/>
                    </w:rPr>
                  </w:pPr>
                  <w:r>
                    <w:rPr>
                      <w:rFonts w:hint="eastAsia" w:ascii="Times New Roman" w:cs="Times New Roman"/>
                      <w:color w:val="auto"/>
                      <w:sz w:val="21"/>
                      <w:szCs w:val="21"/>
                      <w:highlight w:val="none"/>
                    </w:rPr>
                    <w:t>6</w:t>
                  </w:r>
                  <w:r>
                    <w:rPr>
                      <w:rFonts w:hint="eastAsia" w:ascii="Times New Roman" w:cs="Times New Roman"/>
                      <w:color w:val="auto"/>
                      <w:sz w:val="21"/>
                      <w:szCs w:val="21"/>
                      <w:highlight w:val="none"/>
                      <w:lang w:val="en-US" w:eastAsia="zh-CN"/>
                    </w:rPr>
                    <w:t>30</w:t>
                  </w:r>
                  <w:r>
                    <w:rPr>
                      <w:rFonts w:ascii="Times New Roman" w:cs="Times New Roman"/>
                      <w:color w:val="auto"/>
                      <w:sz w:val="21"/>
                      <w:szCs w:val="21"/>
                      <w:highlight w:val="none"/>
                    </w:rPr>
                    <w:t>0kVA</w:t>
                  </w:r>
                </w:p>
              </w:tc>
              <w:tc>
                <w:tcPr>
                  <w:tcW w:w="956" w:type="pct"/>
                  <w:vAlign w:val="center"/>
                </w:tcPr>
                <w:p w14:paraId="66117125">
                  <w:pPr>
                    <w:widowControl/>
                    <w:jc w:val="center"/>
                    <w:rPr>
                      <w:color w:val="auto"/>
                      <w:highlight w:val="none"/>
                    </w:rPr>
                  </w:pPr>
                  <w:r>
                    <w:rPr>
                      <w:rFonts w:hint="eastAsia" w:ascii="Times New Roman" w:eastAsia="宋体"/>
                      <w:color w:val="auto"/>
                      <w:highlight w:val="none"/>
                      <w:lang w:val="en-US" w:eastAsia="zh-CN"/>
                    </w:rPr>
                    <w:t>8</w:t>
                  </w:r>
                  <w:r>
                    <w:rPr>
                      <w:color w:val="auto"/>
                      <w:highlight w:val="none"/>
                    </w:rPr>
                    <w:t>台</w:t>
                  </w:r>
                </w:p>
              </w:tc>
            </w:tr>
          </w:tbl>
          <w:p w14:paraId="7F058446">
            <w:pPr>
              <w:adjustRightInd w:val="0"/>
              <w:snapToGrid w:val="0"/>
              <w:spacing w:line="480" w:lineRule="exact"/>
              <w:ind w:firstLine="480" w:firstLineChars="200"/>
              <w:jc w:val="left"/>
              <w:rPr>
                <w:color w:val="auto"/>
                <w:sz w:val="24"/>
                <w:highlight w:val="none"/>
              </w:rPr>
            </w:pPr>
            <w:r>
              <w:rPr>
                <w:rFonts w:hint="eastAsia"/>
                <w:color w:val="auto"/>
                <w:sz w:val="24"/>
                <w:highlight w:val="none"/>
              </w:rPr>
              <w:t>3、风电场电气接入</w:t>
            </w:r>
          </w:p>
          <w:p w14:paraId="11B06619">
            <w:pPr>
              <w:adjustRightInd w:val="0"/>
              <w:snapToGrid w:val="0"/>
              <w:spacing w:line="480" w:lineRule="exact"/>
              <w:ind w:firstLine="480" w:firstLineChars="200"/>
              <w:jc w:val="left"/>
              <w:rPr>
                <w:color w:val="auto"/>
                <w:sz w:val="24"/>
                <w:highlight w:val="none"/>
              </w:rPr>
            </w:pPr>
            <w:r>
              <w:rPr>
                <w:rFonts w:hint="eastAsia"/>
                <w:color w:val="auto"/>
                <w:sz w:val="24"/>
                <w:highlight w:val="none"/>
              </w:rPr>
              <w:t>本工程拟经2回35kV集电线路分别接入升压站35kV母线上，再经主变压器升压，最终以1回</w:t>
            </w:r>
            <w:r>
              <w:rPr>
                <w:rFonts w:hint="eastAsia" w:eastAsia="宋体"/>
                <w:color w:val="auto"/>
                <w:sz w:val="24"/>
                <w:highlight w:val="none"/>
                <w:lang w:eastAsia="zh-CN"/>
              </w:rPr>
              <w:t>220kV</w:t>
            </w:r>
            <w:r>
              <w:rPr>
                <w:rFonts w:hint="eastAsia"/>
                <w:color w:val="auto"/>
                <w:sz w:val="24"/>
                <w:highlight w:val="none"/>
              </w:rPr>
              <w:t>线路送出至程野风电场变电站后接入电网，接入系统以最终接入批复为准。</w:t>
            </w:r>
            <w:r>
              <w:rPr>
                <w:rFonts w:hint="eastAsia" w:ascii="Times New Roman" w:eastAsia="宋体"/>
                <w:color w:val="auto"/>
                <w:sz w:val="24"/>
                <w:highlight w:val="none"/>
                <w:lang w:val="en-US" w:eastAsia="zh-CN"/>
              </w:rPr>
              <w:t>送出工程前期手续正在办理，</w:t>
            </w:r>
            <w:r>
              <w:rPr>
                <w:rFonts w:hint="eastAsia"/>
                <w:color w:val="auto"/>
                <w:sz w:val="24"/>
                <w:highlight w:val="none"/>
              </w:rPr>
              <w:t>本次评价不含升压站</w:t>
            </w:r>
            <w:r>
              <w:rPr>
                <w:rFonts w:hint="eastAsia" w:ascii="Times New Roman" w:eastAsia="宋体"/>
                <w:color w:val="auto"/>
                <w:sz w:val="24"/>
                <w:highlight w:val="none"/>
                <w:lang w:val="en-US" w:eastAsia="zh-CN"/>
              </w:rPr>
              <w:t>及</w:t>
            </w:r>
            <w:r>
              <w:rPr>
                <w:rFonts w:hint="eastAsia"/>
                <w:color w:val="auto"/>
                <w:sz w:val="24"/>
                <w:highlight w:val="none"/>
              </w:rPr>
              <w:t>送出工程</w:t>
            </w:r>
            <w:r>
              <w:rPr>
                <w:rFonts w:hint="eastAsia" w:eastAsia="宋体"/>
                <w:color w:val="auto"/>
                <w:sz w:val="24"/>
                <w:highlight w:val="none"/>
                <w:lang w:eastAsia="zh-CN"/>
              </w:rPr>
              <w:t>。</w:t>
            </w:r>
          </w:p>
          <w:p w14:paraId="37497984">
            <w:pPr>
              <w:adjustRightInd w:val="0"/>
              <w:snapToGrid w:val="0"/>
              <w:spacing w:line="480" w:lineRule="exact"/>
              <w:ind w:firstLine="480" w:firstLineChars="200"/>
              <w:jc w:val="left"/>
              <w:rPr>
                <w:color w:val="auto"/>
                <w:sz w:val="24"/>
                <w:highlight w:val="none"/>
              </w:rPr>
            </w:pPr>
            <w:r>
              <w:rPr>
                <w:rFonts w:hint="eastAsia"/>
                <w:color w:val="auto"/>
                <w:sz w:val="24"/>
                <w:highlight w:val="none"/>
              </w:rPr>
              <w:t>4、主要工程内容</w:t>
            </w:r>
          </w:p>
          <w:p w14:paraId="18C78BC8">
            <w:pPr>
              <w:adjustRightInd w:val="0"/>
              <w:snapToGrid w:val="0"/>
              <w:spacing w:line="480" w:lineRule="exact"/>
              <w:ind w:firstLine="480" w:firstLineChars="200"/>
              <w:jc w:val="left"/>
              <w:rPr>
                <w:color w:val="auto"/>
                <w:sz w:val="24"/>
                <w:highlight w:val="none"/>
              </w:rPr>
            </w:pPr>
            <w:r>
              <w:rPr>
                <w:rFonts w:hint="eastAsia"/>
                <w:color w:val="auto"/>
                <w:sz w:val="24"/>
                <w:highlight w:val="none"/>
              </w:rPr>
              <w:t>本工程主要建设内容包括风电机组、集电线路</w:t>
            </w:r>
            <w:r>
              <w:rPr>
                <w:rFonts w:hint="eastAsia" w:ascii="Times New Roman" w:eastAsia="宋体"/>
                <w:color w:val="auto"/>
                <w:sz w:val="24"/>
                <w:highlight w:val="none"/>
                <w:lang w:val="en-US" w:eastAsia="zh-CN"/>
              </w:rPr>
              <w:t>及</w:t>
            </w:r>
            <w:r>
              <w:rPr>
                <w:rFonts w:hint="eastAsia"/>
                <w:color w:val="auto"/>
                <w:sz w:val="24"/>
                <w:highlight w:val="none"/>
              </w:rPr>
              <w:t>检修道路。本工程建设内容见表2-3。</w:t>
            </w:r>
          </w:p>
          <w:p w14:paraId="3A4A2E6E">
            <w:pPr>
              <w:spacing w:line="440" w:lineRule="exact"/>
              <w:jc w:val="center"/>
              <w:rPr>
                <w:rFonts w:hint="eastAsia" w:ascii="黑体" w:hAnsi="黑体" w:eastAsia="黑体" w:cs="黑体"/>
                <w:color w:val="auto"/>
                <w:szCs w:val="21"/>
                <w:highlight w:val="none"/>
              </w:rPr>
            </w:pPr>
            <w:r>
              <w:rPr>
                <w:rFonts w:hint="eastAsia" w:ascii="黑体" w:hAnsi="黑体" w:eastAsia="黑体" w:cs="黑体"/>
                <w:color w:val="auto"/>
                <w:szCs w:val="21"/>
                <w:highlight w:val="none"/>
              </w:rPr>
              <w:t>表2-3  本工程主要建设内容</w:t>
            </w:r>
          </w:p>
          <w:tbl>
            <w:tblPr>
              <w:tblStyle w:val="10"/>
              <w:tblW w:w="5000" w:type="pct"/>
              <w:jc w:val="center"/>
              <w:tblBorders>
                <w:top w:val="single" w:color="auto" w:sz="8" w:space="0"/>
                <w:left w:val="single" w:color="auto" w:sz="8" w:space="0"/>
                <w:bottom w:val="single" w:color="auto" w:sz="6"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691"/>
              <w:gridCol w:w="1180"/>
              <w:gridCol w:w="6298"/>
            </w:tblGrid>
            <w:tr w14:paraId="21766C30">
              <w:tblPrEx>
                <w:tblBorders>
                  <w:top w:val="single" w:color="auto" w:sz="8" w:space="0"/>
                  <w:left w:val="single" w:color="auto" w:sz="8" w:space="0"/>
                  <w:bottom w:val="single" w:color="auto" w:sz="6"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1145" w:type="pct"/>
                  <w:gridSpan w:val="2"/>
                  <w:tcBorders>
                    <w:top w:val="single" w:color="auto" w:sz="12" w:space="0"/>
                    <w:left w:val="single" w:color="auto" w:sz="12" w:space="0"/>
                  </w:tcBorders>
                  <w:vAlign w:val="center"/>
                </w:tcPr>
                <w:p w14:paraId="4AE40355">
                  <w:pPr>
                    <w:jc w:val="center"/>
                    <w:rPr>
                      <w:color w:val="auto"/>
                      <w:highlight w:val="none"/>
                    </w:rPr>
                  </w:pPr>
                  <w:bookmarkStart w:id="2" w:name="_Hlk165901067"/>
                  <w:r>
                    <w:rPr>
                      <w:color w:val="auto"/>
                      <w:highlight w:val="none"/>
                    </w:rPr>
                    <w:t>工程类型</w:t>
                  </w:r>
                </w:p>
              </w:tc>
              <w:tc>
                <w:tcPr>
                  <w:tcW w:w="3854" w:type="pct"/>
                  <w:tcBorders>
                    <w:top w:val="single" w:color="auto" w:sz="12" w:space="0"/>
                    <w:right w:val="single" w:color="auto" w:sz="12" w:space="0"/>
                  </w:tcBorders>
                  <w:vAlign w:val="center"/>
                </w:tcPr>
                <w:p w14:paraId="2860B7C3">
                  <w:pPr>
                    <w:jc w:val="center"/>
                    <w:rPr>
                      <w:color w:val="auto"/>
                      <w:highlight w:val="none"/>
                    </w:rPr>
                  </w:pPr>
                  <w:r>
                    <w:rPr>
                      <w:color w:val="auto"/>
                      <w:highlight w:val="none"/>
                    </w:rPr>
                    <w:t>建设内容</w:t>
                  </w:r>
                </w:p>
              </w:tc>
            </w:tr>
            <w:tr w14:paraId="77DE13E9">
              <w:tblPrEx>
                <w:tblBorders>
                  <w:top w:val="single" w:color="auto" w:sz="8" w:space="0"/>
                  <w:left w:val="single" w:color="auto" w:sz="8" w:space="0"/>
                  <w:bottom w:val="single" w:color="auto" w:sz="6"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23" w:type="pct"/>
                  <w:vMerge w:val="restart"/>
                  <w:tcBorders>
                    <w:left w:val="single" w:color="auto" w:sz="12" w:space="0"/>
                  </w:tcBorders>
                  <w:vAlign w:val="center"/>
                </w:tcPr>
                <w:p w14:paraId="572137B1">
                  <w:pPr>
                    <w:jc w:val="center"/>
                    <w:rPr>
                      <w:color w:val="auto"/>
                      <w:highlight w:val="none"/>
                    </w:rPr>
                  </w:pPr>
                  <w:r>
                    <w:rPr>
                      <w:color w:val="auto"/>
                      <w:highlight w:val="none"/>
                    </w:rPr>
                    <w:t>主体工程</w:t>
                  </w:r>
                </w:p>
              </w:tc>
              <w:tc>
                <w:tcPr>
                  <w:tcW w:w="722" w:type="pct"/>
                  <w:vAlign w:val="center"/>
                </w:tcPr>
                <w:p w14:paraId="30625B5E">
                  <w:pPr>
                    <w:pStyle w:val="22"/>
                    <w:spacing w:before="24" w:after="24" w:line="240" w:lineRule="auto"/>
                    <w:rPr>
                      <w:rFonts w:ascii="Times New Roman"/>
                      <w:b/>
                      <w:bCs/>
                      <w:color w:val="auto"/>
                      <w:sz w:val="21"/>
                      <w:highlight w:val="none"/>
                    </w:rPr>
                  </w:pPr>
                  <w:r>
                    <w:rPr>
                      <w:rFonts w:ascii="Times New Roman"/>
                      <w:bCs/>
                      <w:color w:val="auto"/>
                      <w:sz w:val="21"/>
                      <w:highlight w:val="none"/>
                    </w:rPr>
                    <w:t>升压站</w:t>
                  </w:r>
                </w:p>
              </w:tc>
              <w:tc>
                <w:tcPr>
                  <w:tcW w:w="3854" w:type="pct"/>
                  <w:tcBorders>
                    <w:right w:val="single" w:color="auto" w:sz="12" w:space="0"/>
                  </w:tcBorders>
                  <w:vAlign w:val="center"/>
                </w:tcPr>
                <w:p w14:paraId="6F06EDCF">
                  <w:pPr>
                    <w:pStyle w:val="22"/>
                    <w:spacing w:before="24" w:after="24" w:line="240" w:lineRule="auto"/>
                    <w:jc w:val="both"/>
                    <w:rPr>
                      <w:rFonts w:ascii="Times New Roman"/>
                      <w:b/>
                      <w:bCs/>
                      <w:color w:val="auto"/>
                      <w:sz w:val="21"/>
                      <w:highlight w:val="none"/>
                    </w:rPr>
                  </w:pPr>
                  <w:r>
                    <w:rPr>
                      <w:rFonts w:hint="eastAsia" w:ascii="Times New Roman"/>
                      <w:bCs/>
                      <w:color w:val="auto"/>
                      <w:sz w:val="21"/>
                      <w:highlight w:val="none"/>
                      <w:lang w:val="en-US" w:eastAsia="zh-CN"/>
                    </w:rPr>
                    <w:t>本工程不再新建升压站，接入已建树掌220kV升压站。</w:t>
                  </w:r>
                </w:p>
              </w:tc>
            </w:tr>
            <w:tr w14:paraId="54E38439">
              <w:tblPrEx>
                <w:tblBorders>
                  <w:top w:val="single" w:color="auto" w:sz="8" w:space="0"/>
                  <w:left w:val="single" w:color="auto" w:sz="8" w:space="0"/>
                  <w:bottom w:val="single" w:color="auto" w:sz="6"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23" w:type="pct"/>
                  <w:vMerge w:val="continue"/>
                  <w:tcBorders>
                    <w:left w:val="single" w:color="auto" w:sz="12" w:space="0"/>
                  </w:tcBorders>
                  <w:vAlign w:val="center"/>
                </w:tcPr>
                <w:p w14:paraId="1DAEB946">
                  <w:pPr>
                    <w:jc w:val="center"/>
                    <w:rPr>
                      <w:color w:val="auto"/>
                      <w:highlight w:val="none"/>
                    </w:rPr>
                  </w:pPr>
                </w:p>
              </w:tc>
              <w:tc>
                <w:tcPr>
                  <w:tcW w:w="722" w:type="pct"/>
                  <w:vAlign w:val="center"/>
                </w:tcPr>
                <w:p w14:paraId="53066DFF">
                  <w:pPr>
                    <w:ind w:left="-80" w:leftChars="-38" w:right="-103" w:rightChars="-49"/>
                    <w:jc w:val="center"/>
                    <w:rPr>
                      <w:color w:val="auto"/>
                      <w:highlight w:val="none"/>
                    </w:rPr>
                  </w:pPr>
                  <w:r>
                    <w:rPr>
                      <w:color w:val="auto"/>
                      <w:highlight w:val="none"/>
                    </w:rPr>
                    <w:t>风力发电机</w:t>
                  </w:r>
                </w:p>
              </w:tc>
              <w:tc>
                <w:tcPr>
                  <w:tcW w:w="3854" w:type="pct"/>
                  <w:tcBorders>
                    <w:right w:val="single" w:color="auto" w:sz="12" w:space="0"/>
                  </w:tcBorders>
                  <w:vAlign w:val="center"/>
                </w:tcPr>
                <w:p w14:paraId="38B6B8FD">
                  <w:pPr>
                    <w:rPr>
                      <w:color w:val="auto"/>
                      <w:highlight w:val="none"/>
                    </w:rPr>
                  </w:pPr>
                  <w:r>
                    <w:rPr>
                      <w:color w:val="auto"/>
                      <w:highlight w:val="none"/>
                    </w:rPr>
                    <w:t>安装</w:t>
                  </w:r>
                  <w:r>
                    <w:rPr>
                      <w:rFonts w:hint="eastAsia" w:ascii="Times New Roman" w:eastAsia="宋体"/>
                      <w:color w:val="auto"/>
                      <w:highlight w:val="none"/>
                      <w:lang w:val="en-US" w:eastAsia="zh-CN"/>
                    </w:rPr>
                    <w:t>8</w:t>
                  </w:r>
                  <w:r>
                    <w:rPr>
                      <w:color w:val="auto"/>
                      <w:highlight w:val="none"/>
                    </w:rPr>
                    <w:t>台</w:t>
                  </w:r>
                  <w:r>
                    <w:rPr>
                      <w:rFonts w:hint="eastAsia" w:eastAsia="宋体"/>
                      <w:color w:val="auto"/>
                      <w:highlight w:val="none"/>
                      <w:lang w:eastAsia="zh-CN"/>
                    </w:rPr>
                    <w:t>6.25MW</w:t>
                  </w:r>
                  <w:r>
                    <w:rPr>
                      <w:color w:val="auto"/>
                      <w:highlight w:val="none"/>
                    </w:rPr>
                    <w:t>风力发电机，轮毂高度1</w:t>
                  </w:r>
                  <w:r>
                    <w:rPr>
                      <w:rFonts w:hint="eastAsia" w:ascii="Times New Roman" w:eastAsia="宋体"/>
                      <w:color w:val="auto"/>
                      <w:highlight w:val="none"/>
                      <w:lang w:val="en-US" w:eastAsia="zh-CN"/>
                    </w:rPr>
                    <w:t>40</w:t>
                  </w:r>
                  <w:r>
                    <w:rPr>
                      <w:color w:val="auto"/>
                      <w:highlight w:val="none"/>
                    </w:rPr>
                    <w:t>m</w:t>
                  </w:r>
                  <w:r>
                    <w:rPr>
                      <w:rFonts w:hint="eastAsia"/>
                      <w:color w:val="auto"/>
                      <w:highlight w:val="none"/>
                    </w:rPr>
                    <w:t>。风电机组基础埋深暂定为4m</w:t>
                  </w:r>
                  <w:r>
                    <w:rPr>
                      <w:rFonts w:hint="eastAsia" w:eastAsia="宋体"/>
                      <w:color w:val="auto"/>
                      <w:highlight w:val="none"/>
                      <w:lang w:eastAsia="zh-CN"/>
                    </w:rPr>
                    <w:t>，</w:t>
                  </w:r>
                  <w:r>
                    <w:rPr>
                      <w:rFonts w:hint="eastAsia"/>
                      <w:color w:val="auto"/>
                      <w:highlight w:val="none"/>
                    </w:rPr>
                    <w:t>基础底板直径为22.6m</w:t>
                  </w:r>
                  <w:r>
                    <w:rPr>
                      <w:rFonts w:hint="eastAsia" w:eastAsia="宋体"/>
                      <w:color w:val="auto"/>
                      <w:highlight w:val="none"/>
                      <w:lang w:eastAsia="zh-CN"/>
                    </w:rPr>
                    <w:t>，</w:t>
                  </w:r>
                  <w:r>
                    <w:rPr>
                      <w:rFonts w:hint="eastAsia"/>
                      <w:color w:val="auto"/>
                      <w:highlight w:val="none"/>
                    </w:rPr>
                    <w:t>基础底板边缘高度为1.0m，基础坡高为1.6m，基础台柱直径暂定为10m。承台采用C40混凝土，基础垫层采用C20素混凝土，钢筋采用HRB400级。</w:t>
                  </w:r>
                </w:p>
              </w:tc>
            </w:tr>
            <w:tr w14:paraId="38888C95">
              <w:tblPrEx>
                <w:tblBorders>
                  <w:top w:val="single" w:color="auto" w:sz="8" w:space="0"/>
                  <w:left w:val="single" w:color="auto" w:sz="8" w:space="0"/>
                  <w:bottom w:val="single" w:color="auto" w:sz="6"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23" w:type="pct"/>
                  <w:vMerge w:val="continue"/>
                  <w:tcBorders>
                    <w:left w:val="single" w:color="auto" w:sz="12" w:space="0"/>
                  </w:tcBorders>
                  <w:vAlign w:val="center"/>
                </w:tcPr>
                <w:p w14:paraId="37544F08">
                  <w:pPr>
                    <w:widowControl/>
                    <w:jc w:val="left"/>
                    <w:rPr>
                      <w:color w:val="auto"/>
                      <w:highlight w:val="none"/>
                    </w:rPr>
                  </w:pPr>
                </w:p>
              </w:tc>
              <w:tc>
                <w:tcPr>
                  <w:tcW w:w="722" w:type="pct"/>
                  <w:vAlign w:val="center"/>
                </w:tcPr>
                <w:p w14:paraId="3868B4F5">
                  <w:pPr>
                    <w:jc w:val="center"/>
                    <w:rPr>
                      <w:color w:val="auto"/>
                      <w:highlight w:val="none"/>
                    </w:rPr>
                  </w:pPr>
                  <w:r>
                    <w:rPr>
                      <w:color w:val="auto"/>
                      <w:highlight w:val="none"/>
                    </w:rPr>
                    <w:t>箱变</w:t>
                  </w:r>
                </w:p>
              </w:tc>
              <w:tc>
                <w:tcPr>
                  <w:tcW w:w="3854" w:type="pct"/>
                  <w:tcBorders>
                    <w:right w:val="single" w:color="auto" w:sz="12" w:space="0"/>
                  </w:tcBorders>
                  <w:vAlign w:val="center"/>
                </w:tcPr>
                <w:p w14:paraId="23F2E6AF">
                  <w:pPr>
                    <w:rPr>
                      <w:rFonts w:hint="default"/>
                      <w:color w:val="auto"/>
                      <w:highlight w:val="none"/>
                      <w:lang w:val="en-US"/>
                    </w:rPr>
                  </w:pPr>
                  <w:r>
                    <w:rPr>
                      <w:color w:val="auto"/>
                      <w:highlight w:val="none"/>
                    </w:rPr>
                    <w:t>配设</w:t>
                  </w:r>
                  <w:r>
                    <w:rPr>
                      <w:rFonts w:hint="eastAsia" w:eastAsia="宋体"/>
                      <w:color w:val="auto"/>
                      <w:highlight w:val="none"/>
                      <w:lang w:eastAsia="zh-CN"/>
                    </w:rPr>
                    <w:t>8台</w:t>
                  </w:r>
                  <w:r>
                    <w:rPr>
                      <w:rFonts w:hint="eastAsia"/>
                      <w:color w:val="auto"/>
                      <w:highlight w:val="none"/>
                    </w:rPr>
                    <w:t>6</w:t>
                  </w:r>
                  <w:r>
                    <w:rPr>
                      <w:rFonts w:hint="eastAsia" w:ascii="Times New Roman" w:eastAsia="宋体"/>
                      <w:color w:val="auto"/>
                      <w:highlight w:val="none"/>
                      <w:lang w:val="en-US" w:eastAsia="zh-CN"/>
                    </w:rPr>
                    <w:t>30</w:t>
                  </w:r>
                  <w:r>
                    <w:rPr>
                      <w:rFonts w:hint="eastAsia"/>
                      <w:color w:val="auto"/>
                      <w:highlight w:val="none"/>
                    </w:rPr>
                    <w:t>0</w:t>
                  </w:r>
                  <w:r>
                    <w:rPr>
                      <w:color w:val="auto"/>
                      <w:highlight w:val="none"/>
                    </w:rPr>
                    <w:t>kV</w:t>
                  </w:r>
                  <w:r>
                    <w:rPr>
                      <w:rFonts w:hint="eastAsia"/>
                      <w:color w:val="auto"/>
                      <w:highlight w:val="none"/>
                    </w:rPr>
                    <w:t>A</w:t>
                  </w:r>
                  <w:r>
                    <w:rPr>
                      <w:rFonts w:hint="eastAsia" w:ascii="Times New Roman" w:eastAsia="宋体"/>
                      <w:color w:val="auto"/>
                      <w:highlight w:val="none"/>
                      <w:lang w:val="en-US" w:eastAsia="zh-CN"/>
                    </w:rPr>
                    <w:t>箱式变压器</w:t>
                  </w:r>
                  <w:r>
                    <w:rPr>
                      <w:color w:val="auto"/>
                      <w:highlight w:val="none"/>
                    </w:rPr>
                    <w:t>，</w:t>
                  </w:r>
                  <w:r>
                    <w:rPr>
                      <w:rFonts w:hint="eastAsia" w:ascii="Times New Roman" w:eastAsia="宋体"/>
                      <w:color w:val="auto"/>
                      <w:highlight w:val="none"/>
                      <w:lang w:val="en-US" w:eastAsia="zh-CN"/>
                    </w:rPr>
                    <w:t>箱变安装在风机机舱内</w:t>
                  </w:r>
                  <w:r>
                    <w:rPr>
                      <w:rFonts w:hint="eastAsia"/>
                      <w:color w:val="auto"/>
                      <w:highlight w:val="none"/>
                      <w:lang w:val="en-US" w:eastAsia="zh-CN"/>
                    </w:rPr>
                    <w:t>，为干式变压器。</w:t>
                  </w:r>
                </w:p>
              </w:tc>
            </w:tr>
            <w:tr w14:paraId="6067DBA8">
              <w:tblPrEx>
                <w:tblBorders>
                  <w:top w:val="single" w:color="auto" w:sz="8" w:space="0"/>
                  <w:left w:val="single" w:color="auto" w:sz="8" w:space="0"/>
                  <w:bottom w:val="single" w:color="auto" w:sz="6"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23" w:type="pct"/>
                  <w:vMerge w:val="continue"/>
                  <w:tcBorders>
                    <w:left w:val="single" w:color="auto" w:sz="12" w:space="0"/>
                  </w:tcBorders>
                  <w:vAlign w:val="center"/>
                </w:tcPr>
                <w:p w14:paraId="69861521">
                  <w:pPr>
                    <w:widowControl/>
                    <w:jc w:val="left"/>
                    <w:rPr>
                      <w:color w:val="auto"/>
                      <w:highlight w:val="none"/>
                    </w:rPr>
                  </w:pPr>
                </w:p>
              </w:tc>
              <w:tc>
                <w:tcPr>
                  <w:tcW w:w="722" w:type="pct"/>
                  <w:tcBorders>
                    <w:bottom w:val="single" w:color="auto" w:sz="4" w:space="0"/>
                  </w:tcBorders>
                  <w:vAlign w:val="center"/>
                </w:tcPr>
                <w:p w14:paraId="57E58D7F">
                  <w:pPr>
                    <w:ind w:left="-136" w:leftChars="-65" w:right="-88" w:rightChars="-42"/>
                    <w:jc w:val="center"/>
                    <w:rPr>
                      <w:color w:val="auto"/>
                      <w:highlight w:val="none"/>
                    </w:rPr>
                  </w:pPr>
                  <w:r>
                    <w:rPr>
                      <w:color w:val="auto"/>
                      <w:highlight w:val="none"/>
                    </w:rPr>
                    <w:t>集电线路</w:t>
                  </w:r>
                </w:p>
              </w:tc>
              <w:tc>
                <w:tcPr>
                  <w:tcW w:w="3854" w:type="pct"/>
                  <w:tcBorders>
                    <w:bottom w:val="single" w:color="auto" w:sz="4" w:space="0"/>
                    <w:right w:val="single" w:color="auto" w:sz="12" w:space="0"/>
                  </w:tcBorders>
                  <w:vAlign w:val="center"/>
                </w:tcPr>
                <w:p w14:paraId="1C721A4E">
                  <w:pPr>
                    <w:rPr>
                      <w:rFonts w:hint="default" w:eastAsia="宋体"/>
                      <w:color w:val="auto"/>
                      <w:highlight w:val="none"/>
                      <w:lang w:val="en-US" w:eastAsia="zh-CN"/>
                    </w:rPr>
                  </w:pPr>
                  <w:r>
                    <w:rPr>
                      <w:rFonts w:hint="eastAsia"/>
                      <w:color w:val="auto"/>
                      <w:highlight w:val="none"/>
                    </w:rPr>
                    <w:t>本工程拟经2回35kV集电线路分别接入升压站35kV母线上</w:t>
                  </w:r>
                  <w:r>
                    <w:rPr>
                      <w:rFonts w:hint="eastAsia" w:eastAsia="宋体"/>
                      <w:color w:val="auto"/>
                      <w:highlight w:val="none"/>
                      <w:lang w:eastAsia="zh-CN"/>
                    </w:rPr>
                    <w:t>；</w:t>
                  </w:r>
                  <w:r>
                    <w:rPr>
                      <w:rFonts w:hint="eastAsia" w:ascii="Times New Roman" w:eastAsia="宋体"/>
                      <w:color w:val="auto"/>
                      <w:highlight w:val="none"/>
                      <w:lang w:val="en-US" w:eastAsia="zh-CN"/>
                    </w:rPr>
                    <w:t>集电线路采用架空的方式，路径长度约为21.0139公里。共建设66基铁搭。</w:t>
                  </w:r>
                  <w:r>
                    <w:rPr>
                      <w:rFonts w:hint="eastAsia"/>
                      <w:color w:val="auto"/>
                      <w:highlight w:val="none"/>
                      <w:lang w:val="en-US" w:eastAsia="zh-CN"/>
                    </w:rPr>
                    <w:t>本项目集电线路塔基均按照永久占地统计。</w:t>
                  </w:r>
                </w:p>
              </w:tc>
            </w:tr>
            <w:tr w14:paraId="43222C4B">
              <w:tblPrEx>
                <w:tblBorders>
                  <w:top w:val="single" w:color="auto" w:sz="8" w:space="0"/>
                  <w:left w:val="single" w:color="auto" w:sz="8" w:space="0"/>
                  <w:bottom w:val="single" w:color="auto" w:sz="6"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23" w:type="pct"/>
                  <w:vMerge w:val="continue"/>
                  <w:tcBorders>
                    <w:left w:val="single" w:color="auto" w:sz="12" w:space="0"/>
                  </w:tcBorders>
                  <w:vAlign w:val="center"/>
                </w:tcPr>
                <w:p w14:paraId="0B629427">
                  <w:pPr>
                    <w:jc w:val="center"/>
                    <w:rPr>
                      <w:color w:val="auto"/>
                      <w:highlight w:val="none"/>
                    </w:rPr>
                  </w:pPr>
                </w:p>
              </w:tc>
              <w:tc>
                <w:tcPr>
                  <w:tcW w:w="722" w:type="pct"/>
                  <w:tcBorders>
                    <w:bottom w:val="single" w:color="auto" w:sz="4" w:space="0"/>
                  </w:tcBorders>
                  <w:vAlign w:val="center"/>
                </w:tcPr>
                <w:p w14:paraId="5FDA40A8">
                  <w:pPr>
                    <w:ind w:left="-94" w:leftChars="-45" w:right="-103" w:rightChars="-49"/>
                    <w:jc w:val="center"/>
                    <w:rPr>
                      <w:color w:val="auto"/>
                      <w:highlight w:val="none"/>
                    </w:rPr>
                  </w:pPr>
                  <w:r>
                    <w:rPr>
                      <w:color w:val="auto"/>
                      <w:highlight w:val="none"/>
                    </w:rPr>
                    <w:t>施工道路</w:t>
                  </w:r>
                  <w:r>
                    <w:rPr>
                      <w:rFonts w:hint="eastAsia"/>
                      <w:color w:val="auto"/>
                      <w:highlight w:val="none"/>
                    </w:rPr>
                    <w:t>/检修道路</w:t>
                  </w:r>
                </w:p>
              </w:tc>
              <w:tc>
                <w:tcPr>
                  <w:tcW w:w="3854" w:type="pct"/>
                  <w:tcBorders>
                    <w:bottom w:val="single" w:color="auto" w:sz="4" w:space="0"/>
                    <w:right w:val="single" w:color="auto" w:sz="12" w:space="0"/>
                  </w:tcBorders>
                  <w:vAlign w:val="center"/>
                </w:tcPr>
                <w:p w14:paraId="52EF587A">
                  <w:pPr>
                    <w:rPr>
                      <w:color w:val="auto"/>
                      <w:highlight w:val="none"/>
                    </w:rPr>
                  </w:pPr>
                  <w:r>
                    <w:rPr>
                      <w:rFonts w:hint="eastAsia" w:ascii="Times New Roman" w:eastAsia="宋体"/>
                      <w:color w:val="auto"/>
                      <w:highlight w:val="none"/>
                      <w:lang w:val="en-US" w:eastAsia="zh-CN"/>
                    </w:rPr>
                    <w:t>本项目检修道路利用石坡乡、店上镇和东井岭乡三乡镇森林防火通道，无新建道路。</w:t>
                  </w:r>
                </w:p>
              </w:tc>
            </w:tr>
            <w:tr w14:paraId="1D5DC078">
              <w:tblPrEx>
                <w:tblBorders>
                  <w:top w:val="single" w:color="auto" w:sz="8" w:space="0"/>
                  <w:left w:val="single" w:color="auto" w:sz="8" w:space="0"/>
                  <w:bottom w:val="single" w:color="auto" w:sz="6"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23" w:type="pct"/>
                  <w:vMerge w:val="continue"/>
                  <w:tcBorders>
                    <w:left w:val="single" w:color="auto" w:sz="12" w:space="0"/>
                  </w:tcBorders>
                  <w:vAlign w:val="center"/>
                </w:tcPr>
                <w:p w14:paraId="110A0946">
                  <w:pPr>
                    <w:jc w:val="center"/>
                    <w:rPr>
                      <w:color w:val="auto"/>
                      <w:highlight w:val="none"/>
                    </w:rPr>
                  </w:pPr>
                </w:p>
              </w:tc>
              <w:tc>
                <w:tcPr>
                  <w:tcW w:w="722" w:type="pct"/>
                  <w:tcBorders>
                    <w:top w:val="single" w:color="auto" w:sz="4" w:space="0"/>
                  </w:tcBorders>
                  <w:vAlign w:val="center"/>
                </w:tcPr>
                <w:p w14:paraId="4912759B">
                  <w:pPr>
                    <w:ind w:left="-94" w:leftChars="-45" w:right="-103" w:rightChars="-49"/>
                    <w:jc w:val="center"/>
                    <w:rPr>
                      <w:color w:val="auto"/>
                      <w:highlight w:val="none"/>
                    </w:rPr>
                  </w:pPr>
                  <w:r>
                    <w:rPr>
                      <w:color w:val="auto"/>
                      <w:highlight w:val="none"/>
                    </w:rPr>
                    <w:t>施工临建区</w:t>
                  </w:r>
                </w:p>
              </w:tc>
              <w:tc>
                <w:tcPr>
                  <w:tcW w:w="3854" w:type="pct"/>
                  <w:tcBorders>
                    <w:top w:val="single" w:color="auto" w:sz="4" w:space="0"/>
                    <w:right w:val="single" w:color="auto" w:sz="12" w:space="0"/>
                  </w:tcBorders>
                  <w:vAlign w:val="center"/>
                </w:tcPr>
                <w:p w14:paraId="64369778">
                  <w:pPr>
                    <w:rPr>
                      <w:color w:val="auto"/>
                      <w:highlight w:val="none"/>
                    </w:rPr>
                  </w:pPr>
                  <w:r>
                    <w:rPr>
                      <w:rFonts w:hint="eastAsia"/>
                      <w:color w:val="auto"/>
                      <w:highlight w:val="none"/>
                    </w:rPr>
                    <w:t>集中布置1处，占地面积2400m</w:t>
                  </w:r>
                  <w:r>
                    <w:rPr>
                      <w:rFonts w:hint="eastAsia"/>
                      <w:color w:val="auto"/>
                      <w:highlight w:val="none"/>
                      <w:vertAlign w:val="superscript"/>
                    </w:rPr>
                    <w:t>2</w:t>
                  </w:r>
                  <w:r>
                    <w:rPr>
                      <w:rFonts w:hint="eastAsia"/>
                      <w:color w:val="auto"/>
                      <w:highlight w:val="none"/>
                    </w:rPr>
                    <w:t>，仅供材料、机械临时存放，施工人员食宿租用民房。</w:t>
                  </w:r>
                </w:p>
              </w:tc>
            </w:tr>
            <w:tr w14:paraId="03A20B4A">
              <w:tblPrEx>
                <w:tblBorders>
                  <w:top w:val="single" w:color="auto" w:sz="8" w:space="0"/>
                  <w:left w:val="single" w:color="auto" w:sz="8" w:space="0"/>
                  <w:bottom w:val="single" w:color="auto" w:sz="6"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23" w:type="pct"/>
                  <w:vMerge w:val="restart"/>
                  <w:tcBorders>
                    <w:left w:val="single" w:color="auto" w:sz="12" w:space="0"/>
                  </w:tcBorders>
                  <w:vAlign w:val="center"/>
                </w:tcPr>
                <w:p w14:paraId="30AD8852">
                  <w:pPr>
                    <w:jc w:val="center"/>
                    <w:rPr>
                      <w:color w:val="auto"/>
                      <w:highlight w:val="none"/>
                    </w:rPr>
                  </w:pPr>
                  <w:r>
                    <w:rPr>
                      <w:color w:val="auto"/>
                      <w:highlight w:val="none"/>
                    </w:rPr>
                    <w:t>公用工程</w:t>
                  </w:r>
                </w:p>
              </w:tc>
              <w:tc>
                <w:tcPr>
                  <w:tcW w:w="722" w:type="pct"/>
                  <w:vAlign w:val="center"/>
                </w:tcPr>
                <w:p w14:paraId="0C538BA2">
                  <w:pPr>
                    <w:ind w:left="-136" w:leftChars="-65" w:right="-88" w:rightChars="-42"/>
                    <w:jc w:val="center"/>
                    <w:rPr>
                      <w:color w:val="auto"/>
                      <w:highlight w:val="none"/>
                    </w:rPr>
                  </w:pPr>
                  <w:r>
                    <w:rPr>
                      <w:color w:val="auto"/>
                      <w:highlight w:val="none"/>
                    </w:rPr>
                    <w:t>供水</w:t>
                  </w:r>
                </w:p>
              </w:tc>
              <w:tc>
                <w:tcPr>
                  <w:tcW w:w="3854" w:type="pct"/>
                  <w:tcBorders>
                    <w:right w:val="single" w:color="auto" w:sz="12" w:space="0"/>
                  </w:tcBorders>
                  <w:vAlign w:val="center"/>
                </w:tcPr>
                <w:p w14:paraId="7C207128">
                  <w:pPr>
                    <w:rPr>
                      <w:rFonts w:hint="eastAsia" w:eastAsia="宋体"/>
                      <w:color w:val="auto"/>
                      <w:highlight w:val="none"/>
                      <w:lang w:eastAsia="zh-CN"/>
                    </w:rPr>
                  </w:pPr>
                  <w:r>
                    <w:rPr>
                      <w:rFonts w:hint="eastAsia"/>
                      <w:color w:val="auto"/>
                      <w:highlight w:val="none"/>
                    </w:rPr>
                    <w:t>站区水源水采用拉水方式供给</w:t>
                  </w:r>
                  <w:r>
                    <w:rPr>
                      <w:rFonts w:hint="eastAsia" w:eastAsia="宋体"/>
                      <w:color w:val="auto"/>
                      <w:highlight w:val="none"/>
                      <w:lang w:eastAsia="zh-CN"/>
                    </w:rPr>
                    <w:t>。</w:t>
                  </w:r>
                </w:p>
              </w:tc>
            </w:tr>
            <w:tr w14:paraId="02190FE0">
              <w:tblPrEx>
                <w:tblBorders>
                  <w:top w:val="single" w:color="auto" w:sz="8" w:space="0"/>
                  <w:left w:val="single" w:color="auto" w:sz="8" w:space="0"/>
                  <w:bottom w:val="single" w:color="auto" w:sz="6"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23" w:type="pct"/>
                  <w:vMerge w:val="continue"/>
                  <w:tcBorders>
                    <w:left w:val="single" w:color="auto" w:sz="12" w:space="0"/>
                  </w:tcBorders>
                  <w:vAlign w:val="center"/>
                </w:tcPr>
                <w:p w14:paraId="450227FB">
                  <w:pPr>
                    <w:jc w:val="center"/>
                    <w:rPr>
                      <w:color w:val="auto"/>
                      <w:highlight w:val="none"/>
                    </w:rPr>
                  </w:pPr>
                </w:p>
              </w:tc>
              <w:tc>
                <w:tcPr>
                  <w:tcW w:w="722" w:type="pct"/>
                  <w:tcBorders>
                    <w:bottom w:val="single" w:color="auto" w:sz="4" w:space="0"/>
                  </w:tcBorders>
                  <w:vAlign w:val="center"/>
                </w:tcPr>
                <w:p w14:paraId="7EC4AF95">
                  <w:pPr>
                    <w:ind w:left="-136" w:leftChars="-65" w:right="-88" w:rightChars="-42"/>
                    <w:jc w:val="center"/>
                    <w:rPr>
                      <w:color w:val="auto"/>
                      <w:highlight w:val="none"/>
                    </w:rPr>
                  </w:pPr>
                  <w:r>
                    <w:rPr>
                      <w:color w:val="auto"/>
                      <w:highlight w:val="none"/>
                    </w:rPr>
                    <w:t>供电</w:t>
                  </w:r>
                </w:p>
              </w:tc>
              <w:tc>
                <w:tcPr>
                  <w:tcW w:w="3854" w:type="pct"/>
                  <w:tcBorders>
                    <w:bottom w:val="single" w:color="auto" w:sz="4" w:space="0"/>
                    <w:right w:val="single" w:color="auto" w:sz="12" w:space="0"/>
                  </w:tcBorders>
                  <w:vAlign w:val="center"/>
                </w:tcPr>
                <w:p w14:paraId="5A90DA71">
                  <w:pPr>
                    <w:rPr>
                      <w:color w:val="auto"/>
                      <w:highlight w:val="none"/>
                    </w:rPr>
                  </w:pPr>
                  <w:r>
                    <w:rPr>
                      <w:rFonts w:hint="eastAsia"/>
                      <w:color w:val="auto"/>
                      <w:highlight w:val="none"/>
                    </w:rPr>
                    <w:t>施工用电可由</w:t>
                  </w:r>
                  <w:r>
                    <w:rPr>
                      <w:rFonts w:hint="eastAsia" w:eastAsia="宋体"/>
                      <w:color w:val="auto"/>
                      <w:highlight w:val="none"/>
                      <w:lang w:eastAsia="zh-CN"/>
                    </w:rPr>
                    <w:t>壶关县</w:t>
                  </w:r>
                  <w:r>
                    <w:rPr>
                      <w:rFonts w:hint="eastAsia"/>
                      <w:color w:val="auto"/>
                      <w:highlight w:val="none"/>
                    </w:rPr>
                    <w:t>10kV线路电网引接或就近引接；</w:t>
                  </w:r>
                  <w:r>
                    <w:rPr>
                      <w:bCs/>
                      <w:color w:val="auto"/>
                      <w:highlight w:val="none"/>
                    </w:rPr>
                    <w:t>运营期用电</w:t>
                  </w:r>
                  <w:r>
                    <w:rPr>
                      <w:bCs/>
                      <w:color w:val="auto"/>
                      <w:szCs w:val="21"/>
                      <w:highlight w:val="none"/>
                    </w:rPr>
                    <w:t>引自35kV母线</w:t>
                  </w:r>
                  <w:r>
                    <w:rPr>
                      <w:rFonts w:hint="eastAsia"/>
                      <w:bCs/>
                      <w:color w:val="auto"/>
                      <w:szCs w:val="21"/>
                      <w:highlight w:val="none"/>
                    </w:rPr>
                    <w:t>。</w:t>
                  </w:r>
                </w:p>
              </w:tc>
            </w:tr>
            <w:tr w14:paraId="5588E674">
              <w:tblPrEx>
                <w:tblBorders>
                  <w:top w:val="single" w:color="auto" w:sz="8" w:space="0"/>
                  <w:left w:val="single" w:color="auto" w:sz="8" w:space="0"/>
                  <w:bottom w:val="single" w:color="auto" w:sz="6"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23" w:type="pct"/>
                  <w:vMerge w:val="continue"/>
                  <w:tcBorders>
                    <w:left w:val="single" w:color="auto" w:sz="12" w:space="0"/>
                  </w:tcBorders>
                  <w:vAlign w:val="center"/>
                </w:tcPr>
                <w:p w14:paraId="1682AA4B">
                  <w:pPr>
                    <w:jc w:val="center"/>
                    <w:rPr>
                      <w:color w:val="auto"/>
                      <w:highlight w:val="none"/>
                    </w:rPr>
                  </w:pPr>
                </w:p>
              </w:tc>
              <w:tc>
                <w:tcPr>
                  <w:tcW w:w="722" w:type="pct"/>
                  <w:tcBorders>
                    <w:top w:val="single" w:color="auto" w:sz="4" w:space="0"/>
                  </w:tcBorders>
                  <w:vAlign w:val="center"/>
                </w:tcPr>
                <w:p w14:paraId="2DCBAF47">
                  <w:pPr>
                    <w:jc w:val="center"/>
                    <w:rPr>
                      <w:color w:val="auto"/>
                      <w:highlight w:val="none"/>
                    </w:rPr>
                  </w:pPr>
                  <w:r>
                    <w:rPr>
                      <w:rFonts w:hint="eastAsia"/>
                      <w:color w:val="auto"/>
                      <w:highlight w:val="none"/>
                    </w:rPr>
                    <w:t>供暖</w:t>
                  </w:r>
                </w:p>
              </w:tc>
              <w:tc>
                <w:tcPr>
                  <w:tcW w:w="3854" w:type="pct"/>
                  <w:tcBorders>
                    <w:top w:val="single" w:color="auto" w:sz="4" w:space="0"/>
                    <w:right w:val="single" w:color="auto" w:sz="12" w:space="0"/>
                  </w:tcBorders>
                  <w:vAlign w:val="center"/>
                </w:tcPr>
                <w:p w14:paraId="7A1011D4">
                  <w:pPr>
                    <w:rPr>
                      <w:color w:val="auto"/>
                      <w:highlight w:val="none"/>
                    </w:rPr>
                  </w:pPr>
                  <w:r>
                    <w:rPr>
                      <w:rFonts w:hint="eastAsia"/>
                      <w:color w:val="auto"/>
                      <w:highlight w:val="none"/>
                    </w:rPr>
                    <w:t>采用电暖</w:t>
                  </w:r>
                  <w:r>
                    <w:rPr>
                      <w:rFonts w:hint="eastAsia" w:ascii="Times New Roman" w:eastAsia="宋体"/>
                      <w:color w:val="auto"/>
                      <w:highlight w:val="none"/>
                      <w:lang w:val="en-US" w:eastAsia="zh-CN"/>
                    </w:rPr>
                    <w:t>器</w:t>
                  </w:r>
                  <w:r>
                    <w:rPr>
                      <w:rFonts w:hint="eastAsia"/>
                      <w:color w:val="auto"/>
                      <w:highlight w:val="none"/>
                    </w:rPr>
                    <w:t>采暖。</w:t>
                  </w:r>
                </w:p>
              </w:tc>
            </w:tr>
            <w:tr w14:paraId="2790E1A2">
              <w:tblPrEx>
                <w:tblBorders>
                  <w:top w:val="single" w:color="auto" w:sz="8" w:space="0"/>
                  <w:left w:val="single" w:color="auto" w:sz="8" w:space="0"/>
                  <w:bottom w:val="single" w:color="auto" w:sz="6"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11" w:hRule="atLeast"/>
                <w:jc w:val="center"/>
              </w:trPr>
              <w:tc>
                <w:tcPr>
                  <w:tcW w:w="423" w:type="pct"/>
                  <w:vMerge w:val="restart"/>
                  <w:tcBorders>
                    <w:left w:val="single" w:color="auto" w:sz="12" w:space="0"/>
                  </w:tcBorders>
                  <w:vAlign w:val="center"/>
                </w:tcPr>
                <w:p w14:paraId="7FFDD477">
                  <w:pPr>
                    <w:jc w:val="center"/>
                    <w:rPr>
                      <w:color w:val="auto"/>
                      <w:highlight w:val="none"/>
                    </w:rPr>
                  </w:pPr>
                  <w:r>
                    <w:rPr>
                      <w:color w:val="auto"/>
                      <w:highlight w:val="none"/>
                    </w:rPr>
                    <w:t>环保工程</w:t>
                  </w:r>
                </w:p>
              </w:tc>
              <w:tc>
                <w:tcPr>
                  <w:tcW w:w="722" w:type="pct"/>
                  <w:vAlign w:val="center"/>
                </w:tcPr>
                <w:p w14:paraId="47CCE1C0">
                  <w:pPr>
                    <w:jc w:val="center"/>
                    <w:rPr>
                      <w:color w:val="auto"/>
                      <w:highlight w:val="none"/>
                    </w:rPr>
                  </w:pPr>
                  <w:r>
                    <w:rPr>
                      <w:color w:val="auto"/>
                      <w:highlight w:val="none"/>
                    </w:rPr>
                    <w:t>废水</w:t>
                  </w:r>
                </w:p>
              </w:tc>
              <w:tc>
                <w:tcPr>
                  <w:tcW w:w="3854" w:type="pct"/>
                  <w:tcBorders>
                    <w:right w:val="single" w:color="auto" w:sz="12" w:space="0"/>
                  </w:tcBorders>
                  <w:vAlign w:val="center"/>
                </w:tcPr>
                <w:p w14:paraId="19FD5ACB">
                  <w:pPr>
                    <w:rPr>
                      <w:color w:val="auto"/>
                      <w:highlight w:val="none"/>
                    </w:rPr>
                  </w:pPr>
                  <w:r>
                    <w:rPr>
                      <w:rFonts w:hint="eastAsia" w:ascii="Times New Roman" w:hAnsi="Times New Roman" w:cs="Times New Roman"/>
                      <w:color w:val="auto"/>
                      <w:sz w:val="21"/>
                      <w:szCs w:val="21"/>
                      <w:highlight w:val="none"/>
                      <w:lang w:val="en-US" w:eastAsia="zh-CN"/>
                    </w:rPr>
                    <w:t>依托升压站</w:t>
                  </w:r>
                  <w:r>
                    <w:rPr>
                      <w:rFonts w:hint="eastAsia" w:cs="Times New Roman"/>
                      <w:color w:val="auto"/>
                      <w:sz w:val="21"/>
                      <w:szCs w:val="21"/>
                      <w:highlight w:val="none"/>
                      <w:lang w:val="en-US" w:eastAsia="zh-CN"/>
                    </w:rPr>
                    <w:t>已</w:t>
                  </w:r>
                  <w:r>
                    <w:rPr>
                      <w:rFonts w:hint="eastAsia" w:ascii="Times New Roman" w:hAnsi="Times New Roman" w:cs="Times New Roman"/>
                      <w:color w:val="auto"/>
                      <w:sz w:val="21"/>
                      <w:szCs w:val="21"/>
                      <w:highlight w:val="none"/>
                      <w:lang w:val="en-US" w:eastAsia="zh-CN"/>
                    </w:rPr>
                    <w:t>建的1座</w:t>
                  </w:r>
                  <w:r>
                    <w:rPr>
                      <w:rFonts w:hint="eastAsia" w:ascii="Times New Roman" w:hAnsi="Times New Roman" w:eastAsia="宋体" w:cs="Times New Roman"/>
                      <w:color w:val="auto"/>
                      <w:kern w:val="0"/>
                      <w:szCs w:val="21"/>
                      <w:highlight w:val="none"/>
                    </w:rPr>
                    <w:t>0.5m</w:t>
                  </w:r>
                  <w:r>
                    <w:rPr>
                      <w:rFonts w:hint="eastAsia" w:ascii="Times New Roman" w:hAnsi="Times New Roman" w:eastAsia="宋体" w:cs="Times New Roman"/>
                      <w:color w:val="auto"/>
                      <w:kern w:val="0"/>
                      <w:szCs w:val="21"/>
                      <w:highlight w:val="none"/>
                      <w:vertAlign w:val="superscript"/>
                    </w:rPr>
                    <w:t xml:space="preserve">3 </w:t>
                  </w:r>
                  <w:r>
                    <w:rPr>
                      <w:rFonts w:hint="eastAsia" w:ascii="Times New Roman" w:hAnsi="Times New Roman" w:eastAsia="宋体" w:cs="Times New Roman"/>
                      <w:color w:val="auto"/>
                      <w:kern w:val="0"/>
                      <w:szCs w:val="21"/>
                      <w:highlight w:val="none"/>
                    </w:rPr>
                    <w:t xml:space="preserve">/h </w:t>
                  </w:r>
                  <w:r>
                    <w:rPr>
                      <w:rFonts w:hint="eastAsia" w:ascii="Times New Roman" w:hAnsi="Times New Roman" w:cs="Times New Roman"/>
                      <w:color w:val="auto"/>
                      <w:sz w:val="21"/>
                      <w:szCs w:val="21"/>
                      <w:highlight w:val="none"/>
                      <w:lang w:val="en-US" w:eastAsia="zh-CN"/>
                    </w:rPr>
                    <w:t>的地埋式一体化污水处理设施和1座</w:t>
                  </w:r>
                  <w:r>
                    <w:rPr>
                      <w:rFonts w:hint="eastAsia" w:cs="Times New Roman"/>
                      <w:color w:val="auto"/>
                      <w:sz w:val="21"/>
                      <w:szCs w:val="21"/>
                      <w:highlight w:val="none"/>
                      <w:lang w:val="en-US" w:eastAsia="zh-CN"/>
                    </w:rPr>
                    <w:t>200</w:t>
                  </w:r>
                  <w:r>
                    <w:rPr>
                      <w:rFonts w:hint="eastAsia" w:ascii="Times New Roman" w:hAnsi="Times New Roman" w:cs="Times New Roman"/>
                      <w:color w:val="auto"/>
                      <w:sz w:val="21"/>
                      <w:szCs w:val="21"/>
                      <w:highlight w:val="none"/>
                      <w:lang w:val="en-US" w:eastAsia="zh-CN"/>
                    </w:rPr>
                    <w:t>m</w:t>
                  </w:r>
                  <w:r>
                    <w:rPr>
                      <w:rFonts w:hint="eastAsia" w:ascii="Times New Roman" w:hAnsi="Times New Roman" w:cs="Times New Roman"/>
                      <w:color w:val="auto"/>
                      <w:sz w:val="21"/>
                      <w:szCs w:val="21"/>
                      <w:highlight w:val="none"/>
                      <w:vertAlign w:val="superscript"/>
                      <w:lang w:val="en-US" w:eastAsia="zh-CN"/>
                    </w:rPr>
                    <w:t>3</w:t>
                  </w:r>
                  <w:r>
                    <w:rPr>
                      <w:rFonts w:hint="eastAsia" w:ascii="Times New Roman" w:hAnsi="Times New Roman" w:cs="Times New Roman"/>
                      <w:color w:val="auto"/>
                      <w:sz w:val="21"/>
                      <w:szCs w:val="21"/>
                      <w:highlight w:val="none"/>
                      <w:lang w:val="en-US" w:eastAsia="zh-CN"/>
                    </w:rPr>
                    <w:t>集水池。</w:t>
                  </w:r>
                </w:p>
              </w:tc>
            </w:tr>
            <w:tr w14:paraId="78F54B0A">
              <w:tblPrEx>
                <w:tblBorders>
                  <w:top w:val="single" w:color="auto" w:sz="8" w:space="0"/>
                  <w:left w:val="single" w:color="auto" w:sz="8" w:space="0"/>
                  <w:bottom w:val="single" w:color="auto" w:sz="6"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23" w:type="pct"/>
                  <w:vMerge w:val="continue"/>
                  <w:tcBorders>
                    <w:left w:val="single" w:color="auto" w:sz="12" w:space="0"/>
                  </w:tcBorders>
                  <w:vAlign w:val="center"/>
                </w:tcPr>
                <w:p w14:paraId="7C2CCD0E">
                  <w:pPr>
                    <w:rPr>
                      <w:color w:val="auto"/>
                      <w:highlight w:val="none"/>
                    </w:rPr>
                  </w:pPr>
                </w:p>
              </w:tc>
              <w:tc>
                <w:tcPr>
                  <w:tcW w:w="722" w:type="pct"/>
                  <w:tcBorders>
                    <w:top w:val="single" w:color="auto" w:sz="4" w:space="0"/>
                  </w:tcBorders>
                  <w:vAlign w:val="center"/>
                </w:tcPr>
                <w:p w14:paraId="5DC37DAE">
                  <w:pPr>
                    <w:jc w:val="center"/>
                    <w:rPr>
                      <w:color w:val="auto"/>
                      <w:highlight w:val="none"/>
                    </w:rPr>
                  </w:pPr>
                  <w:r>
                    <w:rPr>
                      <w:color w:val="auto"/>
                      <w:highlight w:val="none"/>
                    </w:rPr>
                    <w:t>固废</w:t>
                  </w:r>
                </w:p>
              </w:tc>
              <w:tc>
                <w:tcPr>
                  <w:tcW w:w="3854" w:type="pct"/>
                  <w:tcBorders>
                    <w:top w:val="single" w:color="auto" w:sz="4" w:space="0"/>
                    <w:right w:val="single" w:color="auto" w:sz="12" w:space="0"/>
                  </w:tcBorders>
                  <w:vAlign w:val="center"/>
                </w:tcPr>
                <w:p w14:paraId="2FB9761F">
                  <w:pPr>
                    <w:rPr>
                      <w:color w:val="auto"/>
                      <w:highlight w:val="none"/>
                    </w:rPr>
                  </w:pPr>
                  <w:r>
                    <w:rPr>
                      <w:rFonts w:hint="eastAsia" w:ascii="Times New Roman" w:eastAsia="宋体"/>
                      <w:color w:val="auto"/>
                      <w:highlight w:val="none"/>
                      <w:lang w:val="en-US" w:eastAsia="zh-CN"/>
                    </w:rPr>
                    <w:t>风机</w:t>
                  </w:r>
                  <w:r>
                    <w:rPr>
                      <w:color w:val="auto"/>
                      <w:highlight w:val="none"/>
                    </w:rPr>
                    <w:t>检修废油、废</w:t>
                  </w:r>
                  <w:r>
                    <w:rPr>
                      <w:rFonts w:hint="eastAsia" w:ascii="Times New Roman" w:eastAsia="宋体"/>
                      <w:color w:val="auto"/>
                      <w:highlight w:val="none"/>
                      <w:lang w:val="en-US" w:eastAsia="zh-CN"/>
                    </w:rPr>
                    <w:t>油桶依托</w:t>
                  </w:r>
                  <w:r>
                    <w:rPr>
                      <w:rFonts w:hint="eastAsia"/>
                      <w:color w:val="auto"/>
                      <w:highlight w:val="none"/>
                    </w:rPr>
                    <w:t>树掌风电场220kV升压站</w:t>
                  </w:r>
                  <w:r>
                    <w:rPr>
                      <w:rFonts w:hint="eastAsia" w:ascii="Times New Roman" w:eastAsia="宋体"/>
                      <w:color w:val="auto"/>
                      <w:highlight w:val="none"/>
                      <w:lang w:val="en-US" w:eastAsia="zh-CN"/>
                    </w:rPr>
                    <w:t>已建设的</w:t>
                  </w:r>
                  <w:r>
                    <w:rPr>
                      <w:color w:val="auto"/>
                      <w:highlight w:val="none"/>
                    </w:rPr>
                    <w:t>一座</w:t>
                  </w:r>
                  <w:r>
                    <w:rPr>
                      <w:rFonts w:hint="eastAsia"/>
                      <w:color w:val="auto"/>
                      <w:highlight w:val="none"/>
                    </w:rPr>
                    <w:t>2</w:t>
                  </w:r>
                  <w:r>
                    <w:rPr>
                      <w:rFonts w:hint="eastAsia" w:ascii="Times New Roman" w:eastAsia="宋体"/>
                      <w:color w:val="auto"/>
                      <w:highlight w:val="none"/>
                      <w:lang w:val="en-US" w:eastAsia="zh-CN"/>
                    </w:rPr>
                    <w:t>0</w:t>
                  </w:r>
                  <w:r>
                    <w:rPr>
                      <w:color w:val="auto"/>
                      <w:highlight w:val="none"/>
                    </w:rPr>
                    <w:t>m</w:t>
                  </w:r>
                  <w:r>
                    <w:rPr>
                      <w:color w:val="auto"/>
                      <w:highlight w:val="none"/>
                      <w:vertAlign w:val="superscript"/>
                    </w:rPr>
                    <w:t>2</w:t>
                  </w:r>
                  <w:r>
                    <w:rPr>
                      <w:rFonts w:hint="eastAsia" w:eastAsia="宋体"/>
                      <w:color w:val="auto"/>
                      <w:highlight w:val="none"/>
                      <w:lang w:eastAsia="zh-CN"/>
                    </w:rPr>
                    <w:t>危废贮存点</w:t>
                  </w:r>
                  <w:r>
                    <w:rPr>
                      <w:color w:val="auto"/>
                      <w:highlight w:val="none"/>
                    </w:rPr>
                    <w:t>，风机检修废油、废</w:t>
                  </w:r>
                  <w:r>
                    <w:rPr>
                      <w:rFonts w:hint="eastAsia" w:ascii="Times New Roman" w:eastAsia="宋体"/>
                      <w:color w:val="auto"/>
                      <w:highlight w:val="none"/>
                      <w:lang w:val="en-US" w:eastAsia="zh-CN"/>
                    </w:rPr>
                    <w:t>油桶</w:t>
                  </w:r>
                  <w:r>
                    <w:rPr>
                      <w:color w:val="auto"/>
                      <w:highlight w:val="none"/>
                    </w:rPr>
                    <w:t>暂存于危险</w:t>
                  </w:r>
                  <w:r>
                    <w:rPr>
                      <w:rFonts w:hint="eastAsia" w:eastAsia="宋体"/>
                      <w:color w:val="auto"/>
                      <w:highlight w:val="none"/>
                      <w:lang w:eastAsia="zh-CN"/>
                    </w:rPr>
                    <w:t>贮存点</w:t>
                  </w:r>
                  <w:r>
                    <w:rPr>
                      <w:color w:val="auto"/>
                      <w:highlight w:val="none"/>
                    </w:rPr>
                    <w:t>，定期交</w:t>
                  </w:r>
                  <w:r>
                    <w:rPr>
                      <w:rFonts w:hint="eastAsia" w:ascii="Times New Roman" w:eastAsia="宋体"/>
                      <w:color w:val="auto"/>
                      <w:highlight w:val="none"/>
                      <w:lang w:val="en-US" w:eastAsia="zh-CN"/>
                    </w:rPr>
                    <w:t>由</w:t>
                  </w:r>
                  <w:r>
                    <w:rPr>
                      <w:color w:val="auto"/>
                      <w:highlight w:val="none"/>
                    </w:rPr>
                    <w:t>有资质单位处置</w:t>
                  </w:r>
                  <w:r>
                    <w:rPr>
                      <w:rFonts w:hint="eastAsia"/>
                      <w:color w:val="auto"/>
                      <w:highlight w:val="none"/>
                    </w:rPr>
                    <w:t>。</w:t>
                  </w:r>
                </w:p>
              </w:tc>
            </w:tr>
            <w:tr w14:paraId="6A3950C1">
              <w:tblPrEx>
                <w:tblBorders>
                  <w:top w:val="single" w:color="auto" w:sz="8" w:space="0"/>
                  <w:left w:val="single" w:color="auto" w:sz="8" w:space="0"/>
                  <w:bottom w:val="single" w:color="auto" w:sz="6"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23" w:type="pct"/>
                  <w:vMerge w:val="continue"/>
                  <w:tcBorders>
                    <w:left w:val="single" w:color="auto" w:sz="12" w:space="0"/>
                  </w:tcBorders>
                  <w:vAlign w:val="center"/>
                </w:tcPr>
                <w:p w14:paraId="754CBF48">
                  <w:pPr>
                    <w:rPr>
                      <w:color w:val="auto"/>
                      <w:highlight w:val="none"/>
                    </w:rPr>
                  </w:pPr>
                </w:p>
              </w:tc>
              <w:tc>
                <w:tcPr>
                  <w:tcW w:w="722" w:type="pct"/>
                  <w:vAlign w:val="center"/>
                </w:tcPr>
                <w:p w14:paraId="1C5328B7">
                  <w:pPr>
                    <w:jc w:val="center"/>
                    <w:rPr>
                      <w:color w:val="auto"/>
                      <w:highlight w:val="none"/>
                    </w:rPr>
                  </w:pPr>
                  <w:r>
                    <w:rPr>
                      <w:color w:val="auto"/>
                      <w:highlight w:val="none"/>
                    </w:rPr>
                    <w:t>噪声</w:t>
                  </w:r>
                </w:p>
              </w:tc>
              <w:tc>
                <w:tcPr>
                  <w:tcW w:w="3854" w:type="pct"/>
                  <w:tcBorders>
                    <w:right w:val="single" w:color="auto" w:sz="12" w:space="0"/>
                  </w:tcBorders>
                  <w:vAlign w:val="center"/>
                </w:tcPr>
                <w:p w14:paraId="3D4DBC30">
                  <w:pPr>
                    <w:rPr>
                      <w:color w:val="auto"/>
                      <w:highlight w:val="none"/>
                    </w:rPr>
                  </w:pPr>
                  <w:r>
                    <w:rPr>
                      <w:color w:val="auto"/>
                      <w:highlight w:val="none"/>
                    </w:rPr>
                    <w:t>选用低噪声设备，采取隔声、减振等降噪措施</w:t>
                  </w:r>
                  <w:r>
                    <w:rPr>
                      <w:rFonts w:hint="eastAsia"/>
                      <w:color w:val="auto"/>
                      <w:highlight w:val="none"/>
                    </w:rPr>
                    <w:t>。</w:t>
                  </w:r>
                </w:p>
              </w:tc>
            </w:tr>
            <w:tr w14:paraId="5EF8EF8F">
              <w:tblPrEx>
                <w:tblBorders>
                  <w:top w:val="single" w:color="auto" w:sz="8" w:space="0"/>
                  <w:left w:val="single" w:color="auto" w:sz="8" w:space="0"/>
                  <w:bottom w:val="single" w:color="auto" w:sz="6"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23" w:type="pct"/>
                  <w:vMerge w:val="continue"/>
                  <w:tcBorders>
                    <w:left w:val="single" w:color="auto" w:sz="12" w:space="0"/>
                  </w:tcBorders>
                  <w:vAlign w:val="center"/>
                </w:tcPr>
                <w:p w14:paraId="33DBFBB8">
                  <w:pPr>
                    <w:rPr>
                      <w:color w:val="auto"/>
                      <w:highlight w:val="none"/>
                    </w:rPr>
                  </w:pPr>
                </w:p>
              </w:tc>
              <w:tc>
                <w:tcPr>
                  <w:tcW w:w="722" w:type="pct"/>
                  <w:vAlign w:val="center"/>
                </w:tcPr>
                <w:p w14:paraId="19548223">
                  <w:pPr>
                    <w:jc w:val="center"/>
                    <w:rPr>
                      <w:color w:val="auto"/>
                      <w:highlight w:val="none"/>
                    </w:rPr>
                  </w:pPr>
                  <w:r>
                    <w:rPr>
                      <w:color w:val="auto"/>
                      <w:highlight w:val="none"/>
                    </w:rPr>
                    <w:t>生态</w:t>
                  </w:r>
                </w:p>
              </w:tc>
              <w:tc>
                <w:tcPr>
                  <w:tcW w:w="3854" w:type="pct"/>
                  <w:tcBorders>
                    <w:right w:val="single" w:color="auto" w:sz="12" w:space="0"/>
                  </w:tcBorders>
                  <w:vAlign w:val="center"/>
                </w:tcPr>
                <w:p w14:paraId="5A112658">
                  <w:pPr>
                    <w:rPr>
                      <w:color w:val="auto"/>
                      <w:highlight w:val="none"/>
                    </w:rPr>
                  </w:pPr>
                  <w:r>
                    <w:rPr>
                      <w:color w:val="auto"/>
                      <w:highlight w:val="none"/>
                    </w:rPr>
                    <w:t>对临时占地进行植被恢复</w:t>
                  </w:r>
                  <w:r>
                    <w:rPr>
                      <w:rFonts w:hint="eastAsia"/>
                      <w:color w:val="auto"/>
                      <w:highlight w:val="none"/>
                    </w:rPr>
                    <w:t>。</w:t>
                  </w:r>
                </w:p>
              </w:tc>
            </w:tr>
            <w:tr w14:paraId="54F62366">
              <w:tblPrEx>
                <w:tblBorders>
                  <w:top w:val="single" w:color="auto" w:sz="8" w:space="0"/>
                  <w:left w:val="single" w:color="auto" w:sz="8" w:space="0"/>
                  <w:bottom w:val="single" w:color="auto" w:sz="6"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423" w:type="pct"/>
                  <w:tcBorders>
                    <w:left w:val="single" w:color="auto" w:sz="12" w:space="0"/>
                    <w:bottom w:val="single" w:color="auto" w:sz="12" w:space="0"/>
                  </w:tcBorders>
                  <w:vAlign w:val="center"/>
                </w:tcPr>
                <w:p w14:paraId="43AA019C">
                  <w:pPr>
                    <w:jc w:val="center"/>
                    <w:rPr>
                      <w:rFonts w:hint="eastAsia" w:eastAsia="宋体"/>
                      <w:color w:val="auto"/>
                      <w:highlight w:val="none"/>
                      <w:lang w:val="en-US" w:eastAsia="zh-CN"/>
                    </w:rPr>
                  </w:pPr>
                  <w:r>
                    <w:rPr>
                      <w:rFonts w:hint="eastAsia" w:ascii="Times New Roman" w:eastAsia="宋体"/>
                      <w:color w:val="auto"/>
                      <w:highlight w:val="none"/>
                      <w:lang w:val="en-US" w:eastAsia="zh-CN"/>
                    </w:rPr>
                    <w:t>依托工程</w:t>
                  </w:r>
                </w:p>
              </w:tc>
              <w:tc>
                <w:tcPr>
                  <w:tcW w:w="722" w:type="pct"/>
                  <w:tcBorders>
                    <w:bottom w:val="single" w:color="auto" w:sz="12" w:space="0"/>
                  </w:tcBorders>
                  <w:vAlign w:val="center"/>
                </w:tcPr>
                <w:p w14:paraId="0CB296B0">
                  <w:pPr>
                    <w:jc w:val="center"/>
                    <w:rPr>
                      <w:rFonts w:hint="eastAsia"/>
                      <w:color w:val="auto"/>
                      <w:highlight w:val="none"/>
                    </w:rPr>
                  </w:pPr>
                  <w:r>
                    <w:rPr>
                      <w:rFonts w:hint="eastAsia"/>
                      <w:color w:val="auto"/>
                      <w:highlight w:val="none"/>
                    </w:rPr>
                    <w:t>树掌风电场220kV 升压站</w:t>
                  </w:r>
                </w:p>
              </w:tc>
              <w:tc>
                <w:tcPr>
                  <w:tcW w:w="3854" w:type="pct"/>
                  <w:tcBorders>
                    <w:bottom w:val="single" w:color="auto" w:sz="12" w:space="0"/>
                    <w:right w:val="single" w:color="auto" w:sz="12" w:space="0"/>
                  </w:tcBorders>
                  <w:vAlign w:val="center"/>
                </w:tcPr>
                <w:p w14:paraId="24EE24D5">
                  <w:pPr>
                    <w:rPr>
                      <w:rFonts w:hint="eastAsia"/>
                      <w:color w:val="auto"/>
                      <w:highlight w:val="none"/>
                    </w:rPr>
                  </w:pPr>
                  <w:r>
                    <w:rPr>
                      <w:rFonts w:hint="eastAsia" w:ascii="Times New Roman" w:eastAsia="宋体"/>
                      <w:color w:val="auto"/>
                      <w:highlight w:val="none"/>
                      <w:lang w:val="en-US" w:eastAsia="zh-CN"/>
                    </w:rPr>
                    <w:t>树掌风电场220kV升压站，配置1×100MVA主变，目前已接入并网的风电机组容量为</w:t>
                  </w:r>
                  <w:r>
                    <w:rPr>
                      <w:rFonts w:hint="default" w:ascii="Times New Roman" w:eastAsia="宋体"/>
                      <w:color w:val="auto"/>
                      <w:highlight w:val="none"/>
                      <w:lang w:val="en-US" w:eastAsia="zh-CN"/>
                    </w:rPr>
                    <w:t>50MW，</w:t>
                  </w:r>
                  <w:r>
                    <w:rPr>
                      <w:rFonts w:hint="eastAsia" w:ascii="Times New Roman" w:eastAsia="宋体"/>
                      <w:color w:val="auto"/>
                      <w:highlight w:val="none"/>
                      <w:lang w:val="en-US" w:eastAsia="zh-CN"/>
                    </w:rPr>
                    <w:t>尚余50MW容量。本项目运维管理新增5名工作人员，办公生活依托树掌风电场 220kV升压站建设的办公生活设施。</w:t>
                  </w:r>
                </w:p>
              </w:tc>
            </w:tr>
            <w:bookmarkEnd w:id="2"/>
          </w:tbl>
          <w:p w14:paraId="6C8A9CFB">
            <w:pPr>
              <w:adjustRightInd w:val="0"/>
              <w:snapToGrid w:val="0"/>
              <w:spacing w:line="480" w:lineRule="exact"/>
              <w:ind w:firstLine="480" w:firstLineChars="200"/>
              <w:jc w:val="left"/>
              <w:rPr>
                <w:color w:val="auto"/>
                <w:sz w:val="24"/>
                <w:highlight w:val="none"/>
              </w:rPr>
            </w:pPr>
            <w:r>
              <w:rPr>
                <w:rFonts w:hint="eastAsia"/>
                <w:color w:val="auto"/>
                <w:sz w:val="24"/>
                <w:highlight w:val="none"/>
              </w:rPr>
              <w:t>5、工程占地</w:t>
            </w:r>
          </w:p>
          <w:p w14:paraId="1CB53C6D">
            <w:pPr>
              <w:adjustRightInd w:val="0"/>
              <w:snapToGrid w:val="0"/>
              <w:spacing w:line="480" w:lineRule="exact"/>
              <w:ind w:firstLine="480" w:firstLineChars="200"/>
              <w:jc w:val="left"/>
              <w:rPr>
                <w:color w:val="auto"/>
                <w:sz w:val="24"/>
                <w:highlight w:val="none"/>
              </w:rPr>
            </w:pPr>
            <w:r>
              <w:rPr>
                <w:rFonts w:hint="eastAsia"/>
                <w:color w:val="auto"/>
                <w:sz w:val="24"/>
                <w:highlight w:val="none"/>
              </w:rPr>
              <w:t>本项目用地包括永久占地和临时用地，永久占地</w:t>
            </w:r>
            <w:r>
              <w:rPr>
                <w:rFonts w:hint="eastAsia" w:ascii="Times New Roman" w:eastAsia="宋体"/>
                <w:color w:val="auto"/>
                <w:sz w:val="24"/>
                <w:highlight w:val="none"/>
                <w:lang w:val="en-US" w:eastAsia="zh-CN"/>
              </w:rPr>
              <w:t>为</w:t>
            </w:r>
            <w:r>
              <w:rPr>
                <w:rFonts w:hint="eastAsia"/>
                <w:color w:val="auto"/>
                <w:sz w:val="24"/>
                <w:highlight w:val="none"/>
              </w:rPr>
              <w:t>风电机组基础</w:t>
            </w:r>
            <w:r>
              <w:rPr>
                <w:rFonts w:hint="eastAsia" w:ascii="Times New Roman" w:eastAsia="宋体"/>
                <w:color w:val="auto"/>
                <w:sz w:val="24"/>
                <w:highlight w:val="none"/>
                <w:lang w:val="en-US" w:eastAsia="zh-CN"/>
              </w:rPr>
              <w:t>和集电线路塔基占地</w:t>
            </w:r>
            <w:r>
              <w:rPr>
                <w:rFonts w:hint="eastAsia"/>
                <w:color w:val="auto"/>
                <w:sz w:val="24"/>
                <w:highlight w:val="none"/>
              </w:rPr>
              <w:t>；临时用地包括风电机组吊装平台临时用地</w:t>
            </w:r>
            <w:r>
              <w:rPr>
                <w:rFonts w:hint="eastAsia" w:ascii="Times New Roman" w:eastAsia="宋体"/>
                <w:color w:val="auto"/>
                <w:sz w:val="24"/>
                <w:highlight w:val="none"/>
                <w:lang w:val="en-US" w:eastAsia="zh-CN"/>
              </w:rPr>
              <w:t>和</w:t>
            </w:r>
            <w:r>
              <w:rPr>
                <w:rFonts w:hint="eastAsia"/>
                <w:color w:val="auto"/>
                <w:sz w:val="24"/>
                <w:highlight w:val="none"/>
              </w:rPr>
              <w:t>施工临建区占地。本项目永久占地面积为</w:t>
            </w:r>
            <w:r>
              <w:rPr>
                <w:rFonts w:hint="eastAsia" w:ascii="Times New Roman" w:eastAsia="宋体"/>
                <w:color w:val="auto"/>
                <w:sz w:val="24"/>
                <w:highlight w:val="none"/>
                <w:lang w:val="en-US" w:eastAsia="zh-CN"/>
              </w:rPr>
              <w:fldChar w:fldCharType="begin"/>
            </w:r>
            <w:r>
              <w:rPr>
                <w:rFonts w:hint="eastAsia" w:ascii="Times New Roman" w:eastAsia="宋体"/>
                <w:color w:val="auto"/>
                <w:sz w:val="24"/>
                <w:highlight w:val="none"/>
                <w:lang w:val="en-US" w:eastAsia="zh-CN"/>
              </w:rPr>
              <w:instrText xml:space="preserve"> =SUM(ABOVE) \* MERGEFORMAT </w:instrText>
            </w:r>
            <w:r>
              <w:rPr>
                <w:rFonts w:hint="eastAsia" w:ascii="Times New Roman" w:eastAsia="宋体"/>
                <w:color w:val="auto"/>
                <w:sz w:val="24"/>
                <w:highlight w:val="none"/>
                <w:lang w:val="en-US" w:eastAsia="zh-CN"/>
              </w:rPr>
              <w:fldChar w:fldCharType="separate"/>
            </w:r>
            <w:r>
              <w:rPr>
                <w:rFonts w:hint="eastAsia" w:ascii="Times New Roman" w:eastAsia="宋体"/>
                <w:color w:val="auto"/>
                <w:sz w:val="24"/>
                <w:highlight w:val="none"/>
                <w:lang w:val="en-US" w:eastAsia="zh-CN"/>
              </w:rPr>
              <w:t>0.8829</w:t>
            </w:r>
            <w:r>
              <w:rPr>
                <w:rFonts w:hint="eastAsia" w:ascii="Times New Roman" w:eastAsia="宋体"/>
                <w:color w:val="auto"/>
                <w:sz w:val="24"/>
                <w:highlight w:val="none"/>
                <w:lang w:val="en-US" w:eastAsia="zh-CN"/>
              </w:rPr>
              <w:fldChar w:fldCharType="end"/>
            </w:r>
            <w:r>
              <w:rPr>
                <w:rFonts w:hint="eastAsia" w:ascii="Times New Roman" w:eastAsia="宋体"/>
                <w:color w:val="auto"/>
                <w:sz w:val="24"/>
                <w:highlight w:val="none"/>
                <w:lang w:val="en-US" w:eastAsia="zh-CN"/>
              </w:rPr>
              <w:t>h</w:t>
            </w:r>
            <w:r>
              <w:rPr>
                <w:rFonts w:hint="eastAsia"/>
                <w:color w:val="auto"/>
                <w:sz w:val="24"/>
                <w:highlight w:val="none"/>
              </w:rPr>
              <w:t>m</w:t>
            </w:r>
            <w:r>
              <w:rPr>
                <w:rFonts w:hint="eastAsia"/>
                <w:color w:val="auto"/>
                <w:sz w:val="24"/>
                <w:highlight w:val="none"/>
                <w:vertAlign w:val="superscript"/>
              </w:rPr>
              <w:t>2</w:t>
            </w:r>
            <w:r>
              <w:rPr>
                <w:rFonts w:hint="eastAsia"/>
                <w:color w:val="auto"/>
                <w:sz w:val="24"/>
                <w:highlight w:val="none"/>
              </w:rPr>
              <w:t>，临时占地面积为</w:t>
            </w:r>
            <w:r>
              <w:rPr>
                <w:rFonts w:hint="eastAsia" w:ascii="Times New Roman" w:eastAsia="宋体"/>
                <w:color w:val="auto"/>
                <w:sz w:val="24"/>
                <w:highlight w:val="none"/>
                <w:lang w:val="en-US" w:eastAsia="zh-CN"/>
              </w:rPr>
              <w:t>2.986h</w:t>
            </w:r>
            <w:r>
              <w:rPr>
                <w:rFonts w:hint="eastAsia"/>
                <w:color w:val="auto"/>
                <w:sz w:val="24"/>
                <w:highlight w:val="none"/>
              </w:rPr>
              <w:t>m</w:t>
            </w:r>
            <w:r>
              <w:rPr>
                <w:rFonts w:hint="eastAsia"/>
                <w:color w:val="auto"/>
                <w:sz w:val="24"/>
                <w:highlight w:val="none"/>
                <w:vertAlign w:val="superscript"/>
              </w:rPr>
              <w:t>2</w:t>
            </w:r>
            <w:r>
              <w:rPr>
                <w:rFonts w:hint="eastAsia"/>
                <w:color w:val="auto"/>
                <w:sz w:val="24"/>
                <w:highlight w:val="none"/>
              </w:rPr>
              <w:t>，总占地面积为</w:t>
            </w:r>
            <w:r>
              <w:rPr>
                <w:rFonts w:hint="eastAsia"/>
                <w:color w:val="auto"/>
                <w:sz w:val="24"/>
                <w:highlight w:val="none"/>
              </w:rPr>
              <w:fldChar w:fldCharType="begin"/>
            </w:r>
            <w:r>
              <w:rPr>
                <w:rFonts w:hint="eastAsia"/>
                <w:color w:val="auto"/>
                <w:sz w:val="24"/>
                <w:highlight w:val="none"/>
              </w:rPr>
              <w:instrText xml:space="preserve"> =SUM(ABOVE) \* MERGEFORMAT </w:instrText>
            </w:r>
            <w:r>
              <w:rPr>
                <w:rFonts w:hint="eastAsia"/>
                <w:color w:val="auto"/>
                <w:sz w:val="24"/>
                <w:highlight w:val="none"/>
              </w:rPr>
              <w:fldChar w:fldCharType="separate"/>
            </w:r>
            <w:r>
              <w:rPr>
                <w:rFonts w:hint="eastAsia"/>
                <w:color w:val="auto"/>
                <w:sz w:val="24"/>
                <w:highlight w:val="none"/>
              </w:rPr>
              <w:t>3.8689</w:t>
            </w:r>
            <w:r>
              <w:rPr>
                <w:rFonts w:hint="eastAsia"/>
                <w:color w:val="auto"/>
                <w:sz w:val="24"/>
                <w:highlight w:val="none"/>
              </w:rPr>
              <w:fldChar w:fldCharType="end"/>
            </w:r>
            <w:r>
              <w:rPr>
                <w:rFonts w:hint="eastAsia" w:ascii="Times New Roman" w:eastAsia="宋体"/>
                <w:color w:val="auto"/>
                <w:sz w:val="24"/>
                <w:highlight w:val="none"/>
                <w:lang w:val="en-US" w:eastAsia="zh-CN"/>
              </w:rPr>
              <w:t>h</w:t>
            </w:r>
            <w:r>
              <w:rPr>
                <w:rFonts w:hint="eastAsia"/>
                <w:color w:val="auto"/>
                <w:sz w:val="24"/>
                <w:highlight w:val="none"/>
              </w:rPr>
              <w:t>m</w:t>
            </w:r>
            <w:r>
              <w:rPr>
                <w:rFonts w:hint="eastAsia"/>
                <w:color w:val="auto"/>
                <w:sz w:val="24"/>
                <w:highlight w:val="none"/>
                <w:vertAlign w:val="superscript"/>
              </w:rPr>
              <w:t>2</w:t>
            </w:r>
            <w:r>
              <w:rPr>
                <w:rFonts w:hint="eastAsia"/>
                <w:color w:val="auto"/>
                <w:sz w:val="24"/>
                <w:highlight w:val="none"/>
              </w:rPr>
              <w:t>。项目占地情况详见下表。</w:t>
            </w:r>
          </w:p>
          <w:p w14:paraId="6FDBE328">
            <w:pPr>
              <w:snapToGrid w:val="0"/>
              <w:jc w:val="center"/>
              <w:rPr>
                <w:rFonts w:eastAsia="黑体"/>
                <w:bCs/>
                <w:color w:val="auto"/>
                <w:highlight w:val="none"/>
                <w:vertAlign w:val="superscript"/>
              </w:rPr>
            </w:pPr>
            <w:r>
              <w:rPr>
                <w:rFonts w:eastAsia="黑体"/>
                <w:bCs/>
                <w:color w:val="auto"/>
                <w:highlight w:val="none"/>
              </w:rPr>
              <w:t>表</w:t>
            </w:r>
            <w:r>
              <w:rPr>
                <w:rFonts w:hint="eastAsia" w:ascii="黑体" w:hAnsi="黑体" w:eastAsia="黑体" w:cs="黑体"/>
                <w:bCs/>
                <w:color w:val="auto"/>
                <w:highlight w:val="none"/>
              </w:rPr>
              <w:t>2-4</w:t>
            </w:r>
            <w:r>
              <w:rPr>
                <w:rFonts w:eastAsia="黑体"/>
                <w:bCs/>
                <w:color w:val="auto"/>
                <w:highlight w:val="none"/>
              </w:rPr>
              <w:t xml:space="preserve">  本项目占地情况一览表  单位：</w:t>
            </w:r>
            <w:r>
              <w:rPr>
                <w:rFonts w:hint="eastAsia" w:eastAsia="黑体"/>
                <w:bCs/>
                <w:color w:val="auto"/>
                <w:highlight w:val="none"/>
                <w:lang w:val="en-US" w:eastAsia="zh-CN"/>
              </w:rPr>
              <w:t>h</w:t>
            </w:r>
            <w:r>
              <w:rPr>
                <w:rFonts w:eastAsia="黑体"/>
                <w:bCs/>
                <w:color w:val="auto"/>
                <w:highlight w:val="none"/>
              </w:rPr>
              <w:t>m</w:t>
            </w:r>
            <w:r>
              <w:rPr>
                <w:rFonts w:eastAsia="黑体"/>
                <w:bCs/>
                <w:color w:val="auto"/>
                <w:highlight w:val="none"/>
                <w:vertAlign w:val="superscript"/>
              </w:rPr>
              <w:t>2</w:t>
            </w:r>
          </w:p>
          <w:tbl>
            <w:tblPr>
              <w:tblStyle w:val="10"/>
              <w:tblW w:w="8159" w:type="dxa"/>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134"/>
              <w:gridCol w:w="1167"/>
              <w:gridCol w:w="1501"/>
              <w:gridCol w:w="1255"/>
              <w:gridCol w:w="1059"/>
              <w:gridCol w:w="1092"/>
              <w:gridCol w:w="951"/>
            </w:tblGrid>
            <w:tr w14:paraId="0C782AA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706" w:type="pct"/>
                  <w:tcBorders>
                    <w:tl2br w:val="nil"/>
                    <w:tr2bl w:val="nil"/>
                  </w:tcBorders>
                  <w:vAlign w:val="center"/>
                </w:tcPr>
                <w:p w14:paraId="6D5FDE6F">
                  <w:pPr>
                    <w:jc w:val="center"/>
                    <w:rPr>
                      <w:color w:val="auto"/>
                      <w:highlight w:val="none"/>
                    </w:rPr>
                  </w:pPr>
                  <w:bookmarkStart w:id="3" w:name="_Hlk160817365"/>
                  <w:bookmarkStart w:id="4" w:name="_Hlk166335978"/>
                  <w:r>
                    <w:rPr>
                      <w:color w:val="auto"/>
                      <w:highlight w:val="none"/>
                    </w:rPr>
                    <w:t>类别</w:t>
                  </w:r>
                </w:p>
              </w:tc>
              <w:tc>
                <w:tcPr>
                  <w:tcW w:w="726" w:type="pct"/>
                  <w:tcBorders>
                    <w:tl2br w:val="nil"/>
                    <w:tr2bl w:val="nil"/>
                  </w:tcBorders>
                  <w:vAlign w:val="center"/>
                </w:tcPr>
                <w:p w14:paraId="11E53160">
                  <w:pPr>
                    <w:jc w:val="center"/>
                    <w:rPr>
                      <w:color w:val="auto"/>
                      <w:highlight w:val="none"/>
                    </w:rPr>
                  </w:pPr>
                  <w:r>
                    <w:rPr>
                      <w:color w:val="auto"/>
                      <w:highlight w:val="none"/>
                    </w:rPr>
                    <w:t>项目区域</w:t>
                  </w:r>
                </w:p>
              </w:tc>
              <w:tc>
                <w:tcPr>
                  <w:tcW w:w="930" w:type="pct"/>
                  <w:tcBorders>
                    <w:tl2br w:val="nil"/>
                    <w:tr2bl w:val="nil"/>
                  </w:tcBorders>
                  <w:vAlign w:val="center"/>
                </w:tcPr>
                <w:p w14:paraId="20A3FCD4">
                  <w:pPr>
                    <w:jc w:val="center"/>
                    <w:rPr>
                      <w:color w:val="auto"/>
                      <w:highlight w:val="none"/>
                    </w:rPr>
                  </w:pPr>
                  <w:r>
                    <w:rPr>
                      <w:color w:val="auto"/>
                      <w:highlight w:val="none"/>
                    </w:rPr>
                    <w:t>工程内容</w:t>
                  </w:r>
                </w:p>
              </w:tc>
              <w:tc>
                <w:tcPr>
                  <w:tcW w:w="780" w:type="pct"/>
                  <w:tcBorders>
                    <w:tl2br w:val="nil"/>
                    <w:tr2bl w:val="nil"/>
                  </w:tcBorders>
                  <w:vAlign w:val="center"/>
                </w:tcPr>
                <w:p w14:paraId="4E271965">
                  <w:pPr>
                    <w:jc w:val="center"/>
                    <w:rPr>
                      <w:color w:val="auto"/>
                      <w:highlight w:val="none"/>
                    </w:rPr>
                  </w:pPr>
                  <w:r>
                    <w:rPr>
                      <w:color w:val="auto"/>
                      <w:highlight w:val="none"/>
                    </w:rPr>
                    <w:t>用地面积</w:t>
                  </w:r>
                </w:p>
              </w:tc>
              <w:tc>
                <w:tcPr>
                  <w:tcW w:w="1339" w:type="pct"/>
                  <w:gridSpan w:val="2"/>
                  <w:tcBorders>
                    <w:tl2br w:val="nil"/>
                    <w:tr2bl w:val="nil"/>
                  </w:tcBorders>
                  <w:vAlign w:val="center"/>
                </w:tcPr>
                <w:p w14:paraId="4D06235D">
                  <w:pPr>
                    <w:jc w:val="center"/>
                    <w:rPr>
                      <w:color w:val="auto"/>
                      <w:highlight w:val="none"/>
                    </w:rPr>
                  </w:pPr>
                  <w:r>
                    <w:rPr>
                      <w:color w:val="auto"/>
                      <w:highlight w:val="none"/>
                    </w:rPr>
                    <w:t>土地类型</w:t>
                  </w:r>
                </w:p>
              </w:tc>
              <w:tc>
                <w:tcPr>
                  <w:tcW w:w="517" w:type="pct"/>
                  <w:tcBorders>
                    <w:tl2br w:val="nil"/>
                    <w:tr2bl w:val="nil"/>
                  </w:tcBorders>
                  <w:vAlign w:val="center"/>
                </w:tcPr>
                <w:p w14:paraId="7F87814C">
                  <w:pPr>
                    <w:jc w:val="center"/>
                    <w:rPr>
                      <w:color w:val="auto"/>
                      <w:highlight w:val="none"/>
                    </w:rPr>
                  </w:pPr>
                  <w:r>
                    <w:rPr>
                      <w:color w:val="auto"/>
                      <w:highlight w:val="none"/>
                    </w:rPr>
                    <w:t>小计</w:t>
                  </w:r>
                </w:p>
              </w:tc>
            </w:tr>
            <w:tr w14:paraId="47DB030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67" w:hRule="atLeast"/>
              </w:trPr>
              <w:tc>
                <w:tcPr>
                  <w:tcW w:w="706" w:type="pct"/>
                  <w:vMerge w:val="restart"/>
                  <w:tcBorders>
                    <w:tl2br w:val="nil"/>
                    <w:tr2bl w:val="nil"/>
                  </w:tcBorders>
                  <w:vAlign w:val="center"/>
                </w:tcPr>
                <w:p w14:paraId="6F395E97">
                  <w:pPr>
                    <w:jc w:val="center"/>
                    <w:rPr>
                      <w:color w:val="auto"/>
                      <w:highlight w:val="none"/>
                    </w:rPr>
                  </w:pPr>
                  <w:r>
                    <w:rPr>
                      <w:color w:val="auto"/>
                      <w:highlight w:val="none"/>
                    </w:rPr>
                    <w:t>永久占地</w:t>
                  </w:r>
                </w:p>
              </w:tc>
              <w:tc>
                <w:tcPr>
                  <w:tcW w:w="726" w:type="pct"/>
                  <w:vMerge w:val="restart"/>
                  <w:tcBorders>
                    <w:tl2br w:val="nil"/>
                    <w:tr2bl w:val="nil"/>
                  </w:tcBorders>
                  <w:vAlign w:val="center"/>
                </w:tcPr>
                <w:p w14:paraId="78A38AB3">
                  <w:pPr>
                    <w:jc w:val="center"/>
                    <w:rPr>
                      <w:color w:val="auto"/>
                      <w:highlight w:val="none"/>
                    </w:rPr>
                  </w:pPr>
                  <w:r>
                    <w:rPr>
                      <w:color w:val="auto"/>
                      <w:highlight w:val="none"/>
                    </w:rPr>
                    <w:t>风机机组</w:t>
                  </w:r>
                </w:p>
              </w:tc>
              <w:tc>
                <w:tcPr>
                  <w:tcW w:w="930" w:type="pct"/>
                  <w:vMerge w:val="restart"/>
                  <w:tcBorders>
                    <w:tl2br w:val="nil"/>
                    <w:tr2bl w:val="nil"/>
                  </w:tcBorders>
                  <w:vAlign w:val="center"/>
                </w:tcPr>
                <w:p w14:paraId="350CE4D2">
                  <w:pPr>
                    <w:jc w:val="center"/>
                    <w:rPr>
                      <w:color w:val="auto"/>
                      <w:highlight w:val="none"/>
                    </w:rPr>
                  </w:pPr>
                  <w:r>
                    <w:rPr>
                      <w:color w:val="auto"/>
                      <w:highlight w:val="none"/>
                    </w:rPr>
                    <w:t>风机基础</w:t>
                  </w:r>
                </w:p>
              </w:tc>
              <w:tc>
                <w:tcPr>
                  <w:tcW w:w="780" w:type="pct"/>
                  <w:vMerge w:val="restart"/>
                  <w:tcBorders>
                    <w:tl2br w:val="nil"/>
                    <w:tr2bl w:val="nil"/>
                  </w:tcBorders>
                  <w:vAlign w:val="center"/>
                </w:tcPr>
                <w:p w14:paraId="4AB3266D">
                  <w:pPr>
                    <w:jc w:val="center"/>
                    <w:rPr>
                      <w:rFonts w:hint="default" w:eastAsia="宋体"/>
                      <w:color w:val="auto"/>
                      <w:highlight w:val="none"/>
                      <w:lang w:val="en-US" w:eastAsia="zh-CN"/>
                    </w:rPr>
                  </w:pPr>
                  <w:r>
                    <w:rPr>
                      <w:rFonts w:hint="eastAsia" w:ascii="Times New Roman" w:eastAsia="宋体"/>
                      <w:color w:val="auto"/>
                      <w:highlight w:val="none"/>
                      <w:lang w:val="en-US" w:eastAsia="zh-CN"/>
                    </w:rPr>
                    <w:t>0.2230</w:t>
                  </w:r>
                </w:p>
              </w:tc>
              <w:tc>
                <w:tcPr>
                  <w:tcW w:w="660" w:type="pct"/>
                  <w:tcBorders>
                    <w:tl2br w:val="nil"/>
                    <w:tr2bl w:val="nil"/>
                  </w:tcBorders>
                  <w:vAlign w:val="center"/>
                </w:tcPr>
                <w:p w14:paraId="55D61124">
                  <w:pPr>
                    <w:jc w:val="center"/>
                    <w:rPr>
                      <w:rFonts w:hint="default" w:eastAsia="宋体"/>
                      <w:color w:val="auto"/>
                      <w:highlight w:val="none"/>
                      <w:lang w:val="en-US" w:eastAsia="zh-CN"/>
                    </w:rPr>
                  </w:pPr>
                  <w:r>
                    <w:rPr>
                      <w:rFonts w:hint="eastAsia" w:ascii="Times New Roman" w:eastAsia="宋体"/>
                      <w:color w:val="auto"/>
                      <w:highlight w:val="none"/>
                      <w:lang w:val="en-US" w:eastAsia="zh-CN"/>
                    </w:rPr>
                    <w:t>其他草地</w:t>
                  </w:r>
                </w:p>
              </w:tc>
              <w:tc>
                <w:tcPr>
                  <w:tcW w:w="679" w:type="pct"/>
                  <w:tcBorders>
                    <w:tl2br w:val="nil"/>
                    <w:tr2bl w:val="nil"/>
                  </w:tcBorders>
                  <w:vAlign w:val="center"/>
                </w:tcPr>
                <w:p w14:paraId="32B8C8CC">
                  <w:pPr>
                    <w:jc w:val="center"/>
                    <w:rPr>
                      <w:rFonts w:hint="eastAsia"/>
                      <w:color w:val="auto"/>
                      <w:highlight w:val="none"/>
                      <w:lang w:val="en-US" w:eastAsia="zh-CN"/>
                    </w:rPr>
                  </w:pPr>
                  <w:r>
                    <w:rPr>
                      <w:rFonts w:hint="eastAsia" w:ascii="Times New Roman" w:eastAsia="宋体"/>
                      <w:color w:val="auto"/>
                      <w:highlight w:val="none"/>
                      <w:lang w:val="en-US" w:eastAsia="zh-CN"/>
                    </w:rPr>
                    <w:t>0.0847</w:t>
                  </w:r>
                </w:p>
              </w:tc>
              <w:tc>
                <w:tcPr>
                  <w:tcW w:w="517" w:type="pct"/>
                  <w:vMerge w:val="restart"/>
                  <w:tcBorders>
                    <w:tl2br w:val="nil"/>
                    <w:tr2bl w:val="nil"/>
                  </w:tcBorders>
                  <w:vAlign w:val="center"/>
                </w:tcPr>
                <w:p w14:paraId="105C815A">
                  <w:pPr>
                    <w:jc w:val="center"/>
                    <w:rPr>
                      <w:rFonts w:hint="default" w:eastAsia="宋体"/>
                      <w:color w:val="auto"/>
                      <w:highlight w:val="none"/>
                      <w:lang w:val="en-US" w:eastAsia="zh-CN"/>
                    </w:rPr>
                  </w:pPr>
                  <w:r>
                    <w:rPr>
                      <w:rFonts w:hint="default" w:eastAsia="宋体"/>
                      <w:color w:val="auto"/>
                      <w:highlight w:val="none"/>
                      <w:lang w:val="en-US" w:eastAsia="zh-CN"/>
                    </w:rPr>
                    <w:fldChar w:fldCharType="begin"/>
                  </w:r>
                  <w:r>
                    <w:rPr>
                      <w:rFonts w:hint="default" w:eastAsia="宋体"/>
                      <w:color w:val="auto"/>
                      <w:highlight w:val="none"/>
                      <w:lang w:val="en-US" w:eastAsia="zh-CN"/>
                    </w:rPr>
                    <w:instrText xml:space="preserve"> =SUM(ABOVE) \* MERGEFORMAT </w:instrText>
                  </w:r>
                  <w:r>
                    <w:rPr>
                      <w:rFonts w:hint="default" w:eastAsia="宋体"/>
                      <w:color w:val="auto"/>
                      <w:highlight w:val="none"/>
                      <w:lang w:val="en-US" w:eastAsia="zh-CN"/>
                    </w:rPr>
                    <w:fldChar w:fldCharType="separate"/>
                  </w:r>
                  <w:r>
                    <w:rPr>
                      <w:rFonts w:hint="default" w:eastAsia="宋体"/>
                      <w:color w:val="auto"/>
                      <w:highlight w:val="none"/>
                      <w:lang w:val="en-US" w:eastAsia="zh-CN"/>
                    </w:rPr>
                    <w:t>0.8829</w:t>
                  </w:r>
                  <w:r>
                    <w:rPr>
                      <w:rFonts w:hint="default" w:eastAsia="宋体"/>
                      <w:color w:val="auto"/>
                      <w:highlight w:val="none"/>
                      <w:lang w:val="en-US" w:eastAsia="zh-CN"/>
                    </w:rPr>
                    <w:fldChar w:fldCharType="end"/>
                  </w:r>
                </w:p>
              </w:tc>
            </w:tr>
            <w:tr w14:paraId="2325A1D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89" w:hRule="atLeast"/>
              </w:trPr>
              <w:tc>
                <w:tcPr>
                  <w:tcW w:w="706" w:type="pct"/>
                  <w:vMerge w:val="continue"/>
                  <w:tcBorders>
                    <w:tl2br w:val="nil"/>
                    <w:tr2bl w:val="nil"/>
                  </w:tcBorders>
                  <w:vAlign w:val="center"/>
                </w:tcPr>
                <w:p w14:paraId="3811141E">
                  <w:pPr>
                    <w:jc w:val="center"/>
                    <w:rPr>
                      <w:color w:val="auto"/>
                      <w:highlight w:val="none"/>
                    </w:rPr>
                  </w:pPr>
                </w:p>
              </w:tc>
              <w:tc>
                <w:tcPr>
                  <w:tcW w:w="726" w:type="pct"/>
                  <w:vMerge w:val="continue"/>
                  <w:tcBorders>
                    <w:tl2br w:val="nil"/>
                    <w:tr2bl w:val="nil"/>
                  </w:tcBorders>
                  <w:vAlign w:val="center"/>
                </w:tcPr>
                <w:p w14:paraId="023D892F">
                  <w:pPr>
                    <w:jc w:val="center"/>
                    <w:rPr>
                      <w:color w:val="auto"/>
                      <w:highlight w:val="none"/>
                    </w:rPr>
                  </w:pPr>
                </w:p>
              </w:tc>
              <w:tc>
                <w:tcPr>
                  <w:tcW w:w="930" w:type="pct"/>
                  <w:vMerge w:val="continue"/>
                  <w:tcBorders>
                    <w:tl2br w:val="nil"/>
                    <w:tr2bl w:val="nil"/>
                  </w:tcBorders>
                  <w:vAlign w:val="center"/>
                </w:tcPr>
                <w:p w14:paraId="0DC49217">
                  <w:pPr>
                    <w:jc w:val="center"/>
                    <w:rPr>
                      <w:color w:val="auto"/>
                      <w:highlight w:val="none"/>
                    </w:rPr>
                  </w:pPr>
                </w:p>
              </w:tc>
              <w:tc>
                <w:tcPr>
                  <w:tcW w:w="780" w:type="pct"/>
                  <w:vMerge w:val="continue"/>
                  <w:tcBorders>
                    <w:tl2br w:val="nil"/>
                    <w:tr2bl w:val="nil"/>
                  </w:tcBorders>
                  <w:vAlign w:val="center"/>
                </w:tcPr>
                <w:p w14:paraId="492530CF">
                  <w:pPr>
                    <w:jc w:val="center"/>
                    <w:rPr>
                      <w:color w:val="auto"/>
                      <w:highlight w:val="none"/>
                    </w:rPr>
                  </w:pPr>
                </w:p>
              </w:tc>
              <w:tc>
                <w:tcPr>
                  <w:tcW w:w="660" w:type="pct"/>
                  <w:tcBorders>
                    <w:tl2br w:val="nil"/>
                    <w:tr2bl w:val="nil"/>
                  </w:tcBorders>
                  <w:shd w:val="clear" w:color="auto" w:fill="auto"/>
                  <w:vAlign w:val="center"/>
                </w:tcPr>
                <w:p w14:paraId="32CE4560">
                  <w:pPr>
                    <w:jc w:val="center"/>
                    <w:rPr>
                      <w:rFonts w:hint="default" w:ascii="Times New Roman" w:hAnsi="Times New Roman" w:eastAsia="宋体" w:cs="Times New Roman"/>
                      <w:color w:val="auto"/>
                      <w:kern w:val="2"/>
                      <w:sz w:val="21"/>
                      <w:szCs w:val="24"/>
                      <w:highlight w:val="none"/>
                      <w:lang w:val="en-US" w:eastAsia="zh-CN" w:bidi="ar-SA"/>
                    </w:rPr>
                  </w:pPr>
                  <w:r>
                    <w:rPr>
                      <w:rFonts w:hint="eastAsia"/>
                      <w:color w:val="auto"/>
                      <w:highlight w:val="none"/>
                    </w:rPr>
                    <w:t>灌木</w:t>
                  </w:r>
                  <w:r>
                    <w:rPr>
                      <w:color w:val="auto"/>
                      <w:highlight w:val="none"/>
                    </w:rPr>
                    <w:t>林地</w:t>
                  </w:r>
                </w:p>
              </w:tc>
              <w:tc>
                <w:tcPr>
                  <w:tcW w:w="679" w:type="pct"/>
                  <w:tcBorders>
                    <w:tl2br w:val="nil"/>
                    <w:tr2bl w:val="nil"/>
                  </w:tcBorders>
                  <w:shd w:val="clear" w:color="auto" w:fill="auto"/>
                  <w:vAlign w:val="center"/>
                </w:tcPr>
                <w:p w14:paraId="1FC72C2B">
                  <w:pPr>
                    <w:jc w:val="center"/>
                    <w:rPr>
                      <w:rFonts w:hint="default" w:eastAsia="宋体"/>
                      <w:color w:val="auto"/>
                      <w:highlight w:val="none"/>
                      <w:lang w:val="en-US" w:eastAsia="zh-CN"/>
                    </w:rPr>
                  </w:pPr>
                  <w:r>
                    <w:rPr>
                      <w:rFonts w:hint="eastAsia" w:ascii="Times New Roman" w:eastAsia="宋体"/>
                      <w:color w:val="auto"/>
                      <w:highlight w:val="none"/>
                      <w:lang w:val="en-US" w:eastAsia="zh-CN"/>
                    </w:rPr>
                    <w:t>0.0541</w:t>
                  </w:r>
                </w:p>
              </w:tc>
              <w:tc>
                <w:tcPr>
                  <w:tcW w:w="517" w:type="pct"/>
                  <w:vMerge w:val="continue"/>
                  <w:tcBorders>
                    <w:tl2br w:val="nil"/>
                    <w:tr2bl w:val="nil"/>
                  </w:tcBorders>
                  <w:vAlign w:val="center"/>
                </w:tcPr>
                <w:p w14:paraId="1A29614B">
                  <w:pPr>
                    <w:jc w:val="center"/>
                    <w:rPr>
                      <w:color w:val="auto"/>
                      <w:highlight w:val="none"/>
                    </w:rPr>
                  </w:pPr>
                </w:p>
              </w:tc>
            </w:tr>
            <w:tr w14:paraId="3DDEEF8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89" w:hRule="atLeast"/>
              </w:trPr>
              <w:tc>
                <w:tcPr>
                  <w:tcW w:w="706" w:type="pct"/>
                  <w:vMerge w:val="continue"/>
                  <w:tcBorders>
                    <w:tl2br w:val="nil"/>
                    <w:tr2bl w:val="nil"/>
                  </w:tcBorders>
                  <w:vAlign w:val="center"/>
                </w:tcPr>
                <w:p w14:paraId="2E195AEB">
                  <w:pPr>
                    <w:jc w:val="center"/>
                    <w:rPr>
                      <w:color w:val="auto"/>
                      <w:highlight w:val="none"/>
                    </w:rPr>
                  </w:pPr>
                </w:p>
              </w:tc>
              <w:tc>
                <w:tcPr>
                  <w:tcW w:w="726" w:type="pct"/>
                  <w:vMerge w:val="continue"/>
                  <w:tcBorders>
                    <w:tl2br w:val="nil"/>
                    <w:tr2bl w:val="nil"/>
                  </w:tcBorders>
                  <w:vAlign w:val="center"/>
                </w:tcPr>
                <w:p w14:paraId="183E546C">
                  <w:pPr>
                    <w:jc w:val="center"/>
                    <w:rPr>
                      <w:color w:val="auto"/>
                      <w:highlight w:val="none"/>
                    </w:rPr>
                  </w:pPr>
                </w:p>
              </w:tc>
              <w:tc>
                <w:tcPr>
                  <w:tcW w:w="930" w:type="pct"/>
                  <w:vMerge w:val="continue"/>
                  <w:tcBorders>
                    <w:tl2br w:val="nil"/>
                    <w:tr2bl w:val="nil"/>
                  </w:tcBorders>
                  <w:vAlign w:val="center"/>
                </w:tcPr>
                <w:p w14:paraId="54677CF5">
                  <w:pPr>
                    <w:jc w:val="center"/>
                    <w:rPr>
                      <w:color w:val="auto"/>
                      <w:highlight w:val="none"/>
                    </w:rPr>
                  </w:pPr>
                </w:p>
              </w:tc>
              <w:tc>
                <w:tcPr>
                  <w:tcW w:w="780" w:type="pct"/>
                  <w:vMerge w:val="continue"/>
                  <w:tcBorders>
                    <w:tl2br w:val="nil"/>
                    <w:tr2bl w:val="nil"/>
                  </w:tcBorders>
                  <w:vAlign w:val="center"/>
                </w:tcPr>
                <w:p w14:paraId="4C7D1C9B">
                  <w:pPr>
                    <w:jc w:val="center"/>
                    <w:rPr>
                      <w:color w:val="auto"/>
                      <w:highlight w:val="none"/>
                    </w:rPr>
                  </w:pPr>
                </w:p>
              </w:tc>
              <w:tc>
                <w:tcPr>
                  <w:tcW w:w="660" w:type="pct"/>
                  <w:tcBorders>
                    <w:tl2br w:val="nil"/>
                    <w:tr2bl w:val="nil"/>
                  </w:tcBorders>
                  <w:vAlign w:val="center"/>
                </w:tcPr>
                <w:p w14:paraId="3E55A14A">
                  <w:pPr>
                    <w:jc w:val="center"/>
                    <w:rPr>
                      <w:color w:val="auto"/>
                      <w:highlight w:val="none"/>
                    </w:rPr>
                  </w:pPr>
                  <w:r>
                    <w:rPr>
                      <w:rFonts w:hint="eastAsia" w:ascii="Times New Roman" w:eastAsia="宋体"/>
                      <w:color w:val="auto"/>
                      <w:highlight w:val="none"/>
                      <w:lang w:val="en-US" w:eastAsia="zh-CN"/>
                    </w:rPr>
                    <w:t>其他林地</w:t>
                  </w:r>
                </w:p>
              </w:tc>
              <w:tc>
                <w:tcPr>
                  <w:tcW w:w="679" w:type="pct"/>
                  <w:tcBorders>
                    <w:tl2br w:val="nil"/>
                    <w:tr2bl w:val="nil"/>
                  </w:tcBorders>
                  <w:vAlign w:val="center"/>
                </w:tcPr>
                <w:p w14:paraId="19D59888">
                  <w:pPr>
                    <w:jc w:val="center"/>
                    <w:rPr>
                      <w:rFonts w:hint="default"/>
                      <w:color w:val="auto"/>
                      <w:highlight w:val="none"/>
                      <w:lang w:val="en-US" w:eastAsia="zh-CN"/>
                    </w:rPr>
                  </w:pPr>
                  <w:r>
                    <w:rPr>
                      <w:rFonts w:hint="eastAsia" w:ascii="Times New Roman" w:eastAsia="宋体"/>
                      <w:color w:val="auto"/>
                      <w:highlight w:val="none"/>
                      <w:lang w:val="en-US" w:eastAsia="zh-CN"/>
                    </w:rPr>
                    <w:t>0.0019</w:t>
                  </w:r>
                </w:p>
              </w:tc>
              <w:tc>
                <w:tcPr>
                  <w:tcW w:w="517" w:type="pct"/>
                  <w:vMerge w:val="continue"/>
                  <w:tcBorders>
                    <w:tl2br w:val="nil"/>
                    <w:tr2bl w:val="nil"/>
                  </w:tcBorders>
                  <w:vAlign w:val="center"/>
                </w:tcPr>
                <w:p w14:paraId="6B9DC01D">
                  <w:pPr>
                    <w:jc w:val="center"/>
                    <w:rPr>
                      <w:color w:val="auto"/>
                      <w:highlight w:val="none"/>
                    </w:rPr>
                  </w:pPr>
                </w:p>
              </w:tc>
            </w:tr>
            <w:tr w14:paraId="4E3924C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89" w:hRule="atLeast"/>
              </w:trPr>
              <w:tc>
                <w:tcPr>
                  <w:tcW w:w="706" w:type="pct"/>
                  <w:vMerge w:val="continue"/>
                  <w:tcBorders>
                    <w:tl2br w:val="nil"/>
                    <w:tr2bl w:val="nil"/>
                  </w:tcBorders>
                  <w:vAlign w:val="center"/>
                </w:tcPr>
                <w:p w14:paraId="5AF37F07">
                  <w:pPr>
                    <w:jc w:val="center"/>
                    <w:rPr>
                      <w:color w:val="auto"/>
                      <w:highlight w:val="none"/>
                    </w:rPr>
                  </w:pPr>
                </w:p>
              </w:tc>
              <w:tc>
                <w:tcPr>
                  <w:tcW w:w="726" w:type="pct"/>
                  <w:vMerge w:val="continue"/>
                  <w:tcBorders>
                    <w:tl2br w:val="nil"/>
                    <w:tr2bl w:val="nil"/>
                  </w:tcBorders>
                  <w:vAlign w:val="center"/>
                </w:tcPr>
                <w:p w14:paraId="749BC6F9">
                  <w:pPr>
                    <w:jc w:val="center"/>
                    <w:rPr>
                      <w:color w:val="auto"/>
                      <w:highlight w:val="none"/>
                    </w:rPr>
                  </w:pPr>
                </w:p>
              </w:tc>
              <w:tc>
                <w:tcPr>
                  <w:tcW w:w="930" w:type="pct"/>
                  <w:vMerge w:val="continue"/>
                  <w:tcBorders>
                    <w:tl2br w:val="nil"/>
                    <w:tr2bl w:val="nil"/>
                  </w:tcBorders>
                  <w:vAlign w:val="center"/>
                </w:tcPr>
                <w:p w14:paraId="6AF9C21C">
                  <w:pPr>
                    <w:jc w:val="center"/>
                    <w:rPr>
                      <w:color w:val="auto"/>
                      <w:highlight w:val="none"/>
                    </w:rPr>
                  </w:pPr>
                </w:p>
              </w:tc>
              <w:tc>
                <w:tcPr>
                  <w:tcW w:w="780" w:type="pct"/>
                  <w:vMerge w:val="continue"/>
                  <w:tcBorders>
                    <w:tl2br w:val="nil"/>
                    <w:tr2bl w:val="nil"/>
                  </w:tcBorders>
                  <w:vAlign w:val="center"/>
                </w:tcPr>
                <w:p w14:paraId="2FC86694">
                  <w:pPr>
                    <w:jc w:val="center"/>
                    <w:rPr>
                      <w:color w:val="auto"/>
                      <w:highlight w:val="none"/>
                    </w:rPr>
                  </w:pPr>
                </w:p>
              </w:tc>
              <w:tc>
                <w:tcPr>
                  <w:tcW w:w="660" w:type="pct"/>
                  <w:tcBorders>
                    <w:tl2br w:val="nil"/>
                    <w:tr2bl w:val="nil"/>
                  </w:tcBorders>
                  <w:vAlign w:val="center"/>
                </w:tcPr>
                <w:p w14:paraId="457D5334">
                  <w:pPr>
                    <w:jc w:val="center"/>
                    <w:rPr>
                      <w:color w:val="auto"/>
                      <w:highlight w:val="none"/>
                    </w:rPr>
                  </w:pPr>
                  <w:r>
                    <w:rPr>
                      <w:rFonts w:hint="eastAsia" w:ascii="Times New Roman" w:eastAsia="宋体"/>
                      <w:color w:val="auto"/>
                      <w:highlight w:val="none"/>
                      <w:lang w:val="en-US" w:eastAsia="zh-CN"/>
                    </w:rPr>
                    <w:t>乔木林地</w:t>
                  </w:r>
                </w:p>
              </w:tc>
              <w:tc>
                <w:tcPr>
                  <w:tcW w:w="679" w:type="pct"/>
                  <w:tcBorders>
                    <w:tl2br w:val="nil"/>
                    <w:tr2bl w:val="nil"/>
                  </w:tcBorders>
                  <w:vAlign w:val="center"/>
                </w:tcPr>
                <w:p w14:paraId="399FDB2F">
                  <w:pPr>
                    <w:jc w:val="center"/>
                    <w:rPr>
                      <w:rFonts w:hint="default"/>
                      <w:color w:val="auto"/>
                      <w:highlight w:val="none"/>
                      <w:lang w:val="en-US" w:eastAsia="zh-CN"/>
                    </w:rPr>
                  </w:pPr>
                  <w:r>
                    <w:rPr>
                      <w:rFonts w:hint="eastAsia" w:ascii="Times New Roman" w:eastAsia="宋体"/>
                      <w:color w:val="auto"/>
                      <w:highlight w:val="none"/>
                      <w:lang w:val="en-US" w:eastAsia="zh-CN"/>
                    </w:rPr>
                    <w:t>0.0823</w:t>
                  </w:r>
                </w:p>
              </w:tc>
              <w:tc>
                <w:tcPr>
                  <w:tcW w:w="517" w:type="pct"/>
                  <w:vMerge w:val="continue"/>
                  <w:tcBorders>
                    <w:tl2br w:val="nil"/>
                    <w:tr2bl w:val="nil"/>
                  </w:tcBorders>
                  <w:vAlign w:val="center"/>
                </w:tcPr>
                <w:p w14:paraId="4A892984">
                  <w:pPr>
                    <w:jc w:val="center"/>
                    <w:rPr>
                      <w:color w:val="auto"/>
                      <w:highlight w:val="none"/>
                    </w:rPr>
                  </w:pPr>
                </w:p>
              </w:tc>
            </w:tr>
            <w:tr w14:paraId="22DF457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6" w:hRule="atLeast"/>
              </w:trPr>
              <w:tc>
                <w:tcPr>
                  <w:tcW w:w="706" w:type="pct"/>
                  <w:vMerge w:val="continue"/>
                  <w:tcBorders>
                    <w:tl2br w:val="nil"/>
                    <w:tr2bl w:val="nil"/>
                  </w:tcBorders>
                  <w:vAlign w:val="center"/>
                </w:tcPr>
                <w:p w14:paraId="783CA0AF">
                  <w:pPr>
                    <w:jc w:val="center"/>
                    <w:rPr>
                      <w:color w:val="auto"/>
                      <w:highlight w:val="none"/>
                    </w:rPr>
                  </w:pPr>
                </w:p>
              </w:tc>
              <w:tc>
                <w:tcPr>
                  <w:tcW w:w="726" w:type="pct"/>
                  <w:vMerge w:val="restart"/>
                  <w:tcBorders>
                    <w:tl2br w:val="nil"/>
                    <w:tr2bl w:val="nil"/>
                  </w:tcBorders>
                  <w:vAlign w:val="center"/>
                </w:tcPr>
                <w:p w14:paraId="48ED44F2">
                  <w:pPr>
                    <w:jc w:val="center"/>
                    <w:rPr>
                      <w:color w:val="auto"/>
                      <w:highlight w:val="none"/>
                    </w:rPr>
                  </w:pPr>
                  <w:r>
                    <w:rPr>
                      <w:color w:val="auto"/>
                      <w:highlight w:val="none"/>
                    </w:rPr>
                    <w:t>集电线路</w:t>
                  </w:r>
                </w:p>
              </w:tc>
              <w:tc>
                <w:tcPr>
                  <w:tcW w:w="930" w:type="pct"/>
                  <w:vMerge w:val="restart"/>
                  <w:tcBorders>
                    <w:tl2br w:val="nil"/>
                    <w:tr2bl w:val="nil"/>
                  </w:tcBorders>
                  <w:vAlign w:val="center"/>
                </w:tcPr>
                <w:p w14:paraId="517ADCFE">
                  <w:pPr>
                    <w:jc w:val="center"/>
                    <w:rPr>
                      <w:rFonts w:hint="eastAsia" w:eastAsia="宋体"/>
                      <w:color w:val="auto"/>
                      <w:highlight w:val="none"/>
                      <w:lang w:val="en-US" w:eastAsia="zh-CN"/>
                    </w:rPr>
                  </w:pPr>
                  <w:r>
                    <w:rPr>
                      <w:rFonts w:hint="eastAsia" w:ascii="Times New Roman" w:eastAsia="宋体"/>
                      <w:color w:val="auto"/>
                      <w:highlight w:val="none"/>
                      <w:lang w:val="en-US" w:eastAsia="zh-CN"/>
                    </w:rPr>
                    <w:t>塔基</w:t>
                  </w:r>
                </w:p>
              </w:tc>
              <w:tc>
                <w:tcPr>
                  <w:tcW w:w="780" w:type="pct"/>
                  <w:vMerge w:val="restart"/>
                  <w:tcBorders>
                    <w:tl2br w:val="nil"/>
                    <w:tr2bl w:val="nil"/>
                  </w:tcBorders>
                  <w:vAlign w:val="center"/>
                </w:tcPr>
                <w:p w14:paraId="717CD762">
                  <w:pPr>
                    <w:jc w:val="center"/>
                    <w:rPr>
                      <w:rFonts w:hint="default" w:eastAsia="宋体"/>
                      <w:color w:val="auto"/>
                      <w:highlight w:val="none"/>
                      <w:lang w:val="en-US" w:eastAsia="zh-CN"/>
                    </w:rPr>
                  </w:pPr>
                  <w:r>
                    <w:rPr>
                      <w:rFonts w:hint="default" w:eastAsia="宋体"/>
                      <w:color w:val="auto"/>
                      <w:highlight w:val="none"/>
                      <w:lang w:val="en-US" w:eastAsia="zh-CN"/>
                    </w:rPr>
                    <w:t>0.6599</w:t>
                  </w:r>
                </w:p>
              </w:tc>
              <w:tc>
                <w:tcPr>
                  <w:tcW w:w="660" w:type="pct"/>
                  <w:tcBorders>
                    <w:tl2br w:val="nil"/>
                    <w:tr2bl w:val="nil"/>
                  </w:tcBorders>
                  <w:vAlign w:val="center"/>
                </w:tcPr>
                <w:p w14:paraId="5D5FC602">
                  <w:pPr>
                    <w:jc w:val="center"/>
                    <w:rPr>
                      <w:rFonts w:hint="default" w:eastAsia="宋体"/>
                      <w:color w:val="auto"/>
                      <w:highlight w:val="none"/>
                      <w:lang w:val="en-US" w:eastAsia="zh-CN"/>
                    </w:rPr>
                  </w:pPr>
                  <w:r>
                    <w:rPr>
                      <w:rFonts w:hint="eastAsia" w:ascii="Times New Roman" w:eastAsia="宋体"/>
                      <w:color w:val="auto"/>
                      <w:highlight w:val="none"/>
                      <w:lang w:val="en-US" w:eastAsia="zh-CN"/>
                    </w:rPr>
                    <w:t>旱地</w:t>
                  </w:r>
                </w:p>
              </w:tc>
              <w:tc>
                <w:tcPr>
                  <w:tcW w:w="679" w:type="pct"/>
                  <w:tcBorders>
                    <w:tl2br w:val="nil"/>
                    <w:tr2bl w:val="nil"/>
                  </w:tcBorders>
                  <w:vAlign w:val="center"/>
                </w:tcPr>
                <w:p w14:paraId="4D00DB6E">
                  <w:pPr>
                    <w:jc w:val="center"/>
                    <w:rPr>
                      <w:color w:val="auto"/>
                      <w:highlight w:val="none"/>
                    </w:rPr>
                  </w:pPr>
                  <w:r>
                    <w:rPr>
                      <w:color w:val="auto"/>
                      <w:highlight w:val="none"/>
                      <w:lang w:val="en-US" w:eastAsia="zh-CN"/>
                    </w:rPr>
                    <w:t>0.1094</w:t>
                  </w:r>
                </w:p>
              </w:tc>
              <w:tc>
                <w:tcPr>
                  <w:tcW w:w="517" w:type="pct"/>
                  <w:vMerge w:val="continue"/>
                  <w:tcBorders>
                    <w:tl2br w:val="nil"/>
                    <w:tr2bl w:val="nil"/>
                  </w:tcBorders>
                  <w:vAlign w:val="center"/>
                </w:tcPr>
                <w:p w14:paraId="3E3C1ADC">
                  <w:pPr>
                    <w:jc w:val="center"/>
                    <w:rPr>
                      <w:color w:val="auto"/>
                      <w:highlight w:val="none"/>
                    </w:rPr>
                  </w:pPr>
                </w:p>
              </w:tc>
            </w:tr>
            <w:tr w14:paraId="31328C2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6" w:hRule="atLeast"/>
              </w:trPr>
              <w:tc>
                <w:tcPr>
                  <w:tcW w:w="706" w:type="pct"/>
                  <w:vMerge w:val="continue"/>
                  <w:tcBorders>
                    <w:tl2br w:val="nil"/>
                    <w:tr2bl w:val="nil"/>
                  </w:tcBorders>
                  <w:vAlign w:val="center"/>
                </w:tcPr>
                <w:p w14:paraId="2D751927">
                  <w:pPr>
                    <w:jc w:val="center"/>
                    <w:rPr>
                      <w:color w:val="auto"/>
                      <w:highlight w:val="none"/>
                    </w:rPr>
                  </w:pPr>
                </w:p>
              </w:tc>
              <w:tc>
                <w:tcPr>
                  <w:tcW w:w="726" w:type="pct"/>
                  <w:vMerge w:val="continue"/>
                  <w:tcBorders>
                    <w:tl2br w:val="nil"/>
                    <w:tr2bl w:val="nil"/>
                  </w:tcBorders>
                  <w:vAlign w:val="center"/>
                </w:tcPr>
                <w:p w14:paraId="70776409">
                  <w:pPr>
                    <w:jc w:val="center"/>
                    <w:rPr>
                      <w:color w:val="auto"/>
                      <w:highlight w:val="none"/>
                    </w:rPr>
                  </w:pPr>
                </w:p>
              </w:tc>
              <w:tc>
                <w:tcPr>
                  <w:tcW w:w="930" w:type="pct"/>
                  <w:vMerge w:val="continue"/>
                  <w:tcBorders>
                    <w:tl2br w:val="nil"/>
                    <w:tr2bl w:val="nil"/>
                  </w:tcBorders>
                  <w:vAlign w:val="center"/>
                </w:tcPr>
                <w:p w14:paraId="161B85A8">
                  <w:pPr>
                    <w:jc w:val="center"/>
                    <w:rPr>
                      <w:color w:val="auto"/>
                      <w:highlight w:val="none"/>
                    </w:rPr>
                  </w:pPr>
                </w:p>
              </w:tc>
              <w:tc>
                <w:tcPr>
                  <w:tcW w:w="780" w:type="pct"/>
                  <w:vMerge w:val="continue"/>
                  <w:tcBorders>
                    <w:tl2br w:val="nil"/>
                    <w:tr2bl w:val="nil"/>
                  </w:tcBorders>
                  <w:vAlign w:val="center"/>
                </w:tcPr>
                <w:p w14:paraId="4308BA85">
                  <w:pPr>
                    <w:jc w:val="center"/>
                    <w:rPr>
                      <w:color w:val="auto"/>
                      <w:highlight w:val="none"/>
                    </w:rPr>
                  </w:pPr>
                </w:p>
              </w:tc>
              <w:tc>
                <w:tcPr>
                  <w:tcW w:w="660" w:type="pct"/>
                  <w:tcBorders>
                    <w:tl2br w:val="nil"/>
                    <w:tr2bl w:val="nil"/>
                  </w:tcBorders>
                  <w:vAlign w:val="center"/>
                </w:tcPr>
                <w:p w14:paraId="5C5DBCE2">
                  <w:pPr>
                    <w:jc w:val="center"/>
                    <w:rPr>
                      <w:rFonts w:hint="default" w:eastAsia="宋体"/>
                      <w:color w:val="auto"/>
                      <w:highlight w:val="none"/>
                      <w:lang w:val="en-US" w:eastAsia="zh-CN"/>
                    </w:rPr>
                  </w:pPr>
                  <w:r>
                    <w:rPr>
                      <w:rFonts w:hint="eastAsia" w:ascii="Times New Roman" w:eastAsia="宋体"/>
                      <w:color w:val="auto"/>
                      <w:highlight w:val="none"/>
                      <w:lang w:val="en-US" w:eastAsia="zh-CN"/>
                    </w:rPr>
                    <w:t>乔木林地</w:t>
                  </w:r>
                </w:p>
              </w:tc>
              <w:tc>
                <w:tcPr>
                  <w:tcW w:w="679" w:type="pct"/>
                  <w:tcBorders>
                    <w:tl2br w:val="nil"/>
                    <w:tr2bl w:val="nil"/>
                  </w:tcBorders>
                  <w:vAlign w:val="center"/>
                </w:tcPr>
                <w:p w14:paraId="4BFEEDFA">
                  <w:pPr>
                    <w:jc w:val="center"/>
                    <w:rPr>
                      <w:rFonts w:hint="default" w:eastAsia="宋体"/>
                      <w:color w:val="auto"/>
                      <w:highlight w:val="none"/>
                      <w:lang w:val="en-US" w:eastAsia="zh-CN"/>
                    </w:rPr>
                  </w:pPr>
                  <w:r>
                    <w:rPr>
                      <w:rFonts w:hint="default" w:eastAsia="宋体"/>
                      <w:color w:val="auto"/>
                      <w:highlight w:val="none"/>
                      <w:lang w:val="en-US" w:eastAsia="zh-CN"/>
                    </w:rPr>
                    <w:t>0.1653</w:t>
                  </w:r>
                </w:p>
              </w:tc>
              <w:tc>
                <w:tcPr>
                  <w:tcW w:w="517" w:type="pct"/>
                  <w:vMerge w:val="continue"/>
                  <w:tcBorders>
                    <w:tl2br w:val="nil"/>
                    <w:tr2bl w:val="nil"/>
                  </w:tcBorders>
                  <w:vAlign w:val="center"/>
                </w:tcPr>
                <w:p w14:paraId="2F98C82B">
                  <w:pPr>
                    <w:jc w:val="center"/>
                    <w:rPr>
                      <w:rFonts w:hint="default" w:eastAsia="宋体"/>
                      <w:color w:val="auto"/>
                      <w:highlight w:val="none"/>
                      <w:lang w:val="en-US" w:eastAsia="zh-CN"/>
                    </w:rPr>
                  </w:pPr>
                </w:p>
              </w:tc>
            </w:tr>
            <w:tr w14:paraId="00833B9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6" w:hRule="atLeast"/>
              </w:trPr>
              <w:tc>
                <w:tcPr>
                  <w:tcW w:w="706" w:type="pct"/>
                  <w:vMerge w:val="continue"/>
                  <w:tcBorders>
                    <w:tl2br w:val="nil"/>
                    <w:tr2bl w:val="nil"/>
                  </w:tcBorders>
                  <w:vAlign w:val="center"/>
                </w:tcPr>
                <w:p w14:paraId="70643520">
                  <w:pPr>
                    <w:jc w:val="center"/>
                    <w:rPr>
                      <w:rFonts w:hint="default" w:eastAsia="宋体"/>
                      <w:color w:val="auto"/>
                      <w:highlight w:val="none"/>
                      <w:lang w:val="en-US" w:eastAsia="zh-CN"/>
                    </w:rPr>
                  </w:pPr>
                </w:p>
              </w:tc>
              <w:tc>
                <w:tcPr>
                  <w:tcW w:w="726" w:type="pct"/>
                  <w:vMerge w:val="continue"/>
                  <w:tcBorders>
                    <w:tl2br w:val="nil"/>
                    <w:tr2bl w:val="nil"/>
                  </w:tcBorders>
                  <w:vAlign w:val="center"/>
                </w:tcPr>
                <w:p w14:paraId="6A4B7E43">
                  <w:pPr>
                    <w:jc w:val="center"/>
                    <w:rPr>
                      <w:rFonts w:hint="default" w:eastAsia="宋体"/>
                      <w:color w:val="auto"/>
                      <w:highlight w:val="none"/>
                      <w:lang w:val="en-US" w:eastAsia="zh-CN"/>
                    </w:rPr>
                  </w:pPr>
                </w:p>
              </w:tc>
              <w:tc>
                <w:tcPr>
                  <w:tcW w:w="930" w:type="pct"/>
                  <w:vMerge w:val="continue"/>
                  <w:tcBorders>
                    <w:tl2br w:val="nil"/>
                    <w:tr2bl w:val="nil"/>
                  </w:tcBorders>
                  <w:vAlign w:val="center"/>
                </w:tcPr>
                <w:p w14:paraId="3F424DBA">
                  <w:pPr>
                    <w:jc w:val="center"/>
                    <w:rPr>
                      <w:rFonts w:hint="default" w:eastAsia="宋体"/>
                      <w:color w:val="auto"/>
                      <w:highlight w:val="none"/>
                      <w:lang w:val="en-US" w:eastAsia="zh-CN"/>
                    </w:rPr>
                  </w:pPr>
                </w:p>
              </w:tc>
              <w:tc>
                <w:tcPr>
                  <w:tcW w:w="780" w:type="pct"/>
                  <w:vMerge w:val="continue"/>
                  <w:tcBorders>
                    <w:tl2br w:val="nil"/>
                    <w:tr2bl w:val="nil"/>
                  </w:tcBorders>
                  <w:vAlign w:val="center"/>
                </w:tcPr>
                <w:p w14:paraId="14F7FE19">
                  <w:pPr>
                    <w:jc w:val="center"/>
                    <w:rPr>
                      <w:rFonts w:hint="default" w:eastAsia="宋体"/>
                      <w:color w:val="auto"/>
                      <w:highlight w:val="none"/>
                      <w:lang w:val="en-US" w:eastAsia="zh-CN"/>
                    </w:rPr>
                  </w:pPr>
                </w:p>
              </w:tc>
              <w:tc>
                <w:tcPr>
                  <w:tcW w:w="660" w:type="pct"/>
                  <w:tcBorders>
                    <w:tl2br w:val="nil"/>
                    <w:tr2bl w:val="nil"/>
                  </w:tcBorders>
                  <w:vAlign w:val="center"/>
                </w:tcPr>
                <w:p w14:paraId="511A161F">
                  <w:pPr>
                    <w:jc w:val="center"/>
                    <w:rPr>
                      <w:rFonts w:hint="default" w:eastAsia="宋体"/>
                      <w:color w:val="auto"/>
                      <w:highlight w:val="none"/>
                      <w:lang w:val="en-US" w:eastAsia="zh-CN"/>
                    </w:rPr>
                  </w:pPr>
                  <w:r>
                    <w:rPr>
                      <w:rFonts w:hint="default" w:eastAsia="宋体"/>
                      <w:color w:val="auto"/>
                      <w:highlight w:val="none"/>
                      <w:lang w:val="en-US" w:eastAsia="zh-CN"/>
                    </w:rPr>
                    <w:t>灌木林地</w:t>
                  </w:r>
                </w:p>
              </w:tc>
              <w:tc>
                <w:tcPr>
                  <w:tcW w:w="679" w:type="pct"/>
                  <w:tcBorders>
                    <w:tl2br w:val="nil"/>
                    <w:tr2bl w:val="nil"/>
                  </w:tcBorders>
                  <w:vAlign w:val="center"/>
                </w:tcPr>
                <w:p w14:paraId="3BDC293F">
                  <w:pPr>
                    <w:jc w:val="center"/>
                    <w:rPr>
                      <w:rFonts w:hint="default" w:eastAsia="宋体"/>
                      <w:color w:val="auto"/>
                      <w:highlight w:val="none"/>
                      <w:lang w:val="en-US" w:eastAsia="zh-CN"/>
                    </w:rPr>
                  </w:pPr>
                  <w:r>
                    <w:rPr>
                      <w:rFonts w:hint="default" w:eastAsia="宋体"/>
                      <w:color w:val="auto"/>
                      <w:highlight w:val="none"/>
                      <w:lang w:val="en-US" w:eastAsia="zh-CN"/>
                    </w:rPr>
                    <w:t>0.0200</w:t>
                  </w:r>
                </w:p>
              </w:tc>
              <w:tc>
                <w:tcPr>
                  <w:tcW w:w="517" w:type="pct"/>
                  <w:vMerge w:val="continue"/>
                  <w:tcBorders>
                    <w:tl2br w:val="nil"/>
                    <w:tr2bl w:val="nil"/>
                  </w:tcBorders>
                  <w:vAlign w:val="center"/>
                </w:tcPr>
                <w:p w14:paraId="0E05F8CB">
                  <w:pPr>
                    <w:jc w:val="center"/>
                    <w:rPr>
                      <w:rFonts w:hint="default" w:eastAsia="宋体"/>
                      <w:color w:val="auto"/>
                      <w:highlight w:val="none"/>
                      <w:lang w:val="en-US" w:eastAsia="zh-CN"/>
                    </w:rPr>
                  </w:pPr>
                </w:p>
              </w:tc>
            </w:tr>
            <w:tr w14:paraId="36143D9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6" w:hRule="atLeast"/>
              </w:trPr>
              <w:tc>
                <w:tcPr>
                  <w:tcW w:w="706" w:type="pct"/>
                  <w:vMerge w:val="continue"/>
                  <w:tcBorders>
                    <w:tl2br w:val="nil"/>
                    <w:tr2bl w:val="nil"/>
                  </w:tcBorders>
                  <w:vAlign w:val="center"/>
                </w:tcPr>
                <w:p w14:paraId="410B764F">
                  <w:pPr>
                    <w:jc w:val="center"/>
                    <w:rPr>
                      <w:rFonts w:hint="default" w:eastAsia="宋体"/>
                      <w:color w:val="auto"/>
                      <w:highlight w:val="none"/>
                      <w:lang w:val="en-US" w:eastAsia="zh-CN"/>
                    </w:rPr>
                  </w:pPr>
                </w:p>
              </w:tc>
              <w:tc>
                <w:tcPr>
                  <w:tcW w:w="726" w:type="pct"/>
                  <w:vMerge w:val="continue"/>
                  <w:tcBorders>
                    <w:tl2br w:val="nil"/>
                    <w:tr2bl w:val="nil"/>
                  </w:tcBorders>
                  <w:vAlign w:val="center"/>
                </w:tcPr>
                <w:p w14:paraId="37BDB4E0">
                  <w:pPr>
                    <w:jc w:val="center"/>
                    <w:rPr>
                      <w:rFonts w:hint="default" w:eastAsia="宋体"/>
                      <w:color w:val="auto"/>
                      <w:highlight w:val="none"/>
                      <w:lang w:val="en-US" w:eastAsia="zh-CN"/>
                    </w:rPr>
                  </w:pPr>
                </w:p>
              </w:tc>
              <w:tc>
                <w:tcPr>
                  <w:tcW w:w="930" w:type="pct"/>
                  <w:vMerge w:val="continue"/>
                  <w:tcBorders>
                    <w:tl2br w:val="nil"/>
                    <w:tr2bl w:val="nil"/>
                  </w:tcBorders>
                  <w:vAlign w:val="center"/>
                </w:tcPr>
                <w:p w14:paraId="271E9F83">
                  <w:pPr>
                    <w:jc w:val="center"/>
                    <w:rPr>
                      <w:rFonts w:hint="default" w:eastAsia="宋体"/>
                      <w:color w:val="auto"/>
                      <w:highlight w:val="none"/>
                      <w:lang w:val="en-US" w:eastAsia="zh-CN"/>
                    </w:rPr>
                  </w:pPr>
                </w:p>
              </w:tc>
              <w:tc>
                <w:tcPr>
                  <w:tcW w:w="780" w:type="pct"/>
                  <w:vMerge w:val="continue"/>
                  <w:tcBorders>
                    <w:tl2br w:val="nil"/>
                    <w:tr2bl w:val="nil"/>
                  </w:tcBorders>
                  <w:vAlign w:val="center"/>
                </w:tcPr>
                <w:p w14:paraId="6E96B249">
                  <w:pPr>
                    <w:jc w:val="center"/>
                    <w:rPr>
                      <w:rFonts w:hint="default" w:eastAsia="宋体"/>
                      <w:color w:val="auto"/>
                      <w:highlight w:val="none"/>
                      <w:lang w:val="en-US" w:eastAsia="zh-CN"/>
                    </w:rPr>
                  </w:pPr>
                </w:p>
              </w:tc>
              <w:tc>
                <w:tcPr>
                  <w:tcW w:w="660" w:type="pct"/>
                  <w:tcBorders>
                    <w:tl2br w:val="nil"/>
                    <w:tr2bl w:val="nil"/>
                  </w:tcBorders>
                  <w:vAlign w:val="center"/>
                </w:tcPr>
                <w:p w14:paraId="53FA1242">
                  <w:pPr>
                    <w:jc w:val="center"/>
                    <w:rPr>
                      <w:rFonts w:hint="default" w:eastAsia="宋体"/>
                      <w:color w:val="auto"/>
                      <w:highlight w:val="none"/>
                      <w:lang w:val="en-US" w:eastAsia="zh-CN"/>
                    </w:rPr>
                  </w:pPr>
                  <w:r>
                    <w:rPr>
                      <w:rFonts w:hint="eastAsia" w:ascii="Times New Roman" w:eastAsia="宋体"/>
                      <w:color w:val="auto"/>
                      <w:highlight w:val="none"/>
                      <w:lang w:val="en-US" w:eastAsia="zh-CN"/>
                    </w:rPr>
                    <w:t>其他林地</w:t>
                  </w:r>
                </w:p>
              </w:tc>
              <w:tc>
                <w:tcPr>
                  <w:tcW w:w="679" w:type="pct"/>
                  <w:tcBorders>
                    <w:tl2br w:val="nil"/>
                    <w:tr2bl w:val="nil"/>
                  </w:tcBorders>
                  <w:vAlign w:val="center"/>
                </w:tcPr>
                <w:p w14:paraId="470C574E">
                  <w:pPr>
                    <w:jc w:val="center"/>
                    <w:rPr>
                      <w:rFonts w:hint="default" w:eastAsia="宋体"/>
                      <w:color w:val="auto"/>
                      <w:highlight w:val="none"/>
                      <w:lang w:val="en-US" w:eastAsia="zh-CN"/>
                    </w:rPr>
                  </w:pPr>
                  <w:r>
                    <w:rPr>
                      <w:rFonts w:hint="default" w:eastAsia="宋体"/>
                      <w:color w:val="auto"/>
                      <w:highlight w:val="none"/>
                      <w:lang w:val="en-US" w:eastAsia="zh-CN"/>
                    </w:rPr>
                    <w:t>0.0941</w:t>
                  </w:r>
                </w:p>
              </w:tc>
              <w:tc>
                <w:tcPr>
                  <w:tcW w:w="517" w:type="pct"/>
                  <w:vMerge w:val="continue"/>
                  <w:tcBorders>
                    <w:tl2br w:val="nil"/>
                    <w:tr2bl w:val="nil"/>
                  </w:tcBorders>
                  <w:vAlign w:val="center"/>
                </w:tcPr>
                <w:p w14:paraId="74E44D2B">
                  <w:pPr>
                    <w:jc w:val="center"/>
                    <w:rPr>
                      <w:rFonts w:hint="default" w:eastAsia="宋体"/>
                      <w:color w:val="auto"/>
                      <w:highlight w:val="none"/>
                      <w:lang w:val="en-US" w:eastAsia="zh-CN"/>
                    </w:rPr>
                  </w:pPr>
                </w:p>
              </w:tc>
            </w:tr>
            <w:tr w14:paraId="771272A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33" w:hRule="atLeast"/>
              </w:trPr>
              <w:tc>
                <w:tcPr>
                  <w:tcW w:w="706" w:type="pct"/>
                  <w:vMerge w:val="continue"/>
                  <w:tcBorders>
                    <w:tl2br w:val="nil"/>
                    <w:tr2bl w:val="nil"/>
                  </w:tcBorders>
                  <w:vAlign w:val="center"/>
                </w:tcPr>
                <w:p w14:paraId="6A797E89">
                  <w:pPr>
                    <w:jc w:val="center"/>
                    <w:rPr>
                      <w:color w:val="auto"/>
                      <w:highlight w:val="none"/>
                    </w:rPr>
                  </w:pPr>
                </w:p>
              </w:tc>
              <w:tc>
                <w:tcPr>
                  <w:tcW w:w="726" w:type="pct"/>
                  <w:vMerge w:val="continue"/>
                  <w:tcBorders>
                    <w:tl2br w:val="nil"/>
                    <w:tr2bl w:val="nil"/>
                  </w:tcBorders>
                  <w:vAlign w:val="center"/>
                </w:tcPr>
                <w:p w14:paraId="51F83B77">
                  <w:pPr>
                    <w:jc w:val="center"/>
                    <w:rPr>
                      <w:color w:val="auto"/>
                      <w:highlight w:val="none"/>
                    </w:rPr>
                  </w:pPr>
                </w:p>
              </w:tc>
              <w:tc>
                <w:tcPr>
                  <w:tcW w:w="930" w:type="pct"/>
                  <w:vMerge w:val="continue"/>
                  <w:tcBorders>
                    <w:tl2br w:val="nil"/>
                    <w:tr2bl w:val="nil"/>
                  </w:tcBorders>
                  <w:vAlign w:val="center"/>
                </w:tcPr>
                <w:p w14:paraId="3B0E1B13">
                  <w:pPr>
                    <w:jc w:val="center"/>
                    <w:rPr>
                      <w:color w:val="auto"/>
                      <w:highlight w:val="none"/>
                    </w:rPr>
                  </w:pPr>
                </w:p>
              </w:tc>
              <w:tc>
                <w:tcPr>
                  <w:tcW w:w="780" w:type="pct"/>
                  <w:vMerge w:val="continue"/>
                  <w:tcBorders>
                    <w:tl2br w:val="nil"/>
                    <w:tr2bl w:val="nil"/>
                  </w:tcBorders>
                  <w:vAlign w:val="center"/>
                </w:tcPr>
                <w:p w14:paraId="27316F63">
                  <w:pPr>
                    <w:jc w:val="center"/>
                    <w:rPr>
                      <w:color w:val="auto"/>
                      <w:highlight w:val="none"/>
                    </w:rPr>
                  </w:pPr>
                </w:p>
              </w:tc>
              <w:tc>
                <w:tcPr>
                  <w:tcW w:w="660" w:type="pct"/>
                  <w:tcBorders>
                    <w:tl2br w:val="nil"/>
                    <w:tr2bl w:val="nil"/>
                  </w:tcBorders>
                  <w:vAlign w:val="center"/>
                </w:tcPr>
                <w:p w14:paraId="2E8AE762">
                  <w:pPr>
                    <w:jc w:val="center"/>
                    <w:rPr>
                      <w:rFonts w:hint="eastAsia" w:eastAsia="宋体"/>
                      <w:color w:val="auto"/>
                      <w:highlight w:val="none"/>
                      <w:lang w:val="en-US" w:eastAsia="zh-CN"/>
                    </w:rPr>
                  </w:pPr>
                  <w:r>
                    <w:rPr>
                      <w:rFonts w:hint="eastAsia" w:ascii="Times New Roman" w:eastAsia="宋体"/>
                      <w:color w:val="auto"/>
                      <w:highlight w:val="none"/>
                      <w:lang w:val="en-US" w:eastAsia="zh-CN"/>
                    </w:rPr>
                    <w:t>其他草地</w:t>
                  </w:r>
                </w:p>
              </w:tc>
              <w:tc>
                <w:tcPr>
                  <w:tcW w:w="679" w:type="pct"/>
                  <w:tcBorders>
                    <w:tl2br w:val="nil"/>
                    <w:tr2bl w:val="nil"/>
                  </w:tcBorders>
                  <w:vAlign w:val="center"/>
                </w:tcPr>
                <w:p w14:paraId="4206E76A">
                  <w:pPr>
                    <w:jc w:val="center"/>
                    <w:rPr>
                      <w:color w:val="auto"/>
                      <w:highlight w:val="none"/>
                    </w:rPr>
                  </w:pPr>
                  <w:r>
                    <w:rPr>
                      <w:color w:val="auto"/>
                      <w:highlight w:val="none"/>
                      <w:lang w:val="en-US" w:eastAsia="zh-CN"/>
                    </w:rPr>
                    <w:t>0.2670</w:t>
                  </w:r>
                </w:p>
              </w:tc>
              <w:tc>
                <w:tcPr>
                  <w:tcW w:w="517" w:type="pct"/>
                  <w:vMerge w:val="continue"/>
                  <w:tcBorders>
                    <w:tl2br w:val="nil"/>
                    <w:tr2bl w:val="nil"/>
                  </w:tcBorders>
                  <w:vAlign w:val="center"/>
                </w:tcPr>
                <w:p w14:paraId="2210AD25">
                  <w:pPr>
                    <w:jc w:val="center"/>
                    <w:rPr>
                      <w:color w:val="auto"/>
                      <w:highlight w:val="none"/>
                    </w:rPr>
                  </w:pPr>
                </w:p>
              </w:tc>
            </w:tr>
            <w:tr w14:paraId="2530F46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33" w:hRule="atLeast"/>
              </w:trPr>
              <w:tc>
                <w:tcPr>
                  <w:tcW w:w="706" w:type="pct"/>
                  <w:vMerge w:val="continue"/>
                  <w:tcBorders>
                    <w:tl2br w:val="nil"/>
                    <w:tr2bl w:val="nil"/>
                  </w:tcBorders>
                  <w:vAlign w:val="center"/>
                </w:tcPr>
                <w:p w14:paraId="6D8E4846">
                  <w:pPr>
                    <w:jc w:val="center"/>
                    <w:rPr>
                      <w:color w:val="auto"/>
                      <w:highlight w:val="none"/>
                    </w:rPr>
                  </w:pPr>
                </w:p>
              </w:tc>
              <w:tc>
                <w:tcPr>
                  <w:tcW w:w="726" w:type="pct"/>
                  <w:vMerge w:val="continue"/>
                  <w:tcBorders>
                    <w:tl2br w:val="nil"/>
                    <w:tr2bl w:val="nil"/>
                  </w:tcBorders>
                  <w:vAlign w:val="center"/>
                </w:tcPr>
                <w:p w14:paraId="62FEDEC9">
                  <w:pPr>
                    <w:jc w:val="center"/>
                    <w:rPr>
                      <w:color w:val="auto"/>
                      <w:highlight w:val="none"/>
                    </w:rPr>
                  </w:pPr>
                </w:p>
              </w:tc>
              <w:tc>
                <w:tcPr>
                  <w:tcW w:w="930" w:type="pct"/>
                  <w:vMerge w:val="continue"/>
                  <w:tcBorders>
                    <w:tl2br w:val="nil"/>
                    <w:tr2bl w:val="nil"/>
                  </w:tcBorders>
                  <w:vAlign w:val="center"/>
                </w:tcPr>
                <w:p w14:paraId="3D576749">
                  <w:pPr>
                    <w:jc w:val="center"/>
                    <w:rPr>
                      <w:color w:val="auto"/>
                      <w:highlight w:val="none"/>
                    </w:rPr>
                  </w:pPr>
                </w:p>
              </w:tc>
              <w:tc>
                <w:tcPr>
                  <w:tcW w:w="780" w:type="pct"/>
                  <w:vMerge w:val="continue"/>
                  <w:tcBorders>
                    <w:tl2br w:val="nil"/>
                    <w:tr2bl w:val="nil"/>
                  </w:tcBorders>
                  <w:vAlign w:val="center"/>
                </w:tcPr>
                <w:p w14:paraId="3CFF2445">
                  <w:pPr>
                    <w:jc w:val="center"/>
                    <w:rPr>
                      <w:color w:val="auto"/>
                      <w:highlight w:val="none"/>
                    </w:rPr>
                  </w:pPr>
                </w:p>
              </w:tc>
              <w:tc>
                <w:tcPr>
                  <w:tcW w:w="660" w:type="pct"/>
                  <w:tcBorders>
                    <w:tl2br w:val="nil"/>
                    <w:tr2bl w:val="nil"/>
                  </w:tcBorders>
                  <w:vAlign w:val="center"/>
                </w:tcPr>
                <w:p w14:paraId="2A55DF98">
                  <w:pPr>
                    <w:jc w:val="center"/>
                    <w:rPr>
                      <w:rFonts w:hint="eastAsia" w:eastAsia="宋体"/>
                      <w:color w:val="auto"/>
                      <w:highlight w:val="none"/>
                      <w:lang w:val="en-US" w:eastAsia="zh-CN"/>
                    </w:rPr>
                  </w:pPr>
                  <w:r>
                    <w:rPr>
                      <w:rFonts w:hint="eastAsia" w:ascii="Times New Roman" w:eastAsia="宋体"/>
                      <w:color w:val="auto"/>
                      <w:highlight w:val="none"/>
                      <w:lang w:val="en-US" w:eastAsia="zh-CN"/>
                    </w:rPr>
                    <w:t>农村道路</w:t>
                  </w:r>
                </w:p>
              </w:tc>
              <w:tc>
                <w:tcPr>
                  <w:tcW w:w="679" w:type="pct"/>
                  <w:tcBorders>
                    <w:tl2br w:val="nil"/>
                    <w:tr2bl w:val="nil"/>
                  </w:tcBorders>
                  <w:vAlign w:val="center"/>
                </w:tcPr>
                <w:p w14:paraId="3F6552ED">
                  <w:pPr>
                    <w:jc w:val="center"/>
                    <w:rPr>
                      <w:color w:val="auto"/>
                      <w:highlight w:val="none"/>
                    </w:rPr>
                  </w:pPr>
                  <w:r>
                    <w:rPr>
                      <w:color w:val="auto"/>
                      <w:highlight w:val="none"/>
                      <w:lang w:val="en-US" w:eastAsia="zh-CN"/>
                    </w:rPr>
                    <w:t>0.0041</w:t>
                  </w:r>
                </w:p>
              </w:tc>
              <w:tc>
                <w:tcPr>
                  <w:tcW w:w="517" w:type="pct"/>
                  <w:vMerge w:val="continue"/>
                  <w:tcBorders>
                    <w:tl2br w:val="nil"/>
                    <w:tr2bl w:val="nil"/>
                  </w:tcBorders>
                  <w:vAlign w:val="center"/>
                </w:tcPr>
                <w:p w14:paraId="45AC6A4C">
                  <w:pPr>
                    <w:jc w:val="center"/>
                    <w:rPr>
                      <w:color w:val="auto"/>
                      <w:highlight w:val="none"/>
                    </w:rPr>
                  </w:pPr>
                </w:p>
              </w:tc>
            </w:tr>
            <w:tr w14:paraId="5591331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3" w:hRule="atLeast"/>
              </w:trPr>
              <w:tc>
                <w:tcPr>
                  <w:tcW w:w="706" w:type="pct"/>
                  <w:vMerge w:val="restart"/>
                  <w:tcBorders>
                    <w:tl2br w:val="nil"/>
                    <w:tr2bl w:val="nil"/>
                  </w:tcBorders>
                  <w:vAlign w:val="center"/>
                </w:tcPr>
                <w:p w14:paraId="19C48F6A">
                  <w:pPr>
                    <w:jc w:val="center"/>
                    <w:rPr>
                      <w:color w:val="auto"/>
                      <w:highlight w:val="none"/>
                    </w:rPr>
                  </w:pPr>
                  <w:r>
                    <w:rPr>
                      <w:color w:val="auto"/>
                      <w:highlight w:val="none"/>
                    </w:rPr>
                    <w:t>临时占地</w:t>
                  </w:r>
                </w:p>
              </w:tc>
              <w:tc>
                <w:tcPr>
                  <w:tcW w:w="726" w:type="pct"/>
                  <w:vMerge w:val="restart"/>
                  <w:tcBorders>
                    <w:tl2br w:val="nil"/>
                    <w:tr2bl w:val="nil"/>
                  </w:tcBorders>
                  <w:vAlign w:val="center"/>
                </w:tcPr>
                <w:p w14:paraId="24BE91FA">
                  <w:pPr>
                    <w:jc w:val="center"/>
                    <w:rPr>
                      <w:color w:val="auto"/>
                      <w:highlight w:val="none"/>
                    </w:rPr>
                  </w:pPr>
                  <w:r>
                    <w:rPr>
                      <w:color w:val="auto"/>
                      <w:highlight w:val="none"/>
                    </w:rPr>
                    <w:t>风机机组</w:t>
                  </w:r>
                </w:p>
              </w:tc>
              <w:tc>
                <w:tcPr>
                  <w:tcW w:w="930" w:type="pct"/>
                  <w:vMerge w:val="restart"/>
                  <w:tcBorders>
                    <w:tl2br w:val="nil"/>
                    <w:tr2bl w:val="nil"/>
                  </w:tcBorders>
                  <w:vAlign w:val="center"/>
                </w:tcPr>
                <w:p w14:paraId="3DF2EDB3">
                  <w:pPr>
                    <w:jc w:val="center"/>
                    <w:rPr>
                      <w:color w:val="auto"/>
                      <w:highlight w:val="none"/>
                    </w:rPr>
                  </w:pPr>
                  <w:r>
                    <w:rPr>
                      <w:color w:val="auto"/>
                      <w:highlight w:val="none"/>
                    </w:rPr>
                    <w:t>吊装平台</w:t>
                  </w:r>
                </w:p>
              </w:tc>
              <w:tc>
                <w:tcPr>
                  <w:tcW w:w="780" w:type="pct"/>
                  <w:vMerge w:val="restart"/>
                  <w:tcBorders>
                    <w:tl2br w:val="nil"/>
                    <w:tr2bl w:val="nil"/>
                  </w:tcBorders>
                  <w:vAlign w:val="center"/>
                </w:tcPr>
                <w:p w14:paraId="2B95C99D">
                  <w:pPr>
                    <w:jc w:val="center"/>
                    <w:rPr>
                      <w:color w:val="auto"/>
                      <w:highlight w:val="none"/>
                    </w:rPr>
                  </w:pPr>
                  <w:r>
                    <w:rPr>
                      <w:rFonts w:hint="eastAsia" w:ascii="Times New Roman" w:eastAsia="宋体"/>
                      <w:color w:val="auto"/>
                      <w:highlight w:val="none"/>
                      <w:lang w:val="en-US" w:eastAsia="zh-CN"/>
                    </w:rPr>
                    <w:t>2.7460</w:t>
                  </w:r>
                </w:p>
              </w:tc>
              <w:tc>
                <w:tcPr>
                  <w:tcW w:w="660" w:type="pct"/>
                  <w:tcBorders>
                    <w:tl2br w:val="nil"/>
                    <w:tr2bl w:val="nil"/>
                  </w:tcBorders>
                  <w:vAlign w:val="center"/>
                </w:tcPr>
                <w:p w14:paraId="2C6460DB">
                  <w:pPr>
                    <w:jc w:val="center"/>
                    <w:rPr>
                      <w:color w:val="auto"/>
                      <w:highlight w:val="none"/>
                    </w:rPr>
                  </w:pPr>
                  <w:r>
                    <w:rPr>
                      <w:rFonts w:hint="eastAsia" w:ascii="Times New Roman" w:eastAsia="宋体"/>
                      <w:color w:val="auto"/>
                      <w:highlight w:val="none"/>
                      <w:lang w:val="en-US" w:eastAsia="zh-CN"/>
                    </w:rPr>
                    <w:t>乔木林地</w:t>
                  </w:r>
                </w:p>
              </w:tc>
              <w:tc>
                <w:tcPr>
                  <w:tcW w:w="679" w:type="pct"/>
                  <w:tcBorders>
                    <w:tl2br w:val="nil"/>
                    <w:tr2bl w:val="nil"/>
                  </w:tcBorders>
                  <w:vAlign w:val="center"/>
                </w:tcPr>
                <w:p w14:paraId="0E90D883">
                  <w:pPr>
                    <w:jc w:val="center"/>
                    <w:rPr>
                      <w:rFonts w:hint="default"/>
                      <w:color w:val="auto"/>
                      <w:highlight w:val="none"/>
                      <w:lang w:val="en-US"/>
                    </w:rPr>
                  </w:pPr>
                  <w:r>
                    <w:rPr>
                      <w:rFonts w:hint="default"/>
                      <w:color w:val="auto"/>
                      <w:highlight w:val="none"/>
                      <w:lang w:eastAsia="zh-CN"/>
                    </w:rPr>
                    <w:t>1.448</w:t>
                  </w:r>
                  <w:r>
                    <w:rPr>
                      <w:rFonts w:hint="eastAsia" w:ascii="Times New Roman" w:eastAsia="宋体"/>
                      <w:color w:val="auto"/>
                      <w:highlight w:val="none"/>
                      <w:lang w:val="en-US" w:eastAsia="zh-CN"/>
                    </w:rPr>
                    <w:t>1</w:t>
                  </w:r>
                </w:p>
              </w:tc>
              <w:tc>
                <w:tcPr>
                  <w:tcW w:w="517" w:type="pct"/>
                  <w:vMerge w:val="restart"/>
                  <w:tcBorders>
                    <w:tl2br w:val="nil"/>
                    <w:tr2bl w:val="nil"/>
                  </w:tcBorders>
                  <w:vAlign w:val="center"/>
                </w:tcPr>
                <w:p w14:paraId="079B195C">
                  <w:pPr>
                    <w:jc w:val="center"/>
                    <w:rPr>
                      <w:rFonts w:hint="default" w:eastAsia="宋体"/>
                      <w:color w:val="auto"/>
                      <w:highlight w:val="none"/>
                      <w:lang w:val="en-US" w:eastAsia="zh-CN"/>
                    </w:rPr>
                  </w:pPr>
                  <w:r>
                    <w:rPr>
                      <w:rFonts w:hint="eastAsia" w:ascii="Times New Roman" w:eastAsia="宋体"/>
                      <w:color w:val="auto"/>
                      <w:highlight w:val="none"/>
                      <w:lang w:val="en-US" w:eastAsia="zh-CN"/>
                    </w:rPr>
                    <w:t>2.986</w:t>
                  </w:r>
                </w:p>
              </w:tc>
            </w:tr>
            <w:tr w14:paraId="0E878AB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3" w:hRule="atLeast"/>
              </w:trPr>
              <w:tc>
                <w:tcPr>
                  <w:tcW w:w="706" w:type="pct"/>
                  <w:vMerge w:val="continue"/>
                  <w:tcBorders>
                    <w:tl2br w:val="nil"/>
                    <w:tr2bl w:val="nil"/>
                  </w:tcBorders>
                  <w:vAlign w:val="center"/>
                </w:tcPr>
                <w:p w14:paraId="35671836">
                  <w:pPr>
                    <w:jc w:val="center"/>
                    <w:rPr>
                      <w:color w:val="auto"/>
                      <w:highlight w:val="none"/>
                    </w:rPr>
                  </w:pPr>
                </w:p>
              </w:tc>
              <w:tc>
                <w:tcPr>
                  <w:tcW w:w="726" w:type="pct"/>
                  <w:vMerge w:val="continue"/>
                  <w:tcBorders>
                    <w:tl2br w:val="nil"/>
                    <w:tr2bl w:val="nil"/>
                  </w:tcBorders>
                  <w:vAlign w:val="center"/>
                </w:tcPr>
                <w:p w14:paraId="7F2C888C">
                  <w:pPr>
                    <w:jc w:val="center"/>
                    <w:rPr>
                      <w:color w:val="auto"/>
                      <w:highlight w:val="none"/>
                    </w:rPr>
                  </w:pPr>
                </w:p>
              </w:tc>
              <w:tc>
                <w:tcPr>
                  <w:tcW w:w="930" w:type="pct"/>
                  <w:vMerge w:val="continue"/>
                  <w:tcBorders>
                    <w:tl2br w:val="nil"/>
                    <w:tr2bl w:val="nil"/>
                  </w:tcBorders>
                  <w:vAlign w:val="center"/>
                </w:tcPr>
                <w:p w14:paraId="220EBE7B">
                  <w:pPr>
                    <w:jc w:val="center"/>
                    <w:rPr>
                      <w:color w:val="auto"/>
                      <w:highlight w:val="none"/>
                    </w:rPr>
                  </w:pPr>
                </w:p>
              </w:tc>
              <w:tc>
                <w:tcPr>
                  <w:tcW w:w="780" w:type="pct"/>
                  <w:vMerge w:val="continue"/>
                  <w:tcBorders>
                    <w:tl2br w:val="nil"/>
                    <w:tr2bl w:val="nil"/>
                  </w:tcBorders>
                  <w:vAlign w:val="center"/>
                </w:tcPr>
                <w:p w14:paraId="0FE9DFF6">
                  <w:pPr>
                    <w:jc w:val="center"/>
                    <w:rPr>
                      <w:color w:val="auto"/>
                      <w:highlight w:val="none"/>
                    </w:rPr>
                  </w:pPr>
                </w:p>
              </w:tc>
              <w:tc>
                <w:tcPr>
                  <w:tcW w:w="660" w:type="pct"/>
                  <w:tcBorders>
                    <w:tl2br w:val="nil"/>
                    <w:tr2bl w:val="nil"/>
                  </w:tcBorders>
                  <w:vAlign w:val="center"/>
                </w:tcPr>
                <w:p w14:paraId="6F10DA5D">
                  <w:pPr>
                    <w:jc w:val="center"/>
                    <w:rPr>
                      <w:color w:val="auto"/>
                      <w:highlight w:val="none"/>
                    </w:rPr>
                  </w:pPr>
                  <w:r>
                    <w:rPr>
                      <w:rFonts w:hint="default" w:eastAsia="宋体"/>
                      <w:color w:val="auto"/>
                      <w:highlight w:val="none"/>
                      <w:lang w:val="en-US" w:eastAsia="zh-CN"/>
                    </w:rPr>
                    <w:t>灌木林地</w:t>
                  </w:r>
                </w:p>
              </w:tc>
              <w:tc>
                <w:tcPr>
                  <w:tcW w:w="679" w:type="pct"/>
                  <w:tcBorders>
                    <w:tl2br w:val="nil"/>
                    <w:tr2bl w:val="nil"/>
                  </w:tcBorders>
                  <w:vAlign w:val="center"/>
                </w:tcPr>
                <w:p w14:paraId="6FE8F111">
                  <w:pPr>
                    <w:jc w:val="center"/>
                    <w:rPr>
                      <w:color w:val="auto"/>
                      <w:highlight w:val="none"/>
                    </w:rPr>
                  </w:pPr>
                  <w:r>
                    <w:rPr>
                      <w:rFonts w:hint="eastAsia" w:ascii="Times New Roman" w:eastAsia="宋体"/>
                      <w:color w:val="auto"/>
                      <w:highlight w:val="none"/>
                      <w:lang w:val="en-US" w:eastAsia="zh-CN"/>
                    </w:rPr>
                    <w:t>0.2849</w:t>
                  </w:r>
                </w:p>
              </w:tc>
              <w:tc>
                <w:tcPr>
                  <w:tcW w:w="517" w:type="pct"/>
                  <w:vMerge w:val="continue"/>
                  <w:tcBorders>
                    <w:tl2br w:val="nil"/>
                    <w:tr2bl w:val="nil"/>
                  </w:tcBorders>
                  <w:vAlign w:val="center"/>
                </w:tcPr>
                <w:p w14:paraId="28DAC477">
                  <w:pPr>
                    <w:jc w:val="center"/>
                    <w:rPr>
                      <w:color w:val="auto"/>
                      <w:highlight w:val="none"/>
                    </w:rPr>
                  </w:pPr>
                </w:p>
              </w:tc>
            </w:tr>
            <w:tr w14:paraId="3AFE037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3" w:hRule="atLeast"/>
              </w:trPr>
              <w:tc>
                <w:tcPr>
                  <w:tcW w:w="706" w:type="pct"/>
                  <w:vMerge w:val="continue"/>
                  <w:tcBorders>
                    <w:tl2br w:val="nil"/>
                    <w:tr2bl w:val="nil"/>
                  </w:tcBorders>
                  <w:vAlign w:val="center"/>
                </w:tcPr>
                <w:p w14:paraId="3347F983">
                  <w:pPr>
                    <w:jc w:val="center"/>
                    <w:rPr>
                      <w:color w:val="auto"/>
                      <w:highlight w:val="none"/>
                    </w:rPr>
                  </w:pPr>
                </w:p>
              </w:tc>
              <w:tc>
                <w:tcPr>
                  <w:tcW w:w="726" w:type="pct"/>
                  <w:vMerge w:val="continue"/>
                  <w:tcBorders>
                    <w:tl2br w:val="nil"/>
                    <w:tr2bl w:val="nil"/>
                  </w:tcBorders>
                  <w:vAlign w:val="center"/>
                </w:tcPr>
                <w:p w14:paraId="52100357">
                  <w:pPr>
                    <w:jc w:val="center"/>
                    <w:rPr>
                      <w:color w:val="auto"/>
                      <w:highlight w:val="none"/>
                    </w:rPr>
                  </w:pPr>
                </w:p>
              </w:tc>
              <w:tc>
                <w:tcPr>
                  <w:tcW w:w="930" w:type="pct"/>
                  <w:vMerge w:val="continue"/>
                  <w:tcBorders>
                    <w:tl2br w:val="nil"/>
                    <w:tr2bl w:val="nil"/>
                  </w:tcBorders>
                  <w:vAlign w:val="center"/>
                </w:tcPr>
                <w:p w14:paraId="0AFB6B86">
                  <w:pPr>
                    <w:jc w:val="center"/>
                    <w:rPr>
                      <w:color w:val="auto"/>
                      <w:highlight w:val="none"/>
                    </w:rPr>
                  </w:pPr>
                </w:p>
              </w:tc>
              <w:tc>
                <w:tcPr>
                  <w:tcW w:w="780" w:type="pct"/>
                  <w:vMerge w:val="continue"/>
                  <w:tcBorders>
                    <w:tl2br w:val="nil"/>
                    <w:tr2bl w:val="nil"/>
                  </w:tcBorders>
                  <w:vAlign w:val="center"/>
                </w:tcPr>
                <w:p w14:paraId="37E5774B">
                  <w:pPr>
                    <w:jc w:val="center"/>
                    <w:rPr>
                      <w:color w:val="auto"/>
                      <w:highlight w:val="none"/>
                    </w:rPr>
                  </w:pPr>
                </w:p>
              </w:tc>
              <w:tc>
                <w:tcPr>
                  <w:tcW w:w="660" w:type="pct"/>
                  <w:tcBorders>
                    <w:tl2br w:val="nil"/>
                    <w:tr2bl w:val="nil"/>
                  </w:tcBorders>
                  <w:vAlign w:val="center"/>
                </w:tcPr>
                <w:p w14:paraId="587712AC">
                  <w:pPr>
                    <w:jc w:val="center"/>
                    <w:rPr>
                      <w:color w:val="auto"/>
                      <w:highlight w:val="none"/>
                    </w:rPr>
                  </w:pPr>
                  <w:r>
                    <w:rPr>
                      <w:rFonts w:hint="eastAsia" w:ascii="Times New Roman" w:eastAsia="宋体"/>
                      <w:color w:val="auto"/>
                      <w:highlight w:val="none"/>
                      <w:lang w:val="en-US" w:eastAsia="zh-CN"/>
                    </w:rPr>
                    <w:t>其他林地</w:t>
                  </w:r>
                </w:p>
              </w:tc>
              <w:tc>
                <w:tcPr>
                  <w:tcW w:w="679" w:type="pct"/>
                  <w:tcBorders>
                    <w:tl2br w:val="nil"/>
                    <w:tr2bl w:val="nil"/>
                  </w:tcBorders>
                  <w:vAlign w:val="center"/>
                </w:tcPr>
                <w:p w14:paraId="6A5E21A2">
                  <w:pPr>
                    <w:jc w:val="center"/>
                    <w:rPr>
                      <w:color w:val="auto"/>
                      <w:highlight w:val="none"/>
                    </w:rPr>
                  </w:pPr>
                  <w:r>
                    <w:rPr>
                      <w:rFonts w:hint="eastAsia" w:ascii="Times New Roman" w:eastAsia="宋体"/>
                      <w:color w:val="auto"/>
                      <w:highlight w:val="none"/>
                      <w:lang w:val="en-US" w:eastAsia="zh-CN"/>
                    </w:rPr>
                    <w:t>0.1690</w:t>
                  </w:r>
                </w:p>
              </w:tc>
              <w:tc>
                <w:tcPr>
                  <w:tcW w:w="517" w:type="pct"/>
                  <w:vMerge w:val="continue"/>
                  <w:tcBorders>
                    <w:tl2br w:val="nil"/>
                    <w:tr2bl w:val="nil"/>
                  </w:tcBorders>
                  <w:vAlign w:val="center"/>
                </w:tcPr>
                <w:p w14:paraId="0AFCF75A">
                  <w:pPr>
                    <w:jc w:val="center"/>
                    <w:rPr>
                      <w:color w:val="auto"/>
                      <w:highlight w:val="none"/>
                    </w:rPr>
                  </w:pPr>
                </w:p>
              </w:tc>
            </w:tr>
            <w:tr w14:paraId="20E1D4F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3" w:hRule="atLeast"/>
              </w:trPr>
              <w:tc>
                <w:tcPr>
                  <w:tcW w:w="706" w:type="pct"/>
                  <w:vMerge w:val="continue"/>
                  <w:tcBorders>
                    <w:tl2br w:val="nil"/>
                    <w:tr2bl w:val="nil"/>
                  </w:tcBorders>
                  <w:vAlign w:val="center"/>
                </w:tcPr>
                <w:p w14:paraId="09D84027">
                  <w:pPr>
                    <w:jc w:val="center"/>
                    <w:rPr>
                      <w:color w:val="auto"/>
                      <w:highlight w:val="none"/>
                    </w:rPr>
                  </w:pPr>
                </w:p>
              </w:tc>
              <w:tc>
                <w:tcPr>
                  <w:tcW w:w="726" w:type="pct"/>
                  <w:vMerge w:val="continue"/>
                  <w:tcBorders>
                    <w:tl2br w:val="nil"/>
                    <w:tr2bl w:val="nil"/>
                  </w:tcBorders>
                  <w:vAlign w:val="center"/>
                </w:tcPr>
                <w:p w14:paraId="33B6CFCC">
                  <w:pPr>
                    <w:jc w:val="center"/>
                    <w:rPr>
                      <w:color w:val="auto"/>
                      <w:highlight w:val="none"/>
                    </w:rPr>
                  </w:pPr>
                </w:p>
              </w:tc>
              <w:tc>
                <w:tcPr>
                  <w:tcW w:w="930" w:type="pct"/>
                  <w:vMerge w:val="continue"/>
                  <w:tcBorders>
                    <w:tl2br w:val="nil"/>
                    <w:tr2bl w:val="nil"/>
                  </w:tcBorders>
                  <w:vAlign w:val="center"/>
                </w:tcPr>
                <w:p w14:paraId="579EE24F">
                  <w:pPr>
                    <w:jc w:val="center"/>
                    <w:rPr>
                      <w:color w:val="auto"/>
                      <w:highlight w:val="none"/>
                    </w:rPr>
                  </w:pPr>
                </w:p>
              </w:tc>
              <w:tc>
                <w:tcPr>
                  <w:tcW w:w="780" w:type="pct"/>
                  <w:vMerge w:val="continue"/>
                  <w:tcBorders>
                    <w:tl2br w:val="nil"/>
                    <w:tr2bl w:val="nil"/>
                  </w:tcBorders>
                  <w:vAlign w:val="center"/>
                </w:tcPr>
                <w:p w14:paraId="5B72C6DE">
                  <w:pPr>
                    <w:jc w:val="center"/>
                    <w:rPr>
                      <w:color w:val="auto"/>
                      <w:highlight w:val="none"/>
                    </w:rPr>
                  </w:pPr>
                </w:p>
              </w:tc>
              <w:tc>
                <w:tcPr>
                  <w:tcW w:w="660" w:type="pct"/>
                  <w:tcBorders>
                    <w:tl2br w:val="nil"/>
                    <w:tr2bl w:val="nil"/>
                  </w:tcBorders>
                  <w:vAlign w:val="center"/>
                </w:tcPr>
                <w:p w14:paraId="05D20D23">
                  <w:pPr>
                    <w:jc w:val="center"/>
                    <w:rPr>
                      <w:color w:val="auto"/>
                      <w:highlight w:val="none"/>
                    </w:rPr>
                  </w:pPr>
                  <w:r>
                    <w:rPr>
                      <w:rFonts w:hint="eastAsia" w:ascii="Times New Roman" w:eastAsia="宋体"/>
                      <w:color w:val="auto"/>
                      <w:highlight w:val="none"/>
                      <w:lang w:val="en-US" w:eastAsia="zh-CN"/>
                    </w:rPr>
                    <w:t>其他草地</w:t>
                  </w:r>
                </w:p>
              </w:tc>
              <w:tc>
                <w:tcPr>
                  <w:tcW w:w="679" w:type="pct"/>
                  <w:tcBorders>
                    <w:tl2br w:val="nil"/>
                    <w:tr2bl w:val="nil"/>
                  </w:tcBorders>
                  <w:vAlign w:val="center"/>
                </w:tcPr>
                <w:p w14:paraId="4E6993B0">
                  <w:pPr>
                    <w:jc w:val="center"/>
                    <w:rPr>
                      <w:color w:val="auto"/>
                      <w:highlight w:val="none"/>
                    </w:rPr>
                  </w:pPr>
                  <w:r>
                    <w:rPr>
                      <w:rFonts w:hint="eastAsia" w:ascii="Times New Roman" w:eastAsia="宋体"/>
                      <w:color w:val="auto"/>
                      <w:highlight w:val="none"/>
                      <w:lang w:val="en-US" w:eastAsia="zh-CN"/>
                    </w:rPr>
                    <w:t>0.8415</w:t>
                  </w:r>
                </w:p>
              </w:tc>
              <w:tc>
                <w:tcPr>
                  <w:tcW w:w="517" w:type="pct"/>
                  <w:vMerge w:val="continue"/>
                  <w:tcBorders>
                    <w:tl2br w:val="nil"/>
                    <w:tr2bl w:val="nil"/>
                  </w:tcBorders>
                  <w:vAlign w:val="center"/>
                </w:tcPr>
                <w:p w14:paraId="0952C110">
                  <w:pPr>
                    <w:jc w:val="center"/>
                    <w:rPr>
                      <w:color w:val="auto"/>
                      <w:highlight w:val="none"/>
                    </w:rPr>
                  </w:pPr>
                </w:p>
              </w:tc>
            </w:tr>
            <w:tr w14:paraId="2E0277E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3" w:hRule="atLeast"/>
              </w:trPr>
              <w:tc>
                <w:tcPr>
                  <w:tcW w:w="706" w:type="pct"/>
                  <w:vMerge w:val="continue"/>
                  <w:tcBorders>
                    <w:tl2br w:val="nil"/>
                    <w:tr2bl w:val="nil"/>
                  </w:tcBorders>
                  <w:vAlign w:val="center"/>
                </w:tcPr>
                <w:p w14:paraId="5ACFDAD2">
                  <w:pPr>
                    <w:jc w:val="center"/>
                    <w:rPr>
                      <w:color w:val="auto"/>
                      <w:highlight w:val="none"/>
                    </w:rPr>
                  </w:pPr>
                </w:p>
              </w:tc>
              <w:tc>
                <w:tcPr>
                  <w:tcW w:w="726" w:type="pct"/>
                  <w:vMerge w:val="continue"/>
                  <w:tcBorders>
                    <w:tl2br w:val="nil"/>
                    <w:tr2bl w:val="nil"/>
                  </w:tcBorders>
                  <w:vAlign w:val="center"/>
                </w:tcPr>
                <w:p w14:paraId="3DC5D22E">
                  <w:pPr>
                    <w:jc w:val="center"/>
                    <w:rPr>
                      <w:color w:val="auto"/>
                      <w:highlight w:val="none"/>
                    </w:rPr>
                  </w:pPr>
                </w:p>
              </w:tc>
              <w:tc>
                <w:tcPr>
                  <w:tcW w:w="930" w:type="pct"/>
                  <w:vMerge w:val="continue"/>
                  <w:tcBorders>
                    <w:tl2br w:val="nil"/>
                    <w:tr2bl w:val="nil"/>
                  </w:tcBorders>
                  <w:vAlign w:val="center"/>
                </w:tcPr>
                <w:p w14:paraId="23C88155">
                  <w:pPr>
                    <w:jc w:val="center"/>
                    <w:rPr>
                      <w:color w:val="auto"/>
                      <w:highlight w:val="none"/>
                    </w:rPr>
                  </w:pPr>
                </w:p>
              </w:tc>
              <w:tc>
                <w:tcPr>
                  <w:tcW w:w="780" w:type="pct"/>
                  <w:vMerge w:val="continue"/>
                  <w:tcBorders>
                    <w:tl2br w:val="nil"/>
                    <w:tr2bl w:val="nil"/>
                  </w:tcBorders>
                  <w:vAlign w:val="center"/>
                </w:tcPr>
                <w:p w14:paraId="1BD216AB">
                  <w:pPr>
                    <w:jc w:val="center"/>
                    <w:rPr>
                      <w:color w:val="auto"/>
                      <w:highlight w:val="none"/>
                    </w:rPr>
                  </w:pPr>
                </w:p>
              </w:tc>
              <w:tc>
                <w:tcPr>
                  <w:tcW w:w="660" w:type="pct"/>
                  <w:tcBorders>
                    <w:tl2br w:val="nil"/>
                    <w:tr2bl w:val="nil"/>
                  </w:tcBorders>
                  <w:vAlign w:val="center"/>
                </w:tcPr>
                <w:p w14:paraId="3665E7C0">
                  <w:pPr>
                    <w:jc w:val="center"/>
                    <w:rPr>
                      <w:color w:val="auto"/>
                      <w:highlight w:val="none"/>
                    </w:rPr>
                  </w:pPr>
                  <w:r>
                    <w:rPr>
                      <w:rFonts w:hint="eastAsia" w:ascii="Times New Roman" w:eastAsia="宋体"/>
                      <w:color w:val="auto"/>
                      <w:highlight w:val="none"/>
                      <w:lang w:val="en-US" w:eastAsia="zh-CN"/>
                    </w:rPr>
                    <w:t>农村道路</w:t>
                  </w:r>
                </w:p>
              </w:tc>
              <w:tc>
                <w:tcPr>
                  <w:tcW w:w="679" w:type="pct"/>
                  <w:tcBorders>
                    <w:tl2br w:val="nil"/>
                    <w:tr2bl w:val="nil"/>
                  </w:tcBorders>
                  <w:vAlign w:val="center"/>
                </w:tcPr>
                <w:p w14:paraId="3418324B">
                  <w:pPr>
                    <w:jc w:val="center"/>
                    <w:rPr>
                      <w:color w:val="auto"/>
                      <w:highlight w:val="none"/>
                    </w:rPr>
                  </w:pPr>
                  <w:r>
                    <w:rPr>
                      <w:rFonts w:hint="eastAsia" w:ascii="Times New Roman" w:eastAsia="宋体"/>
                      <w:color w:val="auto"/>
                      <w:highlight w:val="none"/>
                      <w:lang w:val="en-US" w:eastAsia="zh-CN"/>
                    </w:rPr>
                    <w:t>0.0025</w:t>
                  </w:r>
                </w:p>
              </w:tc>
              <w:tc>
                <w:tcPr>
                  <w:tcW w:w="517" w:type="pct"/>
                  <w:vMerge w:val="continue"/>
                  <w:tcBorders>
                    <w:tl2br w:val="nil"/>
                    <w:tr2bl w:val="nil"/>
                  </w:tcBorders>
                  <w:vAlign w:val="center"/>
                </w:tcPr>
                <w:p w14:paraId="381DE099">
                  <w:pPr>
                    <w:jc w:val="center"/>
                    <w:rPr>
                      <w:color w:val="auto"/>
                      <w:highlight w:val="none"/>
                    </w:rPr>
                  </w:pPr>
                </w:p>
              </w:tc>
            </w:tr>
            <w:tr w14:paraId="2A95A1F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706" w:type="pct"/>
                  <w:vMerge w:val="continue"/>
                  <w:tcBorders>
                    <w:tl2br w:val="nil"/>
                    <w:tr2bl w:val="nil"/>
                  </w:tcBorders>
                  <w:vAlign w:val="center"/>
                </w:tcPr>
                <w:p w14:paraId="20889DE7">
                  <w:pPr>
                    <w:jc w:val="center"/>
                    <w:rPr>
                      <w:color w:val="auto"/>
                      <w:highlight w:val="none"/>
                    </w:rPr>
                  </w:pPr>
                </w:p>
              </w:tc>
              <w:tc>
                <w:tcPr>
                  <w:tcW w:w="1657" w:type="pct"/>
                  <w:gridSpan w:val="2"/>
                  <w:tcBorders>
                    <w:tl2br w:val="nil"/>
                    <w:tr2bl w:val="nil"/>
                  </w:tcBorders>
                  <w:vAlign w:val="center"/>
                </w:tcPr>
                <w:p w14:paraId="341E5FA4">
                  <w:pPr>
                    <w:jc w:val="center"/>
                    <w:rPr>
                      <w:color w:val="auto"/>
                      <w:highlight w:val="none"/>
                    </w:rPr>
                  </w:pPr>
                  <w:r>
                    <w:rPr>
                      <w:color w:val="auto"/>
                      <w:highlight w:val="none"/>
                    </w:rPr>
                    <w:t>施工临建区</w:t>
                  </w:r>
                </w:p>
              </w:tc>
              <w:tc>
                <w:tcPr>
                  <w:tcW w:w="780" w:type="pct"/>
                  <w:tcBorders>
                    <w:tl2br w:val="nil"/>
                    <w:tr2bl w:val="nil"/>
                  </w:tcBorders>
                  <w:vAlign w:val="center"/>
                </w:tcPr>
                <w:p w14:paraId="0C47DD50">
                  <w:pPr>
                    <w:jc w:val="center"/>
                    <w:rPr>
                      <w:rFonts w:hint="default" w:eastAsia="宋体"/>
                      <w:color w:val="auto"/>
                      <w:highlight w:val="none"/>
                      <w:lang w:val="en-US" w:eastAsia="zh-CN"/>
                    </w:rPr>
                  </w:pPr>
                  <w:r>
                    <w:rPr>
                      <w:rFonts w:hint="eastAsia" w:ascii="Times New Roman" w:eastAsia="宋体"/>
                      <w:color w:val="auto"/>
                      <w:highlight w:val="none"/>
                      <w:lang w:val="en-US" w:eastAsia="zh-CN"/>
                    </w:rPr>
                    <w:t>0.24</w:t>
                  </w:r>
                </w:p>
              </w:tc>
              <w:tc>
                <w:tcPr>
                  <w:tcW w:w="660" w:type="pct"/>
                  <w:tcBorders>
                    <w:tl2br w:val="nil"/>
                    <w:tr2bl w:val="nil"/>
                  </w:tcBorders>
                  <w:vAlign w:val="center"/>
                </w:tcPr>
                <w:p w14:paraId="3C020B86">
                  <w:pPr>
                    <w:jc w:val="center"/>
                    <w:rPr>
                      <w:rFonts w:hint="eastAsia" w:eastAsia="宋体"/>
                      <w:color w:val="auto"/>
                      <w:highlight w:val="none"/>
                      <w:lang w:val="en-US" w:eastAsia="zh-CN"/>
                    </w:rPr>
                  </w:pPr>
                  <w:r>
                    <w:rPr>
                      <w:rFonts w:hint="eastAsia" w:ascii="Times New Roman" w:eastAsia="宋体"/>
                      <w:color w:val="auto"/>
                      <w:highlight w:val="none"/>
                      <w:lang w:val="en-US" w:eastAsia="zh-CN"/>
                    </w:rPr>
                    <w:t>其他草地</w:t>
                  </w:r>
                </w:p>
              </w:tc>
              <w:tc>
                <w:tcPr>
                  <w:tcW w:w="679" w:type="pct"/>
                  <w:tcBorders>
                    <w:tl2br w:val="nil"/>
                    <w:tr2bl w:val="nil"/>
                  </w:tcBorders>
                  <w:vAlign w:val="center"/>
                </w:tcPr>
                <w:p w14:paraId="4820AFD5">
                  <w:pPr>
                    <w:jc w:val="center"/>
                    <w:rPr>
                      <w:rFonts w:hint="default" w:eastAsia="宋体"/>
                      <w:color w:val="auto"/>
                      <w:highlight w:val="none"/>
                      <w:lang w:val="en-US" w:eastAsia="zh-CN"/>
                    </w:rPr>
                  </w:pPr>
                  <w:r>
                    <w:rPr>
                      <w:rFonts w:hint="eastAsia" w:ascii="Times New Roman" w:eastAsia="宋体"/>
                      <w:color w:val="auto"/>
                      <w:highlight w:val="none"/>
                      <w:lang w:val="en-US" w:eastAsia="zh-CN"/>
                    </w:rPr>
                    <w:t>0.24</w:t>
                  </w:r>
                </w:p>
              </w:tc>
              <w:tc>
                <w:tcPr>
                  <w:tcW w:w="517" w:type="pct"/>
                  <w:vMerge w:val="continue"/>
                  <w:tcBorders>
                    <w:tl2br w:val="nil"/>
                    <w:tr2bl w:val="nil"/>
                  </w:tcBorders>
                  <w:vAlign w:val="center"/>
                </w:tcPr>
                <w:p w14:paraId="4A006AB4">
                  <w:pPr>
                    <w:jc w:val="center"/>
                    <w:rPr>
                      <w:color w:val="auto"/>
                      <w:highlight w:val="none"/>
                    </w:rPr>
                  </w:pPr>
                </w:p>
              </w:tc>
            </w:tr>
            <w:tr w14:paraId="641C0B4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82" w:type="pct"/>
                  <w:gridSpan w:val="6"/>
                  <w:tcBorders>
                    <w:tl2br w:val="nil"/>
                    <w:tr2bl w:val="nil"/>
                  </w:tcBorders>
                  <w:vAlign w:val="center"/>
                </w:tcPr>
                <w:p w14:paraId="49741BF6">
                  <w:pPr>
                    <w:jc w:val="center"/>
                    <w:rPr>
                      <w:color w:val="auto"/>
                      <w:highlight w:val="none"/>
                    </w:rPr>
                  </w:pPr>
                  <w:r>
                    <w:rPr>
                      <w:color w:val="auto"/>
                      <w:highlight w:val="none"/>
                    </w:rPr>
                    <w:t>合计</w:t>
                  </w:r>
                </w:p>
              </w:tc>
              <w:tc>
                <w:tcPr>
                  <w:tcW w:w="517" w:type="pct"/>
                  <w:tcBorders>
                    <w:tl2br w:val="nil"/>
                    <w:tr2bl w:val="nil"/>
                  </w:tcBorders>
                  <w:vAlign w:val="center"/>
                </w:tcPr>
                <w:p w14:paraId="066176ED">
                  <w:pPr>
                    <w:jc w:val="center"/>
                    <w:rPr>
                      <w:rFonts w:hint="default"/>
                      <w:color w:val="auto"/>
                      <w:highlight w:val="none"/>
                    </w:rPr>
                  </w:pPr>
                  <w:r>
                    <w:rPr>
                      <w:rFonts w:hint="default"/>
                      <w:color w:val="auto"/>
                      <w:highlight w:val="none"/>
                    </w:rPr>
                    <w:fldChar w:fldCharType="begin"/>
                  </w:r>
                  <w:r>
                    <w:rPr>
                      <w:rFonts w:hint="default"/>
                      <w:color w:val="auto"/>
                      <w:highlight w:val="none"/>
                    </w:rPr>
                    <w:instrText xml:space="preserve"> =SUM(ABOVE) \* MERGEFORMAT </w:instrText>
                  </w:r>
                  <w:r>
                    <w:rPr>
                      <w:rFonts w:hint="default"/>
                      <w:color w:val="auto"/>
                      <w:highlight w:val="none"/>
                    </w:rPr>
                    <w:fldChar w:fldCharType="separate"/>
                  </w:r>
                  <w:r>
                    <w:rPr>
                      <w:rFonts w:hint="default"/>
                      <w:color w:val="auto"/>
                      <w:highlight w:val="none"/>
                    </w:rPr>
                    <w:t>3.8689</w:t>
                  </w:r>
                  <w:r>
                    <w:rPr>
                      <w:rFonts w:hint="default"/>
                      <w:color w:val="auto"/>
                      <w:highlight w:val="none"/>
                    </w:rPr>
                    <w:fldChar w:fldCharType="end"/>
                  </w:r>
                </w:p>
              </w:tc>
            </w:tr>
            <w:bookmarkEnd w:id="3"/>
            <w:bookmarkEnd w:id="4"/>
          </w:tbl>
          <w:p w14:paraId="38197AE8">
            <w:pPr>
              <w:keepNext w:val="0"/>
              <w:keepLines w:val="0"/>
              <w:widowControl w:val="0"/>
              <w:suppressLineNumbers w:val="0"/>
              <w:snapToGrid w:val="0"/>
              <w:spacing w:before="0" w:beforeLines="0" w:beforeAutospacing="0" w:after="0" w:afterLines="0" w:afterAutospacing="0" w:line="480" w:lineRule="exact"/>
              <w:ind w:left="0" w:right="0" w:firstLine="0" w:firstLineChars="0"/>
              <w:jc w:val="center"/>
              <w:rPr>
                <w:rFonts w:hint="default" w:ascii="Times New Roman" w:hAnsi="Times New Roman" w:eastAsia="黑体" w:cs="Times New Roman"/>
                <w:bCs/>
                <w:color w:val="auto"/>
                <w:kern w:val="2"/>
                <w:sz w:val="21"/>
                <w:szCs w:val="21"/>
                <w:highlight w:val="none"/>
                <w:vertAlign w:val="superscript"/>
                <w:lang w:val="en-US" w:eastAsia="zh-CN" w:bidi="ar-SA"/>
              </w:rPr>
            </w:pPr>
            <w:r>
              <w:rPr>
                <w:rFonts w:hint="default" w:ascii="Times New Roman" w:hAnsi="Times New Roman" w:eastAsia="黑体" w:cs="Times New Roman"/>
                <w:bCs/>
                <w:color w:val="auto"/>
                <w:kern w:val="2"/>
                <w:sz w:val="21"/>
                <w:szCs w:val="21"/>
                <w:highlight w:val="none"/>
                <w:lang w:val="en-US" w:eastAsia="zh-CN" w:bidi="ar-SA"/>
              </w:rPr>
              <w:t>表</w:t>
            </w:r>
            <w:r>
              <w:rPr>
                <w:rFonts w:hint="eastAsia" w:ascii="黑体" w:hAnsi="黑体" w:eastAsia="黑体" w:cs="黑体"/>
                <w:bCs/>
                <w:color w:val="auto"/>
                <w:kern w:val="2"/>
                <w:sz w:val="21"/>
                <w:szCs w:val="21"/>
                <w:highlight w:val="none"/>
                <w:lang w:val="en-US" w:eastAsia="zh-CN" w:bidi="ar-SA"/>
              </w:rPr>
              <w:t>2-5</w:t>
            </w:r>
            <w:r>
              <w:rPr>
                <w:rFonts w:hint="default" w:ascii="Times New Roman" w:hAnsi="Times New Roman" w:eastAsia="黑体" w:cs="Times New Roman"/>
                <w:bCs/>
                <w:color w:val="auto"/>
                <w:kern w:val="2"/>
                <w:sz w:val="21"/>
                <w:szCs w:val="21"/>
                <w:highlight w:val="none"/>
                <w:lang w:val="en-US" w:eastAsia="zh-CN" w:bidi="ar-SA"/>
              </w:rPr>
              <w:t xml:space="preserve">  本项目占用林地情况一览表   单位：hm</w:t>
            </w:r>
            <w:r>
              <w:rPr>
                <w:rFonts w:hint="default" w:ascii="Times New Roman" w:hAnsi="Times New Roman" w:eastAsia="黑体" w:cs="Times New Roman"/>
                <w:bCs/>
                <w:color w:val="auto"/>
                <w:kern w:val="2"/>
                <w:sz w:val="21"/>
                <w:szCs w:val="21"/>
                <w:highlight w:val="none"/>
                <w:vertAlign w:val="superscript"/>
                <w:lang w:val="en-US" w:eastAsia="zh-CN" w:bidi="ar-SA"/>
              </w:rPr>
              <w:t>2</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0" w:type="dxa"/>
                <w:bottom w:w="0" w:type="dxa"/>
                <w:right w:w="0" w:type="dxa"/>
              </w:tblCellMar>
            </w:tblPr>
            <w:tblGrid>
              <w:gridCol w:w="512"/>
              <w:gridCol w:w="1006"/>
              <w:gridCol w:w="916"/>
              <w:gridCol w:w="897"/>
              <w:gridCol w:w="755"/>
              <w:gridCol w:w="1058"/>
              <w:gridCol w:w="1060"/>
              <w:gridCol w:w="1069"/>
              <w:gridCol w:w="886"/>
            </w:tblGrid>
            <w:tr w14:paraId="63644C9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jc w:val="center"/>
              </w:trPr>
              <w:tc>
                <w:tcPr>
                  <w:tcW w:w="518" w:type="dxa"/>
                  <w:vMerge w:val="restart"/>
                  <w:tcBorders>
                    <w:tl2br w:val="nil"/>
                    <w:tr2bl w:val="nil"/>
                  </w:tcBorders>
                  <w:noWrap w:val="0"/>
                  <w:vAlign w:val="center"/>
                </w:tcPr>
                <w:p w14:paraId="5ED10214">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类别</w:t>
                  </w:r>
                </w:p>
              </w:tc>
              <w:tc>
                <w:tcPr>
                  <w:tcW w:w="1022" w:type="dxa"/>
                  <w:vMerge w:val="restart"/>
                  <w:tcBorders>
                    <w:tl2br w:val="nil"/>
                    <w:tr2bl w:val="nil"/>
                  </w:tcBorders>
                  <w:noWrap w:val="0"/>
                  <w:vAlign w:val="center"/>
                </w:tcPr>
                <w:p w14:paraId="418FF3FF">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工程</w:t>
                  </w:r>
                  <w:r>
                    <w:rPr>
                      <w:rFonts w:hint="default" w:ascii="Times New Roman" w:hAnsi="Times New Roman" w:eastAsia="宋体" w:cs="Times New Roman"/>
                      <w:bCs/>
                      <w:color w:val="auto"/>
                      <w:kern w:val="2"/>
                      <w:sz w:val="21"/>
                      <w:szCs w:val="24"/>
                      <w:highlight w:val="none"/>
                      <w:lang w:val="en-US" w:eastAsia="zh-CN" w:bidi="ar-SA"/>
                    </w:rPr>
                    <w:t>内容</w:t>
                  </w:r>
                </w:p>
              </w:tc>
              <w:tc>
                <w:tcPr>
                  <w:tcW w:w="2505" w:type="dxa"/>
                  <w:gridSpan w:val="3"/>
                  <w:tcBorders>
                    <w:tl2br w:val="nil"/>
                    <w:tr2bl w:val="nil"/>
                  </w:tcBorders>
                  <w:noWrap w:val="0"/>
                  <w:vAlign w:val="center"/>
                </w:tcPr>
                <w:p w14:paraId="6A41126B">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林地类型</w:t>
                  </w:r>
                </w:p>
              </w:tc>
              <w:tc>
                <w:tcPr>
                  <w:tcW w:w="4114" w:type="dxa"/>
                  <w:gridSpan w:val="4"/>
                  <w:tcBorders>
                    <w:tl2br w:val="nil"/>
                    <w:tr2bl w:val="nil"/>
                  </w:tcBorders>
                  <w:noWrap w:val="0"/>
                  <w:vAlign w:val="center"/>
                </w:tcPr>
                <w:p w14:paraId="417912EF">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Cs/>
                      <w:color w:val="auto"/>
                      <w:kern w:val="2"/>
                      <w:sz w:val="21"/>
                      <w:szCs w:val="24"/>
                      <w:highlight w:val="none"/>
                      <w:lang w:val="en-US" w:eastAsia="zh-CN" w:bidi="ar-SA"/>
                    </w:rPr>
                  </w:pPr>
                  <w:r>
                    <w:rPr>
                      <w:rFonts w:hint="default" w:ascii="Times New Roman" w:hAnsi="Times New Roman" w:eastAsia="宋体" w:cs="Times New Roman"/>
                      <w:bCs/>
                      <w:color w:val="auto"/>
                      <w:kern w:val="2"/>
                      <w:sz w:val="21"/>
                      <w:szCs w:val="24"/>
                      <w:highlight w:val="none"/>
                      <w:lang w:val="en-US" w:eastAsia="zh-CN" w:bidi="ar-SA"/>
                    </w:rPr>
                    <w:t>森林类别</w:t>
                  </w:r>
                </w:p>
              </w:tc>
            </w:tr>
            <w:tr w14:paraId="35C7F68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jc w:val="center"/>
              </w:trPr>
              <w:tc>
                <w:tcPr>
                  <w:tcW w:w="518" w:type="dxa"/>
                  <w:vMerge w:val="continue"/>
                  <w:tcBorders>
                    <w:tl2br w:val="nil"/>
                    <w:tr2bl w:val="nil"/>
                  </w:tcBorders>
                  <w:noWrap w:val="0"/>
                  <w:vAlign w:val="center"/>
                </w:tcPr>
                <w:p w14:paraId="7D24B684">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Cs/>
                      <w:color w:val="auto"/>
                      <w:kern w:val="2"/>
                      <w:sz w:val="21"/>
                      <w:szCs w:val="21"/>
                      <w:highlight w:val="none"/>
                      <w:lang w:val="en-US" w:eastAsia="zh-CN" w:bidi="ar-SA"/>
                    </w:rPr>
                  </w:pPr>
                </w:p>
              </w:tc>
              <w:tc>
                <w:tcPr>
                  <w:tcW w:w="1022" w:type="dxa"/>
                  <w:vMerge w:val="continue"/>
                  <w:tcBorders>
                    <w:tl2br w:val="nil"/>
                    <w:tr2bl w:val="nil"/>
                  </w:tcBorders>
                  <w:noWrap w:val="0"/>
                  <w:vAlign w:val="center"/>
                </w:tcPr>
                <w:p w14:paraId="454CB0D2">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Cs/>
                      <w:color w:val="auto"/>
                      <w:kern w:val="2"/>
                      <w:sz w:val="21"/>
                      <w:szCs w:val="21"/>
                      <w:highlight w:val="none"/>
                      <w:lang w:val="en-US" w:eastAsia="zh-CN" w:bidi="ar-SA"/>
                    </w:rPr>
                  </w:pPr>
                </w:p>
              </w:tc>
              <w:tc>
                <w:tcPr>
                  <w:tcW w:w="930" w:type="dxa"/>
                  <w:tcBorders>
                    <w:tl2br w:val="nil"/>
                    <w:tr2bl w:val="nil"/>
                  </w:tcBorders>
                  <w:noWrap w:val="0"/>
                  <w:vAlign w:val="center"/>
                </w:tcPr>
                <w:p w14:paraId="53D3A0E5">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林地类型</w:t>
                  </w:r>
                </w:p>
              </w:tc>
              <w:tc>
                <w:tcPr>
                  <w:tcW w:w="900" w:type="dxa"/>
                  <w:tcBorders>
                    <w:tl2br w:val="nil"/>
                    <w:tr2bl w:val="nil"/>
                  </w:tcBorders>
                  <w:noWrap w:val="0"/>
                  <w:vAlign w:val="center"/>
                </w:tcPr>
                <w:p w14:paraId="47796397">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Cs/>
                      <w:color w:val="auto"/>
                      <w:kern w:val="2"/>
                      <w:sz w:val="21"/>
                      <w:szCs w:val="24"/>
                      <w:highlight w:val="none"/>
                      <w:lang w:val="en-US" w:eastAsia="zh-CN" w:bidi="ar-SA"/>
                    </w:rPr>
                  </w:pPr>
                  <w:r>
                    <w:rPr>
                      <w:rFonts w:hint="default" w:ascii="Times New Roman" w:hAnsi="Times New Roman" w:eastAsia="宋体" w:cs="Times New Roman"/>
                      <w:bCs/>
                      <w:color w:val="auto"/>
                      <w:kern w:val="2"/>
                      <w:sz w:val="21"/>
                      <w:szCs w:val="24"/>
                      <w:highlight w:val="none"/>
                      <w:lang w:val="en-US" w:eastAsia="zh-CN" w:bidi="ar-SA"/>
                    </w:rPr>
                    <w:t>占地面积</w:t>
                  </w:r>
                </w:p>
              </w:tc>
              <w:tc>
                <w:tcPr>
                  <w:tcW w:w="675" w:type="dxa"/>
                  <w:tcBorders>
                    <w:tl2br w:val="nil"/>
                    <w:tr2bl w:val="nil"/>
                  </w:tcBorders>
                  <w:noWrap w:val="0"/>
                  <w:vAlign w:val="center"/>
                </w:tcPr>
                <w:p w14:paraId="27A5041C">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Cs/>
                      <w:color w:val="auto"/>
                      <w:kern w:val="2"/>
                      <w:sz w:val="21"/>
                      <w:szCs w:val="24"/>
                      <w:highlight w:val="none"/>
                      <w:lang w:val="en-US" w:eastAsia="zh-CN" w:bidi="ar-SA"/>
                    </w:rPr>
                  </w:pPr>
                  <w:r>
                    <w:rPr>
                      <w:rFonts w:hint="default" w:ascii="Times New Roman" w:hAnsi="Times New Roman" w:eastAsia="宋体" w:cs="Times New Roman"/>
                      <w:bCs/>
                      <w:color w:val="auto"/>
                      <w:kern w:val="2"/>
                      <w:sz w:val="21"/>
                      <w:szCs w:val="24"/>
                      <w:highlight w:val="none"/>
                      <w:lang w:val="en-US" w:eastAsia="zh-CN" w:bidi="ar-SA"/>
                    </w:rPr>
                    <w:t>小计</w:t>
                  </w:r>
                </w:p>
              </w:tc>
              <w:tc>
                <w:tcPr>
                  <w:tcW w:w="1075" w:type="dxa"/>
                  <w:tcBorders>
                    <w:tl2br w:val="nil"/>
                    <w:tr2bl w:val="nil"/>
                  </w:tcBorders>
                  <w:noWrap w:val="0"/>
                  <w:vAlign w:val="center"/>
                </w:tcPr>
                <w:p w14:paraId="70B8D7D3">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Cs/>
                      <w:color w:val="auto"/>
                      <w:kern w:val="2"/>
                      <w:sz w:val="21"/>
                      <w:szCs w:val="24"/>
                      <w:highlight w:val="none"/>
                      <w:lang w:val="en-US" w:eastAsia="zh-CN" w:bidi="ar-SA"/>
                    </w:rPr>
                  </w:pPr>
                  <w:r>
                    <w:rPr>
                      <w:rFonts w:hint="default" w:ascii="Times New Roman" w:hAnsi="Times New Roman" w:eastAsia="宋体" w:cs="Times New Roman"/>
                      <w:bCs/>
                      <w:color w:val="auto"/>
                      <w:kern w:val="2"/>
                      <w:sz w:val="21"/>
                      <w:szCs w:val="24"/>
                      <w:highlight w:val="none"/>
                      <w:lang w:val="en-US" w:eastAsia="zh-CN" w:bidi="ar-SA"/>
                    </w:rPr>
                    <w:t>森林类别</w:t>
                  </w:r>
                </w:p>
              </w:tc>
              <w:tc>
                <w:tcPr>
                  <w:tcW w:w="1075" w:type="dxa"/>
                  <w:tcBorders>
                    <w:tl2br w:val="nil"/>
                    <w:tr2bl w:val="nil"/>
                  </w:tcBorders>
                  <w:noWrap w:val="0"/>
                  <w:vAlign w:val="center"/>
                </w:tcPr>
                <w:p w14:paraId="0EFFBE7D">
                  <w:pPr>
                    <w:keepNext w:val="0"/>
                    <w:keepLines w:val="0"/>
                    <w:widowControl w:val="0"/>
                    <w:suppressLineNumbers w:val="0"/>
                    <w:snapToGrid w:val="0"/>
                    <w:spacing w:before="0" w:beforeLines="0" w:beforeAutospacing="0" w:after="0" w:afterLines="0" w:afterAutospacing="0" w:line="240" w:lineRule="auto"/>
                    <w:ind w:left="0" w:right="0" w:firstLine="0" w:firstLineChars="0"/>
                    <w:jc w:val="both"/>
                    <w:rPr>
                      <w:rFonts w:hint="default" w:ascii="Times New Roman" w:hAnsi="Times New Roman" w:eastAsia="宋体" w:cs="Times New Roman"/>
                      <w:bCs/>
                      <w:color w:val="auto"/>
                      <w:kern w:val="2"/>
                      <w:sz w:val="21"/>
                      <w:szCs w:val="24"/>
                      <w:highlight w:val="none"/>
                      <w:lang w:val="en-US" w:eastAsia="zh-CN" w:bidi="ar-SA"/>
                    </w:rPr>
                  </w:pPr>
                  <w:r>
                    <w:rPr>
                      <w:rFonts w:hint="default" w:ascii="Times New Roman" w:hAnsi="Times New Roman" w:eastAsia="宋体" w:cs="Times New Roman"/>
                      <w:bCs/>
                      <w:color w:val="auto"/>
                      <w:kern w:val="2"/>
                      <w:sz w:val="21"/>
                      <w:szCs w:val="24"/>
                      <w:highlight w:val="none"/>
                      <w:lang w:val="en-US" w:eastAsia="zh-CN" w:bidi="ar-SA"/>
                    </w:rPr>
                    <w:t>保护等级</w:t>
                  </w:r>
                </w:p>
              </w:tc>
              <w:tc>
                <w:tcPr>
                  <w:tcW w:w="1075" w:type="dxa"/>
                  <w:tcBorders>
                    <w:tl2br w:val="nil"/>
                    <w:tr2bl w:val="nil"/>
                  </w:tcBorders>
                  <w:noWrap w:val="0"/>
                  <w:vAlign w:val="center"/>
                </w:tcPr>
                <w:p w14:paraId="6A40CE33">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Cs/>
                      <w:color w:val="auto"/>
                      <w:kern w:val="2"/>
                      <w:sz w:val="21"/>
                      <w:szCs w:val="24"/>
                      <w:highlight w:val="none"/>
                      <w:lang w:val="en-US" w:eastAsia="zh-CN" w:bidi="ar-SA"/>
                    </w:rPr>
                  </w:pPr>
                  <w:r>
                    <w:rPr>
                      <w:rFonts w:hint="default" w:ascii="Times New Roman" w:hAnsi="Times New Roman" w:eastAsia="宋体" w:cs="Times New Roman"/>
                      <w:bCs/>
                      <w:color w:val="auto"/>
                      <w:kern w:val="2"/>
                      <w:sz w:val="21"/>
                      <w:szCs w:val="24"/>
                      <w:highlight w:val="none"/>
                      <w:lang w:val="en-US" w:eastAsia="zh-CN" w:bidi="ar-SA"/>
                    </w:rPr>
                    <w:t>占地面积</w:t>
                  </w:r>
                </w:p>
              </w:tc>
              <w:tc>
                <w:tcPr>
                  <w:tcW w:w="889" w:type="dxa"/>
                  <w:tcBorders>
                    <w:tl2br w:val="nil"/>
                    <w:tr2bl w:val="nil"/>
                  </w:tcBorders>
                  <w:noWrap w:val="0"/>
                  <w:vAlign w:val="center"/>
                </w:tcPr>
                <w:p w14:paraId="7062BD55">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Cs/>
                      <w:color w:val="auto"/>
                      <w:kern w:val="2"/>
                      <w:sz w:val="21"/>
                      <w:szCs w:val="24"/>
                      <w:highlight w:val="none"/>
                      <w:lang w:val="en-US" w:eastAsia="zh-CN" w:bidi="ar-SA"/>
                    </w:rPr>
                  </w:pPr>
                  <w:r>
                    <w:rPr>
                      <w:rFonts w:hint="default" w:ascii="Times New Roman" w:hAnsi="Times New Roman" w:eastAsia="宋体" w:cs="Times New Roman"/>
                      <w:bCs/>
                      <w:color w:val="auto"/>
                      <w:kern w:val="2"/>
                      <w:sz w:val="21"/>
                      <w:szCs w:val="24"/>
                      <w:highlight w:val="none"/>
                      <w:lang w:val="en-US" w:eastAsia="zh-CN" w:bidi="ar-SA"/>
                    </w:rPr>
                    <w:t>小计</w:t>
                  </w:r>
                </w:p>
              </w:tc>
            </w:tr>
            <w:tr w14:paraId="592616C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jc w:val="center"/>
              </w:trPr>
              <w:tc>
                <w:tcPr>
                  <w:tcW w:w="518" w:type="dxa"/>
                  <w:vMerge w:val="restart"/>
                  <w:tcBorders>
                    <w:tl2br w:val="nil"/>
                    <w:tr2bl w:val="nil"/>
                  </w:tcBorders>
                  <w:noWrap w:val="0"/>
                  <w:vAlign w:val="center"/>
                </w:tcPr>
                <w:p w14:paraId="5B576CC5">
                  <w:pPr>
                    <w:keepNext w:val="0"/>
                    <w:keepLines w:val="0"/>
                    <w:suppressLineNumbers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4"/>
                      <w:highlight w:val="none"/>
                      <w:lang w:val="en-US" w:eastAsia="zh-CN"/>
                    </w:rPr>
                  </w:pPr>
                  <w:r>
                    <w:rPr>
                      <w:rFonts w:hint="default" w:ascii="Times New Roman" w:hAnsi="Times New Roman" w:eastAsia="宋体" w:cs="Times New Roman"/>
                      <w:color w:val="auto"/>
                      <w:sz w:val="21"/>
                      <w:szCs w:val="24"/>
                      <w:highlight w:val="none"/>
                      <w:lang w:val="en-US" w:eastAsia="zh-CN"/>
                    </w:rPr>
                    <w:t>永久</w:t>
                  </w:r>
                </w:p>
                <w:p w14:paraId="1B2898EC">
                  <w:pPr>
                    <w:keepNext w:val="0"/>
                    <w:keepLines w:val="0"/>
                    <w:suppressLineNumbers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4"/>
                      <w:highlight w:val="none"/>
                      <w:lang w:val="en-US" w:eastAsia="zh-CN"/>
                    </w:rPr>
                  </w:pPr>
                  <w:r>
                    <w:rPr>
                      <w:rFonts w:hint="default" w:ascii="Times New Roman" w:hAnsi="Times New Roman" w:eastAsia="宋体" w:cs="Times New Roman"/>
                      <w:color w:val="auto"/>
                      <w:sz w:val="21"/>
                      <w:szCs w:val="24"/>
                      <w:highlight w:val="none"/>
                      <w:lang w:val="en-US" w:eastAsia="zh-CN"/>
                    </w:rPr>
                    <w:t>占地</w:t>
                  </w:r>
                </w:p>
              </w:tc>
              <w:tc>
                <w:tcPr>
                  <w:tcW w:w="1022" w:type="dxa"/>
                  <w:vMerge w:val="restart"/>
                  <w:tcBorders>
                    <w:tl2br w:val="nil"/>
                    <w:tr2bl w:val="nil"/>
                  </w:tcBorders>
                  <w:noWrap w:val="0"/>
                  <w:vAlign w:val="center"/>
                </w:tcPr>
                <w:p w14:paraId="757F5AF0">
                  <w:pPr>
                    <w:keepNext w:val="0"/>
                    <w:keepLines w:val="0"/>
                    <w:suppressLineNumbers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风机基础</w:t>
                  </w:r>
                </w:p>
              </w:tc>
              <w:tc>
                <w:tcPr>
                  <w:tcW w:w="930" w:type="dxa"/>
                  <w:tcBorders>
                    <w:tl2br w:val="nil"/>
                    <w:tr2bl w:val="nil"/>
                  </w:tcBorders>
                  <w:noWrap w:val="0"/>
                  <w:vAlign w:val="center"/>
                </w:tcPr>
                <w:p w14:paraId="59759B37">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4"/>
                      <w:highlight w:val="none"/>
                      <w:lang w:val="en-US" w:eastAsia="zh-CN" w:bidi="ar-SA"/>
                    </w:rPr>
                    <w:t>疏林地</w:t>
                  </w:r>
                </w:p>
              </w:tc>
              <w:tc>
                <w:tcPr>
                  <w:tcW w:w="900" w:type="dxa"/>
                  <w:tcBorders>
                    <w:tl2br w:val="nil"/>
                    <w:tr2bl w:val="nil"/>
                  </w:tcBorders>
                  <w:noWrap w:val="0"/>
                  <w:vAlign w:val="center"/>
                </w:tcPr>
                <w:p w14:paraId="604AECCF">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0.0402</w:t>
                  </w:r>
                </w:p>
              </w:tc>
              <w:tc>
                <w:tcPr>
                  <w:tcW w:w="675" w:type="dxa"/>
                  <w:vMerge w:val="restart"/>
                  <w:tcBorders>
                    <w:tl2br w:val="nil"/>
                    <w:tr2bl w:val="nil"/>
                  </w:tcBorders>
                  <w:noWrap w:val="0"/>
                  <w:vAlign w:val="center"/>
                </w:tcPr>
                <w:p w14:paraId="201C5CB5">
                  <w:pPr>
                    <w:keepNext w:val="0"/>
                    <w:keepLines w:val="0"/>
                    <w:suppressLineNumbers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0.1383</w:t>
                  </w:r>
                </w:p>
              </w:tc>
              <w:tc>
                <w:tcPr>
                  <w:tcW w:w="1075" w:type="dxa"/>
                  <w:tcBorders>
                    <w:tl2br w:val="nil"/>
                    <w:tr2bl w:val="nil"/>
                  </w:tcBorders>
                  <w:noWrap w:val="0"/>
                  <w:vAlign w:val="center"/>
                </w:tcPr>
                <w:p w14:paraId="3C9A97BA">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4"/>
                      <w:highlight w:val="none"/>
                      <w:lang w:val="en-US" w:eastAsia="zh-CN" w:bidi="ar-SA"/>
                    </w:rPr>
                    <w:t>国家级二级公益林</w:t>
                  </w:r>
                </w:p>
              </w:tc>
              <w:tc>
                <w:tcPr>
                  <w:tcW w:w="1075" w:type="dxa"/>
                  <w:tcBorders>
                    <w:tl2br w:val="nil"/>
                    <w:tr2bl w:val="nil"/>
                  </w:tcBorders>
                  <w:noWrap w:val="0"/>
                  <w:vAlign w:val="center"/>
                </w:tcPr>
                <w:p w14:paraId="42C6EC30">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4"/>
                      <w:highlight w:val="none"/>
                      <w:lang w:val="en-US" w:eastAsia="zh-CN" w:bidi="ar-SA"/>
                    </w:rPr>
                    <w:t>Ⅱ</w:t>
                  </w:r>
                </w:p>
              </w:tc>
              <w:tc>
                <w:tcPr>
                  <w:tcW w:w="1075" w:type="dxa"/>
                  <w:tcBorders>
                    <w:tl2br w:val="nil"/>
                    <w:tr2bl w:val="nil"/>
                  </w:tcBorders>
                  <w:noWrap w:val="0"/>
                  <w:vAlign w:val="center"/>
                </w:tcPr>
                <w:p w14:paraId="4860C9BC">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0.0402</w:t>
                  </w:r>
                </w:p>
              </w:tc>
              <w:tc>
                <w:tcPr>
                  <w:tcW w:w="889" w:type="dxa"/>
                  <w:vMerge w:val="restart"/>
                  <w:tcBorders>
                    <w:tl2br w:val="nil"/>
                    <w:tr2bl w:val="nil"/>
                  </w:tcBorders>
                  <w:noWrap w:val="0"/>
                  <w:vAlign w:val="center"/>
                </w:tcPr>
                <w:p w14:paraId="3BEEFC81">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0.4173</w:t>
                  </w:r>
                </w:p>
              </w:tc>
            </w:tr>
            <w:tr w14:paraId="2D9F8F5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276" w:hRule="atLeast"/>
                <w:jc w:val="center"/>
              </w:trPr>
              <w:tc>
                <w:tcPr>
                  <w:tcW w:w="518" w:type="dxa"/>
                  <w:vMerge w:val="continue"/>
                  <w:tcBorders>
                    <w:tl2br w:val="nil"/>
                    <w:tr2bl w:val="nil"/>
                  </w:tcBorders>
                  <w:noWrap w:val="0"/>
                  <w:vAlign w:val="center"/>
                </w:tcPr>
                <w:p w14:paraId="092F2EFA">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Cs/>
                      <w:color w:val="auto"/>
                      <w:kern w:val="2"/>
                      <w:sz w:val="21"/>
                      <w:szCs w:val="21"/>
                      <w:highlight w:val="none"/>
                      <w:lang w:val="en-US" w:eastAsia="zh-CN" w:bidi="ar-SA"/>
                    </w:rPr>
                  </w:pPr>
                </w:p>
              </w:tc>
              <w:tc>
                <w:tcPr>
                  <w:tcW w:w="1022" w:type="dxa"/>
                  <w:vMerge w:val="continue"/>
                  <w:tcBorders>
                    <w:tl2br w:val="nil"/>
                    <w:tr2bl w:val="nil"/>
                  </w:tcBorders>
                  <w:noWrap w:val="0"/>
                  <w:vAlign w:val="center"/>
                </w:tcPr>
                <w:p w14:paraId="6557618E">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Cs/>
                      <w:color w:val="auto"/>
                      <w:kern w:val="2"/>
                      <w:sz w:val="21"/>
                      <w:szCs w:val="21"/>
                      <w:highlight w:val="none"/>
                      <w:lang w:val="en-US" w:eastAsia="zh-CN" w:bidi="ar-SA"/>
                    </w:rPr>
                  </w:pPr>
                </w:p>
              </w:tc>
              <w:tc>
                <w:tcPr>
                  <w:tcW w:w="930" w:type="dxa"/>
                  <w:tcBorders>
                    <w:tl2br w:val="nil"/>
                    <w:tr2bl w:val="nil"/>
                  </w:tcBorders>
                  <w:noWrap w:val="0"/>
                  <w:vAlign w:val="center"/>
                </w:tcPr>
                <w:p w14:paraId="1F4E4E95">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乔木林地</w:t>
                  </w:r>
                </w:p>
              </w:tc>
              <w:tc>
                <w:tcPr>
                  <w:tcW w:w="900" w:type="dxa"/>
                  <w:tcBorders>
                    <w:tl2br w:val="nil"/>
                    <w:tr2bl w:val="nil"/>
                  </w:tcBorders>
                  <w:noWrap w:val="0"/>
                  <w:vAlign w:val="center"/>
                </w:tcPr>
                <w:p w14:paraId="06304BC7">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0.0981</w:t>
                  </w:r>
                </w:p>
              </w:tc>
              <w:tc>
                <w:tcPr>
                  <w:tcW w:w="675" w:type="dxa"/>
                  <w:vMerge w:val="continue"/>
                  <w:tcBorders>
                    <w:tl2br w:val="nil"/>
                    <w:tr2bl w:val="nil"/>
                  </w:tcBorders>
                  <w:noWrap w:val="0"/>
                  <w:vAlign w:val="center"/>
                </w:tcPr>
                <w:p w14:paraId="09B06A98">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Cs/>
                      <w:color w:val="auto"/>
                      <w:kern w:val="2"/>
                      <w:sz w:val="21"/>
                      <w:szCs w:val="21"/>
                      <w:highlight w:val="none"/>
                      <w:lang w:val="en-US" w:eastAsia="zh-CN" w:bidi="ar-SA"/>
                    </w:rPr>
                  </w:pPr>
                </w:p>
              </w:tc>
              <w:tc>
                <w:tcPr>
                  <w:tcW w:w="1075" w:type="dxa"/>
                  <w:tcBorders>
                    <w:tl2br w:val="nil"/>
                    <w:tr2bl w:val="nil"/>
                  </w:tcBorders>
                  <w:noWrap w:val="0"/>
                  <w:vAlign w:val="center"/>
                </w:tcPr>
                <w:p w14:paraId="1881B56E">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4"/>
                      <w:highlight w:val="none"/>
                      <w:lang w:val="en-US" w:eastAsia="zh-CN" w:bidi="ar-SA"/>
                    </w:rPr>
                    <w:t>地方其他</w:t>
                  </w:r>
                  <w:r>
                    <w:rPr>
                      <w:rFonts w:hint="default" w:ascii="Times New Roman" w:hAnsi="Times New Roman" w:eastAsia="宋体" w:cs="Times New Roman"/>
                      <w:bCs/>
                      <w:color w:val="auto"/>
                      <w:kern w:val="2"/>
                      <w:sz w:val="21"/>
                      <w:szCs w:val="24"/>
                      <w:highlight w:val="none"/>
                      <w:lang w:val="en-US" w:eastAsia="zh-CN" w:bidi="ar-SA"/>
                    </w:rPr>
                    <w:t>公益林</w:t>
                  </w:r>
                </w:p>
              </w:tc>
              <w:tc>
                <w:tcPr>
                  <w:tcW w:w="1075" w:type="dxa"/>
                  <w:tcBorders>
                    <w:tl2br w:val="nil"/>
                    <w:tr2bl w:val="nil"/>
                  </w:tcBorders>
                  <w:noWrap w:val="0"/>
                  <w:vAlign w:val="center"/>
                </w:tcPr>
                <w:p w14:paraId="716409D8">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微软雅黑" w:cs="Times New Roman"/>
                      <w:bCs/>
                      <w:color w:val="auto"/>
                      <w:kern w:val="2"/>
                      <w:sz w:val="21"/>
                      <w:szCs w:val="21"/>
                      <w:highlight w:val="none"/>
                      <w:lang w:val="en-US" w:eastAsia="zh-CN" w:bidi="ar-SA"/>
                    </w:rPr>
                    <w:t>Ⅲ</w:t>
                  </w:r>
                </w:p>
              </w:tc>
              <w:tc>
                <w:tcPr>
                  <w:tcW w:w="1075" w:type="dxa"/>
                  <w:tcBorders>
                    <w:tl2br w:val="nil"/>
                    <w:tr2bl w:val="nil"/>
                  </w:tcBorders>
                  <w:noWrap w:val="0"/>
                  <w:vAlign w:val="center"/>
                </w:tcPr>
                <w:p w14:paraId="7E8C3FFF">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0.0981</w:t>
                  </w:r>
                </w:p>
              </w:tc>
              <w:tc>
                <w:tcPr>
                  <w:tcW w:w="889" w:type="dxa"/>
                  <w:vMerge w:val="continue"/>
                  <w:tcBorders>
                    <w:tl2br w:val="nil"/>
                    <w:tr2bl w:val="nil"/>
                  </w:tcBorders>
                  <w:noWrap w:val="0"/>
                  <w:vAlign w:val="center"/>
                </w:tcPr>
                <w:p w14:paraId="705FA264">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Cs/>
                      <w:color w:val="auto"/>
                      <w:kern w:val="2"/>
                      <w:sz w:val="21"/>
                      <w:szCs w:val="21"/>
                      <w:highlight w:val="none"/>
                      <w:lang w:val="en-US" w:eastAsia="zh-CN" w:bidi="ar-SA"/>
                    </w:rPr>
                  </w:pPr>
                </w:p>
              </w:tc>
            </w:tr>
            <w:tr w14:paraId="458C6D7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518" w:type="dxa"/>
                  <w:vMerge w:val="continue"/>
                  <w:tcBorders>
                    <w:tl2br w:val="nil"/>
                    <w:tr2bl w:val="nil"/>
                  </w:tcBorders>
                  <w:noWrap w:val="0"/>
                  <w:vAlign w:val="center"/>
                </w:tcPr>
                <w:p w14:paraId="76904F5A">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Cs/>
                      <w:color w:val="auto"/>
                      <w:kern w:val="2"/>
                      <w:sz w:val="21"/>
                      <w:szCs w:val="21"/>
                      <w:highlight w:val="none"/>
                      <w:lang w:val="en-US" w:eastAsia="zh-CN" w:bidi="ar-SA"/>
                    </w:rPr>
                  </w:pPr>
                </w:p>
              </w:tc>
              <w:tc>
                <w:tcPr>
                  <w:tcW w:w="1022" w:type="dxa"/>
                  <w:vMerge w:val="restart"/>
                  <w:tcBorders>
                    <w:tl2br w:val="nil"/>
                    <w:tr2bl w:val="nil"/>
                  </w:tcBorders>
                  <w:noWrap w:val="0"/>
                  <w:vAlign w:val="center"/>
                </w:tcPr>
                <w:p w14:paraId="4B5834F1">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塔基</w:t>
                  </w:r>
                </w:p>
              </w:tc>
              <w:tc>
                <w:tcPr>
                  <w:tcW w:w="930" w:type="dxa"/>
                  <w:vMerge w:val="restart"/>
                  <w:tcBorders>
                    <w:tl2br w:val="nil"/>
                    <w:tr2bl w:val="nil"/>
                  </w:tcBorders>
                  <w:noWrap w:val="0"/>
                  <w:vAlign w:val="center"/>
                </w:tcPr>
                <w:p w14:paraId="2595976C">
                  <w:pPr>
                    <w:keepNext w:val="0"/>
                    <w:keepLines w:val="0"/>
                    <w:widowControl w:val="0"/>
                    <w:suppressLineNumbers w:val="0"/>
                    <w:snapToGrid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4"/>
                      <w:highlight w:val="none"/>
                      <w:lang w:val="en-US" w:eastAsia="zh-CN" w:bidi="ar-SA"/>
                    </w:rPr>
                    <w:t>疏林地</w:t>
                  </w:r>
                </w:p>
              </w:tc>
              <w:tc>
                <w:tcPr>
                  <w:tcW w:w="900" w:type="dxa"/>
                  <w:vMerge w:val="restart"/>
                  <w:tcBorders>
                    <w:tl2br w:val="nil"/>
                    <w:tr2bl w:val="nil"/>
                  </w:tcBorders>
                  <w:noWrap w:val="0"/>
                  <w:vAlign w:val="center"/>
                </w:tcPr>
                <w:p w14:paraId="42985DED">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0.1114</w:t>
                  </w:r>
                </w:p>
              </w:tc>
              <w:tc>
                <w:tcPr>
                  <w:tcW w:w="675" w:type="dxa"/>
                  <w:vMerge w:val="restart"/>
                  <w:tcBorders>
                    <w:tl2br w:val="nil"/>
                    <w:tr2bl w:val="nil"/>
                  </w:tcBorders>
                  <w:noWrap w:val="0"/>
                  <w:vAlign w:val="center"/>
                </w:tcPr>
                <w:p w14:paraId="5524C756">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Cs/>
                      <w:color w:val="auto"/>
                      <w:kern w:val="2"/>
                      <w:sz w:val="21"/>
                      <w:szCs w:val="21"/>
                      <w:highlight w:val="none"/>
                      <w:lang w:eastAsia="zh-CN" w:bidi="ar-SA"/>
                    </w:rPr>
                  </w:pPr>
                </w:p>
                <w:p w14:paraId="1E18515D">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Cs/>
                      <w:color w:val="auto"/>
                      <w:kern w:val="2"/>
                      <w:sz w:val="21"/>
                      <w:szCs w:val="21"/>
                      <w:highlight w:val="none"/>
                      <w:lang w:eastAsia="zh-CN" w:bidi="ar-SA"/>
                    </w:rPr>
                  </w:pPr>
                </w:p>
                <w:p w14:paraId="5413691E">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0.279</w:t>
                  </w:r>
                </w:p>
              </w:tc>
              <w:tc>
                <w:tcPr>
                  <w:tcW w:w="1075" w:type="dxa"/>
                  <w:tcBorders>
                    <w:tl2br w:val="nil"/>
                    <w:tr2bl w:val="nil"/>
                  </w:tcBorders>
                  <w:noWrap w:val="0"/>
                  <w:vAlign w:val="center"/>
                </w:tcPr>
                <w:p w14:paraId="1142DB69">
                  <w:pPr>
                    <w:keepNext w:val="0"/>
                    <w:keepLines w:val="0"/>
                    <w:widowControl w:val="0"/>
                    <w:suppressLineNumbers w:val="0"/>
                    <w:snapToGrid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4"/>
                      <w:highlight w:val="none"/>
                      <w:lang w:val="en-US" w:eastAsia="zh-CN" w:bidi="ar-SA"/>
                    </w:rPr>
                    <w:t>国家级二级公益林</w:t>
                  </w:r>
                </w:p>
              </w:tc>
              <w:tc>
                <w:tcPr>
                  <w:tcW w:w="1075" w:type="dxa"/>
                  <w:tcBorders>
                    <w:tl2br w:val="nil"/>
                    <w:tr2bl w:val="nil"/>
                  </w:tcBorders>
                  <w:noWrap w:val="0"/>
                  <w:vAlign w:val="center"/>
                </w:tcPr>
                <w:p w14:paraId="506407A5">
                  <w:pPr>
                    <w:keepNext w:val="0"/>
                    <w:keepLines w:val="0"/>
                    <w:widowControl w:val="0"/>
                    <w:suppressLineNumbers w:val="0"/>
                    <w:snapToGrid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4"/>
                      <w:highlight w:val="none"/>
                      <w:lang w:val="en-US" w:eastAsia="zh-CN" w:bidi="ar-SA"/>
                    </w:rPr>
                    <w:t>Ⅱ</w:t>
                  </w:r>
                </w:p>
              </w:tc>
              <w:tc>
                <w:tcPr>
                  <w:tcW w:w="1075" w:type="dxa"/>
                  <w:tcBorders>
                    <w:tl2br w:val="nil"/>
                    <w:tr2bl w:val="nil"/>
                  </w:tcBorders>
                  <w:noWrap w:val="0"/>
                  <w:vAlign w:val="center"/>
                </w:tcPr>
                <w:p w14:paraId="1F14473F">
                  <w:pPr>
                    <w:keepNext w:val="0"/>
                    <w:keepLines w:val="0"/>
                    <w:widowControl w:val="0"/>
                    <w:suppressLineNumbers w:val="0"/>
                    <w:snapToGrid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0.04</w:t>
                  </w:r>
                </w:p>
              </w:tc>
              <w:tc>
                <w:tcPr>
                  <w:tcW w:w="889" w:type="dxa"/>
                  <w:vMerge w:val="continue"/>
                  <w:tcBorders>
                    <w:tl2br w:val="nil"/>
                    <w:tr2bl w:val="nil"/>
                  </w:tcBorders>
                  <w:noWrap w:val="0"/>
                  <w:vAlign w:val="center"/>
                </w:tcPr>
                <w:p w14:paraId="0723A393">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Cs/>
                      <w:color w:val="auto"/>
                      <w:kern w:val="2"/>
                      <w:sz w:val="21"/>
                      <w:szCs w:val="21"/>
                      <w:highlight w:val="none"/>
                      <w:lang w:val="en-US" w:eastAsia="zh-CN" w:bidi="ar-SA"/>
                    </w:rPr>
                  </w:pPr>
                </w:p>
              </w:tc>
            </w:tr>
            <w:tr w14:paraId="6859F82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518" w:type="dxa"/>
                  <w:vMerge w:val="continue"/>
                  <w:tcBorders>
                    <w:tl2br w:val="nil"/>
                    <w:tr2bl w:val="nil"/>
                  </w:tcBorders>
                  <w:noWrap w:val="0"/>
                  <w:vAlign w:val="center"/>
                </w:tcPr>
                <w:p w14:paraId="5336429A">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color w:val="auto"/>
                      <w:highlight w:val="none"/>
                    </w:rPr>
                  </w:pPr>
                </w:p>
              </w:tc>
              <w:tc>
                <w:tcPr>
                  <w:tcW w:w="1022" w:type="dxa"/>
                  <w:vMerge w:val="continue"/>
                  <w:tcBorders>
                    <w:tl2br w:val="nil"/>
                    <w:tr2bl w:val="nil"/>
                  </w:tcBorders>
                  <w:noWrap w:val="0"/>
                  <w:vAlign w:val="center"/>
                </w:tcPr>
                <w:p w14:paraId="52D21AD2">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color w:val="auto"/>
                      <w:highlight w:val="none"/>
                    </w:rPr>
                  </w:pPr>
                </w:p>
              </w:tc>
              <w:tc>
                <w:tcPr>
                  <w:tcW w:w="930" w:type="dxa"/>
                  <w:vMerge w:val="continue"/>
                  <w:tcBorders>
                    <w:tl2br w:val="nil"/>
                    <w:tr2bl w:val="nil"/>
                  </w:tcBorders>
                  <w:noWrap w:val="0"/>
                  <w:vAlign w:val="center"/>
                </w:tcPr>
                <w:p w14:paraId="39B18B3E">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color w:val="auto"/>
                      <w:highlight w:val="none"/>
                    </w:rPr>
                  </w:pPr>
                </w:p>
              </w:tc>
              <w:tc>
                <w:tcPr>
                  <w:tcW w:w="900" w:type="dxa"/>
                  <w:vMerge w:val="continue"/>
                  <w:tcBorders>
                    <w:tl2br w:val="nil"/>
                    <w:tr2bl w:val="nil"/>
                  </w:tcBorders>
                  <w:noWrap w:val="0"/>
                  <w:vAlign w:val="center"/>
                </w:tcPr>
                <w:p w14:paraId="1E1BA7FB">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color w:val="auto"/>
                      <w:highlight w:val="none"/>
                    </w:rPr>
                  </w:pPr>
                </w:p>
              </w:tc>
              <w:tc>
                <w:tcPr>
                  <w:tcW w:w="675" w:type="dxa"/>
                  <w:vMerge w:val="continue"/>
                  <w:tcBorders>
                    <w:tl2br w:val="nil"/>
                    <w:tr2bl w:val="nil"/>
                  </w:tcBorders>
                  <w:noWrap w:val="0"/>
                  <w:vAlign w:val="center"/>
                </w:tcPr>
                <w:p w14:paraId="1C6FF6C0">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color w:val="auto"/>
                      <w:highlight w:val="none"/>
                    </w:rPr>
                  </w:pPr>
                </w:p>
              </w:tc>
              <w:tc>
                <w:tcPr>
                  <w:tcW w:w="1075" w:type="dxa"/>
                  <w:tcBorders>
                    <w:tl2br w:val="nil"/>
                    <w:tr2bl w:val="nil"/>
                  </w:tcBorders>
                  <w:noWrap w:val="0"/>
                  <w:vAlign w:val="center"/>
                </w:tcPr>
                <w:p w14:paraId="441C16AD">
                  <w:pPr>
                    <w:keepNext w:val="0"/>
                    <w:keepLines w:val="0"/>
                    <w:widowControl w:val="0"/>
                    <w:suppressLineNumbers w:val="0"/>
                    <w:snapToGrid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bCs/>
                      <w:color w:val="auto"/>
                      <w:kern w:val="2"/>
                      <w:sz w:val="21"/>
                      <w:szCs w:val="24"/>
                      <w:highlight w:val="none"/>
                      <w:lang w:val="en-US" w:eastAsia="zh-CN" w:bidi="ar-SA"/>
                    </w:rPr>
                  </w:pPr>
                  <w:r>
                    <w:rPr>
                      <w:rFonts w:hint="default"/>
                      <w:color w:val="auto"/>
                      <w:highlight w:val="none"/>
                      <w:lang w:val="en-US" w:eastAsia="zh-CN"/>
                    </w:rPr>
                    <w:t>地方其他公益林</w:t>
                  </w:r>
                </w:p>
              </w:tc>
              <w:tc>
                <w:tcPr>
                  <w:tcW w:w="1075" w:type="dxa"/>
                  <w:tcBorders>
                    <w:tl2br w:val="nil"/>
                    <w:tr2bl w:val="nil"/>
                  </w:tcBorders>
                  <w:noWrap w:val="0"/>
                  <w:vAlign w:val="center"/>
                </w:tcPr>
                <w:p w14:paraId="5CB1F145">
                  <w:pPr>
                    <w:keepNext w:val="0"/>
                    <w:keepLines w:val="0"/>
                    <w:widowControl w:val="0"/>
                    <w:suppressLineNumbers w:val="0"/>
                    <w:snapToGrid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bCs/>
                      <w:color w:val="auto"/>
                      <w:kern w:val="2"/>
                      <w:sz w:val="21"/>
                      <w:szCs w:val="24"/>
                      <w:highlight w:val="none"/>
                      <w:lang w:val="en-US" w:eastAsia="zh-CN" w:bidi="ar-SA"/>
                    </w:rPr>
                  </w:pPr>
                  <w:r>
                    <w:rPr>
                      <w:rFonts w:hint="default" w:ascii="Times New Roman" w:hAnsi="Times New Roman" w:eastAsia="微软雅黑" w:cs="Times New Roman"/>
                      <w:color w:val="auto"/>
                      <w:highlight w:val="none"/>
                    </w:rPr>
                    <w:t>Ⅲ</w:t>
                  </w:r>
                </w:p>
              </w:tc>
              <w:tc>
                <w:tcPr>
                  <w:tcW w:w="1075" w:type="dxa"/>
                  <w:tcBorders>
                    <w:tl2br w:val="nil"/>
                    <w:tr2bl w:val="nil"/>
                  </w:tcBorders>
                  <w:noWrap w:val="0"/>
                  <w:vAlign w:val="center"/>
                </w:tcPr>
                <w:p w14:paraId="25CB2F08">
                  <w:pPr>
                    <w:keepNext w:val="0"/>
                    <w:keepLines w:val="0"/>
                    <w:widowControl w:val="0"/>
                    <w:suppressLineNumbers w:val="0"/>
                    <w:snapToGrid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bCs/>
                      <w:color w:val="auto"/>
                      <w:kern w:val="2"/>
                      <w:sz w:val="21"/>
                      <w:szCs w:val="24"/>
                      <w:highlight w:val="none"/>
                      <w:lang w:val="en-US" w:eastAsia="zh-CN" w:bidi="ar-SA"/>
                    </w:rPr>
                  </w:pPr>
                  <w:r>
                    <w:rPr>
                      <w:rFonts w:hint="eastAsia" w:cs="Times New Roman"/>
                      <w:bCs/>
                      <w:color w:val="auto"/>
                      <w:kern w:val="2"/>
                      <w:sz w:val="21"/>
                      <w:szCs w:val="24"/>
                      <w:highlight w:val="none"/>
                      <w:lang w:val="en-US" w:eastAsia="zh-CN" w:bidi="ar-SA"/>
                    </w:rPr>
                    <w:t>0.0408</w:t>
                  </w:r>
                </w:p>
              </w:tc>
              <w:tc>
                <w:tcPr>
                  <w:tcW w:w="889" w:type="dxa"/>
                  <w:vMerge w:val="continue"/>
                  <w:tcBorders>
                    <w:tl2br w:val="nil"/>
                    <w:tr2bl w:val="nil"/>
                  </w:tcBorders>
                  <w:noWrap w:val="0"/>
                  <w:vAlign w:val="center"/>
                </w:tcPr>
                <w:p w14:paraId="054DA7AE">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Cs/>
                      <w:color w:val="auto"/>
                      <w:kern w:val="2"/>
                      <w:sz w:val="21"/>
                      <w:szCs w:val="24"/>
                      <w:highlight w:val="none"/>
                      <w:lang w:val="en-US" w:eastAsia="zh-CN" w:bidi="ar-SA"/>
                    </w:rPr>
                  </w:pPr>
                </w:p>
              </w:tc>
            </w:tr>
            <w:tr w14:paraId="203BAA0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518" w:type="dxa"/>
                  <w:vMerge w:val="continue"/>
                  <w:tcBorders>
                    <w:tl2br w:val="nil"/>
                    <w:tr2bl w:val="nil"/>
                  </w:tcBorders>
                  <w:noWrap w:val="0"/>
                  <w:vAlign w:val="center"/>
                </w:tcPr>
                <w:p w14:paraId="24DA910D">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Cs/>
                      <w:color w:val="auto"/>
                      <w:kern w:val="2"/>
                      <w:sz w:val="21"/>
                      <w:szCs w:val="24"/>
                      <w:highlight w:val="none"/>
                      <w:lang w:val="en-US" w:eastAsia="zh-CN" w:bidi="ar-SA"/>
                    </w:rPr>
                  </w:pPr>
                </w:p>
              </w:tc>
              <w:tc>
                <w:tcPr>
                  <w:tcW w:w="1022" w:type="dxa"/>
                  <w:vMerge w:val="continue"/>
                  <w:tcBorders>
                    <w:tl2br w:val="nil"/>
                    <w:tr2bl w:val="nil"/>
                  </w:tcBorders>
                  <w:noWrap w:val="0"/>
                  <w:vAlign w:val="center"/>
                </w:tcPr>
                <w:p w14:paraId="11946355">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Cs/>
                      <w:color w:val="auto"/>
                      <w:kern w:val="2"/>
                      <w:sz w:val="21"/>
                      <w:szCs w:val="24"/>
                      <w:highlight w:val="none"/>
                      <w:lang w:val="en-US" w:eastAsia="zh-CN" w:bidi="ar-SA"/>
                    </w:rPr>
                  </w:pPr>
                </w:p>
              </w:tc>
              <w:tc>
                <w:tcPr>
                  <w:tcW w:w="930" w:type="dxa"/>
                  <w:vMerge w:val="continue"/>
                  <w:tcBorders>
                    <w:tl2br w:val="nil"/>
                    <w:tr2bl w:val="nil"/>
                  </w:tcBorders>
                  <w:noWrap w:val="0"/>
                  <w:vAlign w:val="center"/>
                </w:tcPr>
                <w:p w14:paraId="2AC87966">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Cs/>
                      <w:color w:val="auto"/>
                      <w:kern w:val="2"/>
                      <w:sz w:val="21"/>
                      <w:szCs w:val="24"/>
                      <w:highlight w:val="none"/>
                      <w:lang w:val="en-US" w:eastAsia="zh-CN" w:bidi="ar-SA"/>
                    </w:rPr>
                  </w:pPr>
                </w:p>
              </w:tc>
              <w:tc>
                <w:tcPr>
                  <w:tcW w:w="900" w:type="dxa"/>
                  <w:vMerge w:val="continue"/>
                  <w:tcBorders>
                    <w:tl2br w:val="nil"/>
                    <w:tr2bl w:val="nil"/>
                  </w:tcBorders>
                  <w:noWrap w:val="0"/>
                  <w:vAlign w:val="center"/>
                </w:tcPr>
                <w:p w14:paraId="7FFC9B8D">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Cs/>
                      <w:color w:val="auto"/>
                      <w:kern w:val="2"/>
                      <w:sz w:val="21"/>
                      <w:szCs w:val="24"/>
                      <w:highlight w:val="none"/>
                      <w:lang w:val="en-US" w:eastAsia="zh-CN" w:bidi="ar-SA"/>
                    </w:rPr>
                  </w:pPr>
                </w:p>
              </w:tc>
              <w:tc>
                <w:tcPr>
                  <w:tcW w:w="675" w:type="dxa"/>
                  <w:vMerge w:val="continue"/>
                  <w:tcBorders>
                    <w:tl2br w:val="nil"/>
                    <w:tr2bl w:val="nil"/>
                  </w:tcBorders>
                  <w:noWrap w:val="0"/>
                  <w:vAlign w:val="center"/>
                </w:tcPr>
                <w:p w14:paraId="59A9C2A6">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Cs/>
                      <w:color w:val="auto"/>
                      <w:kern w:val="2"/>
                      <w:sz w:val="21"/>
                      <w:szCs w:val="24"/>
                      <w:highlight w:val="none"/>
                      <w:lang w:val="en-US" w:eastAsia="zh-CN" w:bidi="ar-SA"/>
                    </w:rPr>
                  </w:pPr>
                </w:p>
              </w:tc>
              <w:tc>
                <w:tcPr>
                  <w:tcW w:w="1075" w:type="dxa"/>
                  <w:tcBorders>
                    <w:tl2br w:val="nil"/>
                    <w:tr2bl w:val="nil"/>
                  </w:tcBorders>
                  <w:noWrap w:val="0"/>
                  <w:vAlign w:val="center"/>
                </w:tcPr>
                <w:p w14:paraId="1AD05200">
                  <w:pPr>
                    <w:keepNext w:val="0"/>
                    <w:keepLines w:val="0"/>
                    <w:widowControl w:val="0"/>
                    <w:suppressLineNumbers w:val="0"/>
                    <w:snapToGrid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bCs/>
                      <w:color w:val="auto"/>
                      <w:kern w:val="2"/>
                      <w:sz w:val="21"/>
                      <w:szCs w:val="24"/>
                      <w:highlight w:val="none"/>
                      <w:lang w:val="en-US" w:eastAsia="zh-CN" w:bidi="ar-SA"/>
                    </w:rPr>
                  </w:pPr>
                  <w:r>
                    <w:rPr>
                      <w:rFonts w:hint="eastAsia"/>
                      <w:color w:val="auto"/>
                      <w:highlight w:val="none"/>
                      <w:lang w:val="en-US" w:eastAsia="zh-CN"/>
                    </w:rPr>
                    <w:t>一般商品林</w:t>
                  </w:r>
                </w:p>
              </w:tc>
              <w:tc>
                <w:tcPr>
                  <w:tcW w:w="1075" w:type="dxa"/>
                  <w:tcBorders>
                    <w:tl2br w:val="nil"/>
                    <w:tr2bl w:val="nil"/>
                  </w:tcBorders>
                  <w:noWrap w:val="0"/>
                  <w:vAlign w:val="center"/>
                </w:tcPr>
                <w:p w14:paraId="6906A043">
                  <w:pPr>
                    <w:keepNext w:val="0"/>
                    <w:keepLines w:val="0"/>
                    <w:widowControl w:val="0"/>
                    <w:suppressLineNumbers w:val="0"/>
                    <w:snapToGrid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bCs/>
                      <w:color w:val="auto"/>
                      <w:kern w:val="2"/>
                      <w:sz w:val="21"/>
                      <w:szCs w:val="24"/>
                      <w:highlight w:val="none"/>
                      <w:lang w:val="en-US" w:eastAsia="zh-CN" w:bidi="ar-SA"/>
                    </w:rPr>
                  </w:pPr>
                  <w:r>
                    <w:rPr>
                      <w:rFonts w:hint="default" w:ascii="Times New Roman" w:hAnsi="Times New Roman" w:eastAsia="微软雅黑" w:cs="Times New Roman"/>
                      <w:color w:val="auto"/>
                      <w:highlight w:val="none"/>
                    </w:rPr>
                    <w:t>Ⅳ</w:t>
                  </w:r>
                </w:p>
              </w:tc>
              <w:tc>
                <w:tcPr>
                  <w:tcW w:w="1075" w:type="dxa"/>
                  <w:tcBorders>
                    <w:tl2br w:val="nil"/>
                    <w:tr2bl w:val="nil"/>
                  </w:tcBorders>
                  <w:noWrap w:val="0"/>
                  <w:vAlign w:val="center"/>
                </w:tcPr>
                <w:p w14:paraId="1EFD4219">
                  <w:pPr>
                    <w:keepNext w:val="0"/>
                    <w:keepLines w:val="0"/>
                    <w:widowControl w:val="0"/>
                    <w:suppressLineNumbers w:val="0"/>
                    <w:snapToGrid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bCs/>
                      <w:color w:val="auto"/>
                      <w:kern w:val="2"/>
                      <w:sz w:val="21"/>
                      <w:szCs w:val="24"/>
                      <w:highlight w:val="none"/>
                      <w:lang w:val="en-US" w:eastAsia="zh-CN" w:bidi="ar-SA"/>
                    </w:rPr>
                  </w:pPr>
                  <w:r>
                    <w:rPr>
                      <w:rFonts w:hint="default" w:ascii="Times New Roman" w:hAnsi="Times New Roman" w:eastAsia="宋体" w:cs="Times New Roman"/>
                      <w:bCs/>
                      <w:color w:val="auto"/>
                      <w:kern w:val="2"/>
                      <w:sz w:val="21"/>
                      <w:szCs w:val="24"/>
                      <w:highlight w:val="none"/>
                      <w:lang w:val="en-US" w:eastAsia="zh-CN" w:bidi="ar-SA"/>
                    </w:rPr>
                    <w:t>0.0306</w:t>
                  </w:r>
                </w:p>
              </w:tc>
              <w:tc>
                <w:tcPr>
                  <w:tcW w:w="889" w:type="dxa"/>
                  <w:vMerge w:val="continue"/>
                  <w:tcBorders>
                    <w:tl2br w:val="nil"/>
                    <w:tr2bl w:val="nil"/>
                  </w:tcBorders>
                  <w:noWrap w:val="0"/>
                  <w:vAlign w:val="center"/>
                </w:tcPr>
                <w:p w14:paraId="5A84CC1F">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Cs/>
                      <w:color w:val="auto"/>
                      <w:kern w:val="2"/>
                      <w:sz w:val="21"/>
                      <w:szCs w:val="24"/>
                      <w:highlight w:val="none"/>
                      <w:lang w:val="en-US" w:eastAsia="zh-CN" w:bidi="ar-SA"/>
                    </w:rPr>
                  </w:pPr>
                </w:p>
              </w:tc>
            </w:tr>
            <w:tr w14:paraId="52BCCC0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262" w:hRule="atLeast"/>
                <w:jc w:val="center"/>
              </w:trPr>
              <w:tc>
                <w:tcPr>
                  <w:tcW w:w="518" w:type="dxa"/>
                  <w:vMerge w:val="continue"/>
                  <w:tcBorders>
                    <w:tl2br w:val="nil"/>
                    <w:tr2bl w:val="nil"/>
                  </w:tcBorders>
                  <w:noWrap w:val="0"/>
                  <w:vAlign w:val="center"/>
                </w:tcPr>
                <w:p w14:paraId="3FC59B6C">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Cs/>
                      <w:color w:val="auto"/>
                      <w:kern w:val="2"/>
                      <w:sz w:val="21"/>
                      <w:szCs w:val="21"/>
                      <w:highlight w:val="none"/>
                      <w:lang w:val="en-US" w:eastAsia="zh-CN" w:bidi="ar-SA"/>
                    </w:rPr>
                  </w:pPr>
                </w:p>
              </w:tc>
              <w:tc>
                <w:tcPr>
                  <w:tcW w:w="1022" w:type="dxa"/>
                  <w:vMerge w:val="continue"/>
                  <w:tcBorders>
                    <w:tl2br w:val="nil"/>
                    <w:tr2bl w:val="nil"/>
                  </w:tcBorders>
                  <w:noWrap w:val="0"/>
                  <w:vAlign w:val="center"/>
                </w:tcPr>
                <w:p w14:paraId="20EE6795">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Cs/>
                      <w:color w:val="auto"/>
                      <w:kern w:val="2"/>
                      <w:sz w:val="21"/>
                      <w:szCs w:val="21"/>
                      <w:highlight w:val="none"/>
                      <w:lang w:val="en-US" w:eastAsia="zh-CN" w:bidi="ar-SA"/>
                    </w:rPr>
                  </w:pPr>
                </w:p>
              </w:tc>
              <w:tc>
                <w:tcPr>
                  <w:tcW w:w="930" w:type="dxa"/>
                  <w:vMerge w:val="restart"/>
                  <w:tcBorders>
                    <w:tl2br w:val="nil"/>
                    <w:tr2bl w:val="nil"/>
                  </w:tcBorders>
                  <w:noWrap w:val="0"/>
                  <w:vAlign w:val="center"/>
                </w:tcPr>
                <w:p w14:paraId="1E5E11F9">
                  <w:pPr>
                    <w:keepNext w:val="0"/>
                    <w:keepLines w:val="0"/>
                    <w:widowControl w:val="0"/>
                    <w:suppressLineNumbers w:val="0"/>
                    <w:snapToGrid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乔木林地</w:t>
                  </w:r>
                </w:p>
              </w:tc>
              <w:tc>
                <w:tcPr>
                  <w:tcW w:w="900" w:type="dxa"/>
                  <w:vMerge w:val="restart"/>
                  <w:tcBorders>
                    <w:tl2br w:val="nil"/>
                    <w:tr2bl w:val="nil"/>
                  </w:tcBorders>
                  <w:noWrap w:val="0"/>
                  <w:vAlign w:val="center"/>
                </w:tcPr>
                <w:p w14:paraId="50341F19">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0.1168</w:t>
                  </w:r>
                </w:p>
              </w:tc>
              <w:tc>
                <w:tcPr>
                  <w:tcW w:w="675" w:type="dxa"/>
                  <w:vMerge w:val="continue"/>
                  <w:tcBorders>
                    <w:tl2br w:val="nil"/>
                    <w:tr2bl w:val="nil"/>
                  </w:tcBorders>
                  <w:noWrap w:val="0"/>
                  <w:vAlign w:val="center"/>
                </w:tcPr>
                <w:p w14:paraId="48BC49C3">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Cs/>
                      <w:color w:val="auto"/>
                      <w:kern w:val="2"/>
                      <w:sz w:val="21"/>
                      <w:szCs w:val="21"/>
                      <w:highlight w:val="none"/>
                      <w:lang w:val="en-US" w:eastAsia="zh-CN" w:bidi="ar-SA"/>
                    </w:rPr>
                  </w:pPr>
                </w:p>
              </w:tc>
              <w:tc>
                <w:tcPr>
                  <w:tcW w:w="1075" w:type="dxa"/>
                  <w:tcBorders>
                    <w:tl2br w:val="nil"/>
                    <w:tr2bl w:val="nil"/>
                  </w:tcBorders>
                  <w:noWrap w:val="0"/>
                  <w:vAlign w:val="center"/>
                </w:tcPr>
                <w:p w14:paraId="4B5D7542">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地方其他公益林</w:t>
                  </w:r>
                </w:p>
              </w:tc>
              <w:tc>
                <w:tcPr>
                  <w:tcW w:w="1075" w:type="dxa"/>
                  <w:tcBorders>
                    <w:tl2br w:val="nil"/>
                    <w:tr2bl w:val="nil"/>
                  </w:tcBorders>
                  <w:noWrap w:val="0"/>
                  <w:vAlign w:val="center"/>
                </w:tcPr>
                <w:p w14:paraId="7407A082">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4"/>
                      <w:highlight w:val="none"/>
                      <w:lang w:val="en-US" w:eastAsia="zh-CN" w:bidi="ar-SA"/>
                    </w:rPr>
                    <w:t>Ⅲ</w:t>
                  </w:r>
                </w:p>
              </w:tc>
              <w:tc>
                <w:tcPr>
                  <w:tcW w:w="1075" w:type="dxa"/>
                  <w:tcBorders>
                    <w:tl2br w:val="nil"/>
                    <w:tr2bl w:val="nil"/>
                  </w:tcBorders>
                  <w:noWrap w:val="0"/>
                  <w:vAlign w:val="center"/>
                </w:tcPr>
                <w:p w14:paraId="6F484D20">
                  <w:pPr>
                    <w:keepNext w:val="0"/>
                    <w:keepLines w:val="0"/>
                    <w:widowControl w:val="0"/>
                    <w:suppressLineNumbers w:val="0"/>
                    <w:snapToGrid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0.</w:t>
                  </w:r>
                  <w:r>
                    <w:rPr>
                      <w:rFonts w:hint="eastAsia" w:cs="Times New Roman"/>
                      <w:bCs/>
                      <w:color w:val="auto"/>
                      <w:kern w:val="2"/>
                      <w:sz w:val="21"/>
                      <w:szCs w:val="21"/>
                      <w:highlight w:val="none"/>
                      <w:lang w:val="en-US" w:eastAsia="zh-CN" w:bidi="ar-SA"/>
                    </w:rPr>
                    <w:t>0968</w:t>
                  </w:r>
                </w:p>
              </w:tc>
              <w:tc>
                <w:tcPr>
                  <w:tcW w:w="889" w:type="dxa"/>
                  <w:vMerge w:val="continue"/>
                  <w:tcBorders>
                    <w:tl2br w:val="nil"/>
                    <w:tr2bl w:val="nil"/>
                  </w:tcBorders>
                  <w:noWrap w:val="0"/>
                  <w:vAlign w:val="center"/>
                </w:tcPr>
                <w:p w14:paraId="5F6CE084">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Cs/>
                      <w:color w:val="auto"/>
                      <w:kern w:val="2"/>
                      <w:sz w:val="21"/>
                      <w:szCs w:val="21"/>
                      <w:highlight w:val="none"/>
                      <w:lang w:val="en-US" w:eastAsia="zh-CN" w:bidi="ar-SA"/>
                    </w:rPr>
                  </w:pPr>
                </w:p>
              </w:tc>
            </w:tr>
            <w:tr w14:paraId="1013D35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262" w:hRule="atLeast"/>
                <w:jc w:val="center"/>
              </w:trPr>
              <w:tc>
                <w:tcPr>
                  <w:tcW w:w="518" w:type="dxa"/>
                  <w:vMerge w:val="continue"/>
                  <w:tcBorders>
                    <w:tl2br w:val="nil"/>
                    <w:tr2bl w:val="nil"/>
                  </w:tcBorders>
                  <w:noWrap w:val="0"/>
                  <w:vAlign w:val="center"/>
                </w:tcPr>
                <w:p w14:paraId="65885A88">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pPr>
                </w:p>
              </w:tc>
              <w:tc>
                <w:tcPr>
                  <w:tcW w:w="1022" w:type="dxa"/>
                  <w:vMerge w:val="continue"/>
                  <w:tcBorders>
                    <w:tl2br w:val="nil"/>
                    <w:tr2bl w:val="nil"/>
                  </w:tcBorders>
                  <w:noWrap w:val="0"/>
                  <w:vAlign w:val="center"/>
                </w:tcPr>
                <w:p w14:paraId="3873C2B3">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pPr>
                </w:p>
              </w:tc>
              <w:tc>
                <w:tcPr>
                  <w:tcW w:w="930" w:type="dxa"/>
                  <w:vMerge w:val="continue"/>
                  <w:tcBorders>
                    <w:tl2br w:val="nil"/>
                    <w:tr2bl w:val="nil"/>
                  </w:tcBorders>
                  <w:noWrap w:val="0"/>
                  <w:vAlign w:val="center"/>
                </w:tcPr>
                <w:p w14:paraId="77AF2A3B">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pPr>
                </w:p>
              </w:tc>
              <w:tc>
                <w:tcPr>
                  <w:tcW w:w="900" w:type="dxa"/>
                  <w:vMerge w:val="continue"/>
                  <w:tcBorders>
                    <w:tl2br w:val="nil"/>
                    <w:tr2bl w:val="nil"/>
                  </w:tcBorders>
                  <w:noWrap w:val="0"/>
                  <w:vAlign w:val="center"/>
                </w:tcPr>
                <w:p w14:paraId="74986842">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pPr>
                </w:p>
              </w:tc>
              <w:tc>
                <w:tcPr>
                  <w:tcW w:w="675" w:type="dxa"/>
                  <w:vMerge w:val="continue"/>
                  <w:tcBorders>
                    <w:tl2br w:val="nil"/>
                    <w:tr2bl w:val="nil"/>
                  </w:tcBorders>
                  <w:noWrap w:val="0"/>
                  <w:vAlign w:val="center"/>
                </w:tcPr>
                <w:p w14:paraId="16D92109">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pPr>
                </w:p>
              </w:tc>
              <w:tc>
                <w:tcPr>
                  <w:tcW w:w="1075" w:type="dxa"/>
                  <w:tcBorders>
                    <w:tl2br w:val="nil"/>
                    <w:tr2bl w:val="nil"/>
                  </w:tcBorders>
                  <w:noWrap w:val="0"/>
                  <w:vAlign w:val="center"/>
                </w:tcPr>
                <w:p w14:paraId="71E503EF">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一般商品林</w:t>
                  </w:r>
                </w:p>
              </w:tc>
              <w:tc>
                <w:tcPr>
                  <w:tcW w:w="1075" w:type="dxa"/>
                  <w:tcBorders>
                    <w:tl2br w:val="nil"/>
                    <w:tr2bl w:val="nil"/>
                  </w:tcBorders>
                  <w:noWrap w:val="0"/>
                  <w:vAlign w:val="center"/>
                </w:tcPr>
                <w:p w14:paraId="0F79AFEB">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Ⅳ</w:t>
                  </w:r>
                </w:p>
              </w:tc>
              <w:tc>
                <w:tcPr>
                  <w:tcW w:w="1075" w:type="dxa"/>
                  <w:tcBorders>
                    <w:tl2br w:val="nil"/>
                    <w:tr2bl w:val="nil"/>
                  </w:tcBorders>
                  <w:noWrap w:val="0"/>
                  <w:vAlign w:val="center"/>
                </w:tcPr>
                <w:p w14:paraId="0D2CD95C">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0.02</w:t>
                  </w:r>
                </w:p>
              </w:tc>
              <w:tc>
                <w:tcPr>
                  <w:tcW w:w="889" w:type="dxa"/>
                  <w:vMerge w:val="continue"/>
                  <w:tcBorders>
                    <w:tl2br w:val="nil"/>
                    <w:tr2bl w:val="nil"/>
                  </w:tcBorders>
                  <w:noWrap w:val="0"/>
                  <w:vAlign w:val="center"/>
                </w:tcPr>
                <w:p w14:paraId="08B5E72D">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Cs/>
                      <w:color w:val="auto"/>
                      <w:kern w:val="2"/>
                      <w:sz w:val="21"/>
                      <w:szCs w:val="21"/>
                      <w:highlight w:val="none"/>
                      <w:lang w:val="en-US" w:eastAsia="zh-CN" w:bidi="ar-SA"/>
                    </w:rPr>
                  </w:pPr>
                </w:p>
              </w:tc>
            </w:tr>
            <w:tr w14:paraId="7666A01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518" w:type="dxa"/>
                  <w:vMerge w:val="continue"/>
                  <w:tcBorders>
                    <w:tl2br w:val="nil"/>
                    <w:tr2bl w:val="nil"/>
                  </w:tcBorders>
                  <w:noWrap w:val="0"/>
                  <w:vAlign w:val="center"/>
                </w:tcPr>
                <w:p w14:paraId="577F223E">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color w:val="auto"/>
                      <w:highlight w:val="none"/>
                    </w:rPr>
                  </w:pPr>
                </w:p>
              </w:tc>
              <w:tc>
                <w:tcPr>
                  <w:tcW w:w="1022" w:type="dxa"/>
                  <w:vMerge w:val="continue"/>
                  <w:tcBorders>
                    <w:tl2br w:val="nil"/>
                    <w:tr2bl w:val="nil"/>
                  </w:tcBorders>
                  <w:noWrap w:val="0"/>
                  <w:vAlign w:val="center"/>
                </w:tcPr>
                <w:p w14:paraId="16581658">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color w:val="auto"/>
                      <w:highlight w:val="none"/>
                    </w:rPr>
                  </w:pPr>
                </w:p>
              </w:tc>
              <w:tc>
                <w:tcPr>
                  <w:tcW w:w="930" w:type="dxa"/>
                  <w:vMerge w:val="restart"/>
                  <w:tcBorders>
                    <w:tl2br w:val="nil"/>
                    <w:tr2bl w:val="nil"/>
                  </w:tcBorders>
                  <w:noWrap w:val="0"/>
                  <w:vAlign w:val="center"/>
                </w:tcPr>
                <w:p w14:paraId="3D051A6C">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Cs/>
                      <w:color w:val="auto"/>
                      <w:kern w:val="2"/>
                      <w:sz w:val="21"/>
                      <w:szCs w:val="24"/>
                      <w:highlight w:val="none"/>
                      <w:lang w:val="en-US" w:eastAsia="zh-CN" w:bidi="ar-SA"/>
                    </w:rPr>
                  </w:pPr>
                  <w:r>
                    <w:rPr>
                      <w:rFonts w:hint="eastAsia" w:ascii="Times New Roman" w:hAnsi="Times New Roman" w:eastAsia="宋体" w:cs="Times New Roman"/>
                      <w:bCs/>
                      <w:color w:val="auto"/>
                      <w:kern w:val="2"/>
                      <w:sz w:val="21"/>
                      <w:szCs w:val="24"/>
                      <w:highlight w:val="none"/>
                      <w:lang w:val="en-US" w:eastAsia="zh-CN" w:bidi="ar-SA"/>
                    </w:rPr>
                    <w:t>一般灌木林地</w:t>
                  </w:r>
                </w:p>
              </w:tc>
              <w:tc>
                <w:tcPr>
                  <w:tcW w:w="900" w:type="dxa"/>
                  <w:vMerge w:val="restart"/>
                  <w:tcBorders>
                    <w:tl2br w:val="nil"/>
                    <w:tr2bl w:val="nil"/>
                  </w:tcBorders>
                  <w:noWrap w:val="0"/>
                  <w:vAlign w:val="center"/>
                </w:tcPr>
                <w:p w14:paraId="52A1B4E6">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Cs/>
                      <w:color w:val="auto"/>
                      <w:kern w:val="2"/>
                      <w:sz w:val="21"/>
                      <w:szCs w:val="24"/>
                      <w:highlight w:val="none"/>
                      <w:lang w:val="en-US" w:eastAsia="zh-CN" w:bidi="ar-SA"/>
                    </w:rPr>
                  </w:pPr>
                  <w:r>
                    <w:rPr>
                      <w:rFonts w:hint="default" w:ascii="Times New Roman" w:hAnsi="Times New Roman" w:eastAsia="宋体" w:cs="Times New Roman"/>
                      <w:bCs/>
                      <w:color w:val="auto"/>
                      <w:kern w:val="2"/>
                      <w:sz w:val="21"/>
                      <w:szCs w:val="24"/>
                      <w:highlight w:val="none"/>
                      <w:lang w:val="en-US" w:eastAsia="zh-CN" w:bidi="ar-SA"/>
                    </w:rPr>
                    <w:t>0.0408</w:t>
                  </w:r>
                </w:p>
              </w:tc>
              <w:tc>
                <w:tcPr>
                  <w:tcW w:w="675" w:type="dxa"/>
                  <w:vMerge w:val="continue"/>
                  <w:tcBorders>
                    <w:tl2br w:val="nil"/>
                    <w:tr2bl w:val="nil"/>
                  </w:tcBorders>
                  <w:noWrap w:val="0"/>
                  <w:vAlign w:val="center"/>
                </w:tcPr>
                <w:p w14:paraId="57DD717D">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Cs/>
                      <w:color w:val="auto"/>
                      <w:kern w:val="2"/>
                      <w:sz w:val="21"/>
                      <w:szCs w:val="24"/>
                      <w:highlight w:val="none"/>
                      <w:lang w:val="en-US" w:eastAsia="zh-CN" w:bidi="ar-SA"/>
                    </w:rPr>
                  </w:pPr>
                </w:p>
              </w:tc>
              <w:tc>
                <w:tcPr>
                  <w:tcW w:w="1075" w:type="dxa"/>
                  <w:tcBorders>
                    <w:tl2br w:val="nil"/>
                    <w:tr2bl w:val="nil"/>
                  </w:tcBorders>
                  <w:noWrap w:val="0"/>
                  <w:vAlign w:val="center"/>
                </w:tcPr>
                <w:p w14:paraId="34CFE52C">
                  <w:pPr>
                    <w:keepNext w:val="0"/>
                    <w:keepLines w:val="0"/>
                    <w:widowControl w:val="0"/>
                    <w:suppressLineNumbers w:val="0"/>
                    <w:snapToGrid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bCs/>
                      <w:color w:val="auto"/>
                      <w:kern w:val="2"/>
                      <w:sz w:val="21"/>
                      <w:szCs w:val="24"/>
                      <w:highlight w:val="none"/>
                      <w:lang w:val="en-US" w:eastAsia="zh-CN" w:bidi="ar-SA"/>
                    </w:rPr>
                  </w:pPr>
                  <w:r>
                    <w:rPr>
                      <w:rFonts w:hint="default" w:ascii="Times New Roman" w:hAnsi="Times New Roman" w:eastAsia="宋体" w:cs="Times New Roman"/>
                      <w:bCs/>
                      <w:color w:val="auto"/>
                      <w:kern w:val="2"/>
                      <w:sz w:val="21"/>
                      <w:szCs w:val="24"/>
                      <w:highlight w:val="none"/>
                      <w:lang w:val="en-US" w:eastAsia="zh-CN" w:bidi="ar-SA"/>
                    </w:rPr>
                    <w:t>国家级二级公益林</w:t>
                  </w:r>
                </w:p>
              </w:tc>
              <w:tc>
                <w:tcPr>
                  <w:tcW w:w="1075" w:type="dxa"/>
                  <w:tcBorders>
                    <w:tl2br w:val="nil"/>
                    <w:tr2bl w:val="nil"/>
                  </w:tcBorders>
                  <w:noWrap w:val="0"/>
                  <w:vAlign w:val="center"/>
                </w:tcPr>
                <w:p w14:paraId="7527376E">
                  <w:pPr>
                    <w:keepNext w:val="0"/>
                    <w:keepLines w:val="0"/>
                    <w:widowControl w:val="0"/>
                    <w:suppressLineNumbers w:val="0"/>
                    <w:snapToGrid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bCs/>
                      <w:color w:val="auto"/>
                      <w:kern w:val="2"/>
                      <w:sz w:val="21"/>
                      <w:szCs w:val="24"/>
                      <w:highlight w:val="none"/>
                      <w:lang w:val="en-US" w:eastAsia="zh-CN" w:bidi="ar-SA"/>
                    </w:rPr>
                  </w:pPr>
                  <w:r>
                    <w:rPr>
                      <w:rFonts w:hint="default" w:ascii="Times New Roman" w:hAnsi="Times New Roman" w:eastAsia="宋体" w:cs="Times New Roman"/>
                      <w:bCs/>
                      <w:color w:val="auto"/>
                      <w:kern w:val="2"/>
                      <w:sz w:val="21"/>
                      <w:szCs w:val="24"/>
                      <w:highlight w:val="none"/>
                      <w:lang w:val="en-US" w:eastAsia="zh-CN" w:bidi="ar-SA"/>
                    </w:rPr>
                    <w:t>Ⅱ</w:t>
                  </w:r>
                </w:p>
              </w:tc>
              <w:tc>
                <w:tcPr>
                  <w:tcW w:w="1075" w:type="dxa"/>
                  <w:tcBorders>
                    <w:tl2br w:val="nil"/>
                    <w:tr2bl w:val="nil"/>
                  </w:tcBorders>
                  <w:noWrap w:val="0"/>
                  <w:vAlign w:val="center"/>
                </w:tcPr>
                <w:p w14:paraId="03B3E63B">
                  <w:pPr>
                    <w:keepNext w:val="0"/>
                    <w:keepLines w:val="0"/>
                    <w:widowControl w:val="0"/>
                    <w:suppressLineNumbers w:val="0"/>
                    <w:snapToGrid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bCs/>
                      <w:color w:val="auto"/>
                      <w:kern w:val="2"/>
                      <w:sz w:val="21"/>
                      <w:szCs w:val="24"/>
                      <w:highlight w:val="none"/>
                      <w:lang w:val="en-US" w:eastAsia="zh-CN" w:bidi="ar-SA"/>
                    </w:rPr>
                  </w:pPr>
                  <w:r>
                    <w:rPr>
                      <w:rFonts w:hint="default" w:ascii="Times New Roman" w:hAnsi="Times New Roman" w:eastAsia="宋体" w:cs="Times New Roman"/>
                      <w:bCs/>
                      <w:color w:val="auto"/>
                      <w:kern w:val="2"/>
                      <w:sz w:val="21"/>
                      <w:szCs w:val="24"/>
                      <w:highlight w:val="none"/>
                      <w:lang w:val="en-US" w:eastAsia="zh-CN" w:bidi="ar-SA"/>
                    </w:rPr>
                    <w:t>0.0</w:t>
                  </w:r>
                  <w:r>
                    <w:rPr>
                      <w:rFonts w:hint="eastAsia" w:cs="Times New Roman"/>
                      <w:bCs/>
                      <w:color w:val="auto"/>
                      <w:kern w:val="2"/>
                      <w:sz w:val="21"/>
                      <w:szCs w:val="24"/>
                      <w:highlight w:val="none"/>
                      <w:lang w:val="en-US" w:eastAsia="zh-CN" w:bidi="ar-SA"/>
                    </w:rPr>
                    <w:t>1</w:t>
                  </w:r>
                </w:p>
              </w:tc>
              <w:tc>
                <w:tcPr>
                  <w:tcW w:w="889" w:type="dxa"/>
                  <w:vMerge w:val="continue"/>
                  <w:tcBorders>
                    <w:tl2br w:val="nil"/>
                    <w:tr2bl w:val="nil"/>
                  </w:tcBorders>
                  <w:noWrap w:val="0"/>
                  <w:vAlign w:val="center"/>
                </w:tcPr>
                <w:p w14:paraId="12C16BD5">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Cs/>
                      <w:color w:val="auto"/>
                      <w:kern w:val="2"/>
                      <w:sz w:val="21"/>
                      <w:szCs w:val="24"/>
                      <w:highlight w:val="none"/>
                      <w:lang w:val="en-US" w:eastAsia="zh-CN" w:bidi="ar-SA"/>
                    </w:rPr>
                  </w:pPr>
                </w:p>
              </w:tc>
            </w:tr>
            <w:tr w14:paraId="1040C26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518" w:type="dxa"/>
                  <w:vMerge w:val="continue"/>
                  <w:tcBorders>
                    <w:tl2br w:val="nil"/>
                    <w:tr2bl w:val="nil"/>
                  </w:tcBorders>
                  <w:noWrap w:val="0"/>
                  <w:vAlign w:val="center"/>
                </w:tcPr>
                <w:p w14:paraId="1F71BEE9">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color w:val="auto"/>
                      <w:highlight w:val="none"/>
                    </w:rPr>
                  </w:pPr>
                </w:p>
              </w:tc>
              <w:tc>
                <w:tcPr>
                  <w:tcW w:w="1022" w:type="dxa"/>
                  <w:vMerge w:val="continue"/>
                  <w:tcBorders>
                    <w:tl2br w:val="nil"/>
                    <w:tr2bl w:val="nil"/>
                  </w:tcBorders>
                  <w:noWrap w:val="0"/>
                  <w:vAlign w:val="center"/>
                </w:tcPr>
                <w:p w14:paraId="22E33D74">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color w:val="auto"/>
                      <w:highlight w:val="none"/>
                    </w:rPr>
                  </w:pPr>
                </w:p>
              </w:tc>
              <w:tc>
                <w:tcPr>
                  <w:tcW w:w="930" w:type="dxa"/>
                  <w:vMerge w:val="continue"/>
                  <w:tcBorders>
                    <w:tl2br w:val="nil"/>
                    <w:tr2bl w:val="nil"/>
                  </w:tcBorders>
                  <w:noWrap w:val="0"/>
                  <w:vAlign w:val="center"/>
                </w:tcPr>
                <w:p w14:paraId="2AA6DF06">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color w:val="auto"/>
                      <w:highlight w:val="none"/>
                    </w:rPr>
                  </w:pPr>
                </w:p>
              </w:tc>
              <w:tc>
                <w:tcPr>
                  <w:tcW w:w="900" w:type="dxa"/>
                  <w:vMerge w:val="continue"/>
                  <w:tcBorders>
                    <w:tl2br w:val="nil"/>
                    <w:tr2bl w:val="nil"/>
                  </w:tcBorders>
                  <w:noWrap w:val="0"/>
                  <w:vAlign w:val="center"/>
                </w:tcPr>
                <w:p w14:paraId="7449E14C">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color w:val="auto"/>
                      <w:highlight w:val="none"/>
                    </w:rPr>
                  </w:pPr>
                </w:p>
              </w:tc>
              <w:tc>
                <w:tcPr>
                  <w:tcW w:w="675" w:type="dxa"/>
                  <w:vMerge w:val="continue"/>
                  <w:tcBorders>
                    <w:tl2br w:val="nil"/>
                    <w:tr2bl w:val="nil"/>
                  </w:tcBorders>
                  <w:noWrap w:val="0"/>
                  <w:vAlign w:val="center"/>
                </w:tcPr>
                <w:p w14:paraId="4B67A8EA">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color w:val="auto"/>
                      <w:highlight w:val="none"/>
                    </w:rPr>
                  </w:pPr>
                </w:p>
              </w:tc>
              <w:tc>
                <w:tcPr>
                  <w:tcW w:w="1075" w:type="dxa"/>
                  <w:tcBorders>
                    <w:tl2br w:val="nil"/>
                    <w:tr2bl w:val="nil"/>
                  </w:tcBorders>
                  <w:noWrap w:val="0"/>
                  <w:vAlign w:val="center"/>
                </w:tcPr>
                <w:p w14:paraId="0094565F">
                  <w:pPr>
                    <w:keepNext w:val="0"/>
                    <w:keepLines w:val="0"/>
                    <w:widowControl w:val="0"/>
                    <w:suppressLineNumbers w:val="0"/>
                    <w:snapToGrid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bCs/>
                      <w:color w:val="auto"/>
                      <w:kern w:val="2"/>
                      <w:sz w:val="21"/>
                      <w:szCs w:val="24"/>
                      <w:highlight w:val="none"/>
                      <w:lang w:val="en-US" w:eastAsia="zh-CN" w:bidi="ar-SA"/>
                    </w:rPr>
                  </w:pPr>
                  <w:r>
                    <w:rPr>
                      <w:rFonts w:hint="default"/>
                      <w:color w:val="auto"/>
                      <w:highlight w:val="none"/>
                      <w:lang w:val="en-US" w:eastAsia="zh-CN"/>
                    </w:rPr>
                    <w:t>地方其他公益林</w:t>
                  </w:r>
                </w:p>
              </w:tc>
              <w:tc>
                <w:tcPr>
                  <w:tcW w:w="1075" w:type="dxa"/>
                  <w:tcBorders>
                    <w:tl2br w:val="nil"/>
                    <w:tr2bl w:val="nil"/>
                  </w:tcBorders>
                  <w:noWrap w:val="0"/>
                  <w:vAlign w:val="center"/>
                </w:tcPr>
                <w:p w14:paraId="2004E20F">
                  <w:pPr>
                    <w:keepNext w:val="0"/>
                    <w:keepLines w:val="0"/>
                    <w:widowControl w:val="0"/>
                    <w:suppressLineNumbers w:val="0"/>
                    <w:snapToGrid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bCs/>
                      <w:color w:val="auto"/>
                      <w:kern w:val="2"/>
                      <w:sz w:val="21"/>
                      <w:szCs w:val="24"/>
                      <w:highlight w:val="none"/>
                      <w:lang w:val="en-US" w:eastAsia="zh-CN" w:bidi="ar-SA"/>
                    </w:rPr>
                  </w:pPr>
                  <w:r>
                    <w:rPr>
                      <w:rFonts w:hint="default" w:ascii="Times New Roman" w:hAnsi="Times New Roman" w:eastAsia="微软雅黑" w:cs="Times New Roman"/>
                      <w:color w:val="auto"/>
                      <w:highlight w:val="none"/>
                    </w:rPr>
                    <w:t>Ⅲ</w:t>
                  </w:r>
                </w:p>
              </w:tc>
              <w:tc>
                <w:tcPr>
                  <w:tcW w:w="1075" w:type="dxa"/>
                  <w:tcBorders>
                    <w:tl2br w:val="nil"/>
                    <w:tr2bl w:val="nil"/>
                  </w:tcBorders>
                  <w:noWrap w:val="0"/>
                  <w:vAlign w:val="center"/>
                </w:tcPr>
                <w:p w14:paraId="2EFD9F13">
                  <w:pPr>
                    <w:keepNext w:val="0"/>
                    <w:keepLines w:val="0"/>
                    <w:widowControl w:val="0"/>
                    <w:suppressLineNumbers w:val="0"/>
                    <w:snapToGrid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bCs/>
                      <w:color w:val="auto"/>
                      <w:kern w:val="2"/>
                      <w:sz w:val="21"/>
                      <w:szCs w:val="24"/>
                      <w:highlight w:val="none"/>
                      <w:lang w:val="en-US" w:eastAsia="zh-CN" w:bidi="ar-SA"/>
                    </w:rPr>
                  </w:pPr>
                  <w:r>
                    <w:rPr>
                      <w:rFonts w:hint="eastAsia" w:cs="Times New Roman"/>
                      <w:bCs/>
                      <w:color w:val="auto"/>
                      <w:kern w:val="2"/>
                      <w:sz w:val="21"/>
                      <w:szCs w:val="24"/>
                      <w:highlight w:val="none"/>
                      <w:lang w:val="en-US" w:eastAsia="zh-CN" w:bidi="ar-SA"/>
                    </w:rPr>
                    <w:t>0.0245</w:t>
                  </w:r>
                </w:p>
              </w:tc>
              <w:tc>
                <w:tcPr>
                  <w:tcW w:w="889" w:type="dxa"/>
                  <w:vMerge w:val="continue"/>
                  <w:tcBorders>
                    <w:tl2br w:val="nil"/>
                    <w:tr2bl w:val="nil"/>
                  </w:tcBorders>
                  <w:noWrap w:val="0"/>
                  <w:vAlign w:val="center"/>
                </w:tcPr>
                <w:p w14:paraId="49584CE2">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Cs/>
                      <w:color w:val="auto"/>
                      <w:kern w:val="2"/>
                      <w:sz w:val="21"/>
                      <w:szCs w:val="24"/>
                      <w:highlight w:val="none"/>
                      <w:lang w:val="en-US" w:eastAsia="zh-CN" w:bidi="ar-SA"/>
                    </w:rPr>
                  </w:pPr>
                </w:p>
              </w:tc>
            </w:tr>
            <w:tr w14:paraId="4BD8755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518" w:type="dxa"/>
                  <w:vMerge w:val="continue"/>
                  <w:tcBorders>
                    <w:tl2br w:val="nil"/>
                    <w:tr2bl w:val="nil"/>
                  </w:tcBorders>
                  <w:noWrap w:val="0"/>
                  <w:vAlign w:val="center"/>
                </w:tcPr>
                <w:p w14:paraId="61107BFB">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Cs/>
                      <w:color w:val="auto"/>
                      <w:kern w:val="2"/>
                      <w:sz w:val="21"/>
                      <w:szCs w:val="24"/>
                      <w:highlight w:val="none"/>
                      <w:lang w:val="en-US" w:eastAsia="zh-CN" w:bidi="ar-SA"/>
                    </w:rPr>
                  </w:pPr>
                </w:p>
              </w:tc>
              <w:tc>
                <w:tcPr>
                  <w:tcW w:w="1022" w:type="dxa"/>
                  <w:vMerge w:val="continue"/>
                  <w:tcBorders>
                    <w:tl2br w:val="nil"/>
                    <w:tr2bl w:val="nil"/>
                  </w:tcBorders>
                  <w:noWrap w:val="0"/>
                  <w:vAlign w:val="center"/>
                </w:tcPr>
                <w:p w14:paraId="4A786978">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Cs/>
                      <w:color w:val="auto"/>
                      <w:kern w:val="2"/>
                      <w:sz w:val="21"/>
                      <w:szCs w:val="24"/>
                      <w:highlight w:val="none"/>
                      <w:lang w:val="en-US" w:eastAsia="zh-CN" w:bidi="ar-SA"/>
                    </w:rPr>
                  </w:pPr>
                </w:p>
              </w:tc>
              <w:tc>
                <w:tcPr>
                  <w:tcW w:w="930" w:type="dxa"/>
                  <w:vMerge w:val="continue"/>
                  <w:tcBorders>
                    <w:tl2br w:val="nil"/>
                    <w:tr2bl w:val="nil"/>
                  </w:tcBorders>
                  <w:noWrap w:val="0"/>
                  <w:vAlign w:val="center"/>
                </w:tcPr>
                <w:p w14:paraId="33C29B05">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Cs/>
                      <w:color w:val="auto"/>
                      <w:kern w:val="2"/>
                      <w:sz w:val="21"/>
                      <w:szCs w:val="24"/>
                      <w:highlight w:val="none"/>
                      <w:lang w:val="en-US" w:eastAsia="zh-CN" w:bidi="ar-SA"/>
                    </w:rPr>
                  </w:pPr>
                </w:p>
              </w:tc>
              <w:tc>
                <w:tcPr>
                  <w:tcW w:w="900" w:type="dxa"/>
                  <w:vMerge w:val="continue"/>
                  <w:tcBorders>
                    <w:tl2br w:val="nil"/>
                    <w:tr2bl w:val="nil"/>
                  </w:tcBorders>
                  <w:noWrap w:val="0"/>
                  <w:vAlign w:val="center"/>
                </w:tcPr>
                <w:p w14:paraId="41924748">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Cs/>
                      <w:color w:val="auto"/>
                      <w:kern w:val="2"/>
                      <w:sz w:val="21"/>
                      <w:szCs w:val="24"/>
                      <w:highlight w:val="none"/>
                      <w:lang w:val="en-US" w:eastAsia="zh-CN" w:bidi="ar-SA"/>
                    </w:rPr>
                  </w:pPr>
                </w:p>
              </w:tc>
              <w:tc>
                <w:tcPr>
                  <w:tcW w:w="675" w:type="dxa"/>
                  <w:vMerge w:val="continue"/>
                  <w:tcBorders>
                    <w:tl2br w:val="nil"/>
                    <w:tr2bl w:val="nil"/>
                  </w:tcBorders>
                  <w:noWrap w:val="0"/>
                  <w:vAlign w:val="center"/>
                </w:tcPr>
                <w:p w14:paraId="272473E5">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Cs/>
                      <w:color w:val="auto"/>
                      <w:kern w:val="2"/>
                      <w:sz w:val="21"/>
                      <w:szCs w:val="24"/>
                      <w:highlight w:val="none"/>
                      <w:lang w:val="en-US" w:eastAsia="zh-CN" w:bidi="ar-SA"/>
                    </w:rPr>
                  </w:pPr>
                </w:p>
              </w:tc>
              <w:tc>
                <w:tcPr>
                  <w:tcW w:w="1075" w:type="dxa"/>
                  <w:tcBorders>
                    <w:tl2br w:val="nil"/>
                    <w:tr2bl w:val="nil"/>
                  </w:tcBorders>
                  <w:noWrap w:val="0"/>
                  <w:vAlign w:val="center"/>
                </w:tcPr>
                <w:p w14:paraId="066D5459">
                  <w:pPr>
                    <w:keepNext w:val="0"/>
                    <w:keepLines w:val="0"/>
                    <w:widowControl w:val="0"/>
                    <w:suppressLineNumbers w:val="0"/>
                    <w:snapToGrid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bCs/>
                      <w:color w:val="auto"/>
                      <w:kern w:val="2"/>
                      <w:sz w:val="21"/>
                      <w:szCs w:val="24"/>
                      <w:highlight w:val="none"/>
                      <w:lang w:val="en-US" w:eastAsia="zh-CN" w:bidi="ar-SA"/>
                    </w:rPr>
                  </w:pPr>
                  <w:r>
                    <w:rPr>
                      <w:rFonts w:hint="eastAsia"/>
                      <w:color w:val="auto"/>
                      <w:highlight w:val="none"/>
                      <w:lang w:val="en-US" w:eastAsia="zh-CN"/>
                    </w:rPr>
                    <w:t>一般商品林</w:t>
                  </w:r>
                </w:p>
              </w:tc>
              <w:tc>
                <w:tcPr>
                  <w:tcW w:w="1075" w:type="dxa"/>
                  <w:tcBorders>
                    <w:tl2br w:val="nil"/>
                    <w:tr2bl w:val="nil"/>
                  </w:tcBorders>
                  <w:noWrap w:val="0"/>
                  <w:vAlign w:val="center"/>
                </w:tcPr>
                <w:p w14:paraId="076D9DCF">
                  <w:pPr>
                    <w:keepNext w:val="0"/>
                    <w:keepLines w:val="0"/>
                    <w:widowControl w:val="0"/>
                    <w:suppressLineNumbers w:val="0"/>
                    <w:snapToGrid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bCs/>
                      <w:color w:val="auto"/>
                      <w:kern w:val="2"/>
                      <w:sz w:val="21"/>
                      <w:szCs w:val="24"/>
                      <w:highlight w:val="none"/>
                      <w:lang w:val="en-US" w:eastAsia="zh-CN" w:bidi="ar-SA"/>
                    </w:rPr>
                  </w:pPr>
                  <w:r>
                    <w:rPr>
                      <w:rFonts w:hint="default" w:ascii="Times New Roman" w:hAnsi="Times New Roman" w:eastAsia="微软雅黑" w:cs="Times New Roman"/>
                      <w:color w:val="auto"/>
                      <w:highlight w:val="none"/>
                    </w:rPr>
                    <w:t>Ⅳ</w:t>
                  </w:r>
                </w:p>
              </w:tc>
              <w:tc>
                <w:tcPr>
                  <w:tcW w:w="1075" w:type="dxa"/>
                  <w:tcBorders>
                    <w:tl2br w:val="nil"/>
                    <w:tr2bl w:val="nil"/>
                  </w:tcBorders>
                  <w:noWrap w:val="0"/>
                  <w:vAlign w:val="center"/>
                </w:tcPr>
                <w:p w14:paraId="0E75E386">
                  <w:pPr>
                    <w:keepNext w:val="0"/>
                    <w:keepLines w:val="0"/>
                    <w:widowControl w:val="0"/>
                    <w:suppressLineNumbers w:val="0"/>
                    <w:snapToGrid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bCs/>
                      <w:color w:val="auto"/>
                      <w:kern w:val="2"/>
                      <w:sz w:val="21"/>
                      <w:szCs w:val="24"/>
                      <w:highlight w:val="none"/>
                      <w:lang w:val="en-US" w:eastAsia="zh-CN" w:bidi="ar-SA"/>
                    </w:rPr>
                  </w:pPr>
                  <w:r>
                    <w:rPr>
                      <w:rFonts w:hint="eastAsia" w:cs="Times New Roman"/>
                      <w:bCs/>
                      <w:color w:val="auto"/>
                      <w:kern w:val="2"/>
                      <w:sz w:val="21"/>
                      <w:szCs w:val="24"/>
                      <w:highlight w:val="none"/>
                      <w:lang w:val="en-US" w:eastAsia="zh-CN" w:bidi="ar-SA"/>
                    </w:rPr>
                    <w:t>0.0063</w:t>
                  </w:r>
                </w:p>
              </w:tc>
              <w:tc>
                <w:tcPr>
                  <w:tcW w:w="889" w:type="dxa"/>
                  <w:vMerge w:val="continue"/>
                  <w:tcBorders>
                    <w:tl2br w:val="nil"/>
                    <w:tr2bl w:val="nil"/>
                  </w:tcBorders>
                  <w:noWrap w:val="0"/>
                  <w:vAlign w:val="center"/>
                </w:tcPr>
                <w:p w14:paraId="3C3F2B3A">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Cs/>
                      <w:color w:val="auto"/>
                      <w:kern w:val="2"/>
                      <w:sz w:val="21"/>
                      <w:szCs w:val="24"/>
                      <w:highlight w:val="none"/>
                      <w:lang w:val="en-US" w:eastAsia="zh-CN" w:bidi="ar-SA"/>
                    </w:rPr>
                  </w:pPr>
                </w:p>
              </w:tc>
            </w:tr>
            <w:tr w14:paraId="2DCDDD7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262" w:hRule="atLeast"/>
                <w:jc w:val="center"/>
              </w:trPr>
              <w:tc>
                <w:tcPr>
                  <w:tcW w:w="518" w:type="dxa"/>
                  <w:vMerge w:val="continue"/>
                  <w:tcBorders>
                    <w:tl2br w:val="nil"/>
                    <w:tr2bl w:val="nil"/>
                  </w:tcBorders>
                  <w:noWrap w:val="0"/>
                  <w:vAlign w:val="center"/>
                </w:tcPr>
                <w:p w14:paraId="1A539B48">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color w:val="auto"/>
                      <w:highlight w:val="none"/>
                    </w:rPr>
                  </w:pPr>
                </w:p>
              </w:tc>
              <w:tc>
                <w:tcPr>
                  <w:tcW w:w="1022" w:type="dxa"/>
                  <w:vMerge w:val="continue"/>
                  <w:tcBorders>
                    <w:tl2br w:val="nil"/>
                    <w:tr2bl w:val="nil"/>
                  </w:tcBorders>
                  <w:noWrap w:val="0"/>
                  <w:vAlign w:val="center"/>
                </w:tcPr>
                <w:p w14:paraId="4F61A364">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color w:val="auto"/>
                      <w:highlight w:val="none"/>
                    </w:rPr>
                  </w:pPr>
                </w:p>
              </w:tc>
              <w:tc>
                <w:tcPr>
                  <w:tcW w:w="930" w:type="dxa"/>
                  <w:tcBorders>
                    <w:tl2br w:val="nil"/>
                    <w:tr2bl w:val="nil"/>
                  </w:tcBorders>
                  <w:noWrap w:val="0"/>
                  <w:vAlign w:val="center"/>
                </w:tcPr>
                <w:p w14:paraId="0A80B8DB">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Cs/>
                      <w:color w:val="auto"/>
                      <w:kern w:val="2"/>
                      <w:sz w:val="21"/>
                      <w:szCs w:val="24"/>
                      <w:highlight w:val="none"/>
                      <w:lang w:val="en-US" w:eastAsia="zh-CN" w:bidi="ar-SA"/>
                    </w:rPr>
                  </w:pPr>
                  <w:r>
                    <w:rPr>
                      <w:rFonts w:hint="eastAsia" w:ascii="Times New Roman" w:hAnsi="Times New Roman" w:eastAsia="宋体" w:cs="Times New Roman"/>
                      <w:bCs/>
                      <w:color w:val="auto"/>
                      <w:kern w:val="2"/>
                      <w:sz w:val="21"/>
                      <w:szCs w:val="24"/>
                      <w:highlight w:val="none"/>
                      <w:lang w:val="en-US" w:eastAsia="zh-CN" w:bidi="ar-SA"/>
                    </w:rPr>
                    <w:t>未成林造林地</w:t>
                  </w:r>
                </w:p>
              </w:tc>
              <w:tc>
                <w:tcPr>
                  <w:tcW w:w="900" w:type="dxa"/>
                  <w:tcBorders>
                    <w:tl2br w:val="nil"/>
                    <w:tr2bl w:val="nil"/>
                  </w:tcBorders>
                  <w:noWrap w:val="0"/>
                  <w:vAlign w:val="center"/>
                </w:tcPr>
                <w:p w14:paraId="7553BE86">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Cs/>
                      <w:color w:val="auto"/>
                      <w:kern w:val="2"/>
                      <w:sz w:val="21"/>
                      <w:szCs w:val="24"/>
                      <w:highlight w:val="none"/>
                      <w:lang w:val="en-US" w:eastAsia="zh-CN" w:bidi="ar-SA"/>
                    </w:rPr>
                  </w:pPr>
                  <w:r>
                    <w:rPr>
                      <w:rFonts w:hint="eastAsia" w:ascii="Times New Roman" w:hAnsi="Times New Roman" w:eastAsia="宋体" w:cs="Times New Roman"/>
                      <w:bCs/>
                      <w:color w:val="auto"/>
                      <w:kern w:val="2"/>
                      <w:sz w:val="21"/>
                      <w:szCs w:val="24"/>
                      <w:highlight w:val="none"/>
                      <w:lang w:val="en-US" w:eastAsia="zh-CN" w:bidi="ar-SA"/>
                    </w:rPr>
                    <w:t>0.01</w:t>
                  </w:r>
                </w:p>
              </w:tc>
              <w:tc>
                <w:tcPr>
                  <w:tcW w:w="675" w:type="dxa"/>
                  <w:vMerge w:val="continue"/>
                  <w:tcBorders>
                    <w:tl2br w:val="nil"/>
                    <w:tr2bl w:val="nil"/>
                  </w:tcBorders>
                  <w:noWrap w:val="0"/>
                  <w:vAlign w:val="center"/>
                </w:tcPr>
                <w:p w14:paraId="3DF43B8C">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rFonts w:hint="eastAsia" w:ascii="Times New Roman" w:hAnsi="Times New Roman" w:eastAsia="宋体" w:cs="Times New Roman"/>
                      <w:bCs/>
                      <w:color w:val="auto"/>
                      <w:kern w:val="2"/>
                      <w:sz w:val="21"/>
                      <w:szCs w:val="24"/>
                      <w:highlight w:val="none"/>
                      <w:lang w:val="en-US" w:eastAsia="zh-CN" w:bidi="ar-SA"/>
                    </w:rPr>
                  </w:pPr>
                </w:p>
              </w:tc>
              <w:tc>
                <w:tcPr>
                  <w:tcW w:w="1075" w:type="dxa"/>
                  <w:tcBorders>
                    <w:tl2br w:val="nil"/>
                    <w:tr2bl w:val="nil"/>
                  </w:tcBorders>
                  <w:noWrap w:val="0"/>
                  <w:vAlign w:val="center"/>
                </w:tcPr>
                <w:p w14:paraId="47D588E5">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rFonts w:hint="eastAsia" w:ascii="Times New Roman" w:hAnsi="Times New Roman" w:eastAsia="宋体" w:cs="Times New Roman"/>
                      <w:bCs/>
                      <w:color w:val="auto"/>
                      <w:kern w:val="2"/>
                      <w:sz w:val="21"/>
                      <w:szCs w:val="24"/>
                      <w:highlight w:val="none"/>
                      <w:lang w:val="en-US" w:eastAsia="zh-CN" w:bidi="ar-SA"/>
                    </w:rPr>
                  </w:pPr>
                  <w:r>
                    <w:rPr>
                      <w:rFonts w:hint="eastAsia" w:ascii="Times New Roman" w:hAnsi="Times New Roman" w:eastAsia="宋体" w:cs="Times New Roman"/>
                      <w:bCs/>
                      <w:color w:val="auto"/>
                      <w:kern w:val="2"/>
                      <w:sz w:val="21"/>
                      <w:szCs w:val="24"/>
                      <w:highlight w:val="none"/>
                      <w:lang w:val="en-US" w:eastAsia="zh-CN" w:bidi="ar-SA"/>
                    </w:rPr>
                    <w:t>地方其他公益林</w:t>
                  </w:r>
                </w:p>
              </w:tc>
              <w:tc>
                <w:tcPr>
                  <w:tcW w:w="1075" w:type="dxa"/>
                  <w:tcBorders>
                    <w:tl2br w:val="nil"/>
                    <w:tr2bl w:val="nil"/>
                  </w:tcBorders>
                  <w:noWrap w:val="0"/>
                  <w:vAlign w:val="center"/>
                </w:tcPr>
                <w:p w14:paraId="276A3234">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rFonts w:hint="eastAsia" w:ascii="Times New Roman" w:hAnsi="Times New Roman" w:eastAsia="宋体" w:cs="Times New Roman"/>
                      <w:bCs/>
                      <w:color w:val="auto"/>
                      <w:kern w:val="2"/>
                      <w:sz w:val="21"/>
                      <w:szCs w:val="24"/>
                      <w:highlight w:val="none"/>
                      <w:lang w:val="en-US" w:eastAsia="zh-CN" w:bidi="ar-SA"/>
                    </w:rPr>
                  </w:pPr>
                  <w:r>
                    <w:rPr>
                      <w:rFonts w:hint="default" w:ascii="Times New Roman" w:hAnsi="Times New Roman" w:eastAsia="微软雅黑" w:cs="Times New Roman"/>
                      <w:bCs/>
                      <w:color w:val="auto"/>
                      <w:kern w:val="2"/>
                      <w:sz w:val="21"/>
                      <w:szCs w:val="21"/>
                      <w:highlight w:val="none"/>
                      <w:lang w:val="en-US" w:eastAsia="zh-CN" w:bidi="ar-SA"/>
                    </w:rPr>
                    <w:t>Ⅲ</w:t>
                  </w:r>
                </w:p>
              </w:tc>
              <w:tc>
                <w:tcPr>
                  <w:tcW w:w="1075" w:type="dxa"/>
                  <w:tcBorders>
                    <w:tl2br w:val="nil"/>
                    <w:tr2bl w:val="nil"/>
                  </w:tcBorders>
                  <w:noWrap w:val="0"/>
                  <w:vAlign w:val="center"/>
                </w:tcPr>
                <w:p w14:paraId="46467FD9">
                  <w:pPr>
                    <w:keepNext w:val="0"/>
                    <w:keepLines w:val="0"/>
                    <w:widowControl w:val="0"/>
                    <w:suppressLineNumbers w:val="0"/>
                    <w:snapToGrid w:val="0"/>
                    <w:spacing w:before="0" w:beforeLines="0" w:beforeAutospacing="0" w:after="0" w:afterLines="0" w:afterAutospacing="0" w:line="240" w:lineRule="auto"/>
                    <w:ind w:left="0" w:leftChars="0" w:right="0" w:rightChars="0" w:firstLine="0" w:firstLineChars="0"/>
                    <w:jc w:val="center"/>
                    <w:rPr>
                      <w:rFonts w:hint="eastAsia" w:ascii="Times New Roman" w:hAnsi="Times New Roman" w:eastAsia="宋体" w:cs="Times New Roman"/>
                      <w:bCs/>
                      <w:color w:val="auto"/>
                      <w:kern w:val="2"/>
                      <w:sz w:val="21"/>
                      <w:szCs w:val="24"/>
                      <w:highlight w:val="none"/>
                      <w:lang w:val="en-US" w:eastAsia="zh-CN" w:bidi="ar-SA"/>
                    </w:rPr>
                  </w:pPr>
                  <w:r>
                    <w:rPr>
                      <w:rFonts w:hint="eastAsia" w:ascii="Times New Roman" w:hAnsi="Times New Roman" w:eastAsia="宋体" w:cs="Times New Roman"/>
                      <w:bCs/>
                      <w:color w:val="auto"/>
                      <w:kern w:val="2"/>
                      <w:sz w:val="21"/>
                      <w:szCs w:val="24"/>
                      <w:highlight w:val="none"/>
                      <w:lang w:val="en-US" w:eastAsia="zh-CN" w:bidi="ar-SA"/>
                    </w:rPr>
                    <w:t>0.01</w:t>
                  </w:r>
                </w:p>
              </w:tc>
              <w:tc>
                <w:tcPr>
                  <w:tcW w:w="889" w:type="dxa"/>
                  <w:vMerge w:val="continue"/>
                  <w:tcBorders>
                    <w:tl2br w:val="nil"/>
                    <w:tr2bl w:val="nil"/>
                  </w:tcBorders>
                  <w:noWrap w:val="0"/>
                  <w:vAlign w:val="center"/>
                </w:tcPr>
                <w:p w14:paraId="0F7823F3">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rFonts w:hint="eastAsia" w:ascii="Times New Roman" w:hAnsi="Times New Roman" w:eastAsia="宋体" w:cs="Times New Roman"/>
                      <w:bCs/>
                      <w:color w:val="auto"/>
                      <w:kern w:val="2"/>
                      <w:sz w:val="21"/>
                      <w:szCs w:val="24"/>
                      <w:highlight w:val="none"/>
                      <w:lang w:val="en-US" w:eastAsia="zh-CN" w:bidi="ar-SA"/>
                    </w:rPr>
                  </w:pPr>
                </w:p>
              </w:tc>
            </w:tr>
            <w:tr w14:paraId="16BE3D3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jc w:val="center"/>
              </w:trPr>
              <w:tc>
                <w:tcPr>
                  <w:tcW w:w="518" w:type="dxa"/>
                  <w:vMerge w:val="restart"/>
                  <w:tcBorders>
                    <w:tl2br w:val="nil"/>
                    <w:tr2bl w:val="nil"/>
                  </w:tcBorders>
                  <w:noWrap w:val="0"/>
                  <w:vAlign w:val="center"/>
                </w:tcPr>
                <w:p w14:paraId="063BEA4A">
                  <w:pPr>
                    <w:keepNext w:val="0"/>
                    <w:keepLines w:val="0"/>
                    <w:suppressLineNumbers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临时</w:t>
                  </w:r>
                </w:p>
                <w:p w14:paraId="06819C25">
                  <w:pPr>
                    <w:keepNext w:val="0"/>
                    <w:keepLines w:val="0"/>
                    <w:suppressLineNumbers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占地</w:t>
                  </w:r>
                </w:p>
              </w:tc>
              <w:tc>
                <w:tcPr>
                  <w:tcW w:w="1022" w:type="dxa"/>
                  <w:vMerge w:val="restart"/>
                  <w:tcBorders>
                    <w:tl2br w:val="nil"/>
                    <w:tr2bl w:val="nil"/>
                  </w:tcBorders>
                  <w:noWrap w:val="0"/>
                  <w:vAlign w:val="center"/>
                </w:tcPr>
                <w:p w14:paraId="741E06AE">
                  <w:pPr>
                    <w:keepNext w:val="0"/>
                    <w:keepLines w:val="0"/>
                    <w:suppressLineNumbers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风机</w:t>
                  </w:r>
                  <w:r>
                    <w:rPr>
                      <w:rFonts w:hint="eastAsia" w:ascii="Times New Roman" w:hAnsi="Times New Roman" w:cs="Times New Roman"/>
                      <w:color w:val="auto"/>
                      <w:sz w:val="21"/>
                      <w:szCs w:val="21"/>
                      <w:highlight w:val="none"/>
                      <w:lang w:val="en-US" w:eastAsia="zh-CN"/>
                    </w:rPr>
                    <w:t>吊装</w:t>
                  </w:r>
                  <w:r>
                    <w:rPr>
                      <w:rFonts w:hint="default" w:ascii="Times New Roman" w:hAnsi="Times New Roman" w:eastAsia="宋体" w:cs="Times New Roman"/>
                      <w:color w:val="auto"/>
                      <w:sz w:val="21"/>
                      <w:szCs w:val="21"/>
                      <w:highlight w:val="none"/>
                      <w:lang w:val="en-US" w:eastAsia="zh-CN"/>
                    </w:rPr>
                    <w:t>平台</w:t>
                  </w:r>
                </w:p>
                <w:p w14:paraId="00DDE61B">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Cs/>
                      <w:color w:val="auto"/>
                      <w:kern w:val="2"/>
                      <w:sz w:val="21"/>
                      <w:szCs w:val="21"/>
                      <w:highlight w:val="none"/>
                      <w:lang w:val="en-US" w:eastAsia="zh-CN" w:bidi="ar-SA"/>
                    </w:rPr>
                  </w:pPr>
                </w:p>
              </w:tc>
              <w:tc>
                <w:tcPr>
                  <w:tcW w:w="930" w:type="dxa"/>
                  <w:tcBorders>
                    <w:tl2br w:val="nil"/>
                    <w:tr2bl w:val="nil"/>
                  </w:tcBorders>
                  <w:noWrap w:val="0"/>
                  <w:vAlign w:val="center"/>
                </w:tcPr>
                <w:p w14:paraId="6F85B250">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乔木林地</w:t>
                  </w:r>
                </w:p>
              </w:tc>
              <w:tc>
                <w:tcPr>
                  <w:tcW w:w="900" w:type="dxa"/>
                  <w:tcBorders>
                    <w:tl2br w:val="nil"/>
                    <w:tr2bl w:val="nil"/>
                  </w:tcBorders>
                  <w:noWrap w:val="0"/>
                  <w:vAlign w:val="center"/>
                </w:tcPr>
                <w:p w14:paraId="1612738D">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1.0908</w:t>
                  </w:r>
                </w:p>
              </w:tc>
              <w:tc>
                <w:tcPr>
                  <w:tcW w:w="675" w:type="dxa"/>
                  <w:vMerge w:val="restart"/>
                  <w:tcBorders>
                    <w:tl2br w:val="nil"/>
                    <w:tr2bl w:val="nil"/>
                  </w:tcBorders>
                  <w:noWrap w:val="0"/>
                  <w:vAlign w:val="center"/>
                </w:tcPr>
                <w:p w14:paraId="35EDEE7C">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1.9</w:t>
                  </w:r>
                  <w:r>
                    <w:rPr>
                      <w:rFonts w:hint="eastAsia" w:cs="Times New Roman"/>
                      <w:bCs/>
                      <w:color w:val="auto"/>
                      <w:kern w:val="2"/>
                      <w:sz w:val="21"/>
                      <w:szCs w:val="21"/>
                      <w:highlight w:val="none"/>
                      <w:lang w:val="en-US" w:eastAsia="zh-CN" w:bidi="ar-SA"/>
                    </w:rPr>
                    <w:t>018</w:t>
                  </w:r>
                </w:p>
              </w:tc>
              <w:tc>
                <w:tcPr>
                  <w:tcW w:w="1075" w:type="dxa"/>
                  <w:tcBorders>
                    <w:tl2br w:val="nil"/>
                    <w:tr2bl w:val="nil"/>
                  </w:tcBorders>
                  <w:noWrap w:val="0"/>
                  <w:vAlign w:val="center"/>
                </w:tcPr>
                <w:p w14:paraId="618A1ED1">
                  <w:pPr>
                    <w:keepNext w:val="0"/>
                    <w:keepLines w:val="0"/>
                    <w:widowControl w:val="0"/>
                    <w:suppressLineNumbers w:val="0"/>
                    <w:snapToGrid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地方其他公益林</w:t>
                  </w:r>
                </w:p>
              </w:tc>
              <w:tc>
                <w:tcPr>
                  <w:tcW w:w="1075" w:type="dxa"/>
                  <w:tcBorders>
                    <w:tl2br w:val="nil"/>
                    <w:tr2bl w:val="nil"/>
                  </w:tcBorders>
                  <w:noWrap w:val="0"/>
                  <w:vAlign w:val="center"/>
                </w:tcPr>
                <w:p w14:paraId="1E38A862">
                  <w:pPr>
                    <w:keepNext w:val="0"/>
                    <w:keepLines w:val="0"/>
                    <w:widowControl w:val="0"/>
                    <w:suppressLineNumbers w:val="0"/>
                    <w:snapToGrid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4"/>
                      <w:highlight w:val="none"/>
                      <w:lang w:val="en-US" w:eastAsia="zh-CN" w:bidi="ar-SA"/>
                    </w:rPr>
                    <w:t>Ⅱ</w:t>
                  </w:r>
                  <w:r>
                    <w:rPr>
                      <w:rFonts w:hint="eastAsia" w:cs="Times New Roman"/>
                      <w:bCs/>
                      <w:color w:val="auto"/>
                      <w:kern w:val="2"/>
                      <w:sz w:val="21"/>
                      <w:szCs w:val="24"/>
                      <w:highlight w:val="none"/>
                      <w:lang w:val="en-US" w:eastAsia="zh-CN" w:bidi="ar-SA"/>
                    </w:rPr>
                    <w:t>/</w:t>
                  </w:r>
                  <w:r>
                    <w:rPr>
                      <w:rFonts w:hint="default" w:ascii="Times New Roman" w:hAnsi="Times New Roman" w:eastAsia="宋体" w:cs="Times New Roman"/>
                      <w:bCs/>
                      <w:color w:val="auto"/>
                      <w:kern w:val="2"/>
                      <w:sz w:val="21"/>
                      <w:szCs w:val="24"/>
                      <w:highlight w:val="none"/>
                      <w:lang w:val="en-US" w:eastAsia="zh-CN" w:bidi="ar-SA"/>
                    </w:rPr>
                    <w:t>Ⅲ</w:t>
                  </w:r>
                </w:p>
              </w:tc>
              <w:tc>
                <w:tcPr>
                  <w:tcW w:w="1075" w:type="dxa"/>
                  <w:tcBorders>
                    <w:tl2br w:val="nil"/>
                    <w:tr2bl w:val="nil"/>
                  </w:tcBorders>
                  <w:noWrap w:val="0"/>
                  <w:vAlign w:val="center"/>
                </w:tcPr>
                <w:p w14:paraId="2D7A3943">
                  <w:pPr>
                    <w:keepNext w:val="0"/>
                    <w:keepLines w:val="0"/>
                    <w:widowControl w:val="0"/>
                    <w:suppressLineNumbers w:val="0"/>
                    <w:snapToGrid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Cs/>
                      <w:color w:val="auto"/>
                      <w:kern w:val="2"/>
                      <w:sz w:val="21"/>
                      <w:szCs w:val="21"/>
                      <w:highlight w:val="none"/>
                      <w:lang w:val="en-US" w:eastAsia="zh-CN" w:bidi="ar-SA"/>
                    </w:rPr>
                    <w:t>1.0908</w:t>
                  </w:r>
                </w:p>
              </w:tc>
              <w:tc>
                <w:tcPr>
                  <w:tcW w:w="889" w:type="dxa"/>
                  <w:vMerge w:val="restart"/>
                  <w:tcBorders>
                    <w:tl2br w:val="nil"/>
                    <w:tr2bl w:val="nil"/>
                  </w:tcBorders>
                  <w:noWrap w:val="0"/>
                  <w:vAlign w:val="center"/>
                </w:tcPr>
                <w:p w14:paraId="60E5BAEC">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1.9018</w:t>
                  </w:r>
                </w:p>
              </w:tc>
            </w:tr>
            <w:tr w14:paraId="26A186B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262" w:hRule="atLeast"/>
                <w:jc w:val="center"/>
              </w:trPr>
              <w:tc>
                <w:tcPr>
                  <w:tcW w:w="518" w:type="dxa"/>
                  <w:vMerge w:val="continue"/>
                  <w:tcBorders>
                    <w:tl2br w:val="nil"/>
                    <w:tr2bl w:val="nil"/>
                  </w:tcBorders>
                  <w:noWrap w:val="0"/>
                  <w:vAlign w:val="center"/>
                </w:tcPr>
                <w:p w14:paraId="644BB1DB">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Cs/>
                      <w:color w:val="auto"/>
                      <w:kern w:val="2"/>
                      <w:sz w:val="21"/>
                      <w:szCs w:val="21"/>
                      <w:highlight w:val="none"/>
                      <w:lang w:val="en-US" w:eastAsia="zh-CN" w:bidi="ar-SA"/>
                    </w:rPr>
                  </w:pPr>
                </w:p>
              </w:tc>
              <w:tc>
                <w:tcPr>
                  <w:tcW w:w="1022" w:type="dxa"/>
                  <w:vMerge w:val="continue"/>
                  <w:tcBorders>
                    <w:tl2br w:val="nil"/>
                    <w:tr2bl w:val="nil"/>
                  </w:tcBorders>
                  <w:noWrap w:val="0"/>
                  <w:vAlign w:val="center"/>
                </w:tcPr>
                <w:p w14:paraId="4DF8B75E">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Cs/>
                      <w:color w:val="auto"/>
                      <w:kern w:val="2"/>
                      <w:sz w:val="21"/>
                      <w:szCs w:val="21"/>
                      <w:highlight w:val="none"/>
                      <w:lang w:val="en-US" w:eastAsia="zh-CN" w:bidi="ar-SA"/>
                    </w:rPr>
                  </w:pPr>
                </w:p>
              </w:tc>
              <w:tc>
                <w:tcPr>
                  <w:tcW w:w="930" w:type="dxa"/>
                  <w:vMerge w:val="restart"/>
                  <w:tcBorders>
                    <w:tl2br w:val="nil"/>
                    <w:tr2bl w:val="nil"/>
                  </w:tcBorders>
                  <w:noWrap w:val="0"/>
                  <w:vAlign w:val="center"/>
                </w:tcPr>
                <w:p w14:paraId="58F76746">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4"/>
                      <w:highlight w:val="none"/>
                      <w:lang w:val="en-US" w:eastAsia="zh-CN" w:bidi="ar-SA"/>
                    </w:rPr>
                    <w:t>疏林地</w:t>
                  </w:r>
                </w:p>
              </w:tc>
              <w:tc>
                <w:tcPr>
                  <w:tcW w:w="900" w:type="dxa"/>
                  <w:vMerge w:val="restart"/>
                  <w:tcBorders>
                    <w:tl2br w:val="nil"/>
                    <w:tr2bl w:val="nil"/>
                  </w:tcBorders>
                  <w:noWrap w:val="0"/>
                  <w:vAlign w:val="center"/>
                </w:tcPr>
                <w:p w14:paraId="086D6FD4">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0.5218</w:t>
                  </w:r>
                </w:p>
              </w:tc>
              <w:tc>
                <w:tcPr>
                  <w:tcW w:w="675" w:type="dxa"/>
                  <w:vMerge w:val="continue"/>
                  <w:tcBorders>
                    <w:tl2br w:val="nil"/>
                    <w:tr2bl w:val="nil"/>
                  </w:tcBorders>
                  <w:noWrap w:val="0"/>
                  <w:vAlign w:val="center"/>
                </w:tcPr>
                <w:p w14:paraId="637D38E7">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Cs/>
                      <w:color w:val="auto"/>
                      <w:kern w:val="2"/>
                      <w:sz w:val="21"/>
                      <w:szCs w:val="21"/>
                      <w:highlight w:val="none"/>
                      <w:lang w:val="en-US" w:eastAsia="zh-CN" w:bidi="ar-SA"/>
                    </w:rPr>
                  </w:pPr>
                </w:p>
              </w:tc>
              <w:tc>
                <w:tcPr>
                  <w:tcW w:w="1075" w:type="dxa"/>
                  <w:tcBorders>
                    <w:tl2br w:val="nil"/>
                    <w:tr2bl w:val="nil"/>
                  </w:tcBorders>
                  <w:noWrap w:val="0"/>
                  <w:vAlign w:val="center"/>
                </w:tcPr>
                <w:p w14:paraId="4DAA5C5F">
                  <w:pPr>
                    <w:keepNext w:val="0"/>
                    <w:keepLines w:val="0"/>
                    <w:widowControl w:val="0"/>
                    <w:suppressLineNumbers w:val="0"/>
                    <w:snapToGrid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4"/>
                      <w:highlight w:val="none"/>
                      <w:lang w:val="en-US" w:eastAsia="zh-CN" w:bidi="ar-SA"/>
                    </w:rPr>
                    <w:t>国家级二级公益林</w:t>
                  </w:r>
                </w:p>
              </w:tc>
              <w:tc>
                <w:tcPr>
                  <w:tcW w:w="1075" w:type="dxa"/>
                  <w:tcBorders>
                    <w:tl2br w:val="nil"/>
                    <w:tr2bl w:val="nil"/>
                  </w:tcBorders>
                  <w:noWrap w:val="0"/>
                  <w:vAlign w:val="center"/>
                </w:tcPr>
                <w:p w14:paraId="78D14E42">
                  <w:pPr>
                    <w:keepNext w:val="0"/>
                    <w:keepLines w:val="0"/>
                    <w:widowControl w:val="0"/>
                    <w:suppressLineNumbers w:val="0"/>
                    <w:snapToGrid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4"/>
                      <w:highlight w:val="none"/>
                      <w:lang w:val="en-US" w:eastAsia="zh-CN" w:bidi="ar-SA"/>
                    </w:rPr>
                    <w:t>Ⅱ</w:t>
                  </w:r>
                </w:p>
              </w:tc>
              <w:tc>
                <w:tcPr>
                  <w:tcW w:w="1075" w:type="dxa"/>
                  <w:tcBorders>
                    <w:tl2br w:val="nil"/>
                    <w:tr2bl w:val="nil"/>
                  </w:tcBorders>
                  <w:noWrap w:val="0"/>
                  <w:vAlign w:val="center"/>
                </w:tcPr>
                <w:p w14:paraId="2EE3D24D">
                  <w:pPr>
                    <w:keepNext w:val="0"/>
                    <w:keepLines w:val="0"/>
                    <w:widowControl w:val="0"/>
                    <w:suppressLineNumbers w:val="0"/>
                    <w:snapToGrid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0.4597</w:t>
                  </w:r>
                </w:p>
              </w:tc>
              <w:tc>
                <w:tcPr>
                  <w:tcW w:w="889" w:type="dxa"/>
                  <w:vMerge w:val="continue"/>
                  <w:tcBorders>
                    <w:tl2br w:val="nil"/>
                    <w:tr2bl w:val="nil"/>
                  </w:tcBorders>
                  <w:noWrap w:val="0"/>
                  <w:vAlign w:val="center"/>
                </w:tcPr>
                <w:p w14:paraId="2791C469">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Cs/>
                      <w:color w:val="auto"/>
                      <w:kern w:val="2"/>
                      <w:sz w:val="21"/>
                      <w:szCs w:val="21"/>
                      <w:highlight w:val="none"/>
                      <w:lang w:val="en-US" w:eastAsia="zh-CN" w:bidi="ar-SA"/>
                    </w:rPr>
                  </w:pPr>
                </w:p>
              </w:tc>
            </w:tr>
            <w:tr w14:paraId="3D46912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262" w:hRule="atLeast"/>
                <w:jc w:val="center"/>
              </w:trPr>
              <w:tc>
                <w:tcPr>
                  <w:tcW w:w="518" w:type="dxa"/>
                  <w:vMerge w:val="continue"/>
                  <w:tcBorders>
                    <w:tl2br w:val="nil"/>
                    <w:tr2bl w:val="nil"/>
                  </w:tcBorders>
                  <w:noWrap w:val="0"/>
                  <w:vAlign w:val="center"/>
                </w:tcPr>
                <w:p w14:paraId="6D84F19D">
                  <w:pPr>
                    <w:keepNext w:val="0"/>
                    <w:keepLines w:val="0"/>
                    <w:widowControl w:val="0"/>
                    <w:suppressLineNumbers w:val="0"/>
                    <w:snapToGrid w:val="0"/>
                    <w:spacing w:before="0" w:beforeLines="0" w:beforeAutospacing="0" w:after="0" w:afterLines="0" w:afterAutospacing="0" w:line="240" w:lineRule="auto"/>
                    <w:ind w:left="0" w:leftChars="0" w:right="0" w:rightChars="0" w:firstLine="0" w:firstLineChars="0"/>
                    <w:jc w:val="center"/>
                    <w:rPr>
                      <w:color w:val="auto"/>
                      <w:highlight w:val="none"/>
                    </w:rPr>
                  </w:pPr>
                </w:p>
              </w:tc>
              <w:tc>
                <w:tcPr>
                  <w:tcW w:w="1022" w:type="dxa"/>
                  <w:vMerge w:val="continue"/>
                  <w:tcBorders>
                    <w:tl2br w:val="nil"/>
                    <w:tr2bl w:val="nil"/>
                  </w:tcBorders>
                  <w:noWrap w:val="0"/>
                  <w:vAlign w:val="center"/>
                </w:tcPr>
                <w:p w14:paraId="10928C10">
                  <w:pPr>
                    <w:keepNext w:val="0"/>
                    <w:keepLines w:val="0"/>
                    <w:widowControl w:val="0"/>
                    <w:suppressLineNumbers w:val="0"/>
                    <w:snapToGrid w:val="0"/>
                    <w:spacing w:before="0" w:beforeLines="0" w:beforeAutospacing="0" w:after="0" w:afterLines="0" w:afterAutospacing="0" w:line="240" w:lineRule="auto"/>
                    <w:ind w:left="0" w:leftChars="0" w:right="0" w:rightChars="0" w:firstLine="0" w:firstLineChars="0"/>
                    <w:jc w:val="center"/>
                    <w:rPr>
                      <w:color w:val="auto"/>
                      <w:highlight w:val="none"/>
                    </w:rPr>
                  </w:pPr>
                </w:p>
              </w:tc>
              <w:tc>
                <w:tcPr>
                  <w:tcW w:w="930" w:type="dxa"/>
                  <w:vMerge w:val="continue"/>
                  <w:tcBorders>
                    <w:tl2br w:val="nil"/>
                    <w:tr2bl w:val="nil"/>
                  </w:tcBorders>
                  <w:noWrap w:val="0"/>
                  <w:vAlign w:val="center"/>
                </w:tcPr>
                <w:p w14:paraId="26A627BE">
                  <w:pPr>
                    <w:keepNext w:val="0"/>
                    <w:keepLines w:val="0"/>
                    <w:widowControl w:val="0"/>
                    <w:suppressLineNumbers w:val="0"/>
                    <w:snapToGrid w:val="0"/>
                    <w:spacing w:before="0" w:beforeLines="0" w:beforeAutospacing="0" w:after="0" w:afterLines="0" w:afterAutospacing="0" w:line="240" w:lineRule="auto"/>
                    <w:ind w:left="0" w:leftChars="0" w:right="0" w:rightChars="0" w:firstLine="0" w:firstLineChars="0"/>
                    <w:jc w:val="center"/>
                    <w:rPr>
                      <w:color w:val="auto"/>
                      <w:highlight w:val="none"/>
                    </w:rPr>
                  </w:pPr>
                </w:p>
              </w:tc>
              <w:tc>
                <w:tcPr>
                  <w:tcW w:w="900" w:type="dxa"/>
                  <w:vMerge w:val="continue"/>
                  <w:tcBorders>
                    <w:tl2br w:val="nil"/>
                    <w:tr2bl w:val="nil"/>
                  </w:tcBorders>
                  <w:noWrap w:val="0"/>
                  <w:vAlign w:val="center"/>
                </w:tcPr>
                <w:p w14:paraId="1B35FABE">
                  <w:pPr>
                    <w:keepNext w:val="0"/>
                    <w:keepLines w:val="0"/>
                    <w:widowControl w:val="0"/>
                    <w:suppressLineNumbers w:val="0"/>
                    <w:snapToGrid w:val="0"/>
                    <w:spacing w:before="0" w:beforeLines="0" w:beforeAutospacing="0" w:after="0" w:afterLines="0" w:afterAutospacing="0" w:line="240" w:lineRule="auto"/>
                    <w:ind w:left="0" w:leftChars="0" w:right="0" w:rightChars="0" w:firstLine="0" w:firstLineChars="0"/>
                    <w:jc w:val="center"/>
                    <w:rPr>
                      <w:color w:val="auto"/>
                      <w:highlight w:val="none"/>
                    </w:rPr>
                  </w:pPr>
                </w:p>
              </w:tc>
              <w:tc>
                <w:tcPr>
                  <w:tcW w:w="675" w:type="dxa"/>
                  <w:vMerge w:val="continue"/>
                  <w:tcBorders>
                    <w:tl2br w:val="nil"/>
                    <w:tr2bl w:val="nil"/>
                  </w:tcBorders>
                  <w:noWrap w:val="0"/>
                  <w:vAlign w:val="center"/>
                </w:tcPr>
                <w:p w14:paraId="5905DF50">
                  <w:pPr>
                    <w:keepNext w:val="0"/>
                    <w:keepLines w:val="0"/>
                    <w:widowControl w:val="0"/>
                    <w:suppressLineNumbers w:val="0"/>
                    <w:snapToGrid w:val="0"/>
                    <w:spacing w:before="0" w:beforeLines="0" w:beforeAutospacing="0" w:after="0" w:afterLines="0" w:afterAutospacing="0" w:line="240" w:lineRule="auto"/>
                    <w:ind w:left="0" w:leftChars="0" w:right="0" w:rightChars="0" w:firstLine="0" w:firstLineChars="0"/>
                    <w:jc w:val="center"/>
                    <w:rPr>
                      <w:color w:val="auto"/>
                      <w:highlight w:val="none"/>
                    </w:rPr>
                  </w:pPr>
                </w:p>
              </w:tc>
              <w:tc>
                <w:tcPr>
                  <w:tcW w:w="1075" w:type="dxa"/>
                  <w:tcBorders>
                    <w:tl2br w:val="nil"/>
                    <w:tr2bl w:val="nil"/>
                  </w:tcBorders>
                  <w:noWrap w:val="0"/>
                  <w:vAlign w:val="center"/>
                </w:tcPr>
                <w:p w14:paraId="34D037AF">
                  <w:pPr>
                    <w:keepNext w:val="0"/>
                    <w:keepLines w:val="0"/>
                    <w:widowControl w:val="0"/>
                    <w:suppressLineNumbers w:val="0"/>
                    <w:snapToGrid w:val="0"/>
                    <w:spacing w:before="0" w:beforeLines="0" w:beforeAutospacing="0" w:after="0" w:afterLines="0" w:afterAutospacing="0" w:line="240" w:lineRule="auto"/>
                    <w:ind w:left="0" w:leftChars="0" w:right="0" w:rightChars="0" w:firstLine="0" w:firstLineChars="0"/>
                    <w:jc w:val="center"/>
                    <w:rPr>
                      <w:color w:val="auto"/>
                      <w:highlight w:val="none"/>
                    </w:rPr>
                  </w:pPr>
                  <w:r>
                    <w:rPr>
                      <w:rFonts w:hint="eastAsia"/>
                      <w:color w:val="auto"/>
                      <w:highlight w:val="none"/>
                      <w:lang w:val="en-US" w:eastAsia="zh-CN"/>
                    </w:rPr>
                    <w:t>地方其他公益林</w:t>
                  </w:r>
                </w:p>
              </w:tc>
              <w:tc>
                <w:tcPr>
                  <w:tcW w:w="1075" w:type="dxa"/>
                  <w:tcBorders>
                    <w:tl2br w:val="nil"/>
                    <w:tr2bl w:val="nil"/>
                  </w:tcBorders>
                  <w:noWrap w:val="0"/>
                  <w:vAlign w:val="center"/>
                </w:tcPr>
                <w:p w14:paraId="459FEC7D">
                  <w:pPr>
                    <w:keepNext w:val="0"/>
                    <w:keepLines w:val="0"/>
                    <w:widowControl w:val="0"/>
                    <w:suppressLineNumbers w:val="0"/>
                    <w:snapToGrid w:val="0"/>
                    <w:spacing w:before="0" w:beforeLines="0" w:beforeAutospacing="0" w:after="0" w:afterLines="0" w:afterAutospacing="0" w:line="240" w:lineRule="auto"/>
                    <w:ind w:left="0" w:leftChars="0" w:right="0" w:rightChars="0" w:firstLine="0" w:firstLineChars="0"/>
                    <w:jc w:val="center"/>
                    <w:rPr>
                      <w:color w:val="auto"/>
                      <w:highlight w:val="none"/>
                    </w:rPr>
                  </w:pPr>
                  <w:r>
                    <w:rPr>
                      <w:rFonts w:hint="default" w:ascii="Times New Roman" w:hAnsi="Times New Roman" w:eastAsia="微软雅黑" w:cs="Times New Roman"/>
                      <w:color w:val="auto"/>
                      <w:highlight w:val="none"/>
                    </w:rPr>
                    <w:t>Ⅲ</w:t>
                  </w:r>
                </w:p>
              </w:tc>
              <w:tc>
                <w:tcPr>
                  <w:tcW w:w="1075" w:type="dxa"/>
                  <w:tcBorders>
                    <w:tl2br w:val="nil"/>
                    <w:tr2bl w:val="nil"/>
                  </w:tcBorders>
                  <w:noWrap w:val="0"/>
                  <w:vAlign w:val="center"/>
                </w:tcPr>
                <w:p w14:paraId="3F5B94CB">
                  <w:pPr>
                    <w:keepNext w:val="0"/>
                    <w:keepLines w:val="0"/>
                    <w:widowControl w:val="0"/>
                    <w:suppressLineNumbers w:val="0"/>
                    <w:snapToGrid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0.0621</w:t>
                  </w:r>
                </w:p>
              </w:tc>
              <w:tc>
                <w:tcPr>
                  <w:tcW w:w="889" w:type="dxa"/>
                  <w:vMerge w:val="continue"/>
                  <w:tcBorders>
                    <w:tl2br w:val="nil"/>
                    <w:tr2bl w:val="nil"/>
                  </w:tcBorders>
                  <w:noWrap w:val="0"/>
                  <w:vAlign w:val="center"/>
                </w:tcPr>
                <w:p w14:paraId="4D9BF47D">
                  <w:pPr>
                    <w:keepNext w:val="0"/>
                    <w:keepLines w:val="0"/>
                    <w:widowControl w:val="0"/>
                    <w:suppressLineNumbers w:val="0"/>
                    <w:snapToGrid w:val="0"/>
                    <w:spacing w:before="0" w:beforeLines="0" w:beforeAutospacing="0" w:after="0" w:afterLines="0" w:afterAutospacing="0" w:line="240" w:lineRule="auto"/>
                    <w:ind w:left="0" w:leftChars="0" w:right="0" w:rightChars="0" w:firstLine="0" w:firstLineChars="0"/>
                    <w:jc w:val="center"/>
                    <w:rPr>
                      <w:rFonts w:hint="eastAsia" w:ascii="Times New Roman" w:hAnsi="Times New Roman" w:eastAsia="宋体" w:cs="Times New Roman"/>
                      <w:bCs/>
                      <w:color w:val="auto"/>
                      <w:kern w:val="2"/>
                      <w:sz w:val="21"/>
                      <w:szCs w:val="21"/>
                      <w:highlight w:val="none"/>
                      <w:lang w:val="en-US" w:eastAsia="zh-CN" w:bidi="ar-SA"/>
                    </w:rPr>
                  </w:pPr>
                </w:p>
              </w:tc>
            </w:tr>
            <w:tr w14:paraId="5749314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518" w:type="dxa"/>
                  <w:vMerge w:val="continue"/>
                  <w:tcBorders>
                    <w:tl2br w:val="nil"/>
                    <w:tr2bl w:val="nil"/>
                  </w:tcBorders>
                  <w:noWrap w:val="0"/>
                  <w:vAlign w:val="center"/>
                </w:tcPr>
                <w:p w14:paraId="34A79218">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Cs/>
                      <w:color w:val="auto"/>
                      <w:kern w:val="2"/>
                      <w:sz w:val="21"/>
                      <w:szCs w:val="21"/>
                      <w:highlight w:val="none"/>
                      <w:lang w:val="en-US" w:eastAsia="zh-CN" w:bidi="ar-SA"/>
                    </w:rPr>
                  </w:pPr>
                </w:p>
              </w:tc>
              <w:tc>
                <w:tcPr>
                  <w:tcW w:w="1022" w:type="dxa"/>
                  <w:vMerge w:val="continue"/>
                  <w:tcBorders>
                    <w:tl2br w:val="nil"/>
                    <w:tr2bl w:val="nil"/>
                  </w:tcBorders>
                  <w:noWrap w:val="0"/>
                  <w:vAlign w:val="center"/>
                </w:tcPr>
                <w:p w14:paraId="663850C4">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Cs/>
                      <w:color w:val="auto"/>
                      <w:kern w:val="2"/>
                      <w:sz w:val="21"/>
                      <w:szCs w:val="21"/>
                      <w:highlight w:val="none"/>
                      <w:lang w:val="en-US" w:eastAsia="zh-CN" w:bidi="ar-SA"/>
                    </w:rPr>
                  </w:pPr>
                </w:p>
              </w:tc>
              <w:tc>
                <w:tcPr>
                  <w:tcW w:w="930" w:type="dxa"/>
                  <w:tcBorders>
                    <w:tl2br w:val="nil"/>
                    <w:tr2bl w:val="nil"/>
                  </w:tcBorders>
                  <w:noWrap w:val="0"/>
                  <w:vAlign w:val="center"/>
                </w:tcPr>
                <w:p w14:paraId="1ACDA470">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4"/>
                      <w:highlight w:val="none"/>
                      <w:lang w:val="en-US" w:eastAsia="zh-CN" w:bidi="ar-SA"/>
                    </w:rPr>
                    <w:t>一般</w:t>
                  </w:r>
                  <w:r>
                    <w:rPr>
                      <w:rFonts w:hint="default" w:ascii="Times New Roman" w:hAnsi="Times New Roman" w:eastAsia="宋体" w:cs="Times New Roman"/>
                      <w:bCs/>
                      <w:color w:val="auto"/>
                      <w:kern w:val="2"/>
                      <w:sz w:val="21"/>
                      <w:szCs w:val="24"/>
                      <w:highlight w:val="none"/>
                      <w:lang w:val="en-US" w:eastAsia="zh-CN" w:bidi="ar-SA"/>
                    </w:rPr>
                    <w:t>灌木林地</w:t>
                  </w:r>
                </w:p>
              </w:tc>
              <w:tc>
                <w:tcPr>
                  <w:tcW w:w="900" w:type="dxa"/>
                  <w:tcBorders>
                    <w:tl2br w:val="nil"/>
                    <w:tr2bl w:val="nil"/>
                  </w:tcBorders>
                  <w:noWrap w:val="0"/>
                  <w:vAlign w:val="center"/>
                </w:tcPr>
                <w:p w14:paraId="6D56A59D">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0.2849</w:t>
                  </w:r>
                </w:p>
              </w:tc>
              <w:tc>
                <w:tcPr>
                  <w:tcW w:w="675" w:type="dxa"/>
                  <w:vMerge w:val="continue"/>
                  <w:tcBorders>
                    <w:tl2br w:val="nil"/>
                    <w:tr2bl w:val="nil"/>
                  </w:tcBorders>
                  <w:noWrap w:val="0"/>
                  <w:vAlign w:val="center"/>
                </w:tcPr>
                <w:p w14:paraId="34D8AAFD">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Cs/>
                      <w:color w:val="auto"/>
                      <w:kern w:val="2"/>
                      <w:sz w:val="21"/>
                      <w:szCs w:val="21"/>
                      <w:highlight w:val="none"/>
                      <w:lang w:val="en-US" w:eastAsia="zh-CN" w:bidi="ar-SA"/>
                    </w:rPr>
                  </w:pPr>
                </w:p>
              </w:tc>
              <w:tc>
                <w:tcPr>
                  <w:tcW w:w="1075" w:type="dxa"/>
                  <w:tcBorders>
                    <w:tl2br w:val="nil"/>
                    <w:tr2bl w:val="nil"/>
                  </w:tcBorders>
                  <w:noWrap w:val="0"/>
                  <w:vAlign w:val="center"/>
                </w:tcPr>
                <w:p w14:paraId="633B4E8D">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4"/>
                      <w:highlight w:val="none"/>
                      <w:lang w:val="en-US" w:eastAsia="zh-CN" w:bidi="ar-SA"/>
                    </w:rPr>
                    <w:t>地方其他公益林</w:t>
                  </w:r>
                </w:p>
              </w:tc>
              <w:tc>
                <w:tcPr>
                  <w:tcW w:w="1075" w:type="dxa"/>
                  <w:tcBorders>
                    <w:tl2br w:val="nil"/>
                    <w:tr2bl w:val="nil"/>
                  </w:tcBorders>
                  <w:noWrap w:val="0"/>
                  <w:vAlign w:val="center"/>
                </w:tcPr>
                <w:p w14:paraId="54A3DAA2">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4"/>
                      <w:highlight w:val="none"/>
                      <w:lang w:val="en-US" w:eastAsia="zh-CN" w:bidi="ar-SA"/>
                    </w:rPr>
                    <w:t>Ⅱ</w:t>
                  </w:r>
                  <w:r>
                    <w:rPr>
                      <w:rFonts w:hint="eastAsia" w:cs="Times New Roman"/>
                      <w:bCs/>
                      <w:color w:val="auto"/>
                      <w:kern w:val="2"/>
                      <w:sz w:val="21"/>
                      <w:szCs w:val="24"/>
                      <w:highlight w:val="none"/>
                      <w:lang w:val="en-US" w:eastAsia="zh-CN" w:bidi="ar-SA"/>
                    </w:rPr>
                    <w:t>/</w:t>
                  </w:r>
                  <w:r>
                    <w:rPr>
                      <w:rFonts w:hint="default" w:ascii="Times New Roman" w:hAnsi="Times New Roman" w:eastAsia="宋体" w:cs="Times New Roman"/>
                      <w:bCs/>
                      <w:color w:val="auto"/>
                      <w:kern w:val="2"/>
                      <w:sz w:val="21"/>
                      <w:szCs w:val="24"/>
                      <w:highlight w:val="none"/>
                      <w:lang w:val="en-US" w:eastAsia="zh-CN" w:bidi="ar-SA"/>
                    </w:rPr>
                    <w:t>Ⅲ</w:t>
                  </w:r>
                </w:p>
              </w:tc>
              <w:tc>
                <w:tcPr>
                  <w:tcW w:w="1075" w:type="dxa"/>
                  <w:tcBorders>
                    <w:tl2br w:val="nil"/>
                    <w:tr2bl w:val="nil"/>
                  </w:tcBorders>
                  <w:noWrap w:val="0"/>
                  <w:vAlign w:val="center"/>
                </w:tcPr>
                <w:p w14:paraId="3113512D">
                  <w:pPr>
                    <w:keepNext w:val="0"/>
                    <w:keepLines w:val="0"/>
                    <w:widowControl w:val="0"/>
                    <w:suppressLineNumbers w:val="0"/>
                    <w:snapToGrid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0.2849</w:t>
                  </w:r>
                </w:p>
              </w:tc>
              <w:tc>
                <w:tcPr>
                  <w:tcW w:w="889" w:type="dxa"/>
                  <w:vMerge w:val="continue"/>
                  <w:tcBorders>
                    <w:tl2br w:val="nil"/>
                    <w:tr2bl w:val="nil"/>
                  </w:tcBorders>
                  <w:noWrap w:val="0"/>
                  <w:vAlign w:val="center"/>
                </w:tcPr>
                <w:p w14:paraId="079474E5">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Cs/>
                      <w:color w:val="auto"/>
                      <w:kern w:val="2"/>
                      <w:sz w:val="21"/>
                      <w:szCs w:val="21"/>
                      <w:highlight w:val="none"/>
                      <w:lang w:val="en-US" w:eastAsia="zh-CN" w:bidi="ar-SA"/>
                    </w:rPr>
                  </w:pPr>
                </w:p>
              </w:tc>
            </w:tr>
            <w:tr w14:paraId="05D4813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jc w:val="center"/>
              </w:trPr>
              <w:tc>
                <w:tcPr>
                  <w:tcW w:w="518" w:type="dxa"/>
                  <w:vMerge w:val="continue"/>
                  <w:tcBorders>
                    <w:tl2br w:val="nil"/>
                    <w:tr2bl w:val="nil"/>
                  </w:tcBorders>
                  <w:noWrap w:val="0"/>
                  <w:vAlign w:val="center"/>
                </w:tcPr>
                <w:p w14:paraId="41D9D21F">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Cs/>
                      <w:color w:val="auto"/>
                      <w:kern w:val="2"/>
                      <w:sz w:val="21"/>
                      <w:szCs w:val="21"/>
                      <w:highlight w:val="none"/>
                      <w:lang w:val="en-US" w:eastAsia="zh-CN" w:bidi="ar-SA"/>
                    </w:rPr>
                  </w:pPr>
                </w:p>
              </w:tc>
              <w:tc>
                <w:tcPr>
                  <w:tcW w:w="1022" w:type="dxa"/>
                  <w:vMerge w:val="continue"/>
                  <w:tcBorders>
                    <w:tl2br w:val="nil"/>
                    <w:tr2bl w:val="nil"/>
                  </w:tcBorders>
                  <w:noWrap w:val="0"/>
                  <w:vAlign w:val="center"/>
                </w:tcPr>
                <w:p w14:paraId="6723FA41">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Cs/>
                      <w:color w:val="auto"/>
                      <w:kern w:val="2"/>
                      <w:sz w:val="21"/>
                      <w:szCs w:val="21"/>
                      <w:highlight w:val="none"/>
                      <w:lang w:val="en-US" w:eastAsia="zh-CN" w:bidi="ar-SA"/>
                    </w:rPr>
                  </w:pPr>
                </w:p>
              </w:tc>
              <w:tc>
                <w:tcPr>
                  <w:tcW w:w="930" w:type="dxa"/>
                  <w:tcBorders>
                    <w:tl2br w:val="nil"/>
                    <w:tr2bl w:val="nil"/>
                  </w:tcBorders>
                  <w:noWrap w:val="0"/>
                  <w:vAlign w:val="center"/>
                </w:tcPr>
                <w:p w14:paraId="4EEDB7A3">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Cs/>
                      <w:color w:val="auto"/>
                      <w:kern w:val="2"/>
                      <w:sz w:val="21"/>
                      <w:szCs w:val="24"/>
                      <w:highlight w:val="none"/>
                      <w:lang w:val="en-US" w:eastAsia="zh-CN" w:bidi="ar-SA"/>
                    </w:rPr>
                  </w:pPr>
                  <w:r>
                    <w:rPr>
                      <w:rFonts w:hint="default" w:ascii="Times New Roman" w:hAnsi="Times New Roman" w:eastAsia="宋体" w:cs="Times New Roman"/>
                      <w:bCs/>
                      <w:color w:val="auto"/>
                      <w:kern w:val="2"/>
                      <w:sz w:val="21"/>
                      <w:szCs w:val="24"/>
                      <w:highlight w:val="none"/>
                      <w:lang w:val="en-US" w:eastAsia="zh-CN" w:bidi="ar-SA"/>
                    </w:rPr>
                    <w:t>未成林造林地</w:t>
                  </w:r>
                </w:p>
              </w:tc>
              <w:tc>
                <w:tcPr>
                  <w:tcW w:w="900" w:type="dxa"/>
                  <w:tcBorders>
                    <w:tl2br w:val="nil"/>
                    <w:tr2bl w:val="nil"/>
                  </w:tcBorders>
                  <w:noWrap w:val="0"/>
                  <w:vAlign w:val="center"/>
                </w:tcPr>
                <w:p w14:paraId="3651A023">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0.0043</w:t>
                  </w:r>
                </w:p>
              </w:tc>
              <w:tc>
                <w:tcPr>
                  <w:tcW w:w="675" w:type="dxa"/>
                  <w:vMerge w:val="continue"/>
                  <w:tcBorders>
                    <w:tl2br w:val="nil"/>
                    <w:tr2bl w:val="nil"/>
                  </w:tcBorders>
                  <w:noWrap w:val="0"/>
                  <w:vAlign w:val="center"/>
                </w:tcPr>
                <w:p w14:paraId="32345C36">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Cs/>
                      <w:color w:val="auto"/>
                      <w:kern w:val="2"/>
                      <w:sz w:val="21"/>
                      <w:szCs w:val="21"/>
                      <w:highlight w:val="none"/>
                      <w:lang w:val="en-US" w:eastAsia="zh-CN" w:bidi="ar-SA"/>
                    </w:rPr>
                  </w:pPr>
                </w:p>
              </w:tc>
              <w:tc>
                <w:tcPr>
                  <w:tcW w:w="1075" w:type="dxa"/>
                  <w:tcBorders>
                    <w:tl2br w:val="nil"/>
                    <w:tr2bl w:val="nil"/>
                  </w:tcBorders>
                  <w:noWrap w:val="0"/>
                  <w:vAlign w:val="center"/>
                </w:tcPr>
                <w:p w14:paraId="1B396E5D">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一般商品林</w:t>
                  </w:r>
                </w:p>
              </w:tc>
              <w:tc>
                <w:tcPr>
                  <w:tcW w:w="1075" w:type="dxa"/>
                  <w:tcBorders>
                    <w:tl2br w:val="nil"/>
                    <w:tr2bl w:val="nil"/>
                  </w:tcBorders>
                  <w:noWrap w:val="0"/>
                  <w:vAlign w:val="center"/>
                </w:tcPr>
                <w:p w14:paraId="1D13076A">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仿宋" w:cs="Times New Roman"/>
                      <w:bCs/>
                      <w:color w:val="auto"/>
                      <w:kern w:val="2"/>
                      <w:sz w:val="21"/>
                      <w:szCs w:val="21"/>
                      <w:highlight w:val="none"/>
                      <w:lang w:val="en-US" w:eastAsia="zh-CN" w:bidi="ar-SA"/>
                    </w:rPr>
                    <w:t>Ⅳ</w:t>
                  </w:r>
                </w:p>
              </w:tc>
              <w:tc>
                <w:tcPr>
                  <w:tcW w:w="1075" w:type="dxa"/>
                  <w:tcBorders>
                    <w:tl2br w:val="nil"/>
                    <w:tr2bl w:val="nil"/>
                  </w:tcBorders>
                  <w:noWrap w:val="0"/>
                  <w:vAlign w:val="center"/>
                </w:tcPr>
                <w:p w14:paraId="40AFBF82">
                  <w:pPr>
                    <w:keepNext w:val="0"/>
                    <w:keepLines w:val="0"/>
                    <w:widowControl w:val="0"/>
                    <w:suppressLineNumbers w:val="0"/>
                    <w:snapToGrid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Cs/>
                      <w:color w:val="auto"/>
                      <w:kern w:val="2"/>
                      <w:sz w:val="21"/>
                      <w:szCs w:val="21"/>
                      <w:highlight w:val="none"/>
                      <w:lang w:val="en-US" w:eastAsia="zh-CN" w:bidi="ar-SA"/>
                    </w:rPr>
                    <w:t>0.0043</w:t>
                  </w:r>
                </w:p>
              </w:tc>
              <w:tc>
                <w:tcPr>
                  <w:tcW w:w="889" w:type="dxa"/>
                  <w:vMerge w:val="continue"/>
                  <w:tcBorders>
                    <w:tl2br w:val="nil"/>
                    <w:tr2bl w:val="nil"/>
                  </w:tcBorders>
                  <w:noWrap w:val="0"/>
                  <w:vAlign w:val="center"/>
                </w:tcPr>
                <w:p w14:paraId="2E4B6732">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Cs/>
                      <w:color w:val="auto"/>
                      <w:kern w:val="2"/>
                      <w:sz w:val="21"/>
                      <w:szCs w:val="21"/>
                      <w:highlight w:val="none"/>
                      <w:lang w:val="en-US" w:eastAsia="zh-CN" w:bidi="ar-SA"/>
                    </w:rPr>
                  </w:pPr>
                </w:p>
              </w:tc>
            </w:tr>
            <w:tr w14:paraId="07709B2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jc w:val="center"/>
              </w:trPr>
              <w:tc>
                <w:tcPr>
                  <w:tcW w:w="1540" w:type="dxa"/>
                  <w:gridSpan w:val="2"/>
                  <w:tcBorders>
                    <w:tl2br w:val="nil"/>
                    <w:tr2bl w:val="nil"/>
                  </w:tcBorders>
                  <w:noWrap w:val="0"/>
                  <w:vAlign w:val="center"/>
                </w:tcPr>
                <w:p w14:paraId="5282C53E">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合计</w:t>
                  </w:r>
                </w:p>
              </w:tc>
              <w:tc>
                <w:tcPr>
                  <w:tcW w:w="930" w:type="dxa"/>
                  <w:tcBorders>
                    <w:tl2br w:val="nil"/>
                    <w:tr2bl w:val="nil"/>
                  </w:tcBorders>
                  <w:noWrap w:val="0"/>
                  <w:vAlign w:val="center"/>
                </w:tcPr>
                <w:p w14:paraId="7E84116B">
                  <w:pPr>
                    <w:keepNext w:val="0"/>
                    <w:keepLines w:val="0"/>
                    <w:suppressLineNumbers w:val="0"/>
                    <w:snapToGrid w:val="0"/>
                    <w:spacing w:before="0" w:beforeLines="0" w:beforeAutospacing="0" w:after="0" w:afterLines="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900" w:type="dxa"/>
                  <w:tcBorders>
                    <w:tl2br w:val="nil"/>
                    <w:tr2bl w:val="nil"/>
                  </w:tcBorders>
                  <w:noWrap w:val="0"/>
                  <w:vAlign w:val="center"/>
                </w:tcPr>
                <w:p w14:paraId="056E4855">
                  <w:pPr>
                    <w:keepNext w:val="0"/>
                    <w:keepLines w:val="0"/>
                    <w:suppressLineNumbers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=SUM(ABOVE) \* MERGEFORMAT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color w:val="auto"/>
                      <w:sz w:val="21"/>
                      <w:szCs w:val="21"/>
                      <w:highlight w:val="none"/>
                    </w:rPr>
                    <w:t>2.3191</w:t>
                  </w:r>
                  <w:r>
                    <w:rPr>
                      <w:rFonts w:hint="default" w:ascii="Times New Roman" w:hAnsi="Times New Roman" w:eastAsia="宋体" w:cs="Times New Roman"/>
                      <w:color w:val="auto"/>
                      <w:sz w:val="21"/>
                      <w:szCs w:val="21"/>
                      <w:highlight w:val="none"/>
                    </w:rPr>
                    <w:fldChar w:fldCharType="end"/>
                  </w:r>
                </w:p>
              </w:tc>
              <w:tc>
                <w:tcPr>
                  <w:tcW w:w="675" w:type="dxa"/>
                  <w:tcBorders>
                    <w:tl2br w:val="nil"/>
                    <w:tr2bl w:val="nil"/>
                  </w:tcBorders>
                  <w:noWrap w:val="0"/>
                  <w:vAlign w:val="center"/>
                </w:tcPr>
                <w:p w14:paraId="032F2B65">
                  <w:pPr>
                    <w:keepNext w:val="0"/>
                    <w:keepLines w:val="0"/>
                    <w:suppressLineNumbers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=SUM(ABOVE) \* MERGEFORMAT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color w:val="auto"/>
                      <w:sz w:val="21"/>
                      <w:szCs w:val="21"/>
                      <w:highlight w:val="none"/>
                    </w:rPr>
                    <w:t>2.3191</w:t>
                  </w:r>
                  <w:r>
                    <w:rPr>
                      <w:rFonts w:hint="default" w:ascii="Times New Roman" w:hAnsi="Times New Roman" w:eastAsia="宋体" w:cs="Times New Roman"/>
                      <w:color w:val="auto"/>
                      <w:sz w:val="21"/>
                      <w:szCs w:val="21"/>
                      <w:highlight w:val="none"/>
                    </w:rPr>
                    <w:fldChar w:fldCharType="end"/>
                  </w:r>
                </w:p>
              </w:tc>
              <w:tc>
                <w:tcPr>
                  <w:tcW w:w="1075" w:type="dxa"/>
                  <w:tcBorders>
                    <w:tl2br w:val="nil"/>
                    <w:tr2bl w:val="nil"/>
                  </w:tcBorders>
                  <w:noWrap w:val="0"/>
                  <w:vAlign w:val="center"/>
                </w:tcPr>
                <w:p w14:paraId="50F9C56C">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w:t>
                  </w:r>
                </w:p>
              </w:tc>
              <w:tc>
                <w:tcPr>
                  <w:tcW w:w="1075" w:type="dxa"/>
                  <w:tcBorders>
                    <w:tl2br w:val="nil"/>
                    <w:tr2bl w:val="nil"/>
                  </w:tcBorders>
                  <w:noWrap w:val="0"/>
                  <w:vAlign w:val="center"/>
                </w:tcPr>
                <w:p w14:paraId="33EEFD52">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w:t>
                  </w:r>
                </w:p>
              </w:tc>
              <w:tc>
                <w:tcPr>
                  <w:tcW w:w="1075" w:type="dxa"/>
                  <w:tcBorders>
                    <w:tl2br w:val="nil"/>
                    <w:tr2bl w:val="nil"/>
                  </w:tcBorders>
                  <w:noWrap w:val="0"/>
                  <w:vAlign w:val="center"/>
                </w:tcPr>
                <w:p w14:paraId="00032C6F">
                  <w:pPr>
                    <w:keepNext w:val="0"/>
                    <w:keepLines w:val="0"/>
                    <w:suppressLineNumbers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fldChar w:fldCharType="begin"/>
                  </w:r>
                  <w:r>
                    <w:rPr>
                      <w:rFonts w:hint="default" w:ascii="Times New Roman" w:hAnsi="Times New Roman" w:eastAsia="宋体" w:cs="Times New Roman"/>
                      <w:color w:val="auto"/>
                      <w:sz w:val="21"/>
                      <w:szCs w:val="21"/>
                      <w:highlight w:val="none"/>
                      <w:lang w:eastAsia="zh-CN"/>
                    </w:rPr>
                    <w:instrText xml:space="preserve"> =SUM(ABOVE) \* MERGEFORMAT </w:instrText>
                  </w:r>
                  <w:r>
                    <w:rPr>
                      <w:rFonts w:hint="default" w:ascii="Times New Roman" w:hAnsi="Times New Roman" w:eastAsia="宋体" w:cs="Times New Roman"/>
                      <w:color w:val="auto"/>
                      <w:sz w:val="21"/>
                      <w:szCs w:val="21"/>
                      <w:highlight w:val="none"/>
                      <w:lang w:eastAsia="zh-CN"/>
                    </w:rPr>
                    <w:fldChar w:fldCharType="separate"/>
                  </w:r>
                  <w:r>
                    <w:rPr>
                      <w:rFonts w:hint="default" w:ascii="Times New Roman" w:hAnsi="Times New Roman" w:eastAsia="宋体" w:cs="Times New Roman"/>
                      <w:color w:val="auto"/>
                      <w:sz w:val="21"/>
                      <w:szCs w:val="21"/>
                      <w:highlight w:val="none"/>
                      <w:lang w:eastAsia="zh-CN"/>
                    </w:rPr>
                    <w:t>2.3191</w:t>
                  </w:r>
                  <w:r>
                    <w:rPr>
                      <w:rFonts w:hint="default" w:ascii="Times New Roman" w:hAnsi="Times New Roman" w:eastAsia="宋体" w:cs="Times New Roman"/>
                      <w:color w:val="auto"/>
                      <w:sz w:val="21"/>
                      <w:szCs w:val="21"/>
                      <w:highlight w:val="none"/>
                      <w:lang w:eastAsia="zh-CN"/>
                    </w:rPr>
                    <w:fldChar w:fldCharType="end"/>
                  </w:r>
                </w:p>
              </w:tc>
              <w:tc>
                <w:tcPr>
                  <w:tcW w:w="889" w:type="dxa"/>
                  <w:tcBorders>
                    <w:tl2br w:val="nil"/>
                    <w:tr2bl w:val="nil"/>
                  </w:tcBorders>
                  <w:noWrap w:val="0"/>
                  <w:vAlign w:val="center"/>
                </w:tcPr>
                <w:p w14:paraId="0C5E5415">
                  <w:pPr>
                    <w:keepNext w:val="0"/>
                    <w:keepLines w:val="0"/>
                    <w:widowControl w:val="0"/>
                    <w:suppressLineNumbers w:val="0"/>
                    <w:snapToGrid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Cs/>
                      <w:color w:val="auto"/>
                      <w:kern w:val="2"/>
                      <w:sz w:val="21"/>
                      <w:szCs w:val="21"/>
                      <w:highlight w:val="none"/>
                      <w:lang w:eastAsia="zh-CN" w:bidi="ar-SA"/>
                    </w:rPr>
                  </w:pPr>
                  <w:r>
                    <w:rPr>
                      <w:rFonts w:hint="default" w:ascii="Times New Roman" w:hAnsi="Times New Roman" w:eastAsia="宋体" w:cs="Times New Roman"/>
                      <w:bCs/>
                      <w:color w:val="auto"/>
                      <w:kern w:val="2"/>
                      <w:sz w:val="21"/>
                      <w:szCs w:val="21"/>
                      <w:highlight w:val="none"/>
                      <w:lang w:eastAsia="zh-CN" w:bidi="ar-SA"/>
                    </w:rPr>
                    <w:fldChar w:fldCharType="begin"/>
                  </w:r>
                  <w:r>
                    <w:rPr>
                      <w:rFonts w:hint="default" w:ascii="Times New Roman" w:hAnsi="Times New Roman" w:eastAsia="宋体" w:cs="Times New Roman"/>
                      <w:bCs/>
                      <w:color w:val="auto"/>
                      <w:kern w:val="2"/>
                      <w:sz w:val="21"/>
                      <w:szCs w:val="21"/>
                      <w:highlight w:val="none"/>
                      <w:lang w:eastAsia="zh-CN" w:bidi="ar-SA"/>
                    </w:rPr>
                    <w:instrText xml:space="preserve"> =SUM(ABOVE) \* MERGEFORMAT </w:instrText>
                  </w:r>
                  <w:r>
                    <w:rPr>
                      <w:rFonts w:hint="default" w:ascii="Times New Roman" w:hAnsi="Times New Roman" w:eastAsia="宋体" w:cs="Times New Roman"/>
                      <w:bCs/>
                      <w:color w:val="auto"/>
                      <w:kern w:val="2"/>
                      <w:sz w:val="21"/>
                      <w:szCs w:val="21"/>
                      <w:highlight w:val="none"/>
                      <w:lang w:eastAsia="zh-CN" w:bidi="ar-SA"/>
                    </w:rPr>
                    <w:fldChar w:fldCharType="separate"/>
                  </w:r>
                  <w:r>
                    <w:rPr>
                      <w:rFonts w:hint="default" w:ascii="Times New Roman" w:hAnsi="Times New Roman" w:eastAsia="宋体" w:cs="Times New Roman"/>
                      <w:bCs/>
                      <w:color w:val="auto"/>
                      <w:kern w:val="2"/>
                      <w:sz w:val="21"/>
                      <w:szCs w:val="21"/>
                      <w:highlight w:val="none"/>
                      <w:lang w:eastAsia="zh-CN" w:bidi="ar-SA"/>
                    </w:rPr>
                    <w:t>2.3191</w:t>
                  </w:r>
                  <w:r>
                    <w:rPr>
                      <w:rFonts w:hint="default" w:ascii="Times New Roman" w:hAnsi="Times New Roman" w:eastAsia="宋体" w:cs="Times New Roman"/>
                      <w:bCs/>
                      <w:color w:val="auto"/>
                      <w:kern w:val="2"/>
                      <w:sz w:val="21"/>
                      <w:szCs w:val="21"/>
                      <w:highlight w:val="none"/>
                      <w:lang w:eastAsia="zh-CN" w:bidi="ar-SA"/>
                    </w:rPr>
                    <w:fldChar w:fldCharType="end"/>
                  </w:r>
                </w:p>
              </w:tc>
            </w:tr>
          </w:tbl>
          <w:p w14:paraId="22EAABCB">
            <w:pPr>
              <w:adjustRightInd w:val="0"/>
              <w:snapToGrid w:val="0"/>
              <w:spacing w:line="480" w:lineRule="exact"/>
              <w:ind w:firstLine="480" w:firstLineChars="200"/>
              <w:jc w:val="left"/>
              <w:rPr>
                <w:color w:val="auto"/>
                <w:sz w:val="24"/>
                <w:highlight w:val="none"/>
              </w:rPr>
            </w:pPr>
            <w:r>
              <w:rPr>
                <w:rFonts w:hint="eastAsia"/>
                <w:color w:val="auto"/>
                <w:sz w:val="24"/>
                <w:highlight w:val="none"/>
              </w:rPr>
              <w:t>6、公用工程和职工定员</w:t>
            </w:r>
          </w:p>
          <w:p w14:paraId="1FCD5946">
            <w:pPr>
              <w:adjustRightInd w:val="0"/>
              <w:snapToGrid w:val="0"/>
              <w:spacing w:line="480" w:lineRule="exact"/>
              <w:ind w:firstLine="480" w:firstLineChars="200"/>
              <w:jc w:val="left"/>
              <w:rPr>
                <w:color w:val="auto"/>
                <w:sz w:val="24"/>
                <w:highlight w:val="none"/>
              </w:rPr>
            </w:pPr>
            <w:r>
              <w:rPr>
                <w:rFonts w:hint="eastAsia"/>
                <w:color w:val="auto"/>
                <w:sz w:val="24"/>
                <w:highlight w:val="none"/>
              </w:rPr>
              <w:t>（1）供水</w:t>
            </w:r>
          </w:p>
          <w:p w14:paraId="23E693B2">
            <w:pPr>
              <w:adjustRightInd w:val="0"/>
              <w:snapToGrid w:val="0"/>
              <w:spacing w:line="480" w:lineRule="exact"/>
              <w:ind w:firstLine="480" w:firstLineChars="200"/>
              <w:jc w:val="left"/>
              <w:rPr>
                <w:color w:val="auto"/>
                <w:sz w:val="24"/>
                <w:highlight w:val="none"/>
              </w:rPr>
            </w:pPr>
            <w:r>
              <w:rPr>
                <w:rFonts w:hint="eastAsia"/>
                <w:color w:val="auto"/>
                <w:sz w:val="24"/>
                <w:highlight w:val="none"/>
              </w:rPr>
              <w:t>施工期用水：施工用水拟采用拉水方式，取自附近村庄。</w:t>
            </w:r>
          </w:p>
          <w:p w14:paraId="2B9E5413">
            <w:pPr>
              <w:adjustRightInd w:val="0"/>
              <w:snapToGrid w:val="0"/>
              <w:spacing w:line="480" w:lineRule="exact"/>
              <w:ind w:firstLine="480" w:firstLineChars="200"/>
              <w:jc w:val="left"/>
              <w:rPr>
                <w:rFonts w:hint="eastAsia"/>
                <w:color w:val="auto"/>
                <w:sz w:val="24"/>
                <w:highlight w:val="none"/>
                <w:lang w:eastAsia="zh-CN"/>
              </w:rPr>
            </w:pPr>
            <w:r>
              <w:rPr>
                <w:rFonts w:hint="eastAsia"/>
                <w:color w:val="auto"/>
                <w:sz w:val="24"/>
                <w:highlight w:val="none"/>
              </w:rPr>
              <w:t>运营期用水：风电场无生产用水</w:t>
            </w:r>
            <w:r>
              <w:rPr>
                <w:rFonts w:hint="eastAsia" w:eastAsia="宋体"/>
                <w:color w:val="auto"/>
                <w:sz w:val="24"/>
                <w:highlight w:val="none"/>
                <w:lang w:eastAsia="zh-CN"/>
              </w:rPr>
              <w:t>。</w:t>
            </w:r>
          </w:p>
          <w:p w14:paraId="696413E9">
            <w:pPr>
              <w:adjustRightInd w:val="0"/>
              <w:snapToGrid w:val="0"/>
              <w:spacing w:line="480" w:lineRule="exact"/>
              <w:ind w:firstLine="480" w:firstLineChars="200"/>
              <w:jc w:val="left"/>
              <w:rPr>
                <w:color w:val="auto"/>
                <w:sz w:val="24"/>
                <w:highlight w:val="none"/>
              </w:rPr>
            </w:pPr>
            <w:r>
              <w:rPr>
                <w:rFonts w:hint="eastAsia"/>
                <w:color w:val="auto"/>
                <w:sz w:val="24"/>
                <w:highlight w:val="none"/>
              </w:rPr>
              <w:t>（2）供电</w:t>
            </w:r>
          </w:p>
          <w:p w14:paraId="3F5CBE71">
            <w:pPr>
              <w:adjustRightInd w:val="0"/>
              <w:snapToGrid w:val="0"/>
              <w:spacing w:line="480" w:lineRule="exact"/>
              <w:ind w:firstLine="480" w:firstLineChars="200"/>
              <w:jc w:val="left"/>
              <w:rPr>
                <w:color w:val="auto"/>
                <w:sz w:val="24"/>
                <w:highlight w:val="none"/>
              </w:rPr>
            </w:pPr>
            <w:r>
              <w:rPr>
                <w:rFonts w:hint="eastAsia"/>
                <w:color w:val="auto"/>
                <w:sz w:val="24"/>
                <w:highlight w:val="none"/>
              </w:rPr>
              <w:t>施工期供电：施工电源从附近10kV线路引接。</w:t>
            </w:r>
          </w:p>
          <w:p w14:paraId="6402C4FF">
            <w:pPr>
              <w:adjustRightInd w:val="0"/>
              <w:snapToGrid w:val="0"/>
              <w:spacing w:line="480" w:lineRule="exact"/>
              <w:ind w:firstLine="480" w:firstLineChars="200"/>
              <w:jc w:val="left"/>
              <w:rPr>
                <w:color w:val="auto"/>
                <w:sz w:val="24"/>
                <w:highlight w:val="none"/>
              </w:rPr>
            </w:pPr>
            <w:r>
              <w:rPr>
                <w:rFonts w:hint="eastAsia"/>
                <w:color w:val="auto"/>
                <w:sz w:val="24"/>
                <w:highlight w:val="none"/>
              </w:rPr>
              <w:t>运营期供电：引自本站35kV母线。</w:t>
            </w:r>
          </w:p>
          <w:p w14:paraId="594C6392">
            <w:pPr>
              <w:adjustRightInd w:val="0"/>
              <w:snapToGrid w:val="0"/>
              <w:spacing w:line="480" w:lineRule="exact"/>
              <w:ind w:firstLine="480" w:firstLineChars="200"/>
              <w:jc w:val="left"/>
              <w:rPr>
                <w:color w:val="auto"/>
                <w:sz w:val="24"/>
                <w:highlight w:val="none"/>
              </w:rPr>
            </w:pPr>
            <w:r>
              <w:rPr>
                <w:rFonts w:hint="eastAsia"/>
                <w:color w:val="auto"/>
                <w:sz w:val="24"/>
                <w:highlight w:val="none"/>
              </w:rPr>
              <w:t>（3）职工定员及工作制度</w:t>
            </w:r>
          </w:p>
          <w:p w14:paraId="6294B852">
            <w:pPr>
              <w:adjustRightInd w:val="0"/>
              <w:snapToGrid w:val="0"/>
              <w:spacing w:line="480" w:lineRule="exact"/>
              <w:ind w:firstLine="480" w:firstLineChars="200"/>
              <w:jc w:val="left"/>
              <w:rPr>
                <w:color w:val="auto"/>
                <w:sz w:val="24"/>
                <w:highlight w:val="none"/>
              </w:rPr>
            </w:pPr>
            <w:r>
              <w:rPr>
                <w:rFonts w:hint="eastAsia" w:ascii="Times New Roman" w:eastAsia="宋体"/>
                <w:color w:val="auto"/>
                <w:sz w:val="24"/>
                <w:highlight w:val="none"/>
                <w:lang w:val="en-US" w:eastAsia="zh-CN"/>
              </w:rPr>
              <w:t>本项目运维管理新增5名工作人员</w:t>
            </w:r>
            <w:r>
              <w:rPr>
                <w:rFonts w:hint="eastAsia"/>
                <w:color w:val="auto"/>
                <w:sz w:val="24"/>
                <w:highlight w:val="none"/>
              </w:rPr>
              <w:t>，主要负责站内监控、风电机组巡视、日常维护等，工作制度为24h/d，365d/a，三班倒。</w:t>
            </w:r>
          </w:p>
          <w:p w14:paraId="3973978B">
            <w:pPr>
              <w:adjustRightInd w:val="0"/>
              <w:snapToGrid w:val="0"/>
              <w:spacing w:line="480" w:lineRule="exact"/>
              <w:ind w:firstLine="480" w:firstLineChars="200"/>
              <w:jc w:val="left"/>
              <w:rPr>
                <w:color w:val="auto"/>
                <w:sz w:val="24"/>
                <w:highlight w:val="none"/>
              </w:rPr>
            </w:pPr>
            <w:r>
              <w:rPr>
                <w:rFonts w:hint="eastAsia" w:ascii="Times New Roman" w:eastAsia="宋体"/>
                <w:color w:val="auto"/>
                <w:sz w:val="24"/>
                <w:highlight w:val="none"/>
                <w:lang w:val="en-US" w:eastAsia="zh-CN"/>
              </w:rPr>
              <w:t>7</w:t>
            </w:r>
            <w:r>
              <w:rPr>
                <w:rFonts w:hint="eastAsia"/>
                <w:color w:val="auto"/>
                <w:sz w:val="24"/>
                <w:highlight w:val="none"/>
              </w:rPr>
              <w:t>、主要经济技术指标</w:t>
            </w:r>
          </w:p>
          <w:p w14:paraId="22897063">
            <w:pPr>
              <w:adjustRightInd w:val="0"/>
              <w:snapToGrid w:val="0"/>
              <w:spacing w:line="480" w:lineRule="exact"/>
              <w:ind w:firstLine="480" w:firstLineChars="200"/>
              <w:jc w:val="left"/>
              <w:rPr>
                <w:color w:val="auto"/>
                <w:sz w:val="24"/>
                <w:highlight w:val="none"/>
              </w:rPr>
            </w:pPr>
            <w:r>
              <w:rPr>
                <w:rFonts w:hint="eastAsia"/>
                <w:color w:val="auto"/>
                <w:sz w:val="24"/>
                <w:highlight w:val="none"/>
              </w:rPr>
              <w:t>本项目主要技术经济指标见下表。</w:t>
            </w:r>
          </w:p>
          <w:p w14:paraId="0DA944FC">
            <w:pPr>
              <w:pStyle w:val="20"/>
              <w:rPr>
                <w:color w:val="auto"/>
                <w:highlight w:val="none"/>
              </w:rPr>
            </w:pPr>
            <w:r>
              <w:rPr>
                <w:color w:val="auto"/>
                <w:highlight w:val="none"/>
              </w:rPr>
              <w:t>表</w:t>
            </w:r>
            <w:r>
              <w:rPr>
                <w:rFonts w:hint="eastAsia" w:ascii="黑体" w:hAnsi="黑体" w:eastAsia="黑体" w:cs="黑体"/>
                <w:color w:val="auto"/>
                <w:highlight w:val="none"/>
              </w:rPr>
              <w:t>2-</w:t>
            </w:r>
            <w:r>
              <w:rPr>
                <w:rFonts w:hint="eastAsia" w:ascii="黑体" w:hAnsi="黑体" w:cs="黑体"/>
                <w:color w:val="auto"/>
                <w:highlight w:val="none"/>
                <w:lang w:val="en-US" w:eastAsia="zh-CN"/>
              </w:rPr>
              <w:t>6</w:t>
            </w:r>
            <w:r>
              <w:rPr>
                <w:rFonts w:hint="eastAsia" w:ascii="黑体" w:hAnsi="黑体" w:eastAsia="黑体" w:cs="黑体"/>
                <w:color w:val="auto"/>
                <w:highlight w:val="none"/>
              </w:rPr>
              <w:t xml:space="preserve"> </w:t>
            </w:r>
            <w:r>
              <w:rPr>
                <w:color w:val="auto"/>
                <w:highlight w:val="none"/>
              </w:rPr>
              <w:t xml:space="preserve"> 项目主要技术经济指标</w:t>
            </w:r>
            <w:r>
              <w:rPr>
                <w:color w:val="auto"/>
                <w:sz w:val="15"/>
                <w:szCs w:val="18"/>
                <w:highlight w:val="none"/>
              </w:rPr>
              <w:t xml:space="preserve">  </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79"/>
              <w:gridCol w:w="2859"/>
              <w:gridCol w:w="1444"/>
              <w:gridCol w:w="2477"/>
            </w:tblGrid>
            <w:tr w14:paraId="58FA39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97" w:type="pct"/>
                  <w:gridSpan w:val="2"/>
                  <w:vAlign w:val="center"/>
                </w:tcPr>
                <w:p w14:paraId="31C821CF">
                  <w:pPr>
                    <w:jc w:val="center"/>
                    <w:rPr>
                      <w:color w:val="auto"/>
                      <w:highlight w:val="none"/>
                    </w:rPr>
                  </w:pPr>
                  <w:r>
                    <w:rPr>
                      <w:color w:val="auto"/>
                      <w:highlight w:val="none"/>
                    </w:rPr>
                    <w:t>名称</w:t>
                  </w:r>
                </w:p>
              </w:tc>
              <w:tc>
                <w:tcPr>
                  <w:tcW w:w="885" w:type="pct"/>
                  <w:vAlign w:val="center"/>
                </w:tcPr>
                <w:p w14:paraId="65C5C6C2">
                  <w:pPr>
                    <w:jc w:val="center"/>
                    <w:rPr>
                      <w:color w:val="auto"/>
                      <w:highlight w:val="none"/>
                    </w:rPr>
                  </w:pPr>
                  <w:r>
                    <w:rPr>
                      <w:color w:val="auto"/>
                      <w:highlight w:val="none"/>
                    </w:rPr>
                    <w:t>单位</w:t>
                  </w:r>
                </w:p>
              </w:tc>
              <w:tc>
                <w:tcPr>
                  <w:tcW w:w="1518" w:type="pct"/>
                  <w:vAlign w:val="center"/>
                </w:tcPr>
                <w:p w14:paraId="6F66E208">
                  <w:pPr>
                    <w:jc w:val="center"/>
                    <w:rPr>
                      <w:color w:val="auto"/>
                      <w:highlight w:val="none"/>
                    </w:rPr>
                  </w:pPr>
                  <w:r>
                    <w:rPr>
                      <w:color w:val="auto"/>
                      <w:highlight w:val="none"/>
                    </w:rPr>
                    <w:t>数量</w:t>
                  </w:r>
                </w:p>
              </w:tc>
            </w:tr>
            <w:tr w14:paraId="225231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45" w:type="pct"/>
                  <w:vMerge w:val="restart"/>
                  <w:vAlign w:val="center"/>
                </w:tcPr>
                <w:p w14:paraId="12875E4A">
                  <w:pPr>
                    <w:jc w:val="center"/>
                    <w:rPr>
                      <w:color w:val="auto"/>
                      <w:highlight w:val="none"/>
                    </w:rPr>
                  </w:pPr>
                  <w:r>
                    <w:rPr>
                      <w:color w:val="auto"/>
                      <w:highlight w:val="none"/>
                    </w:rPr>
                    <w:t>技术指标</w:t>
                  </w:r>
                </w:p>
              </w:tc>
              <w:tc>
                <w:tcPr>
                  <w:tcW w:w="1752" w:type="pct"/>
                  <w:vAlign w:val="center"/>
                </w:tcPr>
                <w:p w14:paraId="6E38EBEF">
                  <w:pPr>
                    <w:jc w:val="center"/>
                    <w:rPr>
                      <w:color w:val="auto"/>
                      <w:highlight w:val="none"/>
                    </w:rPr>
                  </w:pPr>
                  <w:r>
                    <w:rPr>
                      <w:color w:val="auto"/>
                      <w:kern w:val="0"/>
                      <w:highlight w:val="none"/>
                    </w:rPr>
                    <w:t>建设规模</w:t>
                  </w:r>
                </w:p>
              </w:tc>
              <w:tc>
                <w:tcPr>
                  <w:tcW w:w="885" w:type="pct"/>
                  <w:vAlign w:val="center"/>
                </w:tcPr>
                <w:p w14:paraId="18C032BA">
                  <w:pPr>
                    <w:jc w:val="center"/>
                    <w:rPr>
                      <w:color w:val="auto"/>
                      <w:highlight w:val="none"/>
                    </w:rPr>
                  </w:pPr>
                  <w:r>
                    <w:rPr>
                      <w:color w:val="auto"/>
                      <w:kern w:val="0"/>
                      <w:highlight w:val="none"/>
                    </w:rPr>
                    <w:t>MW</w:t>
                  </w:r>
                </w:p>
              </w:tc>
              <w:tc>
                <w:tcPr>
                  <w:tcW w:w="1518" w:type="pct"/>
                  <w:vAlign w:val="center"/>
                </w:tcPr>
                <w:p w14:paraId="2066C9A3">
                  <w:pPr>
                    <w:jc w:val="center"/>
                    <w:rPr>
                      <w:color w:val="auto"/>
                      <w:highlight w:val="none"/>
                    </w:rPr>
                  </w:pPr>
                  <w:r>
                    <w:rPr>
                      <w:rFonts w:hint="eastAsia"/>
                      <w:color w:val="auto"/>
                      <w:highlight w:val="none"/>
                    </w:rPr>
                    <w:t>50</w:t>
                  </w:r>
                </w:p>
              </w:tc>
            </w:tr>
            <w:tr w14:paraId="5C4F58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45" w:type="pct"/>
                  <w:vMerge w:val="continue"/>
                  <w:vAlign w:val="center"/>
                </w:tcPr>
                <w:p w14:paraId="463A54ED">
                  <w:pPr>
                    <w:jc w:val="center"/>
                    <w:rPr>
                      <w:color w:val="auto"/>
                      <w:highlight w:val="none"/>
                    </w:rPr>
                  </w:pPr>
                </w:p>
              </w:tc>
              <w:tc>
                <w:tcPr>
                  <w:tcW w:w="1752" w:type="pct"/>
                  <w:vAlign w:val="center"/>
                </w:tcPr>
                <w:p w14:paraId="46D8EEE6">
                  <w:pPr>
                    <w:jc w:val="center"/>
                    <w:rPr>
                      <w:color w:val="auto"/>
                      <w:kern w:val="0"/>
                      <w:highlight w:val="none"/>
                    </w:rPr>
                  </w:pPr>
                  <w:r>
                    <w:rPr>
                      <w:color w:val="auto"/>
                      <w:kern w:val="0"/>
                      <w:highlight w:val="none"/>
                    </w:rPr>
                    <w:t>风机规格</w:t>
                  </w:r>
                </w:p>
              </w:tc>
              <w:tc>
                <w:tcPr>
                  <w:tcW w:w="885" w:type="pct"/>
                  <w:vAlign w:val="center"/>
                </w:tcPr>
                <w:p w14:paraId="0B51CF7D">
                  <w:pPr>
                    <w:jc w:val="center"/>
                    <w:rPr>
                      <w:color w:val="auto"/>
                      <w:kern w:val="0"/>
                      <w:highlight w:val="none"/>
                    </w:rPr>
                  </w:pPr>
                  <w:r>
                    <w:rPr>
                      <w:color w:val="auto"/>
                      <w:kern w:val="0"/>
                      <w:highlight w:val="none"/>
                    </w:rPr>
                    <w:t>kW（台）</w:t>
                  </w:r>
                </w:p>
              </w:tc>
              <w:tc>
                <w:tcPr>
                  <w:tcW w:w="1518" w:type="pct"/>
                  <w:vAlign w:val="center"/>
                </w:tcPr>
                <w:p w14:paraId="5C91B165">
                  <w:pPr>
                    <w:jc w:val="center"/>
                    <w:rPr>
                      <w:color w:val="auto"/>
                      <w:highlight w:val="none"/>
                    </w:rPr>
                  </w:pPr>
                  <w:r>
                    <w:rPr>
                      <w:rFonts w:hint="eastAsia" w:ascii="Times New Roman" w:eastAsia="宋体"/>
                      <w:color w:val="auto"/>
                      <w:kern w:val="0"/>
                      <w:highlight w:val="none"/>
                      <w:lang w:val="en-US" w:eastAsia="zh-CN"/>
                    </w:rPr>
                    <w:t>6250</w:t>
                  </w:r>
                  <w:r>
                    <w:rPr>
                      <w:color w:val="auto"/>
                      <w:kern w:val="0"/>
                      <w:highlight w:val="none"/>
                    </w:rPr>
                    <w:t>（</w:t>
                  </w:r>
                  <w:r>
                    <w:rPr>
                      <w:rFonts w:hint="eastAsia" w:eastAsia="宋体"/>
                      <w:color w:val="auto"/>
                      <w:kern w:val="0"/>
                      <w:highlight w:val="none"/>
                      <w:lang w:eastAsia="zh-CN"/>
                    </w:rPr>
                    <w:t>8台</w:t>
                  </w:r>
                  <w:r>
                    <w:rPr>
                      <w:color w:val="auto"/>
                      <w:kern w:val="0"/>
                      <w:highlight w:val="none"/>
                    </w:rPr>
                    <w:t>）</w:t>
                  </w:r>
                </w:p>
              </w:tc>
            </w:tr>
            <w:tr w14:paraId="7C9111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45" w:type="pct"/>
                  <w:vMerge w:val="continue"/>
                  <w:vAlign w:val="center"/>
                </w:tcPr>
                <w:p w14:paraId="6AFDDE78">
                  <w:pPr>
                    <w:jc w:val="center"/>
                    <w:rPr>
                      <w:color w:val="auto"/>
                      <w:highlight w:val="none"/>
                    </w:rPr>
                  </w:pPr>
                </w:p>
              </w:tc>
              <w:tc>
                <w:tcPr>
                  <w:tcW w:w="1752" w:type="pct"/>
                  <w:vAlign w:val="center"/>
                </w:tcPr>
                <w:p w14:paraId="284C9702">
                  <w:pPr>
                    <w:jc w:val="center"/>
                    <w:rPr>
                      <w:color w:val="auto"/>
                      <w:highlight w:val="none"/>
                    </w:rPr>
                  </w:pPr>
                  <w:r>
                    <w:rPr>
                      <w:color w:val="auto"/>
                      <w:highlight w:val="none"/>
                    </w:rPr>
                    <w:t>年发电量</w:t>
                  </w:r>
                </w:p>
              </w:tc>
              <w:tc>
                <w:tcPr>
                  <w:tcW w:w="885" w:type="pct"/>
                  <w:vAlign w:val="center"/>
                </w:tcPr>
                <w:p w14:paraId="1D49F37B">
                  <w:pPr>
                    <w:jc w:val="center"/>
                    <w:rPr>
                      <w:color w:val="auto"/>
                      <w:highlight w:val="none"/>
                    </w:rPr>
                  </w:pPr>
                  <w:r>
                    <w:rPr>
                      <w:rFonts w:hint="eastAsia" w:ascii="Times New Roman" w:eastAsia="宋体"/>
                      <w:color w:val="auto"/>
                      <w:highlight w:val="none"/>
                      <w:lang w:val="en-US" w:eastAsia="zh-CN"/>
                    </w:rPr>
                    <w:t>万k</w:t>
                  </w:r>
                  <w:r>
                    <w:rPr>
                      <w:color w:val="auto"/>
                      <w:highlight w:val="none"/>
                    </w:rPr>
                    <w:t>W·h /年</w:t>
                  </w:r>
                </w:p>
              </w:tc>
              <w:tc>
                <w:tcPr>
                  <w:tcW w:w="1518" w:type="pct"/>
                  <w:vAlign w:val="center"/>
                </w:tcPr>
                <w:p w14:paraId="390E81A9">
                  <w:pPr>
                    <w:jc w:val="center"/>
                    <w:rPr>
                      <w:color w:val="auto"/>
                      <w:highlight w:val="none"/>
                    </w:rPr>
                  </w:pPr>
                  <w:r>
                    <w:rPr>
                      <w:rFonts w:hint="eastAsia"/>
                      <w:color w:val="auto"/>
                      <w:highlight w:val="none"/>
                      <w:lang w:val="en-US" w:eastAsia="zh-CN"/>
                    </w:rPr>
                    <w:t>11305</w:t>
                  </w:r>
                </w:p>
              </w:tc>
            </w:tr>
            <w:tr w14:paraId="797B0F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45" w:type="pct"/>
                  <w:vMerge w:val="continue"/>
                  <w:vAlign w:val="center"/>
                </w:tcPr>
                <w:p w14:paraId="6450A54F">
                  <w:pPr>
                    <w:jc w:val="center"/>
                    <w:rPr>
                      <w:color w:val="auto"/>
                      <w:highlight w:val="none"/>
                    </w:rPr>
                  </w:pPr>
                </w:p>
              </w:tc>
              <w:tc>
                <w:tcPr>
                  <w:tcW w:w="1752" w:type="pct"/>
                  <w:vAlign w:val="center"/>
                </w:tcPr>
                <w:p w14:paraId="04E2C3B6">
                  <w:pPr>
                    <w:jc w:val="center"/>
                    <w:rPr>
                      <w:color w:val="auto"/>
                      <w:highlight w:val="none"/>
                    </w:rPr>
                  </w:pPr>
                  <w:r>
                    <w:rPr>
                      <w:color w:val="auto"/>
                      <w:highlight w:val="none"/>
                    </w:rPr>
                    <w:t>等效满负荷小时数</w:t>
                  </w:r>
                </w:p>
              </w:tc>
              <w:tc>
                <w:tcPr>
                  <w:tcW w:w="885" w:type="pct"/>
                  <w:vAlign w:val="center"/>
                </w:tcPr>
                <w:p w14:paraId="0A7AC1D6">
                  <w:pPr>
                    <w:jc w:val="center"/>
                    <w:rPr>
                      <w:color w:val="auto"/>
                      <w:highlight w:val="none"/>
                    </w:rPr>
                  </w:pPr>
                  <w:r>
                    <w:rPr>
                      <w:color w:val="auto"/>
                      <w:highlight w:val="none"/>
                    </w:rPr>
                    <w:t>h</w:t>
                  </w:r>
                </w:p>
              </w:tc>
              <w:tc>
                <w:tcPr>
                  <w:tcW w:w="1518" w:type="pct"/>
                  <w:vAlign w:val="center"/>
                </w:tcPr>
                <w:p w14:paraId="226AE25F">
                  <w:pPr>
                    <w:jc w:val="center"/>
                    <w:rPr>
                      <w:color w:val="auto"/>
                      <w:highlight w:val="none"/>
                    </w:rPr>
                  </w:pPr>
                  <w:r>
                    <w:rPr>
                      <w:rFonts w:hint="eastAsia" w:ascii="Times New Roman" w:eastAsia="宋体"/>
                      <w:color w:val="auto"/>
                      <w:highlight w:val="none"/>
                      <w:lang w:val="en-US" w:eastAsia="zh-CN"/>
                    </w:rPr>
                    <w:t>1959.12</w:t>
                  </w:r>
                </w:p>
              </w:tc>
            </w:tr>
            <w:tr w14:paraId="0257AC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45" w:type="pct"/>
                  <w:vMerge w:val="restart"/>
                  <w:vAlign w:val="center"/>
                </w:tcPr>
                <w:p w14:paraId="011856A1">
                  <w:pPr>
                    <w:jc w:val="center"/>
                    <w:rPr>
                      <w:color w:val="auto"/>
                      <w:highlight w:val="none"/>
                    </w:rPr>
                  </w:pPr>
                  <w:r>
                    <w:rPr>
                      <w:color w:val="auto"/>
                      <w:highlight w:val="none"/>
                    </w:rPr>
                    <w:t>经济指标</w:t>
                  </w:r>
                </w:p>
              </w:tc>
              <w:tc>
                <w:tcPr>
                  <w:tcW w:w="1752" w:type="pct"/>
                  <w:vAlign w:val="center"/>
                </w:tcPr>
                <w:p w14:paraId="1DC0072D">
                  <w:pPr>
                    <w:jc w:val="center"/>
                    <w:rPr>
                      <w:color w:val="auto"/>
                      <w:highlight w:val="none"/>
                    </w:rPr>
                  </w:pPr>
                  <w:r>
                    <w:rPr>
                      <w:color w:val="auto"/>
                      <w:highlight w:val="none"/>
                    </w:rPr>
                    <w:t>工程静态总投资</w:t>
                  </w:r>
                </w:p>
              </w:tc>
              <w:tc>
                <w:tcPr>
                  <w:tcW w:w="885" w:type="pct"/>
                  <w:vAlign w:val="center"/>
                </w:tcPr>
                <w:p w14:paraId="6AE01506">
                  <w:pPr>
                    <w:jc w:val="center"/>
                    <w:rPr>
                      <w:color w:val="auto"/>
                      <w:highlight w:val="none"/>
                    </w:rPr>
                  </w:pPr>
                  <w:r>
                    <w:rPr>
                      <w:color w:val="auto"/>
                      <w:highlight w:val="none"/>
                    </w:rPr>
                    <w:t>万元</w:t>
                  </w:r>
                </w:p>
              </w:tc>
              <w:tc>
                <w:tcPr>
                  <w:tcW w:w="1518" w:type="pct"/>
                  <w:vAlign w:val="center"/>
                </w:tcPr>
                <w:p w14:paraId="31937E0E">
                  <w:pPr>
                    <w:jc w:val="center"/>
                    <w:rPr>
                      <w:color w:val="auto"/>
                      <w:highlight w:val="none"/>
                    </w:rPr>
                  </w:pPr>
                  <w:r>
                    <w:rPr>
                      <w:rFonts w:hint="eastAsia" w:ascii="Times New Roman" w:eastAsia="宋体"/>
                      <w:color w:val="auto"/>
                      <w:highlight w:val="none"/>
                      <w:lang w:val="en-US" w:eastAsia="zh-CN"/>
                    </w:rPr>
                    <w:t>24979.58</w:t>
                  </w:r>
                </w:p>
              </w:tc>
            </w:tr>
            <w:tr w14:paraId="1E97CE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45" w:type="pct"/>
                  <w:vMerge w:val="continue"/>
                  <w:vAlign w:val="center"/>
                </w:tcPr>
                <w:p w14:paraId="7881033C">
                  <w:pPr>
                    <w:jc w:val="center"/>
                    <w:rPr>
                      <w:color w:val="auto"/>
                      <w:highlight w:val="none"/>
                    </w:rPr>
                  </w:pPr>
                </w:p>
              </w:tc>
              <w:tc>
                <w:tcPr>
                  <w:tcW w:w="1752" w:type="pct"/>
                  <w:vAlign w:val="center"/>
                </w:tcPr>
                <w:p w14:paraId="08660E1D">
                  <w:pPr>
                    <w:jc w:val="center"/>
                    <w:rPr>
                      <w:color w:val="auto"/>
                      <w:highlight w:val="none"/>
                    </w:rPr>
                  </w:pPr>
                  <w:r>
                    <w:rPr>
                      <w:color w:val="auto"/>
                      <w:highlight w:val="none"/>
                    </w:rPr>
                    <w:t>工程动态总投资</w:t>
                  </w:r>
                </w:p>
              </w:tc>
              <w:tc>
                <w:tcPr>
                  <w:tcW w:w="885" w:type="pct"/>
                  <w:vAlign w:val="center"/>
                </w:tcPr>
                <w:p w14:paraId="4E381592">
                  <w:pPr>
                    <w:jc w:val="center"/>
                    <w:rPr>
                      <w:color w:val="auto"/>
                      <w:highlight w:val="none"/>
                    </w:rPr>
                  </w:pPr>
                  <w:r>
                    <w:rPr>
                      <w:color w:val="auto"/>
                      <w:highlight w:val="none"/>
                    </w:rPr>
                    <w:t>万元</w:t>
                  </w:r>
                </w:p>
              </w:tc>
              <w:tc>
                <w:tcPr>
                  <w:tcW w:w="1518" w:type="pct"/>
                  <w:vAlign w:val="center"/>
                </w:tcPr>
                <w:p w14:paraId="58A0743B">
                  <w:pPr>
                    <w:jc w:val="center"/>
                    <w:rPr>
                      <w:color w:val="auto"/>
                      <w:highlight w:val="none"/>
                    </w:rPr>
                  </w:pPr>
                  <w:r>
                    <w:rPr>
                      <w:rFonts w:hint="eastAsia" w:ascii="Times New Roman" w:eastAsia="宋体"/>
                      <w:color w:val="auto"/>
                      <w:highlight w:val="none"/>
                      <w:lang w:val="en-US" w:eastAsia="zh-CN"/>
                    </w:rPr>
                    <w:t>25338</w:t>
                  </w:r>
                </w:p>
              </w:tc>
            </w:tr>
            <w:tr w14:paraId="675FC3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45" w:type="pct"/>
                  <w:vMerge w:val="continue"/>
                  <w:vAlign w:val="center"/>
                </w:tcPr>
                <w:p w14:paraId="40D53C00">
                  <w:pPr>
                    <w:jc w:val="center"/>
                    <w:rPr>
                      <w:color w:val="auto"/>
                      <w:highlight w:val="none"/>
                    </w:rPr>
                  </w:pPr>
                </w:p>
              </w:tc>
              <w:tc>
                <w:tcPr>
                  <w:tcW w:w="1752" w:type="pct"/>
                  <w:vAlign w:val="center"/>
                </w:tcPr>
                <w:p w14:paraId="4F6BA0E5">
                  <w:pPr>
                    <w:jc w:val="center"/>
                    <w:rPr>
                      <w:color w:val="auto"/>
                      <w:highlight w:val="none"/>
                    </w:rPr>
                  </w:pPr>
                  <w:r>
                    <w:rPr>
                      <w:color w:val="auto"/>
                      <w:highlight w:val="none"/>
                    </w:rPr>
                    <w:t>单位千瓦静态投资</w:t>
                  </w:r>
                </w:p>
              </w:tc>
              <w:tc>
                <w:tcPr>
                  <w:tcW w:w="885" w:type="pct"/>
                  <w:vAlign w:val="center"/>
                </w:tcPr>
                <w:p w14:paraId="6F08434F">
                  <w:pPr>
                    <w:jc w:val="center"/>
                    <w:rPr>
                      <w:color w:val="auto"/>
                      <w:highlight w:val="none"/>
                    </w:rPr>
                  </w:pPr>
                  <w:r>
                    <w:rPr>
                      <w:color w:val="auto"/>
                      <w:highlight w:val="none"/>
                    </w:rPr>
                    <w:t>元/kW</w:t>
                  </w:r>
                </w:p>
              </w:tc>
              <w:tc>
                <w:tcPr>
                  <w:tcW w:w="1518" w:type="pct"/>
                  <w:vAlign w:val="center"/>
                </w:tcPr>
                <w:p w14:paraId="2B0B30E6">
                  <w:pPr>
                    <w:jc w:val="center"/>
                    <w:rPr>
                      <w:color w:val="auto"/>
                      <w:highlight w:val="none"/>
                    </w:rPr>
                  </w:pPr>
                  <w:r>
                    <w:rPr>
                      <w:rFonts w:hint="eastAsia" w:ascii="Times New Roman" w:eastAsia="宋体"/>
                      <w:color w:val="auto"/>
                      <w:highlight w:val="none"/>
                      <w:lang w:val="en-US" w:eastAsia="zh-CN"/>
                    </w:rPr>
                    <w:t>4995.92</w:t>
                  </w:r>
                </w:p>
              </w:tc>
            </w:tr>
            <w:tr w14:paraId="65DD7C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45" w:type="pct"/>
                  <w:vMerge w:val="continue"/>
                  <w:vAlign w:val="center"/>
                </w:tcPr>
                <w:p w14:paraId="5FDB8DBE">
                  <w:pPr>
                    <w:jc w:val="center"/>
                    <w:rPr>
                      <w:color w:val="auto"/>
                      <w:highlight w:val="none"/>
                    </w:rPr>
                  </w:pPr>
                </w:p>
              </w:tc>
              <w:tc>
                <w:tcPr>
                  <w:tcW w:w="1752" w:type="pct"/>
                  <w:vAlign w:val="center"/>
                </w:tcPr>
                <w:p w14:paraId="04D98B1E">
                  <w:pPr>
                    <w:jc w:val="center"/>
                    <w:rPr>
                      <w:color w:val="auto"/>
                      <w:highlight w:val="none"/>
                    </w:rPr>
                  </w:pPr>
                  <w:r>
                    <w:rPr>
                      <w:color w:val="auto"/>
                      <w:highlight w:val="none"/>
                    </w:rPr>
                    <w:t>单位千瓦动态投资</w:t>
                  </w:r>
                </w:p>
              </w:tc>
              <w:tc>
                <w:tcPr>
                  <w:tcW w:w="885" w:type="pct"/>
                  <w:vAlign w:val="center"/>
                </w:tcPr>
                <w:p w14:paraId="28BAB041">
                  <w:pPr>
                    <w:jc w:val="center"/>
                    <w:rPr>
                      <w:color w:val="auto"/>
                      <w:highlight w:val="none"/>
                    </w:rPr>
                  </w:pPr>
                  <w:r>
                    <w:rPr>
                      <w:color w:val="auto"/>
                      <w:highlight w:val="none"/>
                    </w:rPr>
                    <w:t>元/kW</w:t>
                  </w:r>
                </w:p>
              </w:tc>
              <w:tc>
                <w:tcPr>
                  <w:tcW w:w="1518" w:type="pct"/>
                  <w:vAlign w:val="center"/>
                </w:tcPr>
                <w:p w14:paraId="1D08637D">
                  <w:pPr>
                    <w:jc w:val="center"/>
                    <w:rPr>
                      <w:color w:val="auto"/>
                      <w:highlight w:val="none"/>
                    </w:rPr>
                  </w:pPr>
                  <w:r>
                    <w:rPr>
                      <w:rFonts w:hint="eastAsia" w:ascii="Times New Roman" w:eastAsia="宋体"/>
                      <w:color w:val="auto"/>
                      <w:highlight w:val="none"/>
                      <w:lang w:val="en-US" w:eastAsia="zh-CN"/>
                    </w:rPr>
                    <w:t>5067.60</w:t>
                  </w:r>
                </w:p>
              </w:tc>
            </w:tr>
          </w:tbl>
          <w:p w14:paraId="7D0CFF6E">
            <w:pPr>
              <w:pStyle w:val="22"/>
              <w:spacing w:beforeLines="0" w:afterLines="0" w:line="240" w:lineRule="auto"/>
              <w:jc w:val="both"/>
              <w:rPr>
                <w:color w:val="auto"/>
                <w:highlight w:val="none"/>
              </w:rPr>
            </w:pPr>
          </w:p>
        </w:tc>
      </w:tr>
      <w:tr w14:paraId="340E42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33" w:hRule="atLeast"/>
          <w:jc w:val="center"/>
        </w:trPr>
        <w:tc>
          <w:tcPr>
            <w:tcW w:w="710" w:type="dxa"/>
            <w:vAlign w:val="center"/>
          </w:tcPr>
          <w:p w14:paraId="5DB6BF48">
            <w:pPr>
              <w:adjustRightInd w:val="0"/>
              <w:snapToGrid w:val="0"/>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总平面及现场布置</w:t>
            </w:r>
          </w:p>
        </w:tc>
        <w:tc>
          <w:tcPr>
            <w:tcW w:w="8380" w:type="dxa"/>
            <w:vAlign w:val="center"/>
          </w:tcPr>
          <w:p w14:paraId="46D51861">
            <w:pPr>
              <w:spacing w:line="480" w:lineRule="exact"/>
              <w:ind w:firstLine="480" w:firstLineChars="200"/>
              <w:rPr>
                <w:color w:val="auto"/>
                <w:sz w:val="24"/>
                <w:highlight w:val="none"/>
              </w:rPr>
            </w:pPr>
            <w:r>
              <w:rPr>
                <w:rFonts w:hint="eastAsia"/>
                <w:color w:val="auto"/>
                <w:sz w:val="24"/>
                <w:highlight w:val="none"/>
              </w:rPr>
              <w:t>1、风电机组布置</w:t>
            </w:r>
          </w:p>
          <w:p w14:paraId="0230C789">
            <w:pPr>
              <w:spacing w:line="480" w:lineRule="exact"/>
              <w:ind w:firstLine="480" w:firstLineChars="200"/>
              <w:rPr>
                <w:rFonts w:hint="eastAsia"/>
                <w:color w:val="auto"/>
                <w:sz w:val="24"/>
                <w:highlight w:val="none"/>
              </w:rPr>
            </w:pPr>
            <w:r>
              <w:rPr>
                <w:rFonts w:hint="eastAsia" w:ascii="Times New Roman" w:eastAsia="宋体"/>
                <w:color w:val="auto"/>
                <w:sz w:val="24"/>
                <w:highlight w:val="none"/>
                <w:lang w:val="en-US" w:eastAsia="zh-CN"/>
              </w:rPr>
              <w:t>本工程新建8台风力发电机，8台风力发电机组经2回35kV集电线路送至树掌风电场220kV升压站35kV侧，每回串接4台风力发电机。</w:t>
            </w:r>
          </w:p>
          <w:p w14:paraId="12C210E3">
            <w:pPr>
              <w:spacing w:line="480" w:lineRule="exact"/>
              <w:ind w:firstLine="480" w:firstLineChars="200"/>
              <w:rPr>
                <w:color w:val="auto"/>
                <w:sz w:val="24"/>
                <w:highlight w:val="none"/>
              </w:rPr>
            </w:pPr>
            <w:r>
              <w:rPr>
                <w:rFonts w:hint="eastAsia"/>
                <w:color w:val="auto"/>
                <w:sz w:val="24"/>
                <w:highlight w:val="none"/>
              </w:rPr>
              <w:t>2、集电线路</w:t>
            </w:r>
          </w:p>
          <w:p w14:paraId="50D937ED">
            <w:pPr>
              <w:spacing w:line="480" w:lineRule="exact"/>
              <w:ind w:firstLine="480" w:firstLineChars="200"/>
              <w:rPr>
                <w:rFonts w:hint="eastAsia"/>
                <w:color w:val="auto"/>
                <w:sz w:val="24"/>
                <w:highlight w:val="none"/>
                <w:lang w:val="en-US" w:eastAsia="zh-CN"/>
              </w:rPr>
            </w:pPr>
            <w:r>
              <w:rPr>
                <w:rFonts w:hint="eastAsia"/>
                <w:color w:val="auto"/>
                <w:sz w:val="24"/>
                <w:highlight w:val="none"/>
              </w:rPr>
              <w:t>本工程拟经2回35kV集电线路分别接入升压站35kV母线上</w:t>
            </w:r>
            <w:r>
              <w:rPr>
                <w:rFonts w:hint="eastAsia" w:eastAsia="宋体"/>
                <w:color w:val="auto"/>
                <w:sz w:val="24"/>
                <w:highlight w:val="none"/>
                <w:lang w:eastAsia="zh-CN"/>
              </w:rPr>
              <w:t>；</w:t>
            </w:r>
            <w:r>
              <w:rPr>
                <w:rFonts w:hint="eastAsia" w:ascii="Times New Roman" w:eastAsia="宋体"/>
                <w:color w:val="auto"/>
                <w:sz w:val="24"/>
                <w:highlight w:val="none"/>
                <w:lang w:val="en-US" w:eastAsia="zh-CN"/>
              </w:rPr>
              <w:t>集电线路采用架空的方式，路径长度约为21.0139公里。</w:t>
            </w:r>
          </w:p>
          <w:p w14:paraId="5DFD207F">
            <w:pPr>
              <w:spacing w:line="480" w:lineRule="exact"/>
              <w:ind w:firstLine="480" w:firstLineChars="200"/>
              <w:rPr>
                <w:color w:val="auto"/>
                <w:sz w:val="24"/>
                <w:highlight w:val="none"/>
              </w:rPr>
            </w:pPr>
            <w:r>
              <w:rPr>
                <w:rFonts w:hint="eastAsia"/>
                <w:color w:val="auto"/>
                <w:sz w:val="24"/>
                <w:highlight w:val="none"/>
              </w:rPr>
              <w:t>3、道路工程</w:t>
            </w:r>
          </w:p>
          <w:p w14:paraId="69209DC4">
            <w:pPr>
              <w:pStyle w:val="23"/>
              <w:spacing w:line="480" w:lineRule="exact"/>
              <w:rPr>
                <w:rFonts w:hint="default"/>
                <w:color w:val="auto"/>
                <w:sz w:val="24"/>
                <w:szCs w:val="24"/>
                <w:highlight w:val="none"/>
                <w:lang w:val="en-US" w:eastAsia="zh-CN"/>
              </w:rPr>
            </w:pPr>
            <w:r>
              <w:rPr>
                <w:rFonts w:hint="eastAsia"/>
                <w:color w:val="auto"/>
                <w:highlight w:val="none"/>
                <w:lang w:val="en-US" w:eastAsia="zh-CN"/>
              </w:rPr>
              <w:t>本项目检修道路利用石坡乡、店上镇和东井岭乡三乡镇森林防火通道，无新建道路。森林防火通道宽度为6米，可满足风机运输路面宽度要求。</w:t>
            </w:r>
          </w:p>
          <w:p w14:paraId="6842BB31">
            <w:pPr>
              <w:spacing w:line="480" w:lineRule="exact"/>
              <w:ind w:firstLine="480" w:firstLineChars="200"/>
              <w:rPr>
                <w:color w:val="auto"/>
                <w:sz w:val="24"/>
                <w:highlight w:val="none"/>
              </w:rPr>
            </w:pPr>
            <w:r>
              <w:rPr>
                <w:rFonts w:hint="eastAsia"/>
                <w:color w:val="auto"/>
                <w:sz w:val="24"/>
                <w:highlight w:val="none"/>
              </w:rPr>
              <w:t>4、升压站平面布置</w:t>
            </w:r>
          </w:p>
          <w:p w14:paraId="5CCFC878">
            <w:pPr>
              <w:spacing w:line="480" w:lineRule="exact"/>
              <w:ind w:firstLine="480" w:firstLineChars="200"/>
              <w:rPr>
                <w:rFonts w:hint="eastAsia"/>
                <w:color w:val="auto"/>
                <w:sz w:val="24"/>
                <w:highlight w:val="none"/>
              </w:rPr>
            </w:pPr>
            <w:r>
              <w:rPr>
                <w:rFonts w:hint="eastAsia" w:ascii="Times New Roman" w:eastAsia="宋体"/>
                <w:color w:val="auto"/>
                <w:sz w:val="24"/>
                <w:highlight w:val="none"/>
                <w:lang w:val="en-US" w:eastAsia="zh-CN"/>
              </w:rPr>
              <w:t>本工程不再新建升压站，接入已建树掌220kV升压站。</w:t>
            </w:r>
          </w:p>
          <w:p w14:paraId="1948A1D1">
            <w:pPr>
              <w:spacing w:line="480" w:lineRule="exact"/>
              <w:ind w:firstLine="480" w:firstLineChars="200"/>
              <w:rPr>
                <w:color w:val="auto"/>
                <w:sz w:val="24"/>
                <w:highlight w:val="none"/>
              </w:rPr>
            </w:pPr>
            <w:r>
              <w:rPr>
                <w:rFonts w:hint="eastAsia"/>
                <w:color w:val="auto"/>
                <w:sz w:val="24"/>
                <w:highlight w:val="none"/>
              </w:rPr>
              <w:t>5、施工临建区</w:t>
            </w:r>
          </w:p>
          <w:p w14:paraId="127497AF">
            <w:pPr>
              <w:autoSpaceDE w:val="0"/>
              <w:autoSpaceDN w:val="0"/>
              <w:spacing w:line="440" w:lineRule="exact"/>
              <w:ind w:firstLine="480" w:firstLineChars="200"/>
              <w:rPr>
                <w:color w:val="auto"/>
                <w:sz w:val="24"/>
                <w:highlight w:val="none"/>
              </w:rPr>
            </w:pPr>
            <w:r>
              <w:rPr>
                <w:rFonts w:hint="eastAsia"/>
                <w:color w:val="auto"/>
                <w:sz w:val="24"/>
                <w:highlight w:val="none"/>
              </w:rPr>
              <w:t>本项目拟在</w:t>
            </w:r>
            <w:r>
              <w:rPr>
                <w:rFonts w:hint="eastAsia" w:ascii="Times New Roman" w:eastAsia="宋体"/>
                <w:color w:val="auto"/>
                <w:sz w:val="24"/>
                <w:highlight w:val="none"/>
                <w:lang w:val="en-US" w:eastAsia="zh-CN"/>
              </w:rPr>
              <w:t>WTG03南</w:t>
            </w:r>
            <w:r>
              <w:rPr>
                <w:rFonts w:hint="eastAsia"/>
                <w:color w:val="auto"/>
                <w:sz w:val="24"/>
                <w:highlight w:val="none"/>
              </w:rPr>
              <w:t>侧集中布置一个施工临建区，占地类型为</w:t>
            </w:r>
            <w:r>
              <w:rPr>
                <w:rFonts w:hint="eastAsia" w:ascii="Times New Roman" w:eastAsia="宋体"/>
                <w:color w:val="auto"/>
                <w:sz w:val="24"/>
                <w:highlight w:val="none"/>
                <w:lang w:val="en-US" w:eastAsia="zh-CN"/>
              </w:rPr>
              <w:t>其他草地</w:t>
            </w:r>
            <w:r>
              <w:rPr>
                <w:rFonts w:hint="eastAsia"/>
                <w:color w:val="auto"/>
                <w:sz w:val="24"/>
                <w:highlight w:val="none"/>
              </w:rPr>
              <w:t>。</w:t>
            </w:r>
            <w:r>
              <w:rPr>
                <w:color w:val="auto"/>
                <w:sz w:val="24"/>
                <w:highlight w:val="none"/>
              </w:rPr>
              <w:t>施工临建区主要为施工物料堆存、施工机械设备停放使用，总用地面积为2400m</w:t>
            </w:r>
            <w:r>
              <w:rPr>
                <w:color w:val="auto"/>
                <w:sz w:val="24"/>
                <w:highlight w:val="none"/>
                <w:vertAlign w:val="superscript"/>
              </w:rPr>
              <w:t>2</w:t>
            </w:r>
            <w:r>
              <w:rPr>
                <w:color w:val="auto"/>
                <w:sz w:val="24"/>
                <w:highlight w:val="none"/>
              </w:rPr>
              <w:t>。施工临建区包括机械维修及综合加工厂、综合仓库、砂石料堆场、机械停放场等。本工程采用商业混凝土，</w:t>
            </w:r>
            <w:r>
              <w:rPr>
                <w:rFonts w:hint="eastAsia" w:ascii="Times New Roman" w:eastAsia="宋体"/>
                <w:color w:val="auto"/>
                <w:sz w:val="24"/>
                <w:highlight w:val="none"/>
                <w:lang w:val="en-US" w:eastAsia="zh-CN"/>
              </w:rPr>
              <w:t>混凝土由混凝土拌和站供料，</w:t>
            </w:r>
            <w:r>
              <w:rPr>
                <w:color w:val="auto"/>
                <w:sz w:val="24"/>
                <w:highlight w:val="none"/>
              </w:rPr>
              <w:t>施工临建区不设混凝土搅拌站</w:t>
            </w:r>
            <w:r>
              <w:rPr>
                <w:rFonts w:hint="eastAsia"/>
                <w:color w:val="auto"/>
                <w:sz w:val="24"/>
                <w:highlight w:val="none"/>
              </w:rPr>
              <w:t>。本项目不设置塔基施工区和牵张场。</w:t>
            </w:r>
          </w:p>
          <w:p w14:paraId="1DEBD65D">
            <w:pPr>
              <w:spacing w:line="480" w:lineRule="exact"/>
              <w:ind w:firstLine="480" w:firstLineChars="200"/>
              <w:rPr>
                <w:color w:val="auto"/>
                <w:sz w:val="24"/>
                <w:highlight w:val="none"/>
              </w:rPr>
            </w:pPr>
            <w:r>
              <w:rPr>
                <w:rFonts w:hint="eastAsia"/>
                <w:color w:val="auto"/>
                <w:sz w:val="24"/>
                <w:highlight w:val="none"/>
              </w:rPr>
              <w:t>施工临建区工程内容见下表。</w:t>
            </w:r>
          </w:p>
          <w:p w14:paraId="7B8B73B1">
            <w:pPr>
              <w:pStyle w:val="20"/>
              <w:rPr>
                <w:color w:val="auto"/>
                <w:highlight w:val="none"/>
              </w:rPr>
            </w:pPr>
            <w:r>
              <w:rPr>
                <w:rFonts w:hint="eastAsia" w:ascii="黑体" w:hAnsi="黑体" w:eastAsia="黑体" w:cs="黑体"/>
                <w:color w:val="auto"/>
                <w:highlight w:val="none"/>
              </w:rPr>
              <w:t>表2-</w:t>
            </w:r>
            <w:r>
              <w:rPr>
                <w:rFonts w:hint="eastAsia" w:ascii="黑体" w:hAnsi="黑体" w:cs="黑体"/>
                <w:color w:val="auto"/>
                <w:highlight w:val="none"/>
                <w:lang w:val="en-US" w:eastAsia="zh-CN"/>
              </w:rPr>
              <w:t>7</w:t>
            </w:r>
            <w:r>
              <w:rPr>
                <w:rFonts w:hint="eastAsia" w:ascii="黑体" w:hAnsi="黑体" w:eastAsia="黑体" w:cs="黑体"/>
                <w:color w:val="auto"/>
                <w:highlight w:val="none"/>
              </w:rPr>
              <w:t xml:space="preserve"> </w:t>
            </w:r>
            <w:r>
              <w:rPr>
                <w:color w:val="auto"/>
                <w:highlight w:val="none"/>
              </w:rPr>
              <w:t xml:space="preserve">   施工临建区工程内容</w:t>
            </w:r>
          </w:p>
          <w:tbl>
            <w:tblPr>
              <w:tblStyle w:val="10"/>
              <w:tblW w:w="4998"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791"/>
              <w:gridCol w:w="1384"/>
              <w:gridCol w:w="5981"/>
            </w:tblGrid>
            <w:tr w14:paraId="1D708BC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6" w:hRule="atLeast"/>
                <w:jc w:val="center"/>
              </w:trPr>
              <w:tc>
                <w:tcPr>
                  <w:tcW w:w="1333" w:type="pct"/>
                  <w:gridSpan w:val="2"/>
                  <w:tcBorders>
                    <w:tl2br w:val="nil"/>
                    <w:tr2bl w:val="nil"/>
                  </w:tcBorders>
                  <w:vAlign w:val="center"/>
                </w:tcPr>
                <w:p w14:paraId="2FE23933">
                  <w:pPr>
                    <w:jc w:val="center"/>
                    <w:rPr>
                      <w:color w:val="auto"/>
                      <w:szCs w:val="21"/>
                      <w:highlight w:val="none"/>
                    </w:rPr>
                  </w:pPr>
                  <w:r>
                    <w:rPr>
                      <w:color w:val="auto"/>
                      <w:szCs w:val="21"/>
                      <w:highlight w:val="none"/>
                    </w:rPr>
                    <w:t>工程类型</w:t>
                  </w:r>
                </w:p>
              </w:tc>
              <w:tc>
                <w:tcPr>
                  <w:tcW w:w="3666" w:type="pct"/>
                  <w:tcBorders>
                    <w:tl2br w:val="nil"/>
                    <w:tr2bl w:val="nil"/>
                  </w:tcBorders>
                  <w:vAlign w:val="center"/>
                </w:tcPr>
                <w:p w14:paraId="14B92296">
                  <w:pPr>
                    <w:jc w:val="center"/>
                    <w:rPr>
                      <w:color w:val="auto"/>
                      <w:szCs w:val="21"/>
                      <w:highlight w:val="none"/>
                    </w:rPr>
                  </w:pPr>
                  <w:r>
                    <w:rPr>
                      <w:color w:val="auto"/>
                      <w:szCs w:val="21"/>
                      <w:highlight w:val="none"/>
                    </w:rPr>
                    <w:t>建设内容</w:t>
                  </w:r>
                </w:p>
              </w:tc>
            </w:tr>
            <w:tr w14:paraId="14C5C22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485" w:type="pct"/>
                  <w:vMerge w:val="restart"/>
                  <w:tcBorders>
                    <w:tl2br w:val="nil"/>
                    <w:tr2bl w:val="nil"/>
                  </w:tcBorders>
                  <w:vAlign w:val="center"/>
                </w:tcPr>
                <w:p w14:paraId="01AFA02D">
                  <w:pPr>
                    <w:ind w:left="-105" w:leftChars="-50" w:right="-105" w:rightChars="-50"/>
                    <w:jc w:val="center"/>
                    <w:rPr>
                      <w:color w:val="auto"/>
                      <w:szCs w:val="21"/>
                      <w:highlight w:val="none"/>
                    </w:rPr>
                  </w:pPr>
                  <w:r>
                    <w:rPr>
                      <w:color w:val="auto"/>
                      <w:szCs w:val="21"/>
                      <w:highlight w:val="none"/>
                    </w:rPr>
                    <w:t>主体</w:t>
                  </w:r>
                </w:p>
                <w:p w14:paraId="49A07F04">
                  <w:pPr>
                    <w:ind w:left="-105" w:leftChars="-50" w:right="-105" w:rightChars="-50"/>
                    <w:jc w:val="center"/>
                    <w:rPr>
                      <w:color w:val="auto"/>
                      <w:szCs w:val="21"/>
                      <w:highlight w:val="none"/>
                    </w:rPr>
                  </w:pPr>
                  <w:r>
                    <w:rPr>
                      <w:color w:val="auto"/>
                      <w:szCs w:val="21"/>
                      <w:highlight w:val="none"/>
                    </w:rPr>
                    <w:t>工程</w:t>
                  </w:r>
                </w:p>
              </w:tc>
              <w:tc>
                <w:tcPr>
                  <w:tcW w:w="847" w:type="pct"/>
                  <w:tcBorders>
                    <w:tl2br w:val="nil"/>
                    <w:tr2bl w:val="nil"/>
                  </w:tcBorders>
                  <w:vAlign w:val="center"/>
                </w:tcPr>
                <w:p w14:paraId="2D359DCA">
                  <w:pPr>
                    <w:pStyle w:val="22"/>
                    <w:spacing w:before="24" w:after="24" w:line="240" w:lineRule="auto"/>
                    <w:rPr>
                      <w:color w:val="auto"/>
                      <w:highlight w:val="none"/>
                    </w:rPr>
                  </w:pPr>
                  <w:r>
                    <w:rPr>
                      <w:rFonts w:ascii="Times New Roman" w:eastAsiaTheme="minorEastAsia"/>
                      <w:color w:val="auto"/>
                      <w:sz w:val="21"/>
                      <w:highlight w:val="none"/>
                    </w:rPr>
                    <w:t>机械维修及综合加工区</w:t>
                  </w:r>
                </w:p>
              </w:tc>
              <w:tc>
                <w:tcPr>
                  <w:tcW w:w="3666" w:type="pct"/>
                  <w:tcBorders>
                    <w:tl2br w:val="nil"/>
                    <w:tr2bl w:val="nil"/>
                  </w:tcBorders>
                  <w:vAlign w:val="center"/>
                </w:tcPr>
                <w:p w14:paraId="7CF316FC">
                  <w:pPr>
                    <w:pStyle w:val="22"/>
                    <w:spacing w:before="24" w:after="24" w:line="240" w:lineRule="auto"/>
                    <w:jc w:val="both"/>
                    <w:rPr>
                      <w:color w:val="auto"/>
                      <w:highlight w:val="none"/>
                    </w:rPr>
                  </w:pPr>
                  <w:r>
                    <w:rPr>
                      <w:rFonts w:ascii="Times New Roman" w:eastAsiaTheme="minorEastAsia"/>
                      <w:color w:val="auto"/>
                      <w:sz w:val="21"/>
                      <w:highlight w:val="none"/>
                    </w:rPr>
                    <w:t>占地面积400m</w:t>
                  </w:r>
                  <w:r>
                    <w:rPr>
                      <w:rFonts w:ascii="Times New Roman" w:eastAsiaTheme="minorEastAsia"/>
                      <w:color w:val="auto"/>
                      <w:sz w:val="21"/>
                      <w:highlight w:val="none"/>
                      <w:vertAlign w:val="superscript"/>
                    </w:rPr>
                    <w:t>2</w:t>
                  </w:r>
                  <w:r>
                    <w:rPr>
                      <w:rFonts w:ascii="Times New Roman" w:eastAsiaTheme="minorEastAsia"/>
                      <w:color w:val="auto"/>
                      <w:sz w:val="21"/>
                      <w:highlight w:val="none"/>
                    </w:rPr>
                    <w:t>，机械维修主要承担施工机械的小修，大、中型修理委托相关企业承担，综合加工区主要为钢筋及简单零件和</w:t>
                  </w:r>
                  <w:r>
                    <w:rPr>
                      <w:rFonts w:hint="eastAsia" w:ascii="Times New Roman" w:eastAsiaTheme="minorEastAsia"/>
                      <w:color w:val="auto"/>
                      <w:sz w:val="21"/>
                      <w:highlight w:val="none"/>
                      <w:lang w:eastAsia="zh-CN"/>
                    </w:rPr>
                    <w:t>金属构件</w:t>
                  </w:r>
                  <w:r>
                    <w:rPr>
                      <w:rFonts w:ascii="Times New Roman" w:eastAsiaTheme="minorEastAsia"/>
                      <w:color w:val="auto"/>
                      <w:sz w:val="21"/>
                      <w:highlight w:val="none"/>
                    </w:rPr>
                    <w:t>的加工。</w:t>
                  </w:r>
                </w:p>
              </w:tc>
            </w:tr>
            <w:tr w14:paraId="143777E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39" w:hRule="atLeast"/>
                <w:jc w:val="center"/>
              </w:trPr>
              <w:tc>
                <w:tcPr>
                  <w:tcW w:w="485" w:type="pct"/>
                  <w:vMerge w:val="continue"/>
                  <w:tcBorders>
                    <w:tl2br w:val="nil"/>
                    <w:tr2bl w:val="nil"/>
                  </w:tcBorders>
                  <w:vAlign w:val="center"/>
                </w:tcPr>
                <w:p w14:paraId="2D860173">
                  <w:pPr>
                    <w:ind w:left="-105" w:leftChars="-50" w:right="-105" w:rightChars="-50"/>
                    <w:jc w:val="center"/>
                    <w:rPr>
                      <w:color w:val="auto"/>
                      <w:szCs w:val="21"/>
                      <w:highlight w:val="none"/>
                    </w:rPr>
                  </w:pPr>
                </w:p>
              </w:tc>
              <w:tc>
                <w:tcPr>
                  <w:tcW w:w="847" w:type="pct"/>
                  <w:tcBorders>
                    <w:tl2br w:val="nil"/>
                    <w:tr2bl w:val="nil"/>
                  </w:tcBorders>
                  <w:vAlign w:val="center"/>
                </w:tcPr>
                <w:p w14:paraId="08F271F2">
                  <w:pPr>
                    <w:jc w:val="center"/>
                    <w:rPr>
                      <w:color w:val="auto"/>
                      <w:szCs w:val="21"/>
                      <w:highlight w:val="none"/>
                    </w:rPr>
                  </w:pPr>
                  <w:r>
                    <w:rPr>
                      <w:rFonts w:eastAsiaTheme="minorEastAsia"/>
                      <w:color w:val="auto"/>
                      <w:szCs w:val="21"/>
                      <w:highlight w:val="none"/>
                    </w:rPr>
                    <w:t>机械停放区</w:t>
                  </w:r>
                </w:p>
              </w:tc>
              <w:tc>
                <w:tcPr>
                  <w:tcW w:w="3666" w:type="pct"/>
                  <w:tcBorders>
                    <w:tl2br w:val="nil"/>
                    <w:tr2bl w:val="nil"/>
                  </w:tcBorders>
                  <w:vAlign w:val="center"/>
                </w:tcPr>
                <w:p w14:paraId="580A0A3C">
                  <w:pPr>
                    <w:rPr>
                      <w:color w:val="auto"/>
                      <w:szCs w:val="21"/>
                      <w:highlight w:val="none"/>
                    </w:rPr>
                  </w:pPr>
                  <w:r>
                    <w:rPr>
                      <w:rFonts w:eastAsiaTheme="minorEastAsia"/>
                      <w:color w:val="auto"/>
                      <w:highlight w:val="none"/>
                    </w:rPr>
                    <w:t>占地面积500m</w:t>
                  </w:r>
                  <w:r>
                    <w:rPr>
                      <w:rFonts w:eastAsiaTheme="minorEastAsia"/>
                      <w:color w:val="auto"/>
                      <w:highlight w:val="none"/>
                      <w:vertAlign w:val="superscript"/>
                    </w:rPr>
                    <w:t>2</w:t>
                  </w:r>
                  <w:r>
                    <w:rPr>
                      <w:rFonts w:eastAsiaTheme="minorEastAsia"/>
                      <w:color w:val="auto"/>
                      <w:highlight w:val="none"/>
                    </w:rPr>
                    <w:t>，</w:t>
                  </w:r>
                  <w:r>
                    <w:rPr>
                      <w:rFonts w:eastAsiaTheme="minorEastAsia"/>
                      <w:color w:val="auto"/>
                      <w:szCs w:val="21"/>
                      <w:highlight w:val="none"/>
                    </w:rPr>
                    <w:t>主要用于</w:t>
                  </w:r>
                  <w:r>
                    <w:rPr>
                      <w:rFonts w:eastAsiaTheme="minorEastAsia"/>
                      <w:color w:val="auto"/>
                      <w:highlight w:val="none"/>
                    </w:rPr>
                    <w:t>施工机械设备</w:t>
                  </w:r>
                  <w:r>
                    <w:rPr>
                      <w:rFonts w:eastAsiaTheme="minorEastAsia"/>
                      <w:color w:val="auto"/>
                      <w:szCs w:val="21"/>
                      <w:highlight w:val="none"/>
                    </w:rPr>
                    <w:t>的</w:t>
                  </w:r>
                  <w:r>
                    <w:rPr>
                      <w:rFonts w:eastAsiaTheme="minorEastAsia"/>
                      <w:color w:val="auto"/>
                      <w:highlight w:val="none"/>
                    </w:rPr>
                    <w:t>停放。</w:t>
                  </w:r>
                </w:p>
              </w:tc>
            </w:tr>
            <w:tr w14:paraId="60A5420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0" w:hRule="atLeast"/>
                <w:jc w:val="center"/>
              </w:trPr>
              <w:tc>
                <w:tcPr>
                  <w:tcW w:w="485" w:type="pct"/>
                  <w:vMerge w:val="restart"/>
                  <w:tcBorders>
                    <w:tl2br w:val="nil"/>
                    <w:tr2bl w:val="nil"/>
                  </w:tcBorders>
                  <w:vAlign w:val="center"/>
                </w:tcPr>
                <w:p w14:paraId="2C826CB1">
                  <w:pPr>
                    <w:ind w:left="-105" w:leftChars="-50" w:right="-105" w:rightChars="-50"/>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辅助</w:t>
                  </w:r>
                </w:p>
                <w:p w14:paraId="3179E15F">
                  <w:pPr>
                    <w:ind w:left="-105" w:leftChars="-50" w:right="-105" w:rightChars="-50"/>
                    <w:jc w:val="center"/>
                    <w:rPr>
                      <w:color w:val="auto"/>
                      <w:szCs w:val="21"/>
                      <w:highlight w:val="none"/>
                    </w:rPr>
                  </w:pPr>
                  <w:r>
                    <w:rPr>
                      <w:rFonts w:ascii="Times New Roman" w:hAnsi="Times New Roman" w:eastAsia="宋体" w:cs="Times New Roman"/>
                      <w:color w:val="auto"/>
                      <w:szCs w:val="21"/>
                      <w:highlight w:val="none"/>
                    </w:rPr>
                    <w:t>工程</w:t>
                  </w:r>
                </w:p>
              </w:tc>
              <w:tc>
                <w:tcPr>
                  <w:tcW w:w="847" w:type="pct"/>
                  <w:tcBorders>
                    <w:tl2br w:val="nil"/>
                    <w:tr2bl w:val="nil"/>
                  </w:tcBorders>
                  <w:vAlign w:val="center"/>
                </w:tcPr>
                <w:p w14:paraId="2BC7BF1F">
                  <w:pPr>
                    <w:ind w:left="-94" w:leftChars="-45" w:right="-103" w:rightChars="-49"/>
                    <w:jc w:val="center"/>
                    <w:rPr>
                      <w:color w:val="auto"/>
                      <w:szCs w:val="21"/>
                      <w:highlight w:val="none"/>
                    </w:rPr>
                  </w:pPr>
                  <w:r>
                    <w:rPr>
                      <w:rFonts w:ascii="Times New Roman" w:hAnsi="Times New Roman" w:eastAsia="宋体" w:cs="Times New Roman"/>
                      <w:color w:val="auto"/>
                      <w:szCs w:val="21"/>
                      <w:highlight w:val="none"/>
                    </w:rPr>
                    <w:t>门房</w:t>
                  </w:r>
                </w:p>
              </w:tc>
              <w:tc>
                <w:tcPr>
                  <w:tcW w:w="3666" w:type="pct"/>
                  <w:tcBorders>
                    <w:tl2br w:val="nil"/>
                    <w:tr2bl w:val="nil"/>
                  </w:tcBorders>
                  <w:vAlign w:val="center"/>
                </w:tcPr>
                <w:p w14:paraId="28FBD849">
                  <w:pPr>
                    <w:rPr>
                      <w:color w:val="auto"/>
                      <w:szCs w:val="21"/>
                      <w:highlight w:val="none"/>
                    </w:rPr>
                  </w:pPr>
                  <w:r>
                    <w:rPr>
                      <w:rFonts w:ascii="Times New Roman" w:hAnsi="Times New Roman" w:eastAsia="宋体" w:cs="Times New Roman"/>
                      <w:color w:val="auto"/>
                      <w:kern w:val="0"/>
                      <w:szCs w:val="21"/>
                      <w:highlight w:val="none"/>
                    </w:rPr>
                    <w:t>彩钢结构，用于施工临建区日常值守。</w:t>
                  </w:r>
                </w:p>
              </w:tc>
            </w:tr>
            <w:tr w14:paraId="4A4FB21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0" w:hRule="atLeast"/>
                <w:jc w:val="center"/>
              </w:trPr>
              <w:tc>
                <w:tcPr>
                  <w:tcW w:w="485" w:type="pct"/>
                  <w:vMerge w:val="continue"/>
                  <w:tcBorders>
                    <w:tl2br w:val="nil"/>
                    <w:tr2bl w:val="nil"/>
                  </w:tcBorders>
                  <w:vAlign w:val="center"/>
                </w:tcPr>
                <w:p w14:paraId="127F0ABA">
                  <w:pPr>
                    <w:ind w:left="-105" w:leftChars="-50" w:right="-105" w:rightChars="-50"/>
                    <w:jc w:val="center"/>
                    <w:rPr>
                      <w:color w:val="auto"/>
                      <w:szCs w:val="21"/>
                      <w:highlight w:val="none"/>
                    </w:rPr>
                  </w:pPr>
                </w:p>
              </w:tc>
              <w:tc>
                <w:tcPr>
                  <w:tcW w:w="847" w:type="pct"/>
                  <w:tcBorders>
                    <w:tl2br w:val="nil"/>
                    <w:tr2bl w:val="nil"/>
                  </w:tcBorders>
                  <w:vAlign w:val="center"/>
                </w:tcPr>
                <w:p w14:paraId="08609FBA">
                  <w:pPr>
                    <w:ind w:left="-94" w:leftChars="-45" w:right="-103" w:rightChars="-49"/>
                    <w:jc w:val="center"/>
                    <w:rPr>
                      <w:color w:val="auto"/>
                      <w:szCs w:val="21"/>
                      <w:highlight w:val="none"/>
                    </w:rPr>
                  </w:pPr>
                  <w:r>
                    <w:rPr>
                      <w:rFonts w:ascii="Times New Roman" w:hAnsi="Times New Roman" w:eastAsia="宋体" w:cs="Times New Roman"/>
                      <w:color w:val="auto"/>
                      <w:szCs w:val="21"/>
                      <w:highlight w:val="none"/>
                    </w:rPr>
                    <w:t>生活区</w:t>
                  </w:r>
                </w:p>
              </w:tc>
              <w:tc>
                <w:tcPr>
                  <w:tcW w:w="3666" w:type="pct"/>
                  <w:tcBorders>
                    <w:tl2br w:val="nil"/>
                    <w:tr2bl w:val="nil"/>
                  </w:tcBorders>
                  <w:vAlign w:val="center"/>
                </w:tcPr>
                <w:p w14:paraId="41D38B5D">
                  <w:pPr>
                    <w:rPr>
                      <w:rFonts w:hint="eastAsia" w:eastAsia="宋体"/>
                      <w:color w:val="auto"/>
                      <w:szCs w:val="21"/>
                      <w:highlight w:val="none"/>
                      <w:lang w:eastAsia="zh-CN"/>
                    </w:rPr>
                  </w:pPr>
                  <w:r>
                    <w:rPr>
                      <w:rFonts w:ascii="Times New Roman" w:hAnsi="Times New Roman" w:eastAsia="宋体" w:cs="Times New Roman"/>
                      <w:color w:val="auto"/>
                      <w:kern w:val="0"/>
                      <w:szCs w:val="21"/>
                      <w:highlight w:val="none"/>
                    </w:rPr>
                    <w:t>设置办公生活活动板房</w:t>
                  </w:r>
                  <w:r>
                    <w:rPr>
                      <w:rFonts w:hint="eastAsia" w:eastAsia="宋体" w:cs="Times New Roman"/>
                      <w:color w:val="auto"/>
                      <w:kern w:val="0"/>
                      <w:szCs w:val="21"/>
                      <w:highlight w:val="none"/>
                      <w:lang w:eastAsia="zh-CN"/>
                    </w:rPr>
                    <w:t>，设旱厕一座。</w:t>
                  </w:r>
                </w:p>
              </w:tc>
            </w:tr>
            <w:tr w14:paraId="2F7ED4E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62" w:hRule="atLeast"/>
                <w:jc w:val="center"/>
              </w:trPr>
              <w:tc>
                <w:tcPr>
                  <w:tcW w:w="485" w:type="pct"/>
                  <w:vMerge w:val="restart"/>
                  <w:tcBorders>
                    <w:tl2br w:val="nil"/>
                    <w:tr2bl w:val="nil"/>
                  </w:tcBorders>
                  <w:vAlign w:val="center"/>
                </w:tcPr>
                <w:p w14:paraId="16B0DA60">
                  <w:pPr>
                    <w:jc w:val="center"/>
                    <w:rPr>
                      <w:rFonts w:hint="eastAsia" w:eastAsia="宋体"/>
                      <w:color w:val="auto"/>
                      <w:szCs w:val="21"/>
                      <w:highlight w:val="none"/>
                      <w:lang w:val="en-US" w:eastAsia="zh-CN"/>
                    </w:rPr>
                  </w:pPr>
                  <w:r>
                    <w:rPr>
                      <w:rFonts w:hint="eastAsia" w:ascii="Times New Roman" w:eastAsia="宋体"/>
                      <w:color w:val="auto"/>
                      <w:szCs w:val="21"/>
                      <w:highlight w:val="none"/>
                      <w:lang w:val="en-US" w:eastAsia="zh-CN"/>
                    </w:rPr>
                    <w:t>储运工程</w:t>
                  </w:r>
                </w:p>
              </w:tc>
              <w:tc>
                <w:tcPr>
                  <w:tcW w:w="847" w:type="pct"/>
                  <w:tcBorders>
                    <w:tl2br w:val="nil"/>
                    <w:tr2bl w:val="nil"/>
                  </w:tcBorders>
                  <w:vAlign w:val="center"/>
                </w:tcPr>
                <w:p w14:paraId="4AAE9978">
                  <w:pPr>
                    <w:ind w:left="-80" w:leftChars="-38" w:right="-103" w:rightChars="-49"/>
                    <w:jc w:val="center"/>
                    <w:rPr>
                      <w:color w:val="auto"/>
                      <w:szCs w:val="21"/>
                      <w:highlight w:val="none"/>
                    </w:rPr>
                  </w:pPr>
                  <w:r>
                    <w:rPr>
                      <w:rFonts w:eastAsiaTheme="minorEastAsia"/>
                      <w:color w:val="auto"/>
                      <w:szCs w:val="21"/>
                      <w:highlight w:val="none"/>
                    </w:rPr>
                    <w:t>砂石料堆场</w:t>
                  </w:r>
                </w:p>
              </w:tc>
              <w:tc>
                <w:tcPr>
                  <w:tcW w:w="3666" w:type="pct"/>
                  <w:tcBorders>
                    <w:tl2br w:val="nil"/>
                    <w:tr2bl w:val="nil"/>
                  </w:tcBorders>
                  <w:vAlign w:val="center"/>
                </w:tcPr>
                <w:p w14:paraId="71D3B9A5">
                  <w:pPr>
                    <w:rPr>
                      <w:color w:val="auto"/>
                      <w:szCs w:val="21"/>
                      <w:highlight w:val="none"/>
                    </w:rPr>
                  </w:pPr>
                  <w:r>
                    <w:rPr>
                      <w:rFonts w:eastAsiaTheme="minorEastAsia"/>
                      <w:color w:val="auto"/>
                      <w:highlight w:val="none"/>
                    </w:rPr>
                    <w:t>占地面积400m</w:t>
                  </w:r>
                  <w:r>
                    <w:rPr>
                      <w:rFonts w:eastAsiaTheme="minorEastAsia"/>
                      <w:color w:val="auto"/>
                      <w:highlight w:val="none"/>
                      <w:vertAlign w:val="superscript"/>
                    </w:rPr>
                    <w:t>2</w:t>
                  </w:r>
                  <w:r>
                    <w:rPr>
                      <w:rFonts w:eastAsiaTheme="minorEastAsia"/>
                      <w:color w:val="auto"/>
                      <w:highlight w:val="none"/>
                    </w:rPr>
                    <w:t>，</w:t>
                  </w:r>
                  <w:r>
                    <w:rPr>
                      <w:rFonts w:eastAsiaTheme="minorEastAsia"/>
                      <w:color w:val="auto"/>
                      <w:szCs w:val="21"/>
                      <w:highlight w:val="none"/>
                    </w:rPr>
                    <w:t>主要用于</w:t>
                  </w:r>
                  <w:r>
                    <w:rPr>
                      <w:rFonts w:eastAsiaTheme="minorEastAsia"/>
                      <w:color w:val="auto"/>
                      <w:highlight w:val="none"/>
                    </w:rPr>
                    <w:t>石子、机砂等筑路材料的存放与拌和。</w:t>
                  </w:r>
                </w:p>
              </w:tc>
            </w:tr>
            <w:tr w14:paraId="50B20A6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62" w:hRule="atLeast"/>
                <w:jc w:val="center"/>
              </w:trPr>
              <w:tc>
                <w:tcPr>
                  <w:tcW w:w="485" w:type="pct"/>
                  <w:vMerge w:val="continue"/>
                  <w:tcBorders>
                    <w:tl2br w:val="nil"/>
                    <w:tr2bl w:val="nil"/>
                  </w:tcBorders>
                  <w:vAlign w:val="center"/>
                </w:tcPr>
                <w:p w14:paraId="5ECCDCD7">
                  <w:pPr>
                    <w:rPr>
                      <w:color w:val="auto"/>
                      <w:highlight w:val="none"/>
                    </w:rPr>
                  </w:pPr>
                </w:p>
              </w:tc>
              <w:tc>
                <w:tcPr>
                  <w:tcW w:w="847" w:type="pct"/>
                  <w:tcBorders>
                    <w:tl2br w:val="nil"/>
                    <w:tr2bl w:val="nil"/>
                  </w:tcBorders>
                  <w:vAlign w:val="center"/>
                </w:tcPr>
                <w:p w14:paraId="1AA89985">
                  <w:pPr>
                    <w:ind w:left="-80" w:leftChars="-38" w:right="-103" w:rightChars="-49"/>
                    <w:jc w:val="center"/>
                    <w:rPr>
                      <w:color w:val="auto"/>
                      <w:szCs w:val="21"/>
                      <w:highlight w:val="none"/>
                    </w:rPr>
                  </w:pPr>
                  <w:r>
                    <w:rPr>
                      <w:rFonts w:eastAsiaTheme="minorEastAsia"/>
                      <w:color w:val="auto"/>
                      <w:szCs w:val="21"/>
                      <w:highlight w:val="none"/>
                    </w:rPr>
                    <w:t>物料堆场</w:t>
                  </w:r>
                </w:p>
              </w:tc>
              <w:tc>
                <w:tcPr>
                  <w:tcW w:w="3666" w:type="pct"/>
                  <w:tcBorders>
                    <w:tl2br w:val="nil"/>
                    <w:tr2bl w:val="nil"/>
                  </w:tcBorders>
                  <w:vAlign w:val="center"/>
                </w:tcPr>
                <w:p w14:paraId="152FB612">
                  <w:pPr>
                    <w:rPr>
                      <w:color w:val="auto"/>
                      <w:szCs w:val="21"/>
                      <w:highlight w:val="none"/>
                    </w:rPr>
                  </w:pPr>
                  <w:r>
                    <w:rPr>
                      <w:rFonts w:eastAsiaTheme="minorEastAsia"/>
                      <w:color w:val="auto"/>
                      <w:highlight w:val="none"/>
                    </w:rPr>
                    <w:t>占地面积1</w:t>
                  </w:r>
                  <w:r>
                    <w:rPr>
                      <w:rFonts w:hint="eastAsia" w:eastAsiaTheme="minorEastAsia"/>
                      <w:color w:val="auto"/>
                      <w:highlight w:val="none"/>
                    </w:rPr>
                    <w:t>10</w:t>
                  </w:r>
                  <w:r>
                    <w:rPr>
                      <w:rFonts w:eastAsiaTheme="minorEastAsia"/>
                      <w:color w:val="auto"/>
                      <w:highlight w:val="none"/>
                    </w:rPr>
                    <w:t>0m</w:t>
                  </w:r>
                  <w:r>
                    <w:rPr>
                      <w:rFonts w:eastAsiaTheme="minorEastAsia"/>
                      <w:color w:val="auto"/>
                      <w:highlight w:val="none"/>
                      <w:vertAlign w:val="superscript"/>
                    </w:rPr>
                    <w:t>2</w:t>
                  </w:r>
                  <w:r>
                    <w:rPr>
                      <w:rFonts w:eastAsiaTheme="minorEastAsia"/>
                      <w:color w:val="auto"/>
                      <w:highlight w:val="none"/>
                    </w:rPr>
                    <w:t>，</w:t>
                  </w:r>
                  <w:r>
                    <w:rPr>
                      <w:rFonts w:eastAsiaTheme="minorEastAsia"/>
                      <w:color w:val="auto"/>
                      <w:szCs w:val="21"/>
                      <w:highlight w:val="none"/>
                    </w:rPr>
                    <w:t>主要用于临时存放钢筋及简单零件和</w:t>
                  </w:r>
                  <w:r>
                    <w:rPr>
                      <w:rFonts w:hint="eastAsia" w:eastAsiaTheme="minorEastAsia"/>
                      <w:color w:val="auto"/>
                      <w:szCs w:val="21"/>
                      <w:highlight w:val="none"/>
                      <w:lang w:eastAsia="zh-CN"/>
                    </w:rPr>
                    <w:t>金属构件</w:t>
                  </w:r>
                  <w:r>
                    <w:rPr>
                      <w:rFonts w:eastAsiaTheme="minorEastAsia"/>
                      <w:color w:val="auto"/>
                      <w:szCs w:val="21"/>
                      <w:highlight w:val="none"/>
                    </w:rPr>
                    <w:t>等。</w:t>
                  </w:r>
                </w:p>
              </w:tc>
            </w:tr>
            <w:tr w14:paraId="16D292A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62" w:hRule="atLeast"/>
                <w:jc w:val="center"/>
              </w:trPr>
              <w:tc>
                <w:tcPr>
                  <w:tcW w:w="485" w:type="pct"/>
                  <w:vMerge w:val="restart"/>
                  <w:tcBorders>
                    <w:tl2br w:val="nil"/>
                    <w:tr2bl w:val="nil"/>
                  </w:tcBorders>
                  <w:vAlign w:val="center"/>
                </w:tcPr>
                <w:p w14:paraId="7AA7352E">
                  <w:pPr>
                    <w:ind w:left="-105" w:leftChars="-50" w:right="-105" w:rightChars="-50"/>
                    <w:jc w:val="center"/>
                    <w:rPr>
                      <w:color w:val="auto"/>
                      <w:szCs w:val="21"/>
                      <w:highlight w:val="none"/>
                    </w:rPr>
                  </w:pPr>
                  <w:r>
                    <w:rPr>
                      <w:color w:val="auto"/>
                      <w:szCs w:val="21"/>
                      <w:highlight w:val="none"/>
                    </w:rPr>
                    <w:t>公用</w:t>
                  </w:r>
                </w:p>
                <w:p w14:paraId="63833B2C">
                  <w:pPr>
                    <w:ind w:left="-105" w:leftChars="-50" w:right="-105" w:rightChars="-50"/>
                    <w:jc w:val="center"/>
                    <w:rPr>
                      <w:color w:val="auto"/>
                      <w:szCs w:val="21"/>
                      <w:highlight w:val="none"/>
                    </w:rPr>
                  </w:pPr>
                  <w:r>
                    <w:rPr>
                      <w:color w:val="auto"/>
                      <w:szCs w:val="21"/>
                      <w:highlight w:val="none"/>
                    </w:rPr>
                    <w:t>工程</w:t>
                  </w:r>
                </w:p>
              </w:tc>
              <w:tc>
                <w:tcPr>
                  <w:tcW w:w="847" w:type="pct"/>
                  <w:tcBorders>
                    <w:tl2br w:val="nil"/>
                    <w:tr2bl w:val="nil"/>
                  </w:tcBorders>
                  <w:vAlign w:val="center"/>
                </w:tcPr>
                <w:p w14:paraId="3C64ABB1">
                  <w:pPr>
                    <w:ind w:left="-136" w:leftChars="-65" w:right="-88" w:rightChars="-42"/>
                    <w:jc w:val="center"/>
                    <w:rPr>
                      <w:color w:val="auto"/>
                      <w:szCs w:val="21"/>
                      <w:highlight w:val="none"/>
                    </w:rPr>
                  </w:pPr>
                  <w:r>
                    <w:rPr>
                      <w:color w:val="auto"/>
                      <w:szCs w:val="21"/>
                      <w:highlight w:val="none"/>
                    </w:rPr>
                    <w:t>供水</w:t>
                  </w:r>
                </w:p>
              </w:tc>
              <w:tc>
                <w:tcPr>
                  <w:tcW w:w="3666" w:type="pct"/>
                  <w:tcBorders>
                    <w:tl2br w:val="nil"/>
                    <w:tr2bl w:val="nil"/>
                  </w:tcBorders>
                  <w:vAlign w:val="center"/>
                </w:tcPr>
                <w:p w14:paraId="0E6057EC">
                  <w:pPr>
                    <w:rPr>
                      <w:color w:val="auto"/>
                      <w:szCs w:val="21"/>
                      <w:highlight w:val="none"/>
                    </w:rPr>
                  </w:pPr>
                  <w:r>
                    <w:rPr>
                      <w:color w:val="auto"/>
                      <w:szCs w:val="21"/>
                      <w:highlight w:val="none"/>
                    </w:rPr>
                    <w:t>施工用水采用水罐车或水箱运输</w:t>
                  </w:r>
                </w:p>
              </w:tc>
            </w:tr>
            <w:tr w14:paraId="03EF225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9" w:hRule="atLeast"/>
                <w:jc w:val="center"/>
              </w:trPr>
              <w:tc>
                <w:tcPr>
                  <w:tcW w:w="485" w:type="pct"/>
                  <w:vMerge w:val="continue"/>
                  <w:tcBorders>
                    <w:tl2br w:val="nil"/>
                    <w:tr2bl w:val="nil"/>
                  </w:tcBorders>
                  <w:vAlign w:val="center"/>
                </w:tcPr>
                <w:p w14:paraId="3EE4159D">
                  <w:pPr>
                    <w:ind w:left="-105" w:leftChars="-50" w:right="-105" w:rightChars="-50"/>
                    <w:jc w:val="center"/>
                    <w:rPr>
                      <w:color w:val="auto"/>
                      <w:szCs w:val="21"/>
                      <w:highlight w:val="none"/>
                    </w:rPr>
                  </w:pPr>
                </w:p>
              </w:tc>
              <w:tc>
                <w:tcPr>
                  <w:tcW w:w="847" w:type="pct"/>
                  <w:tcBorders>
                    <w:tl2br w:val="nil"/>
                    <w:tr2bl w:val="nil"/>
                  </w:tcBorders>
                  <w:vAlign w:val="center"/>
                </w:tcPr>
                <w:p w14:paraId="4F1DEB8C">
                  <w:pPr>
                    <w:ind w:left="-136" w:leftChars="-65" w:right="-88" w:rightChars="-42"/>
                    <w:jc w:val="center"/>
                    <w:rPr>
                      <w:color w:val="auto"/>
                      <w:szCs w:val="21"/>
                      <w:highlight w:val="none"/>
                    </w:rPr>
                  </w:pPr>
                  <w:r>
                    <w:rPr>
                      <w:color w:val="auto"/>
                      <w:szCs w:val="21"/>
                      <w:highlight w:val="none"/>
                    </w:rPr>
                    <w:t>供电</w:t>
                  </w:r>
                </w:p>
              </w:tc>
              <w:tc>
                <w:tcPr>
                  <w:tcW w:w="3666" w:type="pct"/>
                  <w:tcBorders>
                    <w:tl2br w:val="nil"/>
                    <w:tr2bl w:val="nil"/>
                  </w:tcBorders>
                  <w:vAlign w:val="center"/>
                </w:tcPr>
                <w:p w14:paraId="49E22696">
                  <w:pPr>
                    <w:rPr>
                      <w:color w:val="auto"/>
                      <w:szCs w:val="21"/>
                      <w:highlight w:val="none"/>
                    </w:rPr>
                  </w:pPr>
                  <w:r>
                    <w:rPr>
                      <w:color w:val="auto"/>
                      <w:szCs w:val="21"/>
                      <w:highlight w:val="none"/>
                    </w:rPr>
                    <w:t>施工用电就近从附近村庄引接</w:t>
                  </w:r>
                </w:p>
              </w:tc>
            </w:tr>
            <w:tr w14:paraId="7A7F891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9" w:hRule="atLeast"/>
                <w:jc w:val="center"/>
              </w:trPr>
              <w:tc>
                <w:tcPr>
                  <w:tcW w:w="485" w:type="pct"/>
                  <w:vMerge w:val="continue"/>
                  <w:tcBorders>
                    <w:tl2br w:val="nil"/>
                    <w:tr2bl w:val="nil"/>
                  </w:tcBorders>
                  <w:vAlign w:val="center"/>
                </w:tcPr>
                <w:p w14:paraId="0804E88E">
                  <w:pPr>
                    <w:ind w:left="-105" w:leftChars="-50" w:right="-105" w:rightChars="-50"/>
                    <w:jc w:val="center"/>
                    <w:rPr>
                      <w:color w:val="auto"/>
                      <w:szCs w:val="21"/>
                      <w:highlight w:val="none"/>
                    </w:rPr>
                  </w:pPr>
                </w:p>
              </w:tc>
              <w:tc>
                <w:tcPr>
                  <w:tcW w:w="847" w:type="pct"/>
                  <w:tcBorders>
                    <w:tl2br w:val="nil"/>
                    <w:tr2bl w:val="nil"/>
                  </w:tcBorders>
                  <w:vAlign w:val="center"/>
                </w:tcPr>
                <w:p w14:paraId="3F5A429D">
                  <w:pPr>
                    <w:ind w:left="-136" w:leftChars="-65" w:right="-88" w:rightChars="-42"/>
                    <w:jc w:val="center"/>
                    <w:rPr>
                      <w:color w:val="auto"/>
                      <w:szCs w:val="21"/>
                      <w:highlight w:val="none"/>
                    </w:rPr>
                  </w:pPr>
                  <w:r>
                    <w:rPr>
                      <w:color w:val="auto"/>
                      <w:szCs w:val="21"/>
                      <w:highlight w:val="none"/>
                    </w:rPr>
                    <w:t>采暖</w:t>
                  </w:r>
                </w:p>
              </w:tc>
              <w:tc>
                <w:tcPr>
                  <w:tcW w:w="3666" w:type="pct"/>
                  <w:tcBorders>
                    <w:tl2br w:val="nil"/>
                    <w:tr2bl w:val="nil"/>
                  </w:tcBorders>
                  <w:vAlign w:val="center"/>
                </w:tcPr>
                <w:p w14:paraId="04BA4F44">
                  <w:pPr>
                    <w:rPr>
                      <w:color w:val="auto"/>
                      <w:szCs w:val="21"/>
                      <w:highlight w:val="none"/>
                    </w:rPr>
                  </w:pPr>
                  <w:r>
                    <w:rPr>
                      <w:color w:val="auto"/>
                      <w:highlight w:val="none"/>
                    </w:rPr>
                    <w:t>冬季采用电暖器采暖</w:t>
                  </w:r>
                </w:p>
              </w:tc>
            </w:tr>
            <w:tr w14:paraId="4349F05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485" w:type="pct"/>
                  <w:vMerge w:val="restart"/>
                  <w:tcBorders>
                    <w:tl2br w:val="nil"/>
                    <w:tr2bl w:val="nil"/>
                  </w:tcBorders>
                  <w:vAlign w:val="center"/>
                </w:tcPr>
                <w:p w14:paraId="09BB29B3">
                  <w:pPr>
                    <w:ind w:left="-105" w:leftChars="-50" w:right="-105" w:rightChars="-50"/>
                    <w:jc w:val="center"/>
                    <w:rPr>
                      <w:color w:val="auto"/>
                      <w:szCs w:val="21"/>
                      <w:highlight w:val="none"/>
                    </w:rPr>
                  </w:pPr>
                  <w:r>
                    <w:rPr>
                      <w:color w:val="auto"/>
                      <w:szCs w:val="21"/>
                      <w:highlight w:val="none"/>
                    </w:rPr>
                    <w:t>环保</w:t>
                  </w:r>
                </w:p>
                <w:p w14:paraId="6C3B72B2">
                  <w:pPr>
                    <w:ind w:left="-105" w:leftChars="-50" w:right="-105" w:rightChars="-50"/>
                    <w:jc w:val="center"/>
                    <w:rPr>
                      <w:color w:val="auto"/>
                      <w:szCs w:val="21"/>
                      <w:highlight w:val="none"/>
                    </w:rPr>
                  </w:pPr>
                  <w:r>
                    <w:rPr>
                      <w:color w:val="auto"/>
                      <w:szCs w:val="21"/>
                      <w:highlight w:val="none"/>
                    </w:rPr>
                    <w:t>工程</w:t>
                  </w:r>
                </w:p>
              </w:tc>
              <w:tc>
                <w:tcPr>
                  <w:tcW w:w="847" w:type="pct"/>
                  <w:vMerge w:val="restart"/>
                  <w:tcBorders>
                    <w:tl2br w:val="nil"/>
                    <w:tr2bl w:val="nil"/>
                  </w:tcBorders>
                  <w:vAlign w:val="center"/>
                </w:tcPr>
                <w:p w14:paraId="3FABF91F">
                  <w:pPr>
                    <w:jc w:val="center"/>
                    <w:rPr>
                      <w:color w:val="auto"/>
                      <w:szCs w:val="21"/>
                      <w:highlight w:val="none"/>
                    </w:rPr>
                  </w:pPr>
                  <w:r>
                    <w:rPr>
                      <w:color w:val="auto"/>
                      <w:szCs w:val="21"/>
                      <w:highlight w:val="none"/>
                    </w:rPr>
                    <w:t>废气</w:t>
                  </w:r>
                </w:p>
              </w:tc>
              <w:tc>
                <w:tcPr>
                  <w:tcW w:w="3666" w:type="pct"/>
                  <w:tcBorders>
                    <w:tl2br w:val="nil"/>
                    <w:tr2bl w:val="nil"/>
                  </w:tcBorders>
                  <w:vAlign w:val="center"/>
                </w:tcPr>
                <w:p w14:paraId="4380E7D0">
                  <w:pPr>
                    <w:rPr>
                      <w:color w:val="auto"/>
                      <w:szCs w:val="21"/>
                      <w:highlight w:val="none"/>
                    </w:rPr>
                  </w:pPr>
                  <w:r>
                    <w:rPr>
                      <w:bCs/>
                      <w:color w:val="auto"/>
                      <w:szCs w:val="21"/>
                      <w:highlight w:val="none"/>
                    </w:rPr>
                    <w:t>砂石料堆场进行苫盖，定期洒水抑尘</w:t>
                  </w:r>
                </w:p>
              </w:tc>
            </w:tr>
            <w:tr w14:paraId="312A2C6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485" w:type="pct"/>
                  <w:vMerge w:val="continue"/>
                  <w:tcBorders>
                    <w:tl2br w:val="nil"/>
                    <w:tr2bl w:val="nil"/>
                  </w:tcBorders>
                  <w:vAlign w:val="center"/>
                </w:tcPr>
                <w:p w14:paraId="06959139">
                  <w:pPr>
                    <w:ind w:left="-105" w:leftChars="-50" w:right="-105" w:rightChars="-50"/>
                    <w:jc w:val="center"/>
                    <w:rPr>
                      <w:color w:val="auto"/>
                      <w:szCs w:val="21"/>
                      <w:highlight w:val="none"/>
                    </w:rPr>
                  </w:pPr>
                </w:p>
              </w:tc>
              <w:tc>
                <w:tcPr>
                  <w:tcW w:w="847" w:type="pct"/>
                  <w:vMerge w:val="continue"/>
                  <w:tcBorders>
                    <w:tl2br w:val="nil"/>
                    <w:tr2bl w:val="nil"/>
                  </w:tcBorders>
                  <w:vAlign w:val="center"/>
                </w:tcPr>
                <w:p w14:paraId="32F0EEDB">
                  <w:pPr>
                    <w:jc w:val="center"/>
                    <w:rPr>
                      <w:color w:val="auto"/>
                      <w:szCs w:val="21"/>
                      <w:highlight w:val="none"/>
                    </w:rPr>
                  </w:pPr>
                </w:p>
              </w:tc>
              <w:tc>
                <w:tcPr>
                  <w:tcW w:w="3666" w:type="pct"/>
                  <w:tcBorders>
                    <w:tl2br w:val="nil"/>
                    <w:tr2bl w:val="nil"/>
                  </w:tcBorders>
                  <w:vAlign w:val="center"/>
                </w:tcPr>
                <w:p w14:paraId="60081568">
                  <w:pPr>
                    <w:rPr>
                      <w:bCs/>
                      <w:color w:val="auto"/>
                      <w:szCs w:val="21"/>
                      <w:highlight w:val="none"/>
                    </w:rPr>
                  </w:pPr>
                  <w:r>
                    <w:rPr>
                      <w:color w:val="auto"/>
                      <w:highlight w:val="none"/>
                    </w:rPr>
                    <w:t>综合加工区钢筋及简单零件和</w:t>
                  </w:r>
                  <w:r>
                    <w:rPr>
                      <w:rFonts w:hint="eastAsia" w:eastAsia="宋体"/>
                      <w:color w:val="auto"/>
                      <w:highlight w:val="none"/>
                      <w:lang w:eastAsia="zh-CN"/>
                    </w:rPr>
                    <w:t>金属构件</w:t>
                  </w:r>
                  <w:r>
                    <w:rPr>
                      <w:color w:val="auto"/>
                      <w:highlight w:val="none"/>
                    </w:rPr>
                    <w:t>的加工需配套移动式焊接烟尘净化器</w:t>
                  </w:r>
                </w:p>
              </w:tc>
            </w:tr>
            <w:tr w14:paraId="16D3F76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485" w:type="pct"/>
                  <w:vMerge w:val="continue"/>
                  <w:tcBorders>
                    <w:tl2br w:val="nil"/>
                    <w:tr2bl w:val="nil"/>
                  </w:tcBorders>
                  <w:vAlign w:val="center"/>
                </w:tcPr>
                <w:p w14:paraId="39F6E574">
                  <w:pPr>
                    <w:ind w:left="-105" w:leftChars="-50" w:right="-105" w:rightChars="-50"/>
                    <w:jc w:val="center"/>
                    <w:rPr>
                      <w:color w:val="auto"/>
                      <w:szCs w:val="21"/>
                      <w:highlight w:val="none"/>
                    </w:rPr>
                  </w:pPr>
                </w:p>
              </w:tc>
              <w:tc>
                <w:tcPr>
                  <w:tcW w:w="847" w:type="pct"/>
                  <w:tcBorders>
                    <w:tl2br w:val="nil"/>
                    <w:tr2bl w:val="nil"/>
                  </w:tcBorders>
                  <w:vAlign w:val="center"/>
                </w:tcPr>
                <w:p w14:paraId="4FCD7226">
                  <w:pPr>
                    <w:jc w:val="center"/>
                    <w:rPr>
                      <w:color w:val="auto"/>
                      <w:szCs w:val="21"/>
                      <w:highlight w:val="none"/>
                    </w:rPr>
                  </w:pPr>
                  <w:r>
                    <w:rPr>
                      <w:color w:val="auto"/>
                      <w:szCs w:val="21"/>
                      <w:highlight w:val="none"/>
                    </w:rPr>
                    <w:t>废水</w:t>
                  </w:r>
                </w:p>
              </w:tc>
              <w:tc>
                <w:tcPr>
                  <w:tcW w:w="3666" w:type="pct"/>
                  <w:tcBorders>
                    <w:tl2br w:val="nil"/>
                    <w:tr2bl w:val="nil"/>
                  </w:tcBorders>
                  <w:vAlign w:val="center"/>
                </w:tcPr>
                <w:p w14:paraId="17A101EF">
                  <w:pPr>
                    <w:rPr>
                      <w:rFonts w:hint="eastAsia" w:eastAsia="宋体"/>
                      <w:color w:val="auto"/>
                      <w:szCs w:val="21"/>
                      <w:highlight w:val="none"/>
                      <w:lang w:eastAsia="zh-CN"/>
                    </w:rPr>
                  </w:pPr>
                  <w:r>
                    <w:rPr>
                      <w:color w:val="auto"/>
                      <w:szCs w:val="21"/>
                      <w:highlight w:val="none"/>
                    </w:rPr>
                    <w:t>施工临建区设置1座旱厕</w:t>
                  </w:r>
                  <w:r>
                    <w:rPr>
                      <w:rFonts w:hint="eastAsia" w:eastAsia="宋体"/>
                      <w:color w:val="auto"/>
                      <w:szCs w:val="21"/>
                      <w:highlight w:val="none"/>
                      <w:lang w:eastAsia="zh-CN"/>
                    </w:rPr>
                    <w:t>，设置沉淀池1座。</w:t>
                  </w:r>
                </w:p>
              </w:tc>
            </w:tr>
            <w:tr w14:paraId="2E6D676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485" w:type="pct"/>
                  <w:vMerge w:val="continue"/>
                  <w:tcBorders>
                    <w:tl2br w:val="nil"/>
                    <w:tr2bl w:val="nil"/>
                  </w:tcBorders>
                  <w:vAlign w:val="center"/>
                </w:tcPr>
                <w:p w14:paraId="5CC7127E">
                  <w:pPr>
                    <w:ind w:left="-105" w:leftChars="-50" w:right="-105" w:rightChars="-50"/>
                    <w:jc w:val="center"/>
                    <w:rPr>
                      <w:color w:val="auto"/>
                      <w:szCs w:val="21"/>
                      <w:highlight w:val="none"/>
                    </w:rPr>
                  </w:pPr>
                </w:p>
              </w:tc>
              <w:tc>
                <w:tcPr>
                  <w:tcW w:w="847" w:type="pct"/>
                  <w:tcBorders>
                    <w:tl2br w:val="nil"/>
                    <w:tr2bl w:val="nil"/>
                  </w:tcBorders>
                  <w:vAlign w:val="center"/>
                </w:tcPr>
                <w:p w14:paraId="5C1D5113">
                  <w:pPr>
                    <w:jc w:val="center"/>
                    <w:rPr>
                      <w:color w:val="auto"/>
                      <w:szCs w:val="21"/>
                      <w:highlight w:val="none"/>
                    </w:rPr>
                  </w:pPr>
                  <w:r>
                    <w:rPr>
                      <w:color w:val="auto"/>
                      <w:szCs w:val="21"/>
                      <w:highlight w:val="none"/>
                    </w:rPr>
                    <w:t>噪声</w:t>
                  </w:r>
                </w:p>
              </w:tc>
              <w:tc>
                <w:tcPr>
                  <w:tcW w:w="3666" w:type="pct"/>
                  <w:tcBorders>
                    <w:tl2br w:val="nil"/>
                    <w:tr2bl w:val="nil"/>
                  </w:tcBorders>
                  <w:vAlign w:val="center"/>
                </w:tcPr>
                <w:p w14:paraId="6BBC35EB">
                  <w:pPr>
                    <w:rPr>
                      <w:color w:val="auto"/>
                      <w:szCs w:val="21"/>
                      <w:highlight w:val="none"/>
                    </w:rPr>
                  </w:pPr>
                  <w:r>
                    <w:rPr>
                      <w:color w:val="auto"/>
                      <w:szCs w:val="21"/>
                      <w:highlight w:val="none"/>
                    </w:rPr>
                    <w:t>建筑隔声、基础减振</w:t>
                  </w:r>
                </w:p>
              </w:tc>
            </w:tr>
            <w:tr w14:paraId="4FCEDC9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485" w:type="pct"/>
                  <w:vMerge w:val="continue"/>
                  <w:tcBorders>
                    <w:tl2br w:val="nil"/>
                    <w:tr2bl w:val="nil"/>
                  </w:tcBorders>
                  <w:vAlign w:val="center"/>
                </w:tcPr>
                <w:p w14:paraId="36252ED7">
                  <w:pPr>
                    <w:ind w:left="-105" w:leftChars="-50" w:right="-105" w:rightChars="-50"/>
                    <w:jc w:val="center"/>
                    <w:rPr>
                      <w:color w:val="auto"/>
                      <w:szCs w:val="21"/>
                      <w:highlight w:val="none"/>
                    </w:rPr>
                  </w:pPr>
                </w:p>
              </w:tc>
              <w:tc>
                <w:tcPr>
                  <w:tcW w:w="847" w:type="pct"/>
                  <w:tcBorders>
                    <w:tl2br w:val="nil"/>
                    <w:tr2bl w:val="nil"/>
                  </w:tcBorders>
                  <w:vAlign w:val="center"/>
                </w:tcPr>
                <w:p w14:paraId="4B82C612">
                  <w:pPr>
                    <w:jc w:val="center"/>
                    <w:rPr>
                      <w:color w:val="auto"/>
                      <w:szCs w:val="21"/>
                      <w:highlight w:val="none"/>
                    </w:rPr>
                  </w:pPr>
                  <w:r>
                    <w:rPr>
                      <w:color w:val="auto"/>
                      <w:szCs w:val="21"/>
                      <w:highlight w:val="none"/>
                    </w:rPr>
                    <w:t>固废</w:t>
                  </w:r>
                </w:p>
              </w:tc>
              <w:tc>
                <w:tcPr>
                  <w:tcW w:w="3666" w:type="pct"/>
                  <w:tcBorders>
                    <w:tl2br w:val="nil"/>
                    <w:tr2bl w:val="nil"/>
                  </w:tcBorders>
                  <w:vAlign w:val="center"/>
                </w:tcPr>
                <w:p w14:paraId="72F583D1">
                  <w:pPr>
                    <w:rPr>
                      <w:color w:val="auto"/>
                      <w:szCs w:val="21"/>
                      <w:highlight w:val="none"/>
                    </w:rPr>
                  </w:pPr>
                  <w:r>
                    <w:rPr>
                      <w:color w:val="auto"/>
                      <w:szCs w:val="21"/>
                      <w:highlight w:val="none"/>
                    </w:rPr>
                    <w:t>生活垃圾集中收集后送环卫部门</w:t>
                  </w:r>
                  <w:r>
                    <w:rPr>
                      <w:rFonts w:hint="eastAsia" w:eastAsia="宋体"/>
                      <w:color w:val="auto"/>
                      <w:szCs w:val="21"/>
                      <w:highlight w:val="none"/>
                      <w:lang w:eastAsia="zh-CN"/>
                    </w:rPr>
                    <w:t>指定</w:t>
                  </w:r>
                  <w:r>
                    <w:rPr>
                      <w:color w:val="auto"/>
                      <w:szCs w:val="21"/>
                      <w:highlight w:val="none"/>
                    </w:rPr>
                    <w:t>地点堆放</w:t>
                  </w:r>
                </w:p>
              </w:tc>
            </w:tr>
            <w:tr w14:paraId="01C06B0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485" w:type="pct"/>
                  <w:vMerge w:val="continue"/>
                  <w:tcBorders>
                    <w:tl2br w:val="nil"/>
                    <w:tr2bl w:val="nil"/>
                  </w:tcBorders>
                  <w:vAlign w:val="center"/>
                </w:tcPr>
                <w:p w14:paraId="4DF25E42">
                  <w:pPr>
                    <w:rPr>
                      <w:color w:val="auto"/>
                      <w:szCs w:val="21"/>
                      <w:highlight w:val="none"/>
                    </w:rPr>
                  </w:pPr>
                </w:p>
              </w:tc>
              <w:tc>
                <w:tcPr>
                  <w:tcW w:w="847" w:type="pct"/>
                  <w:tcBorders>
                    <w:tl2br w:val="nil"/>
                    <w:tr2bl w:val="nil"/>
                  </w:tcBorders>
                  <w:vAlign w:val="center"/>
                </w:tcPr>
                <w:p w14:paraId="6616E10B">
                  <w:pPr>
                    <w:jc w:val="center"/>
                    <w:rPr>
                      <w:color w:val="auto"/>
                      <w:szCs w:val="21"/>
                      <w:highlight w:val="none"/>
                    </w:rPr>
                  </w:pPr>
                  <w:r>
                    <w:rPr>
                      <w:color w:val="auto"/>
                      <w:szCs w:val="21"/>
                      <w:highlight w:val="none"/>
                    </w:rPr>
                    <w:t>生态</w:t>
                  </w:r>
                </w:p>
              </w:tc>
              <w:tc>
                <w:tcPr>
                  <w:tcW w:w="3666" w:type="pct"/>
                  <w:tcBorders>
                    <w:tl2br w:val="nil"/>
                    <w:tr2bl w:val="nil"/>
                  </w:tcBorders>
                  <w:vAlign w:val="center"/>
                </w:tcPr>
                <w:p w14:paraId="16C43F63">
                  <w:pPr>
                    <w:rPr>
                      <w:color w:val="auto"/>
                      <w:szCs w:val="21"/>
                      <w:highlight w:val="none"/>
                    </w:rPr>
                  </w:pPr>
                  <w:r>
                    <w:rPr>
                      <w:color w:val="auto"/>
                      <w:szCs w:val="21"/>
                      <w:highlight w:val="none"/>
                    </w:rPr>
                    <w:t>施工结束后</w:t>
                  </w:r>
                  <w:r>
                    <w:rPr>
                      <w:bCs/>
                      <w:color w:val="auto"/>
                      <w:szCs w:val="21"/>
                      <w:highlight w:val="none"/>
                    </w:rPr>
                    <w:t>及时进行土地平整，表土回填，通过</w:t>
                  </w:r>
                  <w:r>
                    <w:rPr>
                      <w:color w:val="auto"/>
                      <w:szCs w:val="21"/>
                      <w:highlight w:val="none"/>
                    </w:rPr>
                    <w:t>播撒草籽进行植被恢复</w:t>
                  </w:r>
                </w:p>
              </w:tc>
            </w:tr>
          </w:tbl>
          <w:p w14:paraId="75FB9066">
            <w:pPr>
              <w:spacing w:line="480" w:lineRule="exact"/>
              <w:ind w:firstLine="480" w:firstLineChars="200"/>
              <w:rPr>
                <w:color w:val="auto"/>
                <w:sz w:val="24"/>
                <w:highlight w:val="none"/>
              </w:rPr>
            </w:pPr>
          </w:p>
        </w:tc>
      </w:tr>
      <w:tr w14:paraId="7ACD0C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0" w:type="dxa"/>
            <w:vAlign w:val="center"/>
          </w:tcPr>
          <w:p w14:paraId="2220C4F6">
            <w:pPr>
              <w:adjustRightInd w:val="0"/>
              <w:snapToGrid w:val="0"/>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施工方案</w:t>
            </w:r>
          </w:p>
        </w:tc>
        <w:tc>
          <w:tcPr>
            <w:tcW w:w="8380" w:type="dxa"/>
          </w:tcPr>
          <w:p w14:paraId="5E30CA3C">
            <w:pPr>
              <w:spacing w:line="480" w:lineRule="exact"/>
              <w:ind w:firstLine="480" w:firstLineChars="200"/>
              <w:jc w:val="left"/>
              <w:textAlignment w:val="baseline"/>
              <w:rPr>
                <w:color w:val="auto"/>
                <w:sz w:val="24"/>
                <w:highlight w:val="none"/>
              </w:rPr>
            </w:pPr>
            <w:r>
              <w:rPr>
                <w:rFonts w:hint="eastAsia"/>
                <w:color w:val="auto"/>
                <w:sz w:val="24"/>
                <w:highlight w:val="none"/>
              </w:rPr>
              <w:t>1、施工工期</w:t>
            </w:r>
          </w:p>
          <w:p w14:paraId="10CB5AD5">
            <w:pPr>
              <w:spacing w:line="480" w:lineRule="exact"/>
              <w:ind w:firstLine="480" w:firstLineChars="200"/>
              <w:jc w:val="left"/>
              <w:textAlignment w:val="baseline"/>
              <w:rPr>
                <w:color w:val="auto"/>
                <w:sz w:val="24"/>
                <w:highlight w:val="none"/>
              </w:rPr>
            </w:pPr>
            <w:r>
              <w:rPr>
                <w:rFonts w:hint="eastAsia"/>
                <w:color w:val="auto"/>
                <w:sz w:val="24"/>
                <w:highlight w:val="none"/>
              </w:rPr>
              <w:t>风电场的建设主要包括施工准备、风机的基础建设和设备安装、集电线路施工、塔基安装、线路架设和设备调试等。本项目工程总工期为</w:t>
            </w:r>
            <w:r>
              <w:rPr>
                <w:rFonts w:hint="eastAsia" w:ascii="Times New Roman" w:eastAsia="宋体"/>
                <w:color w:val="auto"/>
                <w:sz w:val="24"/>
                <w:highlight w:val="none"/>
                <w:lang w:val="en-US" w:eastAsia="zh-CN"/>
              </w:rPr>
              <w:t>12</w:t>
            </w:r>
            <w:r>
              <w:rPr>
                <w:rFonts w:hint="eastAsia"/>
                <w:color w:val="auto"/>
                <w:sz w:val="24"/>
                <w:highlight w:val="none"/>
              </w:rPr>
              <w:t>个月。本项目施工时序、主要施工机械见下表。</w:t>
            </w:r>
          </w:p>
          <w:p w14:paraId="1268626C">
            <w:pPr>
              <w:pStyle w:val="20"/>
              <w:rPr>
                <w:color w:val="auto"/>
                <w:highlight w:val="none"/>
              </w:rPr>
            </w:pPr>
            <w:r>
              <w:rPr>
                <w:color w:val="auto"/>
                <w:highlight w:val="none"/>
              </w:rPr>
              <w:t>表</w:t>
            </w:r>
            <w:r>
              <w:rPr>
                <w:rFonts w:hint="eastAsia" w:ascii="黑体" w:hAnsi="黑体" w:eastAsia="黑体" w:cs="黑体"/>
                <w:color w:val="auto"/>
                <w:highlight w:val="none"/>
              </w:rPr>
              <w:t>2-</w:t>
            </w:r>
            <w:r>
              <w:rPr>
                <w:rFonts w:hint="eastAsia" w:ascii="黑体" w:hAnsi="黑体" w:cs="黑体"/>
                <w:color w:val="auto"/>
                <w:highlight w:val="none"/>
                <w:lang w:val="en-US" w:eastAsia="zh-CN"/>
              </w:rPr>
              <w:t>8</w:t>
            </w:r>
            <w:r>
              <w:rPr>
                <w:color w:val="auto"/>
                <w:highlight w:val="none"/>
              </w:rPr>
              <w:t xml:space="preserve">    施工时序</w:t>
            </w:r>
          </w:p>
          <w:tbl>
            <w:tblPr>
              <w:tblStyle w:val="1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44"/>
              <w:gridCol w:w="1047"/>
              <w:gridCol w:w="1049"/>
              <w:gridCol w:w="1049"/>
              <w:gridCol w:w="1051"/>
              <w:gridCol w:w="1051"/>
              <w:gridCol w:w="1065"/>
            </w:tblGrid>
            <w:tr w14:paraId="0093CC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30" w:type="pct"/>
                  <w:vMerge w:val="restart"/>
                  <w:vAlign w:val="center"/>
                </w:tcPr>
                <w:p w14:paraId="49947D9C">
                  <w:pPr>
                    <w:jc w:val="center"/>
                    <w:rPr>
                      <w:color w:val="auto"/>
                      <w:highlight w:val="none"/>
                    </w:rPr>
                  </w:pPr>
                  <w:r>
                    <w:rPr>
                      <w:color w:val="auto"/>
                      <w:highlight w:val="none"/>
                    </w:rPr>
                    <w:t>施工内容</w:t>
                  </w:r>
                </w:p>
              </w:tc>
              <w:tc>
                <w:tcPr>
                  <w:tcW w:w="3869" w:type="pct"/>
                  <w:gridSpan w:val="6"/>
                  <w:vAlign w:val="center"/>
                </w:tcPr>
                <w:p w14:paraId="60A3A23C">
                  <w:pPr>
                    <w:jc w:val="center"/>
                    <w:rPr>
                      <w:color w:val="auto"/>
                      <w:highlight w:val="none"/>
                    </w:rPr>
                  </w:pPr>
                  <w:r>
                    <w:rPr>
                      <w:color w:val="auto"/>
                      <w:highlight w:val="none"/>
                    </w:rPr>
                    <w:t>施工进度</w:t>
                  </w:r>
                </w:p>
              </w:tc>
            </w:tr>
            <w:tr w14:paraId="3E815C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30" w:type="pct"/>
                  <w:vMerge w:val="continue"/>
                  <w:vAlign w:val="center"/>
                </w:tcPr>
                <w:p w14:paraId="41179D97">
                  <w:pPr>
                    <w:jc w:val="center"/>
                    <w:rPr>
                      <w:color w:val="auto"/>
                      <w:highlight w:val="none"/>
                    </w:rPr>
                  </w:pPr>
                </w:p>
              </w:tc>
              <w:tc>
                <w:tcPr>
                  <w:tcW w:w="642" w:type="pct"/>
                  <w:vAlign w:val="center"/>
                </w:tcPr>
                <w:p w14:paraId="420571B7">
                  <w:pPr>
                    <w:adjustRightInd w:val="0"/>
                    <w:snapToGrid w:val="0"/>
                    <w:jc w:val="center"/>
                    <w:rPr>
                      <w:color w:val="auto"/>
                      <w:highlight w:val="none"/>
                    </w:rPr>
                  </w:pPr>
                  <w:r>
                    <w:rPr>
                      <w:color w:val="auto"/>
                      <w:highlight w:val="none"/>
                    </w:rPr>
                    <w:t>1</w:t>
                  </w:r>
                  <w:r>
                    <w:rPr>
                      <w:rFonts w:hint="eastAsia" w:ascii="Times New Roman" w:eastAsia="宋体"/>
                      <w:color w:val="auto"/>
                      <w:highlight w:val="none"/>
                      <w:lang w:val="en-US" w:eastAsia="zh-CN"/>
                    </w:rPr>
                    <w:t>~2</w:t>
                  </w:r>
                  <w:r>
                    <w:rPr>
                      <w:color w:val="auto"/>
                      <w:highlight w:val="none"/>
                    </w:rPr>
                    <w:t>月</w:t>
                  </w:r>
                </w:p>
              </w:tc>
              <w:tc>
                <w:tcPr>
                  <w:tcW w:w="643" w:type="pct"/>
                  <w:vAlign w:val="center"/>
                </w:tcPr>
                <w:p w14:paraId="65E83FD6">
                  <w:pPr>
                    <w:adjustRightInd w:val="0"/>
                    <w:snapToGrid w:val="0"/>
                    <w:jc w:val="center"/>
                    <w:rPr>
                      <w:color w:val="auto"/>
                      <w:highlight w:val="none"/>
                    </w:rPr>
                  </w:pPr>
                  <w:r>
                    <w:rPr>
                      <w:rFonts w:hint="eastAsia" w:ascii="Times New Roman" w:eastAsia="宋体"/>
                      <w:color w:val="auto"/>
                      <w:highlight w:val="none"/>
                      <w:lang w:val="en-US" w:eastAsia="zh-CN"/>
                    </w:rPr>
                    <w:t>3~4</w:t>
                  </w:r>
                  <w:r>
                    <w:rPr>
                      <w:color w:val="auto"/>
                      <w:highlight w:val="none"/>
                    </w:rPr>
                    <w:t>月</w:t>
                  </w:r>
                </w:p>
              </w:tc>
              <w:tc>
                <w:tcPr>
                  <w:tcW w:w="643" w:type="pct"/>
                  <w:vAlign w:val="center"/>
                </w:tcPr>
                <w:p w14:paraId="19E5E417">
                  <w:pPr>
                    <w:adjustRightInd w:val="0"/>
                    <w:snapToGrid w:val="0"/>
                    <w:jc w:val="center"/>
                    <w:rPr>
                      <w:color w:val="auto"/>
                      <w:highlight w:val="none"/>
                    </w:rPr>
                  </w:pPr>
                  <w:r>
                    <w:rPr>
                      <w:rFonts w:hint="eastAsia" w:ascii="Times New Roman" w:eastAsia="宋体"/>
                      <w:color w:val="auto"/>
                      <w:highlight w:val="none"/>
                      <w:lang w:val="en-US" w:eastAsia="zh-CN"/>
                    </w:rPr>
                    <w:t>5~6</w:t>
                  </w:r>
                  <w:r>
                    <w:rPr>
                      <w:color w:val="auto"/>
                      <w:highlight w:val="none"/>
                    </w:rPr>
                    <w:t>月</w:t>
                  </w:r>
                </w:p>
              </w:tc>
              <w:tc>
                <w:tcPr>
                  <w:tcW w:w="644" w:type="pct"/>
                  <w:vAlign w:val="center"/>
                </w:tcPr>
                <w:p w14:paraId="236BF6B0">
                  <w:pPr>
                    <w:adjustRightInd w:val="0"/>
                    <w:snapToGrid w:val="0"/>
                    <w:jc w:val="center"/>
                    <w:rPr>
                      <w:color w:val="auto"/>
                      <w:highlight w:val="none"/>
                    </w:rPr>
                  </w:pPr>
                  <w:r>
                    <w:rPr>
                      <w:rFonts w:hint="eastAsia" w:ascii="Times New Roman" w:eastAsia="宋体"/>
                      <w:color w:val="auto"/>
                      <w:highlight w:val="none"/>
                      <w:lang w:val="en-US" w:eastAsia="zh-CN"/>
                    </w:rPr>
                    <w:t>7~8</w:t>
                  </w:r>
                  <w:r>
                    <w:rPr>
                      <w:color w:val="auto"/>
                      <w:highlight w:val="none"/>
                    </w:rPr>
                    <w:t>月</w:t>
                  </w:r>
                </w:p>
              </w:tc>
              <w:tc>
                <w:tcPr>
                  <w:tcW w:w="644" w:type="pct"/>
                  <w:vAlign w:val="center"/>
                </w:tcPr>
                <w:p w14:paraId="7FE3777B">
                  <w:pPr>
                    <w:adjustRightInd w:val="0"/>
                    <w:snapToGrid w:val="0"/>
                    <w:jc w:val="center"/>
                    <w:rPr>
                      <w:color w:val="auto"/>
                      <w:highlight w:val="none"/>
                    </w:rPr>
                  </w:pPr>
                  <w:r>
                    <w:rPr>
                      <w:rFonts w:hint="eastAsia" w:ascii="Times New Roman" w:eastAsia="宋体"/>
                      <w:color w:val="auto"/>
                      <w:highlight w:val="none"/>
                      <w:lang w:val="en-US" w:eastAsia="zh-CN"/>
                    </w:rPr>
                    <w:t>9~10</w:t>
                  </w:r>
                  <w:r>
                    <w:rPr>
                      <w:color w:val="auto"/>
                      <w:highlight w:val="none"/>
                    </w:rPr>
                    <w:t>月</w:t>
                  </w:r>
                </w:p>
              </w:tc>
              <w:tc>
                <w:tcPr>
                  <w:tcW w:w="650" w:type="pct"/>
                  <w:vAlign w:val="center"/>
                </w:tcPr>
                <w:p w14:paraId="546B96B4">
                  <w:pPr>
                    <w:adjustRightInd w:val="0"/>
                    <w:snapToGrid w:val="0"/>
                    <w:jc w:val="center"/>
                    <w:rPr>
                      <w:color w:val="auto"/>
                      <w:highlight w:val="none"/>
                    </w:rPr>
                  </w:pPr>
                  <w:r>
                    <w:rPr>
                      <w:rFonts w:hint="eastAsia" w:ascii="Times New Roman" w:eastAsia="宋体"/>
                      <w:color w:val="auto"/>
                      <w:highlight w:val="none"/>
                      <w:lang w:val="en-US" w:eastAsia="zh-CN"/>
                    </w:rPr>
                    <w:t>11~12</w:t>
                  </w:r>
                  <w:r>
                    <w:rPr>
                      <w:color w:val="auto"/>
                      <w:highlight w:val="none"/>
                    </w:rPr>
                    <w:t>月</w:t>
                  </w:r>
                </w:p>
              </w:tc>
            </w:tr>
            <w:tr w14:paraId="52207C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30" w:type="pct"/>
                  <w:vAlign w:val="center"/>
                </w:tcPr>
                <w:p w14:paraId="03BF82F8">
                  <w:pPr>
                    <w:jc w:val="center"/>
                    <w:rPr>
                      <w:color w:val="auto"/>
                      <w:highlight w:val="none"/>
                    </w:rPr>
                  </w:pPr>
                  <w:r>
                    <w:rPr>
                      <w:color w:val="auto"/>
                      <w:highlight w:val="none"/>
                    </w:rPr>
                    <w:t>施工准备</w:t>
                  </w:r>
                </w:p>
              </w:tc>
              <w:tc>
                <w:tcPr>
                  <w:tcW w:w="642" w:type="pct"/>
                  <w:vAlign w:val="center"/>
                </w:tcPr>
                <w:p w14:paraId="65101B04">
                  <w:pPr>
                    <w:jc w:val="center"/>
                    <w:rPr>
                      <w:color w:val="auto"/>
                      <w:highlight w:val="none"/>
                    </w:rPr>
                  </w:pPr>
                  <w:r>
                    <w:rPr>
                      <w:rFonts w:hint="eastAsia"/>
                      <w:color w:val="auto"/>
                      <w:highlight w:val="none"/>
                    </w:rPr>
                    <w:t>------</w:t>
                  </w:r>
                </w:p>
              </w:tc>
              <w:tc>
                <w:tcPr>
                  <w:tcW w:w="643" w:type="pct"/>
                  <w:vAlign w:val="center"/>
                </w:tcPr>
                <w:p w14:paraId="35E947C3">
                  <w:pPr>
                    <w:jc w:val="center"/>
                    <w:rPr>
                      <w:color w:val="auto"/>
                      <w:highlight w:val="none"/>
                    </w:rPr>
                  </w:pPr>
                </w:p>
              </w:tc>
              <w:tc>
                <w:tcPr>
                  <w:tcW w:w="643" w:type="pct"/>
                  <w:vAlign w:val="center"/>
                </w:tcPr>
                <w:p w14:paraId="5172DF7A">
                  <w:pPr>
                    <w:jc w:val="center"/>
                    <w:rPr>
                      <w:color w:val="auto"/>
                      <w:highlight w:val="none"/>
                    </w:rPr>
                  </w:pPr>
                </w:p>
              </w:tc>
              <w:tc>
                <w:tcPr>
                  <w:tcW w:w="644" w:type="pct"/>
                  <w:vAlign w:val="center"/>
                </w:tcPr>
                <w:p w14:paraId="3EF42AC8">
                  <w:pPr>
                    <w:jc w:val="center"/>
                    <w:rPr>
                      <w:color w:val="auto"/>
                      <w:highlight w:val="none"/>
                    </w:rPr>
                  </w:pPr>
                </w:p>
              </w:tc>
              <w:tc>
                <w:tcPr>
                  <w:tcW w:w="644" w:type="pct"/>
                  <w:vAlign w:val="center"/>
                </w:tcPr>
                <w:p w14:paraId="3819FDDE">
                  <w:pPr>
                    <w:jc w:val="center"/>
                    <w:rPr>
                      <w:color w:val="auto"/>
                      <w:highlight w:val="none"/>
                    </w:rPr>
                  </w:pPr>
                </w:p>
              </w:tc>
              <w:tc>
                <w:tcPr>
                  <w:tcW w:w="650" w:type="pct"/>
                  <w:vAlign w:val="center"/>
                </w:tcPr>
                <w:p w14:paraId="582D04DD">
                  <w:pPr>
                    <w:jc w:val="center"/>
                    <w:rPr>
                      <w:color w:val="auto"/>
                      <w:highlight w:val="none"/>
                    </w:rPr>
                  </w:pPr>
                </w:p>
              </w:tc>
            </w:tr>
            <w:tr w14:paraId="332C14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1130" w:type="pct"/>
                  <w:vAlign w:val="center"/>
                </w:tcPr>
                <w:p w14:paraId="43593CD8">
                  <w:pPr>
                    <w:jc w:val="center"/>
                    <w:rPr>
                      <w:color w:val="auto"/>
                      <w:highlight w:val="none"/>
                    </w:rPr>
                  </w:pPr>
                  <w:r>
                    <w:rPr>
                      <w:color w:val="auto"/>
                      <w:highlight w:val="none"/>
                    </w:rPr>
                    <w:t>基础建设</w:t>
                  </w:r>
                </w:p>
              </w:tc>
              <w:tc>
                <w:tcPr>
                  <w:tcW w:w="642" w:type="pct"/>
                  <w:vAlign w:val="center"/>
                </w:tcPr>
                <w:p w14:paraId="518011F2">
                  <w:pPr>
                    <w:jc w:val="center"/>
                    <w:rPr>
                      <w:color w:val="auto"/>
                      <w:highlight w:val="none"/>
                    </w:rPr>
                  </w:pPr>
                </w:p>
              </w:tc>
              <w:tc>
                <w:tcPr>
                  <w:tcW w:w="643" w:type="pct"/>
                  <w:vAlign w:val="center"/>
                </w:tcPr>
                <w:p w14:paraId="393D44D6">
                  <w:pPr>
                    <w:jc w:val="center"/>
                    <w:rPr>
                      <w:color w:val="auto"/>
                      <w:highlight w:val="none"/>
                    </w:rPr>
                  </w:pPr>
                  <w:r>
                    <w:rPr>
                      <w:rFonts w:hint="eastAsia"/>
                      <w:color w:val="auto"/>
                      <w:highlight w:val="none"/>
                    </w:rPr>
                    <w:t>------</w:t>
                  </w:r>
                </w:p>
              </w:tc>
              <w:tc>
                <w:tcPr>
                  <w:tcW w:w="643" w:type="pct"/>
                  <w:vAlign w:val="center"/>
                </w:tcPr>
                <w:p w14:paraId="7E868A00">
                  <w:pPr>
                    <w:jc w:val="center"/>
                    <w:rPr>
                      <w:color w:val="auto"/>
                      <w:highlight w:val="none"/>
                    </w:rPr>
                  </w:pPr>
                  <w:r>
                    <w:rPr>
                      <w:rFonts w:hint="eastAsia"/>
                      <w:color w:val="auto"/>
                      <w:highlight w:val="none"/>
                    </w:rPr>
                    <w:t>------</w:t>
                  </w:r>
                </w:p>
              </w:tc>
              <w:tc>
                <w:tcPr>
                  <w:tcW w:w="644" w:type="pct"/>
                  <w:vAlign w:val="center"/>
                </w:tcPr>
                <w:p w14:paraId="0A690E0D">
                  <w:pPr>
                    <w:jc w:val="center"/>
                    <w:rPr>
                      <w:color w:val="auto"/>
                      <w:highlight w:val="none"/>
                    </w:rPr>
                  </w:pPr>
                </w:p>
              </w:tc>
              <w:tc>
                <w:tcPr>
                  <w:tcW w:w="644" w:type="pct"/>
                  <w:vAlign w:val="center"/>
                </w:tcPr>
                <w:p w14:paraId="7B4CB97F">
                  <w:pPr>
                    <w:jc w:val="center"/>
                    <w:rPr>
                      <w:color w:val="auto"/>
                      <w:highlight w:val="none"/>
                    </w:rPr>
                  </w:pPr>
                </w:p>
              </w:tc>
              <w:tc>
                <w:tcPr>
                  <w:tcW w:w="650" w:type="pct"/>
                  <w:vAlign w:val="center"/>
                </w:tcPr>
                <w:p w14:paraId="497546DB">
                  <w:pPr>
                    <w:jc w:val="center"/>
                    <w:rPr>
                      <w:color w:val="auto"/>
                      <w:highlight w:val="none"/>
                    </w:rPr>
                  </w:pPr>
                </w:p>
              </w:tc>
            </w:tr>
            <w:tr w14:paraId="268D0C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30" w:type="pct"/>
                  <w:vAlign w:val="center"/>
                </w:tcPr>
                <w:p w14:paraId="3D08390A">
                  <w:pPr>
                    <w:jc w:val="center"/>
                    <w:rPr>
                      <w:color w:val="auto"/>
                      <w:highlight w:val="none"/>
                    </w:rPr>
                  </w:pPr>
                  <w:r>
                    <w:rPr>
                      <w:color w:val="auto"/>
                      <w:highlight w:val="none"/>
                    </w:rPr>
                    <w:t>设备安装</w:t>
                  </w:r>
                </w:p>
              </w:tc>
              <w:tc>
                <w:tcPr>
                  <w:tcW w:w="642" w:type="pct"/>
                  <w:vAlign w:val="center"/>
                </w:tcPr>
                <w:p w14:paraId="7F8103D4">
                  <w:pPr>
                    <w:jc w:val="center"/>
                    <w:rPr>
                      <w:color w:val="auto"/>
                      <w:highlight w:val="none"/>
                    </w:rPr>
                  </w:pPr>
                </w:p>
              </w:tc>
              <w:tc>
                <w:tcPr>
                  <w:tcW w:w="643" w:type="pct"/>
                  <w:vAlign w:val="center"/>
                </w:tcPr>
                <w:p w14:paraId="137CDBFF">
                  <w:pPr>
                    <w:jc w:val="center"/>
                    <w:rPr>
                      <w:color w:val="auto"/>
                      <w:highlight w:val="none"/>
                    </w:rPr>
                  </w:pPr>
                </w:p>
              </w:tc>
              <w:tc>
                <w:tcPr>
                  <w:tcW w:w="643" w:type="pct"/>
                  <w:vAlign w:val="center"/>
                </w:tcPr>
                <w:p w14:paraId="38108268">
                  <w:pPr>
                    <w:jc w:val="center"/>
                    <w:rPr>
                      <w:color w:val="auto"/>
                      <w:highlight w:val="none"/>
                    </w:rPr>
                  </w:pPr>
                  <w:r>
                    <w:rPr>
                      <w:rFonts w:hint="eastAsia"/>
                      <w:color w:val="auto"/>
                      <w:highlight w:val="none"/>
                    </w:rPr>
                    <w:t>------</w:t>
                  </w:r>
                </w:p>
              </w:tc>
              <w:tc>
                <w:tcPr>
                  <w:tcW w:w="644" w:type="pct"/>
                  <w:vAlign w:val="center"/>
                </w:tcPr>
                <w:p w14:paraId="6C678F2B">
                  <w:pPr>
                    <w:jc w:val="center"/>
                    <w:rPr>
                      <w:color w:val="auto"/>
                      <w:highlight w:val="none"/>
                    </w:rPr>
                  </w:pPr>
                  <w:r>
                    <w:rPr>
                      <w:rFonts w:hint="eastAsia"/>
                      <w:color w:val="auto"/>
                      <w:highlight w:val="none"/>
                    </w:rPr>
                    <w:t>------</w:t>
                  </w:r>
                </w:p>
              </w:tc>
              <w:tc>
                <w:tcPr>
                  <w:tcW w:w="644" w:type="pct"/>
                  <w:vAlign w:val="center"/>
                </w:tcPr>
                <w:p w14:paraId="5BEC5816">
                  <w:pPr>
                    <w:jc w:val="center"/>
                    <w:rPr>
                      <w:color w:val="auto"/>
                      <w:highlight w:val="none"/>
                    </w:rPr>
                  </w:pPr>
                </w:p>
              </w:tc>
              <w:tc>
                <w:tcPr>
                  <w:tcW w:w="650" w:type="pct"/>
                  <w:vAlign w:val="center"/>
                </w:tcPr>
                <w:p w14:paraId="14FC1A63">
                  <w:pPr>
                    <w:jc w:val="center"/>
                    <w:rPr>
                      <w:color w:val="auto"/>
                      <w:highlight w:val="none"/>
                    </w:rPr>
                  </w:pPr>
                </w:p>
              </w:tc>
            </w:tr>
            <w:tr w14:paraId="42579F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30" w:type="pct"/>
                  <w:vAlign w:val="center"/>
                </w:tcPr>
                <w:p w14:paraId="0C123325">
                  <w:pPr>
                    <w:jc w:val="center"/>
                    <w:rPr>
                      <w:color w:val="auto"/>
                      <w:highlight w:val="none"/>
                    </w:rPr>
                  </w:pPr>
                  <w:r>
                    <w:rPr>
                      <w:color w:val="auto"/>
                      <w:highlight w:val="none"/>
                    </w:rPr>
                    <w:t>塔基安装</w:t>
                  </w:r>
                </w:p>
              </w:tc>
              <w:tc>
                <w:tcPr>
                  <w:tcW w:w="642" w:type="pct"/>
                  <w:vAlign w:val="center"/>
                </w:tcPr>
                <w:p w14:paraId="3140CF6F">
                  <w:pPr>
                    <w:jc w:val="center"/>
                    <w:rPr>
                      <w:color w:val="auto"/>
                      <w:highlight w:val="none"/>
                    </w:rPr>
                  </w:pPr>
                </w:p>
              </w:tc>
              <w:tc>
                <w:tcPr>
                  <w:tcW w:w="643" w:type="pct"/>
                  <w:vAlign w:val="center"/>
                </w:tcPr>
                <w:p w14:paraId="1E62A99F">
                  <w:pPr>
                    <w:jc w:val="center"/>
                    <w:rPr>
                      <w:color w:val="auto"/>
                      <w:highlight w:val="none"/>
                    </w:rPr>
                  </w:pPr>
                </w:p>
              </w:tc>
              <w:tc>
                <w:tcPr>
                  <w:tcW w:w="1160" w:type="dxa"/>
                  <w:vAlign w:val="center"/>
                </w:tcPr>
                <w:p w14:paraId="4A11F980">
                  <w:pPr>
                    <w:jc w:val="center"/>
                    <w:rPr>
                      <w:color w:val="auto"/>
                      <w:highlight w:val="none"/>
                    </w:rPr>
                  </w:pPr>
                  <w:r>
                    <w:rPr>
                      <w:rFonts w:hint="eastAsia"/>
                      <w:color w:val="auto"/>
                      <w:highlight w:val="none"/>
                    </w:rPr>
                    <w:t>------</w:t>
                  </w:r>
                </w:p>
              </w:tc>
              <w:tc>
                <w:tcPr>
                  <w:tcW w:w="1162" w:type="dxa"/>
                  <w:vAlign w:val="center"/>
                </w:tcPr>
                <w:p w14:paraId="2E9D7AF1">
                  <w:pPr>
                    <w:jc w:val="center"/>
                    <w:rPr>
                      <w:color w:val="auto"/>
                      <w:highlight w:val="none"/>
                    </w:rPr>
                  </w:pPr>
                  <w:r>
                    <w:rPr>
                      <w:rFonts w:hint="eastAsia"/>
                      <w:color w:val="auto"/>
                      <w:highlight w:val="none"/>
                    </w:rPr>
                    <w:t>------</w:t>
                  </w:r>
                </w:p>
              </w:tc>
              <w:tc>
                <w:tcPr>
                  <w:tcW w:w="644" w:type="pct"/>
                  <w:vAlign w:val="center"/>
                </w:tcPr>
                <w:p w14:paraId="6A82486A">
                  <w:pPr>
                    <w:jc w:val="center"/>
                    <w:rPr>
                      <w:color w:val="auto"/>
                      <w:highlight w:val="none"/>
                    </w:rPr>
                  </w:pPr>
                </w:p>
              </w:tc>
              <w:tc>
                <w:tcPr>
                  <w:tcW w:w="650" w:type="pct"/>
                  <w:vAlign w:val="center"/>
                </w:tcPr>
                <w:p w14:paraId="2320F4AF">
                  <w:pPr>
                    <w:jc w:val="center"/>
                    <w:rPr>
                      <w:color w:val="auto"/>
                      <w:highlight w:val="none"/>
                    </w:rPr>
                  </w:pPr>
                </w:p>
              </w:tc>
            </w:tr>
            <w:tr w14:paraId="37C835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30" w:type="pct"/>
                  <w:vAlign w:val="center"/>
                </w:tcPr>
                <w:p w14:paraId="369AB7EB">
                  <w:pPr>
                    <w:jc w:val="center"/>
                    <w:rPr>
                      <w:color w:val="auto"/>
                      <w:highlight w:val="none"/>
                    </w:rPr>
                  </w:pPr>
                  <w:r>
                    <w:rPr>
                      <w:color w:val="auto"/>
                      <w:highlight w:val="none"/>
                    </w:rPr>
                    <w:t>线路架设</w:t>
                  </w:r>
                </w:p>
              </w:tc>
              <w:tc>
                <w:tcPr>
                  <w:tcW w:w="642" w:type="pct"/>
                  <w:vAlign w:val="center"/>
                </w:tcPr>
                <w:p w14:paraId="688E858A">
                  <w:pPr>
                    <w:jc w:val="center"/>
                    <w:rPr>
                      <w:color w:val="auto"/>
                      <w:highlight w:val="none"/>
                    </w:rPr>
                  </w:pPr>
                </w:p>
              </w:tc>
              <w:tc>
                <w:tcPr>
                  <w:tcW w:w="643" w:type="pct"/>
                  <w:vAlign w:val="center"/>
                </w:tcPr>
                <w:p w14:paraId="3EA5F0CD">
                  <w:pPr>
                    <w:jc w:val="center"/>
                    <w:rPr>
                      <w:color w:val="auto"/>
                      <w:highlight w:val="none"/>
                    </w:rPr>
                  </w:pPr>
                </w:p>
              </w:tc>
              <w:tc>
                <w:tcPr>
                  <w:tcW w:w="643" w:type="pct"/>
                  <w:vAlign w:val="center"/>
                </w:tcPr>
                <w:p w14:paraId="7F13B100">
                  <w:pPr>
                    <w:jc w:val="center"/>
                    <w:rPr>
                      <w:color w:val="auto"/>
                      <w:highlight w:val="none"/>
                    </w:rPr>
                  </w:pPr>
                </w:p>
              </w:tc>
              <w:tc>
                <w:tcPr>
                  <w:tcW w:w="1162" w:type="dxa"/>
                  <w:vAlign w:val="center"/>
                </w:tcPr>
                <w:p w14:paraId="317A469C">
                  <w:pPr>
                    <w:jc w:val="center"/>
                    <w:rPr>
                      <w:color w:val="auto"/>
                      <w:highlight w:val="none"/>
                    </w:rPr>
                  </w:pPr>
                  <w:r>
                    <w:rPr>
                      <w:rFonts w:hint="eastAsia"/>
                      <w:color w:val="auto"/>
                      <w:highlight w:val="none"/>
                    </w:rPr>
                    <w:t>------</w:t>
                  </w:r>
                </w:p>
              </w:tc>
              <w:tc>
                <w:tcPr>
                  <w:tcW w:w="1162" w:type="dxa"/>
                  <w:vAlign w:val="center"/>
                </w:tcPr>
                <w:p w14:paraId="3AF3A105">
                  <w:pPr>
                    <w:jc w:val="center"/>
                    <w:rPr>
                      <w:color w:val="auto"/>
                      <w:highlight w:val="none"/>
                    </w:rPr>
                  </w:pPr>
                  <w:r>
                    <w:rPr>
                      <w:rFonts w:hint="eastAsia"/>
                      <w:color w:val="auto"/>
                      <w:highlight w:val="none"/>
                    </w:rPr>
                    <w:t>------</w:t>
                  </w:r>
                </w:p>
              </w:tc>
              <w:tc>
                <w:tcPr>
                  <w:tcW w:w="650" w:type="pct"/>
                  <w:vAlign w:val="center"/>
                </w:tcPr>
                <w:p w14:paraId="2F750832">
                  <w:pPr>
                    <w:jc w:val="center"/>
                    <w:rPr>
                      <w:color w:val="auto"/>
                      <w:highlight w:val="none"/>
                    </w:rPr>
                  </w:pPr>
                </w:p>
              </w:tc>
            </w:tr>
            <w:tr w14:paraId="3640FC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1130" w:type="pct"/>
                  <w:vAlign w:val="center"/>
                </w:tcPr>
                <w:p w14:paraId="16BF89E3">
                  <w:pPr>
                    <w:jc w:val="center"/>
                    <w:rPr>
                      <w:color w:val="auto"/>
                      <w:highlight w:val="none"/>
                    </w:rPr>
                  </w:pPr>
                  <w:r>
                    <w:rPr>
                      <w:color w:val="auto"/>
                      <w:highlight w:val="none"/>
                    </w:rPr>
                    <w:t>设备调试</w:t>
                  </w:r>
                </w:p>
              </w:tc>
              <w:tc>
                <w:tcPr>
                  <w:tcW w:w="642" w:type="pct"/>
                  <w:vAlign w:val="center"/>
                </w:tcPr>
                <w:p w14:paraId="4D1975BF">
                  <w:pPr>
                    <w:jc w:val="center"/>
                    <w:rPr>
                      <w:color w:val="auto"/>
                      <w:highlight w:val="none"/>
                    </w:rPr>
                  </w:pPr>
                </w:p>
              </w:tc>
              <w:tc>
                <w:tcPr>
                  <w:tcW w:w="643" w:type="pct"/>
                  <w:vAlign w:val="center"/>
                </w:tcPr>
                <w:p w14:paraId="64C707A3">
                  <w:pPr>
                    <w:jc w:val="center"/>
                    <w:rPr>
                      <w:color w:val="auto"/>
                      <w:highlight w:val="none"/>
                    </w:rPr>
                  </w:pPr>
                </w:p>
              </w:tc>
              <w:tc>
                <w:tcPr>
                  <w:tcW w:w="643" w:type="pct"/>
                  <w:vAlign w:val="center"/>
                </w:tcPr>
                <w:p w14:paraId="427CDD98">
                  <w:pPr>
                    <w:jc w:val="center"/>
                    <w:rPr>
                      <w:color w:val="auto"/>
                      <w:highlight w:val="none"/>
                    </w:rPr>
                  </w:pPr>
                </w:p>
              </w:tc>
              <w:tc>
                <w:tcPr>
                  <w:tcW w:w="644" w:type="pct"/>
                  <w:vAlign w:val="center"/>
                </w:tcPr>
                <w:p w14:paraId="4B4DE0D7">
                  <w:pPr>
                    <w:jc w:val="center"/>
                    <w:rPr>
                      <w:color w:val="auto"/>
                      <w:highlight w:val="none"/>
                    </w:rPr>
                  </w:pPr>
                </w:p>
              </w:tc>
              <w:tc>
                <w:tcPr>
                  <w:tcW w:w="644" w:type="pct"/>
                  <w:vAlign w:val="center"/>
                </w:tcPr>
                <w:p w14:paraId="05B78308">
                  <w:pPr>
                    <w:jc w:val="center"/>
                    <w:rPr>
                      <w:color w:val="auto"/>
                      <w:highlight w:val="none"/>
                    </w:rPr>
                  </w:pPr>
                </w:p>
              </w:tc>
              <w:tc>
                <w:tcPr>
                  <w:tcW w:w="650" w:type="pct"/>
                  <w:vAlign w:val="center"/>
                </w:tcPr>
                <w:p w14:paraId="6C2A8519">
                  <w:pPr>
                    <w:jc w:val="center"/>
                    <w:rPr>
                      <w:color w:val="auto"/>
                      <w:highlight w:val="none"/>
                    </w:rPr>
                  </w:pPr>
                  <w:r>
                    <w:rPr>
                      <w:rFonts w:hint="eastAsia"/>
                      <w:color w:val="auto"/>
                      <w:highlight w:val="none"/>
                    </w:rPr>
                    <w:t>------</w:t>
                  </w:r>
                </w:p>
              </w:tc>
            </w:tr>
          </w:tbl>
          <w:p w14:paraId="7634F3A1">
            <w:pPr>
              <w:pStyle w:val="20"/>
              <w:rPr>
                <w:color w:val="auto"/>
                <w:highlight w:val="none"/>
              </w:rPr>
            </w:pPr>
            <w:r>
              <w:rPr>
                <w:rFonts w:hint="eastAsia" w:ascii="黑体" w:hAnsi="黑体" w:eastAsia="黑体" w:cs="黑体"/>
                <w:color w:val="auto"/>
                <w:highlight w:val="none"/>
              </w:rPr>
              <w:t>表2-</w:t>
            </w:r>
            <w:r>
              <w:rPr>
                <w:rFonts w:hint="eastAsia" w:ascii="黑体" w:hAnsi="黑体" w:cs="黑体"/>
                <w:color w:val="auto"/>
                <w:highlight w:val="none"/>
                <w:lang w:val="en-US" w:eastAsia="zh-CN"/>
              </w:rPr>
              <w:t>9</w:t>
            </w:r>
            <w:r>
              <w:rPr>
                <w:color w:val="auto"/>
                <w:highlight w:val="none"/>
              </w:rPr>
              <w:t xml:space="preserve">    主要施工机械汇总表</w:t>
            </w:r>
          </w:p>
          <w:tbl>
            <w:tblPr>
              <w:tblStyle w:val="1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721"/>
              <w:gridCol w:w="2832"/>
              <w:gridCol w:w="2388"/>
              <w:gridCol w:w="1195"/>
              <w:gridCol w:w="1020"/>
            </w:tblGrid>
            <w:tr w14:paraId="0C1864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442" w:type="pct"/>
                  <w:noWrap/>
                  <w:vAlign w:val="center"/>
                </w:tcPr>
                <w:p w14:paraId="68736345">
                  <w:pPr>
                    <w:widowControl/>
                    <w:adjustRightInd w:val="0"/>
                    <w:snapToGrid w:val="0"/>
                    <w:spacing w:line="240" w:lineRule="exact"/>
                    <w:jc w:val="center"/>
                    <w:rPr>
                      <w:color w:val="auto"/>
                      <w:highlight w:val="none"/>
                    </w:rPr>
                  </w:pPr>
                  <w:r>
                    <w:rPr>
                      <w:color w:val="auto"/>
                      <w:highlight w:val="none"/>
                    </w:rPr>
                    <w:t>序号</w:t>
                  </w:r>
                </w:p>
              </w:tc>
              <w:tc>
                <w:tcPr>
                  <w:tcW w:w="1735" w:type="pct"/>
                  <w:noWrap/>
                  <w:vAlign w:val="center"/>
                </w:tcPr>
                <w:p w14:paraId="2DB42A9B">
                  <w:pPr>
                    <w:widowControl/>
                    <w:adjustRightInd w:val="0"/>
                    <w:snapToGrid w:val="0"/>
                    <w:spacing w:line="240" w:lineRule="exact"/>
                    <w:jc w:val="center"/>
                    <w:rPr>
                      <w:color w:val="auto"/>
                      <w:highlight w:val="none"/>
                    </w:rPr>
                  </w:pPr>
                  <w:r>
                    <w:rPr>
                      <w:color w:val="auto"/>
                      <w:highlight w:val="none"/>
                    </w:rPr>
                    <w:t>设备名称</w:t>
                  </w:r>
                </w:p>
              </w:tc>
              <w:tc>
                <w:tcPr>
                  <w:tcW w:w="1463" w:type="pct"/>
                  <w:noWrap/>
                  <w:vAlign w:val="center"/>
                </w:tcPr>
                <w:p w14:paraId="73D33C4B">
                  <w:pPr>
                    <w:widowControl/>
                    <w:adjustRightInd w:val="0"/>
                    <w:snapToGrid w:val="0"/>
                    <w:spacing w:line="240" w:lineRule="exact"/>
                    <w:jc w:val="center"/>
                    <w:rPr>
                      <w:color w:val="auto"/>
                      <w:highlight w:val="none"/>
                    </w:rPr>
                  </w:pPr>
                  <w:r>
                    <w:rPr>
                      <w:color w:val="auto"/>
                      <w:highlight w:val="none"/>
                    </w:rPr>
                    <w:t>型号</w:t>
                  </w:r>
                </w:p>
              </w:tc>
              <w:tc>
                <w:tcPr>
                  <w:tcW w:w="732" w:type="pct"/>
                  <w:noWrap/>
                  <w:vAlign w:val="center"/>
                </w:tcPr>
                <w:p w14:paraId="09BD0E19">
                  <w:pPr>
                    <w:widowControl/>
                    <w:adjustRightInd w:val="0"/>
                    <w:snapToGrid w:val="0"/>
                    <w:spacing w:line="240" w:lineRule="exact"/>
                    <w:jc w:val="center"/>
                    <w:rPr>
                      <w:color w:val="auto"/>
                      <w:highlight w:val="none"/>
                    </w:rPr>
                  </w:pPr>
                  <w:r>
                    <w:rPr>
                      <w:color w:val="auto"/>
                      <w:highlight w:val="none"/>
                    </w:rPr>
                    <w:t>单位</w:t>
                  </w:r>
                </w:p>
              </w:tc>
              <w:tc>
                <w:tcPr>
                  <w:tcW w:w="625" w:type="pct"/>
                  <w:noWrap/>
                  <w:vAlign w:val="center"/>
                </w:tcPr>
                <w:p w14:paraId="34D28A82">
                  <w:pPr>
                    <w:widowControl/>
                    <w:adjustRightInd w:val="0"/>
                    <w:snapToGrid w:val="0"/>
                    <w:spacing w:line="240" w:lineRule="exact"/>
                    <w:jc w:val="center"/>
                    <w:rPr>
                      <w:color w:val="auto"/>
                      <w:highlight w:val="none"/>
                    </w:rPr>
                  </w:pPr>
                  <w:r>
                    <w:rPr>
                      <w:color w:val="auto"/>
                      <w:highlight w:val="none"/>
                    </w:rPr>
                    <w:t>数量</w:t>
                  </w:r>
                </w:p>
              </w:tc>
            </w:tr>
            <w:tr w14:paraId="63B77C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442" w:type="pct"/>
                  <w:noWrap/>
                  <w:vAlign w:val="center"/>
                </w:tcPr>
                <w:p w14:paraId="1ECB1950">
                  <w:pPr>
                    <w:widowControl/>
                    <w:adjustRightInd w:val="0"/>
                    <w:snapToGrid w:val="0"/>
                    <w:spacing w:line="240" w:lineRule="exact"/>
                    <w:jc w:val="center"/>
                    <w:rPr>
                      <w:color w:val="auto"/>
                      <w:highlight w:val="none"/>
                    </w:rPr>
                  </w:pPr>
                  <w:r>
                    <w:rPr>
                      <w:color w:val="auto"/>
                      <w:highlight w:val="none"/>
                    </w:rPr>
                    <w:t>1</w:t>
                  </w:r>
                </w:p>
              </w:tc>
              <w:tc>
                <w:tcPr>
                  <w:tcW w:w="1735" w:type="pct"/>
                  <w:noWrap/>
                  <w:vAlign w:val="center"/>
                </w:tcPr>
                <w:p w14:paraId="7096C3AA">
                  <w:pPr>
                    <w:widowControl/>
                    <w:adjustRightInd w:val="0"/>
                    <w:snapToGrid w:val="0"/>
                    <w:spacing w:line="240" w:lineRule="exact"/>
                    <w:jc w:val="center"/>
                    <w:rPr>
                      <w:color w:val="auto"/>
                      <w:highlight w:val="none"/>
                    </w:rPr>
                  </w:pPr>
                  <w:r>
                    <w:rPr>
                      <w:color w:val="auto"/>
                      <w:highlight w:val="none"/>
                    </w:rPr>
                    <w:t>汽车式起重机</w:t>
                  </w:r>
                </w:p>
              </w:tc>
              <w:tc>
                <w:tcPr>
                  <w:tcW w:w="1463" w:type="pct"/>
                  <w:noWrap/>
                  <w:vAlign w:val="center"/>
                </w:tcPr>
                <w:p w14:paraId="62DD3409">
                  <w:pPr>
                    <w:widowControl/>
                    <w:adjustRightInd w:val="0"/>
                    <w:snapToGrid w:val="0"/>
                    <w:spacing w:line="240" w:lineRule="exact"/>
                    <w:jc w:val="center"/>
                    <w:rPr>
                      <w:color w:val="auto"/>
                      <w:highlight w:val="none"/>
                    </w:rPr>
                  </w:pPr>
                  <w:r>
                    <w:rPr>
                      <w:rFonts w:hint="eastAsia"/>
                      <w:color w:val="auto"/>
                      <w:highlight w:val="none"/>
                    </w:rPr>
                    <w:t>1200</w:t>
                  </w:r>
                  <w:r>
                    <w:rPr>
                      <w:color w:val="auto"/>
                      <w:highlight w:val="none"/>
                    </w:rPr>
                    <w:t>吨</w:t>
                  </w:r>
                </w:p>
              </w:tc>
              <w:tc>
                <w:tcPr>
                  <w:tcW w:w="732" w:type="pct"/>
                  <w:noWrap/>
                  <w:vAlign w:val="center"/>
                </w:tcPr>
                <w:p w14:paraId="5B223108">
                  <w:pPr>
                    <w:widowControl/>
                    <w:adjustRightInd w:val="0"/>
                    <w:snapToGrid w:val="0"/>
                    <w:spacing w:line="240" w:lineRule="exact"/>
                    <w:jc w:val="center"/>
                    <w:rPr>
                      <w:color w:val="auto"/>
                      <w:highlight w:val="none"/>
                    </w:rPr>
                  </w:pPr>
                  <w:r>
                    <w:rPr>
                      <w:color w:val="auto"/>
                      <w:highlight w:val="none"/>
                    </w:rPr>
                    <w:t>辆</w:t>
                  </w:r>
                </w:p>
              </w:tc>
              <w:tc>
                <w:tcPr>
                  <w:tcW w:w="625" w:type="pct"/>
                  <w:noWrap/>
                  <w:vAlign w:val="center"/>
                </w:tcPr>
                <w:p w14:paraId="49BFF219">
                  <w:pPr>
                    <w:widowControl/>
                    <w:adjustRightInd w:val="0"/>
                    <w:snapToGrid w:val="0"/>
                    <w:spacing w:line="240" w:lineRule="exact"/>
                    <w:jc w:val="center"/>
                    <w:rPr>
                      <w:color w:val="auto"/>
                      <w:highlight w:val="none"/>
                    </w:rPr>
                  </w:pPr>
                  <w:r>
                    <w:rPr>
                      <w:rFonts w:hint="eastAsia"/>
                      <w:color w:val="auto"/>
                      <w:highlight w:val="none"/>
                    </w:rPr>
                    <w:t>2</w:t>
                  </w:r>
                </w:p>
              </w:tc>
            </w:tr>
            <w:tr w14:paraId="5C4863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442" w:type="pct"/>
                  <w:noWrap/>
                  <w:vAlign w:val="center"/>
                </w:tcPr>
                <w:p w14:paraId="111DF54F">
                  <w:pPr>
                    <w:widowControl/>
                    <w:adjustRightInd w:val="0"/>
                    <w:snapToGrid w:val="0"/>
                    <w:spacing w:line="240" w:lineRule="exact"/>
                    <w:jc w:val="center"/>
                    <w:rPr>
                      <w:color w:val="auto"/>
                      <w:highlight w:val="none"/>
                    </w:rPr>
                  </w:pPr>
                  <w:r>
                    <w:rPr>
                      <w:color w:val="auto"/>
                      <w:highlight w:val="none"/>
                    </w:rPr>
                    <w:t>2</w:t>
                  </w:r>
                </w:p>
              </w:tc>
              <w:tc>
                <w:tcPr>
                  <w:tcW w:w="1735" w:type="pct"/>
                  <w:noWrap/>
                  <w:vAlign w:val="center"/>
                </w:tcPr>
                <w:p w14:paraId="4558863B">
                  <w:pPr>
                    <w:widowControl/>
                    <w:adjustRightInd w:val="0"/>
                    <w:snapToGrid w:val="0"/>
                    <w:spacing w:line="240" w:lineRule="exact"/>
                    <w:jc w:val="center"/>
                    <w:rPr>
                      <w:color w:val="auto"/>
                      <w:highlight w:val="none"/>
                    </w:rPr>
                  </w:pPr>
                  <w:r>
                    <w:rPr>
                      <w:color w:val="auto"/>
                      <w:highlight w:val="none"/>
                    </w:rPr>
                    <w:t>汽车式起重机</w:t>
                  </w:r>
                </w:p>
              </w:tc>
              <w:tc>
                <w:tcPr>
                  <w:tcW w:w="1463" w:type="pct"/>
                  <w:noWrap/>
                  <w:vAlign w:val="center"/>
                </w:tcPr>
                <w:p w14:paraId="7022578D">
                  <w:pPr>
                    <w:widowControl/>
                    <w:adjustRightInd w:val="0"/>
                    <w:snapToGrid w:val="0"/>
                    <w:spacing w:line="240" w:lineRule="exact"/>
                    <w:jc w:val="center"/>
                    <w:rPr>
                      <w:color w:val="auto"/>
                      <w:highlight w:val="none"/>
                    </w:rPr>
                  </w:pPr>
                  <w:r>
                    <w:rPr>
                      <w:color w:val="auto"/>
                      <w:highlight w:val="none"/>
                    </w:rPr>
                    <w:t>800吨</w:t>
                  </w:r>
                </w:p>
              </w:tc>
              <w:tc>
                <w:tcPr>
                  <w:tcW w:w="732" w:type="pct"/>
                  <w:noWrap/>
                  <w:vAlign w:val="center"/>
                </w:tcPr>
                <w:p w14:paraId="7085BF6B">
                  <w:pPr>
                    <w:widowControl/>
                    <w:adjustRightInd w:val="0"/>
                    <w:snapToGrid w:val="0"/>
                    <w:spacing w:line="240" w:lineRule="exact"/>
                    <w:jc w:val="center"/>
                    <w:rPr>
                      <w:color w:val="auto"/>
                      <w:highlight w:val="none"/>
                    </w:rPr>
                  </w:pPr>
                  <w:r>
                    <w:rPr>
                      <w:color w:val="auto"/>
                      <w:highlight w:val="none"/>
                    </w:rPr>
                    <w:t>辆</w:t>
                  </w:r>
                </w:p>
              </w:tc>
              <w:tc>
                <w:tcPr>
                  <w:tcW w:w="625" w:type="pct"/>
                  <w:noWrap/>
                  <w:vAlign w:val="center"/>
                </w:tcPr>
                <w:p w14:paraId="560D6E2C">
                  <w:pPr>
                    <w:widowControl/>
                    <w:adjustRightInd w:val="0"/>
                    <w:snapToGrid w:val="0"/>
                    <w:spacing w:line="240" w:lineRule="exact"/>
                    <w:jc w:val="center"/>
                    <w:rPr>
                      <w:color w:val="auto"/>
                      <w:highlight w:val="none"/>
                    </w:rPr>
                  </w:pPr>
                  <w:r>
                    <w:rPr>
                      <w:rFonts w:hint="eastAsia"/>
                      <w:color w:val="auto"/>
                      <w:highlight w:val="none"/>
                    </w:rPr>
                    <w:t>2</w:t>
                  </w:r>
                </w:p>
              </w:tc>
            </w:tr>
            <w:tr w14:paraId="52AF91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442" w:type="pct"/>
                  <w:noWrap/>
                  <w:vAlign w:val="center"/>
                </w:tcPr>
                <w:p w14:paraId="600BE399">
                  <w:pPr>
                    <w:widowControl/>
                    <w:adjustRightInd w:val="0"/>
                    <w:snapToGrid w:val="0"/>
                    <w:spacing w:line="240" w:lineRule="exact"/>
                    <w:jc w:val="center"/>
                    <w:rPr>
                      <w:color w:val="auto"/>
                      <w:highlight w:val="none"/>
                    </w:rPr>
                  </w:pPr>
                  <w:r>
                    <w:rPr>
                      <w:color w:val="auto"/>
                      <w:highlight w:val="none"/>
                    </w:rPr>
                    <w:t>3</w:t>
                  </w:r>
                </w:p>
              </w:tc>
              <w:tc>
                <w:tcPr>
                  <w:tcW w:w="1735" w:type="pct"/>
                  <w:noWrap/>
                  <w:vAlign w:val="center"/>
                </w:tcPr>
                <w:p w14:paraId="43275F8A">
                  <w:pPr>
                    <w:widowControl/>
                    <w:adjustRightInd w:val="0"/>
                    <w:snapToGrid w:val="0"/>
                    <w:spacing w:line="240" w:lineRule="exact"/>
                    <w:jc w:val="center"/>
                    <w:rPr>
                      <w:color w:val="auto"/>
                      <w:highlight w:val="none"/>
                    </w:rPr>
                  </w:pPr>
                  <w:r>
                    <w:rPr>
                      <w:rFonts w:hint="eastAsia"/>
                      <w:color w:val="auto"/>
                      <w:highlight w:val="none"/>
                    </w:rPr>
                    <w:t>挖掘机</w:t>
                  </w:r>
                </w:p>
              </w:tc>
              <w:tc>
                <w:tcPr>
                  <w:tcW w:w="1463" w:type="pct"/>
                  <w:noWrap/>
                  <w:vAlign w:val="center"/>
                </w:tcPr>
                <w:p w14:paraId="58890DBE">
                  <w:pPr>
                    <w:widowControl/>
                    <w:adjustRightInd w:val="0"/>
                    <w:snapToGrid w:val="0"/>
                    <w:spacing w:line="240" w:lineRule="exact"/>
                    <w:jc w:val="center"/>
                    <w:rPr>
                      <w:color w:val="auto"/>
                      <w:highlight w:val="none"/>
                    </w:rPr>
                  </w:pPr>
                  <w:r>
                    <w:rPr>
                      <w:rFonts w:hint="eastAsia"/>
                      <w:color w:val="auto"/>
                      <w:highlight w:val="none"/>
                    </w:rPr>
                    <w:t>1m</w:t>
                  </w:r>
                  <w:r>
                    <w:rPr>
                      <w:color w:val="auto"/>
                      <w:highlight w:val="none"/>
                    </w:rPr>
                    <w:t>³</w:t>
                  </w:r>
                </w:p>
              </w:tc>
              <w:tc>
                <w:tcPr>
                  <w:tcW w:w="732" w:type="pct"/>
                  <w:noWrap/>
                  <w:vAlign w:val="center"/>
                </w:tcPr>
                <w:p w14:paraId="1CE11F59">
                  <w:pPr>
                    <w:widowControl/>
                    <w:adjustRightInd w:val="0"/>
                    <w:snapToGrid w:val="0"/>
                    <w:spacing w:line="240" w:lineRule="exact"/>
                    <w:jc w:val="center"/>
                    <w:rPr>
                      <w:color w:val="auto"/>
                      <w:highlight w:val="none"/>
                    </w:rPr>
                  </w:pPr>
                  <w:r>
                    <w:rPr>
                      <w:color w:val="auto"/>
                      <w:highlight w:val="none"/>
                    </w:rPr>
                    <w:t>辆</w:t>
                  </w:r>
                </w:p>
              </w:tc>
              <w:tc>
                <w:tcPr>
                  <w:tcW w:w="625" w:type="pct"/>
                  <w:noWrap/>
                  <w:vAlign w:val="center"/>
                </w:tcPr>
                <w:p w14:paraId="037C4D56">
                  <w:pPr>
                    <w:widowControl/>
                    <w:adjustRightInd w:val="0"/>
                    <w:snapToGrid w:val="0"/>
                    <w:spacing w:line="240" w:lineRule="exact"/>
                    <w:jc w:val="center"/>
                    <w:rPr>
                      <w:color w:val="auto"/>
                      <w:highlight w:val="none"/>
                    </w:rPr>
                  </w:pPr>
                  <w:r>
                    <w:rPr>
                      <w:rFonts w:hint="eastAsia"/>
                      <w:color w:val="auto"/>
                      <w:highlight w:val="none"/>
                    </w:rPr>
                    <w:t>2</w:t>
                  </w:r>
                </w:p>
              </w:tc>
            </w:tr>
            <w:tr w14:paraId="1AC415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442" w:type="pct"/>
                  <w:noWrap/>
                  <w:vAlign w:val="center"/>
                </w:tcPr>
                <w:p w14:paraId="347F93A3">
                  <w:pPr>
                    <w:widowControl/>
                    <w:adjustRightInd w:val="0"/>
                    <w:snapToGrid w:val="0"/>
                    <w:spacing w:line="240" w:lineRule="exact"/>
                    <w:jc w:val="center"/>
                    <w:rPr>
                      <w:color w:val="auto"/>
                      <w:highlight w:val="none"/>
                    </w:rPr>
                  </w:pPr>
                  <w:r>
                    <w:rPr>
                      <w:color w:val="auto"/>
                      <w:highlight w:val="none"/>
                    </w:rPr>
                    <w:t>4</w:t>
                  </w:r>
                </w:p>
              </w:tc>
              <w:tc>
                <w:tcPr>
                  <w:tcW w:w="1735" w:type="pct"/>
                  <w:noWrap/>
                  <w:vAlign w:val="center"/>
                </w:tcPr>
                <w:p w14:paraId="1D4FA511">
                  <w:pPr>
                    <w:widowControl/>
                    <w:adjustRightInd w:val="0"/>
                    <w:snapToGrid w:val="0"/>
                    <w:spacing w:line="240" w:lineRule="exact"/>
                    <w:jc w:val="center"/>
                    <w:rPr>
                      <w:color w:val="auto"/>
                      <w:highlight w:val="none"/>
                    </w:rPr>
                  </w:pPr>
                  <w:r>
                    <w:rPr>
                      <w:rFonts w:hint="eastAsia"/>
                      <w:color w:val="auto"/>
                      <w:highlight w:val="none"/>
                    </w:rPr>
                    <w:t>装载机</w:t>
                  </w:r>
                </w:p>
              </w:tc>
              <w:tc>
                <w:tcPr>
                  <w:tcW w:w="1463" w:type="pct"/>
                  <w:noWrap/>
                  <w:vAlign w:val="center"/>
                </w:tcPr>
                <w:p w14:paraId="137C3048">
                  <w:pPr>
                    <w:widowControl/>
                    <w:adjustRightInd w:val="0"/>
                    <w:snapToGrid w:val="0"/>
                    <w:spacing w:line="240" w:lineRule="exact"/>
                    <w:jc w:val="center"/>
                    <w:rPr>
                      <w:color w:val="auto"/>
                      <w:highlight w:val="none"/>
                    </w:rPr>
                  </w:pPr>
                  <w:r>
                    <w:rPr>
                      <w:rFonts w:hint="eastAsia"/>
                      <w:color w:val="auto"/>
                      <w:highlight w:val="none"/>
                    </w:rPr>
                    <w:t>2m</w:t>
                  </w:r>
                  <w:r>
                    <w:rPr>
                      <w:color w:val="auto"/>
                      <w:highlight w:val="none"/>
                    </w:rPr>
                    <w:t>³</w:t>
                  </w:r>
                </w:p>
              </w:tc>
              <w:tc>
                <w:tcPr>
                  <w:tcW w:w="732" w:type="pct"/>
                  <w:noWrap/>
                  <w:vAlign w:val="center"/>
                </w:tcPr>
                <w:p w14:paraId="1E54E8FD">
                  <w:pPr>
                    <w:widowControl/>
                    <w:adjustRightInd w:val="0"/>
                    <w:snapToGrid w:val="0"/>
                    <w:spacing w:line="240" w:lineRule="exact"/>
                    <w:jc w:val="center"/>
                    <w:rPr>
                      <w:color w:val="auto"/>
                      <w:highlight w:val="none"/>
                    </w:rPr>
                  </w:pPr>
                  <w:r>
                    <w:rPr>
                      <w:color w:val="auto"/>
                      <w:highlight w:val="none"/>
                    </w:rPr>
                    <w:t>辆</w:t>
                  </w:r>
                </w:p>
              </w:tc>
              <w:tc>
                <w:tcPr>
                  <w:tcW w:w="625" w:type="pct"/>
                  <w:noWrap/>
                  <w:vAlign w:val="center"/>
                </w:tcPr>
                <w:p w14:paraId="3A7AF98B">
                  <w:pPr>
                    <w:widowControl/>
                    <w:adjustRightInd w:val="0"/>
                    <w:snapToGrid w:val="0"/>
                    <w:spacing w:line="240" w:lineRule="exact"/>
                    <w:jc w:val="center"/>
                    <w:rPr>
                      <w:color w:val="auto"/>
                      <w:highlight w:val="none"/>
                    </w:rPr>
                  </w:pPr>
                  <w:r>
                    <w:rPr>
                      <w:color w:val="auto"/>
                      <w:highlight w:val="none"/>
                    </w:rPr>
                    <w:t>2</w:t>
                  </w:r>
                </w:p>
              </w:tc>
            </w:tr>
            <w:tr w14:paraId="021390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442" w:type="pct"/>
                  <w:noWrap/>
                  <w:vAlign w:val="center"/>
                </w:tcPr>
                <w:p w14:paraId="6F870331">
                  <w:pPr>
                    <w:widowControl/>
                    <w:adjustRightInd w:val="0"/>
                    <w:snapToGrid w:val="0"/>
                    <w:spacing w:line="240" w:lineRule="exact"/>
                    <w:jc w:val="center"/>
                    <w:rPr>
                      <w:color w:val="auto"/>
                      <w:highlight w:val="none"/>
                    </w:rPr>
                  </w:pPr>
                  <w:r>
                    <w:rPr>
                      <w:color w:val="auto"/>
                      <w:highlight w:val="none"/>
                    </w:rPr>
                    <w:t>5</w:t>
                  </w:r>
                </w:p>
              </w:tc>
              <w:tc>
                <w:tcPr>
                  <w:tcW w:w="1735" w:type="pct"/>
                  <w:noWrap/>
                  <w:vAlign w:val="center"/>
                </w:tcPr>
                <w:p w14:paraId="29925514">
                  <w:pPr>
                    <w:widowControl/>
                    <w:adjustRightInd w:val="0"/>
                    <w:snapToGrid w:val="0"/>
                    <w:spacing w:line="240" w:lineRule="exact"/>
                    <w:jc w:val="center"/>
                    <w:rPr>
                      <w:color w:val="auto"/>
                      <w:highlight w:val="none"/>
                    </w:rPr>
                  </w:pPr>
                  <w:r>
                    <w:rPr>
                      <w:rFonts w:hint="eastAsia"/>
                      <w:color w:val="auto"/>
                      <w:highlight w:val="none"/>
                    </w:rPr>
                    <w:t>推土机</w:t>
                  </w:r>
                </w:p>
              </w:tc>
              <w:tc>
                <w:tcPr>
                  <w:tcW w:w="1463" w:type="pct"/>
                  <w:noWrap/>
                  <w:vAlign w:val="center"/>
                </w:tcPr>
                <w:p w14:paraId="6DD6B7DB">
                  <w:pPr>
                    <w:widowControl/>
                    <w:adjustRightInd w:val="0"/>
                    <w:snapToGrid w:val="0"/>
                    <w:spacing w:line="240" w:lineRule="exact"/>
                    <w:jc w:val="center"/>
                    <w:rPr>
                      <w:color w:val="auto"/>
                      <w:highlight w:val="none"/>
                    </w:rPr>
                  </w:pPr>
                  <w:r>
                    <w:rPr>
                      <w:rFonts w:hint="eastAsia"/>
                      <w:color w:val="auto"/>
                      <w:highlight w:val="none"/>
                    </w:rPr>
                    <w:t>122kW</w:t>
                  </w:r>
                </w:p>
              </w:tc>
              <w:tc>
                <w:tcPr>
                  <w:tcW w:w="732" w:type="pct"/>
                  <w:noWrap/>
                  <w:vAlign w:val="center"/>
                </w:tcPr>
                <w:p w14:paraId="6158335C">
                  <w:pPr>
                    <w:widowControl/>
                    <w:adjustRightInd w:val="0"/>
                    <w:snapToGrid w:val="0"/>
                    <w:spacing w:line="240" w:lineRule="exact"/>
                    <w:jc w:val="center"/>
                    <w:rPr>
                      <w:color w:val="auto"/>
                      <w:highlight w:val="none"/>
                    </w:rPr>
                  </w:pPr>
                  <w:r>
                    <w:rPr>
                      <w:color w:val="auto"/>
                      <w:highlight w:val="none"/>
                    </w:rPr>
                    <w:t>辆</w:t>
                  </w:r>
                </w:p>
              </w:tc>
              <w:tc>
                <w:tcPr>
                  <w:tcW w:w="625" w:type="pct"/>
                  <w:noWrap/>
                  <w:vAlign w:val="center"/>
                </w:tcPr>
                <w:p w14:paraId="0FB7325B">
                  <w:pPr>
                    <w:widowControl/>
                    <w:adjustRightInd w:val="0"/>
                    <w:snapToGrid w:val="0"/>
                    <w:spacing w:line="240" w:lineRule="exact"/>
                    <w:jc w:val="center"/>
                    <w:rPr>
                      <w:color w:val="auto"/>
                      <w:highlight w:val="none"/>
                    </w:rPr>
                  </w:pPr>
                  <w:r>
                    <w:rPr>
                      <w:rFonts w:hint="eastAsia"/>
                      <w:color w:val="auto"/>
                      <w:highlight w:val="none"/>
                    </w:rPr>
                    <w:t>2</w:t>
                  </w:r>
                </w:p>
              </w:tc>
            </w:tr>
            <w:tr w14:paraId="25A273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442" w:type="pct"/>
                  <w:noWrap/>
                  <w:vAlign w:val="center"/>
                </w:tcPr>
                <w:p w14:paraId="4389DEAC">
                  <w:pPr>
                    <w:widowControl/>
                    <w:adjustRightInd w:val="0"/>
                    <w:snapToGrid w:val="0"/>
                    <w:spacing w:line="240" w:lineRule="exact"/>
                    <w:jc w:val="center"/>
                    <w:rPr>
                      <w:color w:val="auto"/>
                      <w:highlight w:val="none"/>
                    </w:rPr>
                  </w:pPr>
                  <w:r>
                    <w:rPr>
                      <w:color w:val="auto"/>
                      <w:highlight w:val="none"/>
                    </w:rPr>
                    <w:t>6</w:t>
                  </w:r>
                </w:p>
              </w:tc>
              <w:tc>
                <w:tcPr>
                  <w:tcW w:w="1735" w:type="pct"/>
                  <w:noWrap/>
                  <w:vAlign w:val="center"/>
                </w:tcPr>
                <w:p w14:paraId="1B303CD0">
                  <w:pPr>
                    <w:widowControl/>
                    <w:adjustRightInd w:val="0"/>
                    <w:snapToGrid w:val="0"/>
                    <w:spacing w:line="240" w:lineRule="exact"/>
                    <w:jc w:val="center"/>
                    <w:rPr>
                      <w:color w:val="auto"/>
                      <w:highlight w:val="none"/>
                    </w:rPr>
                  </w:pPr>
                  <w:r>
                    <w:rPr>
                      <w:rFonts w:hint="eastAsia"/>
                      <w:color w:val="auto"/>
                      <w:highlight w:val="none"/>
                    </w:rPr>
                    <w:t>自卸汽车</w:t>
                  </w:r>
                </w:p>
              </w:tc>
              <w:tc>
                <w:tcPr>
                  <w:tcW w:w="1463" w:type="pct"/>
                  <w:noWrap/>
                  <w:vAlign w:val="center"/>
                </w:tcPr>
                <w:p w14:paraId="2499B741">
                  <w:pPr>
                    <w:widowControl/>
                    <w:adjustRightInd w:val="0"/>
                    <w:snapToGrid w:val="0"/>
                    <w:spacing w:line="240" w:lineRule="exact"/>
                    <w:jc w:val="center"/>
                    <w:rPr>
                      <w:color w:val="auto"/>
                      <w:highlight w:val="none"/>
                    </w:rPr>
                  </w:pPr>
                  <w:r>
                    <w:rPr>
                      <w:rFonts w:hint="eastAsia"/>
                      <w:color w:val="auto"/>
                      <w:highlight w:val="none"/>
                    </w:rPr>
                    <w:t>10吨</w:t>
                  </w:r>
                </w:p>
              </w:tc>
              <w:tc>
                <w:tcPr>
                  <w:tcW w:w="732" w:type="pct"/>
                  <w:noWrap/>
                  <w:vAlign w:val="center"/>
                </w:tcPr>
                <w:p w14:paraId="3817FB3A">
                  <w:pPr>
                    <w:widowControl/>
                    <w:adjustRightInd w:val="0"/>
                    <w:snapToGrid w:val="0"/>
                    <w:spacing w:line="240" w:lineRule="exact"/>
                    <w:jc w:val="center"/>
                    <w:rPr>
                      <w:color w:val="auto"/>
                      <w:highlight w:val="none"/>
                    </w:rPr>
                  </w:pPr>
                  <w:r>
                    <w:rPr>
                      <w:color w:val="auto"/>
                      <w:highlight w:val="none"/>
                    </w:rPr>
                    <w:t>辆</w:t>
                  </w:r>
                </w:p>
              </w:tc>
              <w:tc>
                <w:tcPr>
                  <w:tcW w:w="625" w:type="pct"/>
                  <w:noWrap/>
                  <w:vAlign w:val="center"/>
                </w:tcPr>
                <w:p w14:paraId="0B0DA5E8">
                  <w:pPr>
                    <w:widowControl/>
                    <w:adjustRightInd w:val="0"/>
                    <w:snapToGrid w:val="0"/>
                    <w:spacing w:line="240" w:lineRule="exact"/>
                    <w:jc w:val="center"/>
                    <w:rPr>
                      <w:color w:val="auto"/>
                      <w:highlight w:val="none"/>
                    </w:rPr>
                  </w:pPr>
                  <w:r>
                    <w:rPr>
                      <w:rFonts w:hint="eastAsia"/>
                      <w:color w:val="auto"/>
                      <w:highlight w:val="none"/>
                    </w:rPr>
                    <w:t>4</w:t>
                  </w:r>
                </w:p>
              </w:tc>
            </w:tr>
            <w:tr w14:paraId="7A95FA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442" w:type="pct"/>
                  <w:noWrap/>
                  <w:vAlign w:val="center"/>
                </w:tcPr>
                <w:p w14:paraId="64431902">
                  <w:pPr>
                    <w:widowControl/>
                    <w:adjustRightInd w:val="0"/>
                    <w:snapToGrid w:val="0"/>
                    <w:spacing w:line="240" w:lineRule="exact"/>
                    <w:jc w:val="center"/>
                    <w:rPr>
                      <w:color w:val="auto"/>
                      <w:highlight w:val="none"/>
                    </w:rPr>
                  </w:pPr>
                  <w:r>
                    <w:rPr>
                      <w:color w:val="auto"/>
                      <w:highlight w:val="none"/>
                    </w:rPr>
                    <w:t>7</w:t>
                  </w:r>
                </w:p>
              </w:tc>
              <w:tc>
                <w:tcPr>
                  <w:tcW w:w="1735" w:type="pct"/>
                  <w:noWrap/>
                  <w:vAlign w:val="center"/>
                </w:tcPr>
                <w:p w14:paraId="7D233F02">
                  <w:pPr>
                    <w:widowControl/>
                    <w:adjustRightInd w:val="0"/>
                    <w:snapToGrid w:val="0"/>
                    <w:spacing w:line="240" w:lineRule="exact"/>
                    <w:jc w:val="center"/>
                    <w:rPr>
                      <w:color w:val="auto"/>
                      <w:highlight w:val="none"/>
                    </w:rPr>
                  </w:pPr>
                  <w:r>
                    <w:rPr>
                      <w:rFonts w:hint="eastAsia"/>
                      <w:color w:val="auto"/>
                      <w:highlight w:val="none"/>
                    </w:rPr>
                    <w:t>手扶式振动碾压机</w:t>
                  </w:r>
                </w:p>
              </w:tc>
              <w:tc>
                <w:tcPr>
                  <w:tcW w:w="1463" w:type="pct"/>
                  <w:noWrap/>
                  <w:vAlign w:val="center"/>
                </w:tcPr>
                <w:p w14:paraId="4C353566">
                  <w:pPr>
                    <w:widowControl/>
                    <w:adjustRightInd w:val="0"/>
                    <w:snapToGrid w:val="0"/>
                    <w:spacing w:line="240" w:lineRule="exact"/>
                    <w:jc w:val="center"/>
                    <w:rPr>
                      <w:color w:val="auto"/>
                      <w:highlight w:val="none"/>
                    </w:rPr>
                  </w:pPr>
                  <w:r>
                    <w:rPr>
                      <w:color w:val="auto"/>
                      <w:highlight w:val="none"/>
                    </w:rPr>
                    <w:t>/</w:t>
                  </w:r>
                </w:p>
              </w:tc>
              <w:tc>
                <w:tcPr>
                  <w:tcW w:w="732" w:type="pct"/>
                  <w:noWrap/>
                  <w:vAlign w:val="center"/>
                </w:tcPr>
                <w:p w14:paraId="304E65B1">
                  <w:pPr>
                    <w:widowControl/>
                    <w:adjustRightInd w:val="0"/>
                    <w:snapToGrid w:val="0"/>
                    <w:spacing w:line="240" w:lineRule="exact"/>
                    <w:jc w:val="center"/>
                    <w:rPr>
                      <w:color w:val="auto"/>
                      <w:highlight w:val="none"/>
                    </w:rPr>
                  </w:pPr>
                  <w:r>
                    <w:rPr>
                      <w:rFonts w:hint="eastAsia"/>
                      <w:color w:val="auto"/>
                      <w:highlight w:val="none"/>
                    </w:rPr>
                    <w:t>台</w:t>
                  </w:r>
                </w:p>
              </w:tc>
              <w:tc>
                <w:tcPr>
                  <w:tcW w:w="625" w:type="pct"/>
                  <w:noWrap/>
                  <w:vAlign w:val="center"/>
                </w:tcPr>
                <w:p w14:paraId="4AA016C2">
                  <w:pPr>
                    <w:widowControl/>
                    <w:adjustRightInd w:val="0"/>
                    <w:snapToGrid w:val="0"/>
                    <w:spacing w:line="240" w:lineRule="exact"/>
                    <w:jc w:val="center"/>
                    <w:rPr>
                      <w:color w:val="auto"/>
                      <w:highlight w:val="none"/>
                    </w:rPr>
                  </w:pPr>
                  <w:r>
                    <w:rPr>
                      <w:rFonts w:hint="eastAsia"/>
                      <w:color w:val="auto"/>
                      <w:highlight w:val="none"/>
                    </w:rPr>
                    <w:t>2</w:t>
                  </w:r>
                </w:p>
              </w:tc>
            </w:tr>
            <w:tr w14:paraId="31F63A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442" w:type="pct"/>
                  <w:noWrap/>
                  <w:vAlign w:val="center"/>
                </w:tcPr>
                <w:p w14:paraId="66A69BF0">
                  <w:pPr>
                    <w:widowControl/>
                    <w:adjustRightInd w:val="0"/>
                    <w:snapToGrid w:val="0"/>
                    <w:spacing w:line="240" w:lineRule="exact"/>
                    <w:jc w:val="center"/>
                    <w:rPr>
                      <w:color w:val="auto"/>
                      <w:highlight w:val="none"/>
                    </w:rPr>
                  </w:pPr>
                  <w:r>
                    <w:rPr>
                      <w:color w:val="auto"/>
                      <w:highlight w:val="none"/>
                    </w:rPr>
                    <w:t>8</w:t>
                  </w:r>
                </w:p>
              </w:tc>
              <w:tc>
                <w:tcPr>
                  <w:tcW w:w="1735" w:type="pct"/>
                  <w:noWrap/>
                  <w:vAlign w:val="center"/>
                </w:tcPr>
                <w:p w14:paraId="20B93083">
                  <w:pPr>
                    <w:widowControl/>
                    <w:adjustRightInd w:val="0"/>
                    <w:snapToGrid w:val="0"/>
                    <w:spacing w:line="240" w:lineRule="exact"/>
                    <w:jc w:val="center"/>
                    <w:rPr>
                      <w:color w:val="auto"/>
                      <w:highlight w:val="none"/>
                    </w:rPr>
                  </w:pPr>
                  <w:r>
                    <w:rPr>
                      <w:rFonts w:hint="eastAsia"/>
                      <w:color w:val="auto"/>
                      <w:highlight w:val="none"/>
                    </w:rPr>
                    <w:t>光轮压路机</w:t>
                  </w:r>
                </w:p>
              </w:tc>
              <w:tc>
                <w:tcPr>
                  <w:tcW w:w="1463" w:type="pct"/>
                  <w:noWrap/>
                  <w:vAlign w:val="center"/>
                </w:tcPr>
                <w:p w14:paraId="7B86E1C3">
                  <w:pPr>
                    <w:widowControl/>
                    <w:adjustRightInd w:val="0"/>
                    <w:snapToGrid w:val="0"/>
                    <w:spacing w:line="240" w:lineRule="exact"/>
                    <w:jc w:val="center"/>
                    <w:rPr>
                      <w:color w:val="auto"/>
                      <w:highlight w:val="none"/>
                    </w:rPr>
                  </w:pPr>
                  <w:r>
                    <w:rPr>
                      <w:rFonts w:hint="eastAsia"/>
                      <w:color w:val="auto"/>
                      <w:highlight w:val="none"/>
                    </w:rPr>
                    <w:t>25t  YZ25</w:t>
                  </w:r>
                </w:p>
              </w:tc>
              <w:tc>
                <w:tcPr>
                  <w:tcW w:w="732" w:type="pct"/>
                  <w:noWrap/>
                  <w:vAlign w:val="center"/>
                </w:tcPr>
                <w:p w14:paraId="008FDD52">
                  <w:pPr>
                    <w:widowControl/>
                    <w:adjustRightInd w:val="0"/>
                    <w:snapToGrid w:val="0"/>
                    <w:spacing w:line="240" w:lineRule="exact"/>
                    <w:jc w:val="center"/>
                    <w:rPr>
                      <w:color w:val="auto"/>
                      <w:highlight w:val="none"/>
                    </w:rPr>
                  </w:pPr>
                  <w:r>
                    <w:rPr>
                      <w:rFonts w:hint="eastAsia"/>
                      <w:color w:val="auto"/>
                      <w:highlight w:val="none"/>
                    </w:rPr>
                    <w:t>辆</w:t>
                  </w:r>
                </w:p>
              </w:tc>
              <w:tc>
                <w:tcPr>
                  <w:tcW w:w="625" w:type="pct"/>
                  <w:noWrap/>
                  <w:vAlign w:val="center"/>
                </w:tcPr>
                <w:p w14:paraId="2A2A406C">
                  <w:pPr>
                    <w:widowControl/>
                    <w:adjustRightInd w:val="0"/>
                    <w:snapToGrid w:val="0"/>
                    <w:spacing w:line="240" w:lineRule="exact"/>
                    <w:jc w:val="center"/>
                    <w:rPr>
                      <w:color w:val="auto"/>
                      <w:highlight w:val="none"/>
                    </w:rPr>
                  </w:pPr>
                  <w:r>
                    <w:rPr>
                      <w:rFonts w:hint="eastAsia"/>
                      <w:color w:val="auto"/>
                      <w:highlight w:val="none"/>
                    </w:rPr>
                    <w:t>2</w:t>
                  </w:r>
                </w:p>
              </w:tc>
            </w:tr>
            <w:tr w14:paraId="29FE12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442" w:type="pct"/>
                  <w:noWrap/>
                  <w:vAlign w:val="center"/>
                </w:tcPr>
                <w:p w14:paraId="4E2DB44B">
                  <w:pPr>
                    <w:widowControl/>
                    <w:adjustRightInd w:val="0"/>
                    <w:snapToGrid w:val="0"/>
                    <w:spacing w:line="240" w:lineRule="exact"/>
                    <w:jc w:val="center"/>
                    <w:rPr>
                      <w:color w:val="auto"/>
                      <w:highlight w:val="none"/>
                    </w:rPr>
                  </w:pPr>
                  <w:r>
                    <w:rPr>
                      <w:color w:val="auto"/>
                      <w:highlight w:val="none"/>
                    </w:rPr>
                    <w:t>9</w:t>
                  </w:r>
                </w:p>
              </w:tc>
              <w:tc>
                <w:tcPr>
                  <w:tcW w:w="1735" w:type="pct"/>
                  <w:noWrap/>
                  <w:vAlign w:val="center"/>
                </w:tcPr>
                <w:p w14:paraId="4A6A8743">
                  <w:pPr>
                    <w:widowControl/>
                    <w:adjustRightInd w:val="0"/>
                    <w:snapToGrid w:val="0"/>
                    <w:spacing w:line="240" w:lineRule="exact"/>
                    <w:jc w:val="center"/>
                    <w:rPr>
                      <w:color w:val="auto"/>
                      <w:highlight w:val="none"/>
                    </w:rPr>
                  </w:pPr>
                  <w:r>
                    <w:rPr>
                      <w:rFonts w:hint="eastAsia"/>
                      <w:color w:val="auto"/>
                      <w:highlight w:val="none"/>
                    </w:rPr>
                    <w:t>插入式振捣器</w:t>
                  </w:r>
                </w:p>
              </w:tc>
              <w:tc>
                <w:tcPr>
                  <w:tcW w:w="1463" w:type="pct"/>
                  <w:noWrap/>
                  <w:vAlign w:val="center"/>
                </w:tcPr>
                <w:p w14:paraId="73D3E79C">
                  <w:pPr>
                    <w:widowControl/>
                    <w:adjustRightInd w:val="0"/>
                    <w:snapToGrid w:val="0"/>
                    <w:spacing w:line="240" w:lineRule="exact"/>
                    <w:jc w:val="center"/>
                    <w:rPr>
                      <w:color w:val="auto"/>
                      <w:highlight w:val="none"/>
                    </w:rPr>
                  </w:pPr>
                  <w:r>
                    <w:rPr>
                      <w:rFonts w:hint="eastAsia"/>
                      <w:color w:val="auto"/>
                      <w:highlight w:val="none"/>
                    </w:rPr>
                    <w:t>1.1～1.5kW</w:t>
                  </w:r>
                </w:p>
              </w:tc>
              <w:tc>
                <w:tcPr>
                  <w:tcW w:w="732" w:type="pct"/>
                  <w:noWrap/>
                  <w:vAlign w:val="center"/>
                </w:tcPr>
                <w:p w14:paraId="23693672">
                  <w:pPr>
                    <w:widowControl/>
                    <w:adjustRightInd w:val="0"/>
                    <w:snapToGrid w:val="0"/>
                    <w:spacing w:line="240" w:lineRule="exact"/>
                    <w:jc w:val="center"/>
                    <w:rPr>
                      <w:color w:val="auto"/>
                      <w:highlight w:val="none"/>
                    </w:rPr>
                  </w:pPr>
                  <w:r>
                    <w:rPr>
                      <w:rFonts w:hint="eastAsia"/>
                      <w:color w:val="auto"/>
                      <w:highlight w:val="none"/>
                    </w:rPr>
                    <w:t>台</w:t>
                  </w:r>
                </w:p>
              </w:tc>
              <w:tc>
                <w:tcPr>
                  <w:tcW w:w="625" w:type="pct"/>
                  <w:noWrap/>
                  <w:vAlign w:val="center"/>
                </w:tcPr>
                <w:p w14:paraId="165A871D">
                  <w:pPr>
                    <w:widowControl/>
                    <w:adjustRightInd w:val="0"/>
                    <w:snapToGrid w:val="0"/>
                    <w:spacing w:line="240" w:lineRule="exact"/>
                    <w:jc w:val="center"/>
                    <w:rPr>
                      <w:color w:val="auto"/>
                      <w:highlight w:val="none"/>
                    </w:rPr>
                  </w:pPr>
                  <w:r>
                    <w:rPr>
                      <w:rFonts w:hint="eastAsia"/>
                      <w:color w:val="auto"/>
                      <w:highlight w:val="none"/>
                    </w:rPr>
                    <w:t>9</w:t>
                  </w:r>
                </w:p>
              </w:tc>
            </w:tr>
            <w:tr w14:paraId="0DB5D8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442" w:type="pct"/>
                  <w:noWrap/>
                  <w:vAlign w:val="center"/>
                </w:tcPr>
                <w:p w14:paraId="132786E1">
                  <w:pPr>
                    <w:widowControl/>
                    <w:adjustRightInd w:val="0"/>
                    <w:snapToGrid w:val="0"/>
                    <w:spacing w:line="240" w:lineRule="exact"/>
                    <w:jc w:val="center"/>
                    <w:rPr>
                      <w:color w:val="auto"/>
                      <w:highlight w:val="none"/>
                    </w:rPr>
                  </w:pPr>
                  <w:r>
                    <w:rPr>
                      <w:color w:val="auto"/>
                      <w:highlight w:val="none"/>
                    </w:rPr>
                    <w:t>10</w:t>
                  </w:r>
                </w:p>
              </w:tc>
              <w:tc>
                <w:tcPr>
                  <w:tcW w:w="1735" w:type="pct"/>
                  <w:noWrap/>
                  <w:vAlign w:val="center"/>
                </w:tcPr>
                <w:p w14:paraId="6E6E153E">
                  <w:pPr>
                    <w:widowControl/>
                    <w:adjustRightInd w:val="0"/>
                    <w:snapToGrid w:val="0"/>
                    <w:spacing w:line="240" w:lineRule="exact"/>
                    <w:jc w:val="center"/>
                    <w:rPr>
                      <w:color w:val="auto"/>
                      <w:highlight w:val="none"/>
                    </w:rPr>
                  </w:pPr>
                  <w:r>
                    <w:rPr>
                      <w:rFonts w:hint="eastAsia"/>
                      <w:color w:val="auto"/>
                      <w:highlight w:val="none"/>
                    </w:rPr>
                    <w:t>混凝土搅拌运输车</w:t>
                  </w:r>
                </w:p>
              </w:tc>
              <w:tc>
                <w:tcPr>
                  <w:tcW w:w="1463" w:type="pct"/>
                  <w:noWrap/>
                  <w:vAlign w:val="center"/>
                </w:tcPr>
                <w:p w14:paraId="1031CB83">
                  <w:pPr>
                    <w:widowControl/>
                    <w:adjustRightInd w:val="0"/>
                    <w:snapToGrid w:val="0"/>
                    <w:spacing w:line="240" w:lineRule="exact"/>
                    <w:jc w:val="center"/>
                    <w:rPr>
                      <w:color w:val="auto"/>
                      <w:highlight w:val="none"/>
                    </w:rPr>
                  </w:pPr>
                  <w:r>
                    <w:rPr>
                      <w:rFonts w:hint="eastAsia"/>
                      <w:color w:val="auto"/>
                      <w:highlight w:val="none"/>
                    </w:rPr>
                    <w:t>8m</w:t>
                  </w:r>
                  <w:r>
                    <w:rPr>
                      <w:color w:val="auto"/>
                      <w:highlight w:val="none"/>
                    </w:rPr>
                    <w:t>³</w:t>
                  </w:r>
                </w:p>
              </w:tc>
              <w:tc>
                <w:tcPr>
                  <w:tcW w:w="732" w:type="pct"/>
                  <w:noWrap/>
                  <w:vAlign w:val="center"/>
                </w:tcPr>
                <w:p w14:paraId="615907ED">
                  <w:pPr>
                    <w:widowControl/>
                    <w:adjustRightInd w:val="0"/>
                    <w:snapToGrid w:val="0"/>
                    <w:spacing w:line="240" w:lineRule="exact"/>
                    <w:jc w:val="center"/>
                    <w:rPr>
                      <w:color w:val="auto"/>
                      <w:highlight w:val="none"/>
                    </w:rPr>
                  </w:pPr>
                  <w:r>
                    <w:rPr>
                      <w:color w:val="auto"/>
                      <w:highlight w:val="none"/>
                    </w:rPr>
                    <w:t>辆</w:t>
                  </w:r>
                </w:p>
              </w:tc>
              <w:tc>
                <w:tcPr>
                  <w:tcW w:w="625" w:type="pct"/>
                  <w:noWrap/>
                  <w:vAlign w:val="center"/>
                </w:tcPr>
                <w:p w14:paraId="2F91F6CD">
                  <w:pPr>
                    <w:widowControl/>
                    <w:adjustRightInd w:val="0"/>
                    <w:snapToGrid w:val="0"/>
                    <w:spacing w:line="240" w:lineRule="exact"/>
                    <w:jc w:val="center"/>
                    <w:rPr>
                      <w:color w:val="auto"/>
                      <w:highlight w:val="none"/>
                    </w:rPr>
                  </w:pPr>
                  <w:r>
                    <w:rPr>
                      <w:color w:val="auto"/>
                      <w:highlight w:val="none"/>
                    </w:rPr>
                    <w:t>1</w:t>
                  </w:r>
                  <w:r>
                    <w:rPr>
                      <w:rFonts w:hint="eastAsia"/>
                      <w:color w:val="auto"/>
                      <w:highlight w:val="none"/>
                    </w:rPr>
                    <w:t>0</w:t>
                  </w:r>
                </w:p>
              </w:tc>
            </w:tr>
            <w:tr w14:paraId="6E1E4F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442" w:type="pct"/>
                  <w:noWrap/>
                  <w:vAlign w:val="center"/>
                </w:tcPr>
                <w:p w14:paraId="14502716">
                  <w:pPr>
                    <w:widowControl/>
                    <w:adjustRightInd w:val="0"/>
                    <w:snapToGrid w:val="0"/>
                    <w:spacing w:line="240" w:lineRule="exact"/>
                    <w:jc w:val="center"/>
                    <w:rPr>
                      <w:color w:val="auto"/>
                      <w:highlight w:val="none"/>
                    </w:rPr>
                  </w:pPr>
                  <w:r>
                    <w:rPr>
                      <w:color w:val="auto"/>
                      <w:highlight w:val="none"/>
                    </w:rPr>
                    <w:t>11</w:t>
                  </w:r>
                </w:p>
              </w:tc>
              <w:tc>
                <w:tcPr>
                  <w:tcW w:w="1735" w:type="pct"/>
                  <w:noWrap/>
                  <w:vAlign w:val="center"/>
                </w:tcPr>
                <w:p w14:paraId="61F83DCC">
                  <w:pPr>
                    <w:widowControl/>
                    <w:adjustRightInd w:val="0"/>
                    <w:snapToGrid w:val="0"/>
                    <w:spacing w:line="240" w:lineRule="exact"/>
                    <w:jc w:val="center"/>
                    <w:rPr>
                      <w:color w:val="auto"/>
                      <w:highlight w:val="none"/>
                    </w:rPr>
                  </w:pPr>
                  <w:r>
                    <w:rPr>
                      <w:rFonts w:hint="eastAsia"/>
                      <w:color w:val="auto"/>
                      <w:highlight w:val="none"/>
                    </w:rPr>
                    <w:t>空压机</w:t>
                  </w:r>
                </w:p>
              </w:tc>
              <w:tc>
                <w:tcPr>
                  <w:tcW w:w="1463" w:type="pct"/>
                  <w:noWrap/>
                  <w:vAlign w:val="center"/>
                </w:tcPr>
                <w:p w14:paraId="0B67ADE7">
                  <w:pPr>
                    <w:widowControl/>
                    <w:adjustRightInd w:val="0"/>
                    <w:snapToGrid w:val="0"/>
                    <w:spacing w:line="240" w:lineRule="exact"/>
                    <w:jc w:val="center"/>
                    <w:rPr>
                      <w:color w:val="auto"/>
                      <w:highlight w:val="none"/>
                    </w:rPr>
                  </w:pPr>
                  <w:r>
                    <w:rPr>
                      <w:rFonts w:hint="eastAsia"/>
                      <w:color w:val="auto"/>
                      <w:highlight w:val="none"/>
                    </w:rPr>
                    <w:t>9m</w:t>
                  </w:r>
                  <w:r>
                    <w:rPr>
                      <w:color w:val="auto"/>
                      <w:highlight w:val="none"/>
                    </w:rPr>
                    <w:t>³</w:t>
                  </w:r>
                  <w:r>
                    <w:rPr>
                      <w:rFonts w:hint="eastAsia"/>
                      <w:color w:val="auto"/>
                      <w:highlight w:val="none"/>
                    </w:rPr>
                    <w:t>/min</w:t>
                  </w:r>
                </w:p>
              </w:tc>
              <w:tc>
                <w:tcPr>
                  <w:tcW w:w="732" w:type="pct"/>
                  <w:noWrap/>
                  <w:vAlign w:val="center"/>
                </w:tcPr>
                <w:p w14:paraId="238734E3">
                  <w:pPr>
                    <w:widowControl/>
                    <w:adjustRightInd w:val="0"/>
                    <w:snapToGrid w:val="0"/>
                    <w:spacing w:line="240" w:lineRule="exact"/>
                    <w:jc w:val="center"/>
                    <w:rPr>
                      <w:color w:val="auto"/>
                      <w:highlight w:val="none"/>
                    </w:rPr>
                  </w:pPr>
                  <w:r>
                    <w:rPr>
                      <w:color w:val="auto"/>
                      <w:highlight w:val="none"/>
                    </w:rPr>
                    <w:t>台</w:t>
                  </w:r>
                </w:p>
              </w:tc>
              <w:tc>
                <w:tcPr>
                  <w:tcW w:w="625" w:type="pct"/>
                  <w:noWrap/>
                  <w:vAlign w:val="center"/>
                </w:tcPr>
                <w:p w14:paraId="1504A443">
                  <w:pPr>
                    <w:widowControl/>
                    <w:adjustRightInd w:val="0"/>
                    <w:snapToGrid w:val="0"/>
                    <w:spacing w:line="240" w:lineRule="exact"/>
                    <w:jc w:val="center"/>
                    <w:rPr>
                      <w:color w:val="auto"/>
                      <w:highlight w:val="none"/>
                    </w:rPr>
                  </w:pPr>
                  <w:r>
                    <w:rPr>
                      <w:color w:val="auto"/>
                      <w:highlight w:val="none"/>
                    </w:rPr>
                    <w:t>2</w:t>
                  </w:r>
                </w:p>
              </w:tc>
            </w:tr>
            <w:tr w14:paraId="1CBC51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442" w:type="pct"/>
                  <w:noWrap/>
                  <w:vAlign w:val="center"/>
                </w:tcPr>
                <w:p w14:paraId="1BEAD3F6">
                  <w:pPr>
                    <w:widowControl/>
                    <w:adjustRightInd w:val="0"/>
                    <w:snapToGrid w:val="0"/>
                    <w:spacing w:line="240" w:lineRule="exact"/>
                    <w:jc w:val="center"/>
                    <w:rPr>
                      <w:color w:val="auto"/>
                      <w:highlight w:val="none"/>
                    </w:rPr>
                  </w:pPr>
                  <w:r>
                    <w:rPr>
                      <w:color w:val="auto"/>
                      <w:highlight w:val="none"/>
                    </w:rPr>
                    <w:t>12</w:t>
                  </w:r>
                </w:p>
              </w:tc>
              <w:tc>
                <w:tcPr>
                  <w:tcW w:w="1735" w:type="pct"/>
                  <w:noWrap/>
                  <w:vAlign w:val="center"/>
                </w:tcPr>
                <w:p w14:paraId="1AD255D1">
                  <w:pPr>
                    <w:widowControl/>
                    <w:adjustRightInd w:val="0"/>
                    <w:snapToGrid w:val="0"/>
                    <w:spacing w:line="240" w:lineRule="exact"/>
                    <w:jc w:val="center"/>
                    <w:rPr>
                      <w:color w:val="auto"/>
                      <w:highlight w:val="none"/>
                    </w:rPr>
                  </w:pPr>
                  <w:r>
                    <w:rPr>
                      <w:rFonts w:hint="eastAsia"/>
                      <w:color w:val="auto"/>
                      <w:highlight w:val="none"/>
                    </w:rPr>
                    <w:t>水车</w:t>
                  </w:r>
                </w:p>
              </w:tc>
              <w:tc>
                <w:tcPr>
                  <w:tcW w:w="1463" w:type="pct"/>
                  <w:noWrap/>
                  <w:vAlign w:val="center"/>
                </w:tcPr>
                <w:p w14:paraId="1232F76A">
                  <w:pPr>
                    <w:widowControl/>
                    <w:adjustRightInd w:val="0"/>
                    <w:snapToGrid w:val="0"/>
                    <w:spacing w:line="240" w:lineRule="exact"/>
                    <w:jc w:val="center"/>
                    <w:rPr>
                      <w:color w:val="auto"/>
                      <w:highlight w:val="none"/>
                    </w:rPr>
                  </w:pPr>
                  <w:r>
                    <w:rPr>
                      <w:rFonts w:hint="eastAsia"/>
                      <w:color w:val="auto"/>
                      <w:highlight w:val="none"/>
                    </w:rPr>
                    <w:t>8m</w:t>
                  </w:r>
                  <w:r>
                    <w:rPr>
                      <w:color w:val="auto"/>
                      <w:highlight w:val="none"/>
                    </w:rPr>
                    <w:t>³</w:t>
                  </w:r>
                </w:p>
              </w:tc>
              <w:tc>
                <w:tcPr>
                  <w:tcW w:w="732" w:type="pct"/>
                  <w:noWrap/>
                  <w:vAlign w:val="center"/>
                </w:tcPr>
                <w:p w14:paraId="484A51BC">
                  <w:pPr>
                    <w:widowControl/>
                    <w:adjustRightInd w:val="0"/>
                    <w:snapToGrid w:val="0"/>
                    <w:spacing w:line="240" w:lineRule="exact"/>
                    <w:jc w:val="center"/>
                    <w:rPr>
                      <w:color w:val="auto"/>
                      <w:highlight w:val="none"/>
                    </w:rPr>
                  </w:pPr>
                  <w:r>
                    <w:rPr>
                      <w:rFonts w:hint="eastAsia"/>
                      <w:color w:val="auto"/>
                      <w:highlight w:val="none"/>
                    </w:rPr>
                    <w:t>辆</w:t>
                  </w:r>
                </w:p>
              </w:tc>
              <w:tc>
                <w:tcPr>
                  <w:tcW w:w="625" w:type="pct"/>
                  <w:noWrap/>
                  <w:vAlign w:val="center"/>
                </w:tcPr>
                <w:p w14:paraId="662E63EC">
                  <w:pPr>
                    <w:widowControl/>
                    <w:adjustRightInd w:val="0"/>
                    <w:snapToGrid w:val="0"/>
                    <w:spacing w:line="240" w:lineRule="exact"/>
                    <w:jc w:val="center"/>
                    <w:rPr>
                      <w:color w:val="auto"/>
                      <w:highlight w:val="none"/>
                    </w:rPr>
                  </w:pPr>
                  <w:r>
                    <w:rPr>
                      <w:color w:val="auto"/>
                      <w:highlight w:val="none"/>
                    </w:rPr>
                    <w:t>2</w:t>
                  </w:r>
                </w:p>
              </w:tc>
            </w:tr>
            <w:tr w14:paraId="3BA59D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442" w:type="pct"/>
                  <w:noWrap/>
                  <w:vAlign w:val="center"/>
                </w:tcPr>
                <w:p w14:paraId="7F94D28C">
                  <w:pPr>
                    <w:widowControl/>
                    <w:adjustRightInd w:val="0"/>
                    <w:snapToGrid w:val="0"/>
                    <w:spacing w:line="240" w:lineRule="exact"/>
                    <w:jc w:val="center"/>
                    <w:rPr>
                      <w:color w:val="auto"/>
                      <w:highlight w:val="none"/>
                    </w:rPr>
                  </w:pPr>
                  <w:r>
                    <w:rPr>
                      <w:color w:val="auto"/>
                      <w:highlight w:val="none"/>
                    </w:rPr>
                    <w:t>13</w:t>
                  </w:r>
                </w:p>
              </w:tc>
              <w:tc>
                <w:tcPr>
                  <w:tcW w:w="1735" w:type="pct"/>
                  <w:noWrap/>
                  <w:vAlign w:val="center"/>
                </w:tcPr>
                <w:p w14:paraId="0B5E3A20">
                  <w:pPr>
                    <w:widowControl/>
                    <w:adjustRightInd w:val="0"/>
                    <w:snapToGrid w:val="0"/>
                    <w:spacing w:line="240" w:lineRule="exact"/>
                    <w:jc w:val="center"/>
                    <w:rPr>
                      <w:color w:val="auto"/>
                      <w:highlight w:val="none"/>
                    </w:rPr>
                  </w:pPr>
                  <w:r>
                    <w:rPr>
                      <w:rFonts w:hint="eastAsia"/>
                      <w:color w:val="auto"/>
                      <w:highlight w:val="none"/>
                    </w:rPr>
                    <w:t>移动式柴油发电机</w:t>
                  </w:r>
                </w:p>
              </w:tc>
              <w:tc>
                <w:tcPr>
                  <w:tcW w:w="1463" w:type="pct"/>
                  <w:noWrap/>
                  <w:vAlign w:val="center"/>
                </w:tcPr>
                <w:p w14:paraId="38E89B71">
                  <w:pPr>
                    <w:widowControl/>
                    <w:adjustRightInd w:val="0"/>
                    <w:snapToGrid w:val="0"/>
                    <w:spacing w:line="240" w:lineRule="exact"/>
                    <w:jc w:val="center"/>
                    <w:rPr>
                      <w:color w:val="auto"/>
                      <w:highlight w:val="none"/>
                    </w:rPr>
                  </w:pPr>
                  <w:r>
                    <w:rPr>
                      <w:rFonts w:hint="eastAsia"/>
                      <w:color w:val="auto"/>
                      <w:highlight w:val="none"/>
                    </w:rPr>
                    <w:t>75kW</w:t>
                  </w:r>
                </w:p>
              </w:tc>
              <w:tc>
                <w:tcPr>
                  <w:tcW w:w="732" w:type="pct"/>
                  <w:noWrap/>
                  <w:vAlign w:val="center"/>
                </w:tcPr>
                <w:p w14:paraId="4EA01245">
                  <w:pPr>
                    <w:widowControl/>
                    <w:adjustRightInd w:val="0"/>
                    <w:snapToGrid w:val="0"/>
                    <w:spacing w:line="240" w:lineRule="exact"/>
                    <w:jc w:val="center"/>
                    <w:rPr>
                      <w:color w:val="auto"/>
                      <w:highlight w:val="none"/>
                    </w:rPr>
                  </w:pPr>
                  <w:r>
                    <w:rPr>
                      <w:color w:val="auto"/>
                      <w:highlight w:val="none"/>
                    </w:rPr>
                    <w:t>台</w:t>
                  </w:r>
                </w:p>
              </w:tc>
              <w:tc>
                <w:tcPr>
                  <w:tcW w:w="625" w:type="pct"/>
                  <w:noWrap/>
                  <w:vAlign w:val="center"/>
                </w:tcPr>
                <w:p w14:paraId="6DE9C132">
                  <w:pPr>
                    <w:widowControl/>
                    <w:adjustRightInd w:val="0"/>
                    <w:snapToGrid w:val="0"/>
                    <w:spacing w:line="240" w:lineRule="exact"/>
                    <w:jc w:val="center"/>
                    <w:rPr>
                      <w:color w:val="auto"/>
                      <w:highlight w:val="none"/>
                    </w:rPr>
                  </w:pPr>
                  <w:r>
                    <w:rPr>
                      <w:rFonts w:hint="eastAsia"/>
                      <w:color w:val="auto"/>
                      <w:highlight w:val="none"/>
                    </w:rPr>
                    <w:t>2</w:t>
                  </w:r>
                </w:p>
              </w:tc>
            </w:tr>
            <w:tr w14:paraId="4CBB69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442" w:type="pct"/>
                  <w:noWrap/>
                  <w:vAlign w:val="center"/>
                </w:tcPr>
                <w:p w14:paraId="5B8853FF">
                  <w:pPr>
                    <w:widowControl/>
                    <w:adjustRightInd w:val="0"/>
                    <w:snapToGrid w:val="0"/>
                    <w:spacing w:line="240" w:lineRule="exact"/>
                    <w:jc w:val="center"/>
                    <w:rPr>
                      <w:color w:val="auto"/>
                      <w:highlight w:val="none"/>
                    </w:rPr>
                  </w:pPr>
                  <w:r>
                    <w:rPr>
                      <w:color w:val="auto"/>
                      <w:highlight w:val="none"/>
                    </w:rPr>
                    <w:t>14</w:t>
                  </w:r>
                </w:p>
              </w:tc>
              <w:tc>
                <w:tcPr>
                  <w:tcW w:w="1735" w:type="pct"/>
                  <w:noWrap/>
                  <w:vAlign w:val="center"/>
                </w:tcPr>
                <w:p w14:paraId="180B32E8">
                  <w:pPr>
                    <w:widowControl/>
                    <w:adjustRightInd w:val="0"/>
                    <w:snapToGrid w:val="0"/>
                    <w:spacing w:line="240" w:lineRule="exact"/>
                    <w:jc w:val="center"/>
                    <w:rPr>
                      <w:color w:val="auto"/>
                      <w:highlight w:val="none"/>
                    </w:rPr>
                  </w:pPr>
                  <w:r>
                    <w:rPr>
                      <w:rFonts w:hint="eastAsia"/>
                      <w:color w:val="auto"/>
                      <w:highlight w:val="none"/>
                    </w:rPr>
                    <w:t>平板拖车</w:t>
                  </w:r>
                </w:p>
              </w:tc>
              <w:tc>
                <w:tcPr>
                  <w:tcW w:w="1463" w:type="pct"/>
                  <w:noWrap/>
                  <w:vAlign w:val="center"/>
                </w:tcPr>
                <w:p w14:paraId="00ACBCE3">
                  <w:pPr>
                    <w:widowControl/>
                    <w:adjustRightInd w:val="0"/>
                    <w:snapToGrid w:val="0"/>
                    <w:spacing w:line="240" w:lineRule="exact"/>
                    <w:jc w:val="center"/>
                    <w:rPr>
                      <w:color w:val="auto"/>
                      <w:highlight w:val="none"/>
                    </w:rPr>
                  </w:pPr>
                  <w:r>
                    <w:rPr>
                      <w:rFonts w:hint="eastAsia"/>
                      <w:color w:val="auto"/>
                      <w:highlight w:val="none"/>
                    </w:rPr>
                    <w:t>/</w:t>
                  </w:r>
                </w:p>
              </w:tc>
              <w:tc>
                <w:tcPr>
                  <w:tcW w:w="732" w:type="pct"/>
                  <w:noWrap/>
                  <w:vAlign w:val="center"/>
                </w:tcPr>
                <w:p w14:paraId="7DD6F254">
                  <w:pPr>
                    <w:widowControl/>
                    <w:adjustRightInd w:val="0"/>
                    <w:snapToGrid w:val="0"/>
                    <w:spacing w:line="240" w:lineRule="exact"/>
                    <w:jc w:val="center"/>
                    <w:rPr>
                      <w:color w:val="auto"/>
                      <w:highlight w:val="none"/>
                    </w:rPr>
                  </w:pPr>
                  <w:r>
                    <w:rPr>
                      <w:rFonts w:hint="eastAsia"/>
                      <w:color w:val="auto"/>
                      <w:highlight w:val="none"/>
                    </w:rPr>
                    <w:t>辆</w:t>
                  </w:r>
                </w:p>
              </w:tc>
              <w:tc>
                <w:tcPr>
                  <w:tcW w:w="625" w:type="pct"/>
                  <w:noWrap/>
                  <w:vAlign w:val="center"/>
                </w:tcPr>
                <w:p w14:paraId="3A1B849E">
                  <w:pPr>
                    <w:widowControl/>
                    <w:adjustRightInd w:val="0"/>
                    <w:snapToGrid w:val="0"/>
                    <w:spacing w:line="240" w:lineRule="exact"/>
                    <w:jc w:val="center"/>
                    <w:rPr>
                      <w:color w:val="auto"/>
                      <w:highlight w:val="none"/>
                    </w:rPr>
                  </w:pPr>
                  <w:r>
                    <w:rPr>
                      <w:rFonts w:hint="eastAsia"/>
                      <w:color w:val="auto"/>
                      <w:highlight w:val="none"/>
                    </w:rPr>
                    <w:t>2</w:t>
                  </w:r>
                </w:p>
              </w:tc>
            </w:tr>
          </w:tbl>
          <w:p w14:paraId="2C72BB89">
            <w:pPr>
              <w:pStyle w:val="7"/>
              <w:ind w:firstLine="480"/>
              <w:rPr>
                <w:rFonts w:ascii="Times New Roman" w:hAnsi="Times New Roman" w:cs="Times New Roman"/>
                <w:color w:val="auto"/>
                <w:kern w:val="0"/>
                <w:sz w:val="24"/>
                <w:highlight w:val="none"/>
              </w:rPr>
            </w:pPr>
            <w:r>
              <w:rPr>
                <w:rFonts w:hint="eastAsia" w:ascii="Times New Roman" w:hAnsi="Times New Roman" w:cs="Times New Roman"/>
                <w:color w:val="auto"/>
                <w:kern w:val="0"/>
                <w:sz w:val="24"/>
                <w:highlight w:val="none"/>
              </w:rPr>
              <w:t>2、施工工艺</w:t>
            </w:r>
          </w:p>
          <w:p w14:paraId="4D75D0EA">
            <w:pPr>
              <w:rPr>
                <w:color w:val="auto"/>
                <w:highlight w:val="none"/>
              </w:rPr>
            </w:pPr>
          </w:p>
          <w:p w14:paraId="33A9FC71">
            <w:pPr>
              <w:widowControl/>
              <w:shd w:val="clear" w:color="auto" w:fill="FFFFFF"/>
              <w:jc w:val="center"/>
              <w:rPr>
                <w:color w:val="auto"/>
                <w:kern w:val="0"/>
                <w:sz w:val="24"/>
                <w:highlight w:val="none"/>
              </w:rPr>
            </w:pPr>
            <w:r>
              <w:rPr>
                <w:color w:val="auto"/>
                <w:kern w:val="0"/>
                <w:sz w:val="24"/>
                <w:highlight w:val="none"/>
              </w:rPr>
              <mc:AlternateContent>
                <mc:Choice Requires="wpg">
                  <w:drawing>
                    <wp:anchor distT="0" distB="0" distL="114300" distR="114300" simplePos="0" relativeHeight="251659264" behindDoc="0" locked="0" layoutInCell="1" allowOverlap="1">
                      <wp:simplePos x="0" y="0"/>
                      <wp:positionH relativeFrom="column">
                        <wp:posOffset>107950</wp:posOffset>
                      </wp:positionH>
                      <wp:positionV relativeFrom="paragraph">
                        <wp:posOffset>22860</wp:posOffset>
                      </wp:positionV>
                      <wp:extent cx="5099050" cy="4738370"/>
                      <wp:effectExtent l="4445" t="4445" r="20955" b="19685"/>
                      <wp:wrapNone/>
                      <wp:docPr id="204" name="组合 204"/>
                      <wp:cNvGraphicFramePr/>
                      <a:graphic xmlns:a="http://schemas.openxmlformats.org/drawingml/2006/main">
                        <a:graphicData uri="http://schemas.microsoft.com/office/word/2010/wordprocessingGroup">
                          <wpg:wgp>
                            <wpg:cNvGrpSpPr/>
                            <wpg:grpSpPr>
                              <a:xfrm>
                                <a:off x="0" y="0"/>
                                <a:ext cx="5098919" cy="4738370"/>
                                <a:chOff x="0" y="90475"/>
                                <a:chExt cx="5098919" cy="4738111"/>
                              </a:xfrm>
                            </wpg:grpSpPr>
                            <wpg:grpSp>
                              <wpg:cNvPr id="206" name="组合 2"/>
                              <wpg:cNvGrpSpPr/>
                              <wpg:grpSpPr>
                                <a:xfrm>
                                  <a:off x="0" y="145082"/>
                                  <a:ext cx="5098919" cy="4683504"/>
                                  <a:chOff x="1929" y="5382"/>
                                  <a:chExt cx="8031" cy="7376"/>
                                </a:xfrm>
                              </wpg:grpSpPr>
                              <wps:wsp>
                                <wps:cNvPr id="75" name="文本框 3"/>
                                <wps:cNvSpPr txBox="1">
                                  <a:spLocks noChangeArrowheads="1"/>
                                </wps:cNvSpPr>
                                <wps:spPr bwMode="auto">
                                  <a:xfrm>
                                    <a:off x="1929" y="5382"/>
                                    <a:ext cx="603" cy="6006"/>
                                  </a:xfrm>
                                  <a:prstGeom prst="rect">
                                    <a:avLst/>
                                  </a:prstGeom>
                                  <a:solidFill>
                                    <a:srgbClr val="FFFFFF"/>
                                  </a:solidFill>
                                  <a:ln w="9525">
                                    <a:solidFill>
                                      <a:srgbClr val="000000"/>
                                    </a:solidFill>
                                    <a:miter lim="800000"/>
                                  </a:ln>
                                </wps:spPr>
                                <wps:txbx>
                                  <w:txbxContent>
                                    <w:p w14:paraId="76CDBB2D">
                                      <w:pPr>
                                        <w:jc w:val="center"/>
                                        <w:rPr>
                                          <w:sz w:val="24"/>
                                        </w:rPr>
                                      </w:pPr>
                                      <w:r>
                                        <w:rPr>
                                          <w:rFonts w:hint="eastAsia"/>
                                        </w:rPr>
                                        <w:t>50</w:t>
                                      </w:r>
                                      <w:r>
                                        <w:t>MW</w:t>
                                      </w:r>
                                      <w:r>
                                        <w:rPr>
                                          <w:rFonts w:hint="eastAsia"/>
                                        </w:rPr>
                                        <w:t>风电项目</w:t>
                                      </w:r>
                                    </w:p>
                                  </w:txbxContent>
                                </wps:txbx>
                                <wps:bodyPr rot="0" vert="eaVert" wrap="square" lIns="91440" tIns="45720" rIns="91440" bIns="45720" anchor="t" anchorCtr="0" upright="1">
                                  <a:noAutofit/>
                                </wps:bodyPr>
                              </wps:wsp>
                              <wps:wsp>
                                <wps:cNvPr id="76" name="直线 4"/>
                                <wps:cNvCnPr/>
                                <wps:spPr bwMode="auto">
                                  <a:xfrm>
                                    <a:off x="2544" y="10215"/>
                                    <a:ext cx="725" cy="7"/>
                                  </a:xfrm>
                                  <a:prstGeom prst="line">
                                    <a:avLst/>
                                  </a:prstGeom>
                                  <a:noFill/>
                                  <a:ln w="9525">
                                    <a:solidFill>
                                      <a:srgbClr val="000000"/>
                                    </a:solidFill>
                                    <a:round/>
                                    <a:tailEnd type="triangle" w="med" len="med"/>
                                  </a:ln>
                                </wps:spPr>
                                <wps:bodyPr/>
                              </wps:wsp>
                              <wps:wsp>
                                <wps:cNvPr id="77" name="文本框 5"/>
                                <wps:cNvSpPr txBox="1">
                                  <a:spLocks noChangeArrowheads="1"/>
                                </wps:cNvSpPr>
                                <wps:spPr bwMode="auto">
                                  <a:xfrm>
                                    <a:off x="3310" y="9965"/>
                                    <a:ext cx="1215" cy="468"/>
                                  </a:xfrm>
                                  <a:prstGeom prst="rect">
                                    <a:avLst/>
                                  </a:prstGeom>
                                  <a:solidFill>
                                    <a:srgbClr val="FFFFFF"/>
                                  </a:solidFill>
                                  <a:ln w="9525">
                                    <a:solidFill>
                                      <a:srgbClr val="000000"/>
                                    </a:solidFill>
                                    <a:miter lim="800000"/>
                                  </a:ln>
                                </wps:spPr>
                                <wps:txbx>
                                  <w:txbxContent>
                                    <w:p w14:paraId="0E721379">
                                      <w:pPr>
                                        <w:rPr>
                                          <w:szCs w:val="21"/>
                                        </w:rPr>
                                      </w:pPr>
                                      <w:r>
                                        <w:rPr>
                                          <w:rFonts w:hint="eastAsia"/>
                                          <w:szCs w:val="21"/>
                                        </w:rPr>
                                        <w:t>主体工程</w:t>
                                      </w:r>
                                    </w:p>
                                  </w:txbxContent>
                                </wps:txbx>
                                <wps:bodyPr rot="0" vert="horz" wrap="square" lIns="91440" tIns="45720" rIns="91440" bIns="45720" anchor="t" anchorCtr="0" upright="1">
                                  <a:noAutofit/>
                                </wps:bodyPr>
                              </wps:wsp>
                              <wps:wsp>
                                <wps:cNvPr id="78" name="直线 6"/>
                                <wps:cNvCnPr/>
                                <wps:spPr bwMode="auto">
                                  <a:xfrm>
                                    <a:off x="4542" y="10188"/>
                                    <a:ext cx="465" cy="0"/>
                                  </a:xfrm>
                                  <a:prstGeom prst="line">
                                    <a:avLst/>
                                  </a:prstGeom>
                                  <a:noFill/>
                                  <a:ln w="9525">
                                    <a:solidFill>
                                      <a:srgbClr val="000000"/>
                                    </a:solidFill>
                                    <a:round/>
                                    <a:tailEnd type="triangle" w="med" len="med"/>
                                  </a:ln>
                                </wps:spPr>
                                <wps:bodyPr/>
                              </wps:wsp>
                              <wps:wsp>
                                <wps:cNvPr id="79" name="直线 7"/>
                                <wps:cNvCnPr/>
                                <wps:spPr bwMode="auto">
                                  <a:xfrm flipH="1" flipV="1">
                                    <a:off x="5007" y="7491"/>
                                    <a:ext cx="7" cy="4614"/>
                                  </a:xfrm>
                                  <a:prstGeom prst="line">
                                    <a:avLst/>
                                  </a:prstGeom>
                                  <a:noFill/>
                                  <a:ln w="9525">
                                    <a:solidFill>
                                      <a:srgbClr val="000000"/>
                                    </a:solidFill>
                                    <a:round/>
                                  </a:ln>
                                </wps:spPr>
                                <wps:bodyPr/>
                              </wps:wsp>
                              <wps:wsp>
                                <wps:cNvPr id="80" name="直线 8"/>
                                <wps:cNvCnPr/>
                                <wps:spPr bwMode="auto">
                                  <a:xfrm>
                                    <a:off x="5024" y="7491"/>
                                    <a:ext cx="720" cy="0"/>
                                  </a:xfrm>
                                  <a:prstGeom prst="line">
                                    <a:avLst/>
                                  </a:prstGeom>
                                  <a:noFill/>
                                  <a:ln w="9525">
                                    <a:solidFill>
                                      <a:srgbClr val="000000"/>
                                    </a:solidFill>
                                    <a:round/>
                                    <a:tailEnd type="triangle" w="med" len="med"/>
                                  </a:ln>
                                </wps:spPr>
                                <wps:bodyPr/>
                              </wps:wsp>
                              <wps:wsp>
                                <wps:cNvPr id="81" name="文本框 9"/>
                                <wps:cNvSpPr txBox="1">
                                  <a:spLocks noChangeArrowheads="1"/>
                                </wps:cNvSpPr>
                                <wps:spPr bwMode="auto">
                                  <a:xfrm>
                                    <a:off x="5727" y="7257"/>
                                    <a:ext cx="1215" cy="468"/>
                                  </a:xfrm>
                                  <a:prstGeom prst="rect">
                                    <a:avLst/>
                                  </a:prstGeom>
                                  <a:solidFill>
                                    <a:srgbClr val="FFFFFF"/>
                                  </a:solidFill>
                                  <a:ln w="9525">
                                    <a:solidFill>
                                      <a:srgbClr val="000000"/>
                                    </a:solidFill>
                                    <a:miter lim="800000"/>
                                  </a:ln>
                                </wps:spPr>
                                <wps:txbx>
                                  <w:txbxContent>
                                    <w:p w14:paraId="47D4057C">
                                      <w:pPr>
                                        <w:rPr>
                                          <w:szCs w:val="21"/>
                                        </w:rPr>
                                      </w:pPr>
                                      <w:r>
                                        <w:rPr>
                                          <w:rFonts w:hint="eastAsia"/>
                                          <w:szCs w:val="21"/>
                                        </w:rPr>
                                        <w:t>风机基础</w:t>
                                      </w:r>
                                    </w:p>
                                  </w:txbxContent>
                                </wps:txbx>
                                <wps:bodyPr rot="0" vert="horz" wrap="square" lIns="91440" tIns="45720" rIns="91440" bIns="45720" anchor="t" anchorCtr="0" upright="1">
                                  <a:noAutofit/>
                                </wps:bodyPr>
                              </wps:wsp>
                              <wps:wsp>
                                <wps:cNvPr id="82" name="直线 10"/>
                                <wps:cNvCnPr/>
                                <wps:spPr bwMode="auto">
                                  <a:xfrm flipV="1">
                                    <a:off x="7493" y="7257"/>
                                    <a:ext cx="0" cy="267"/>
                                  </a:xfrm>
                                  <a:prstGeom prst="line">
                                    <a:avLst/>
                                  </a:prstGeom>
                                  <a:noFill/>
                                  <a:ln w="9525">
                                    <a:solidFill>
                                      <a:srgbClr val="000000"/>
                                    </a:solidFill>
                                    <a:round/>
                                  </a:ln>
                                </wps:spPr>
                                <wps:bodyPr/>
                              </wps:wsp>
                              <wps:wsp>
                                <wps:cNvPr id="83" name="直线 11"/>
                                <wps:cNvCnPr/>
                                <wps:spPr bwMode="auto">
                                  <a:xfrm>
                                    <a:off x="7493" y="7240"/>
                                    <a:ext cx="540" cy="0"/>
                                  </a:xfrm>
                                  <a:prstGeom prst="line">
                                    <a:avLst/>
                                  </a:prstGeom>
                                  <a:noFill/>
                                  <a:ln w="9525">
                                    <a:solidFill>
                                      <a:srgbClr val="000000"/>
                                    </a:solidFill>
                                    <a:round/>
                                    <a:tailEnd type="triangle" w="med" len="med"/>
                                  </a:ln>
                                </wps:spPr>
                                <wps:bodyPr/>
                              </wps:wsp>
                              <wps:wsp>
                                <wps:cNvPr id="84" name="文本框 12"/>
                                <wps:cNvSpPr txBox="1">
                                  <a:spLocks noChangeArrowheads="1"/>
                                </wps:cNvSpPr>
                                <wps:spPr bwMode="auto">
                                  <a:xfrm>
                                    <a:off x="8012" y="6975"/>
                                    <a:ext cx="1155" cy="468"/>
                                  </a:xfrm>
                                  <a:prstGeom prst="rect">
                                    <a:avLst/>
                                  </a:prstGeom>
                                  <a:solidFill>
                                    <a:srgbClr val="FFFFFF"/>
                                  </a:solidFill>
                                  <a:ln w="9525">
                                    <a:solidFill>
                                      <a:srgbClr val="000000"/>
                                    </a:solidFill>
                                    <a:miter lim="800000"/>
                                  </a:ln>
                                </wps:spPr>
                                <wps:txbx>
                                  <w:txbxContent>
                                    <w:p w14:paraId="47E5DB56">
                                      <w:pPr>
                                        <w:rPr>
                                          <w:szCs w:val="21"/>
                                        </w:rPr>
                                      </w:pPr>
                                      <w:r>
                                        <w:rPr>
                                          <w:rFonts w:hint="eastAsia"/>
                                          <w:szCs w:val="21"/>
                                        </w:rPr>
                                        <w:t>土方工程</w:t>
                                      </w:r>
                                    </w:p>
                                  </w:txbxContent>
                                </wps:txbx>
                                <wps:bodyPr rot="0" vert="horz" wrap="square" lIns="91440" tIns="45720" rIns="91440" bIns="45720" anchor="t" anchorCtr="0" upright="1">
                                  <a:noAutofit/>
                                </wps:bodyPr>
                              </wps:wsp>
                              <wps:wsp>
                                <wps:cNvPr id="85" name="直线 13"/>
                                <wps:cNvCnPr/>
                                <wps:spPr bwMode="auto">
                                  <a:xfrm flipV="1">
                                    <a:off x="7493" y="7458"/>
                                    <a:ext cx="0" cy="267"/>
                                  </a:xfrm>
                                  <a:prstGeom prst="line">
                                    <a:avLst/>
                                  </a:prstGeom>
                                  <a:noFill/>
                                  <a:ln w="9525">
                                    <a:solidFill>
                                      <a:srgbClr val="000000"/>
                                    </a:solidFill>
                                    <a:round/>
                                  </a:ln>
                                </wps:spPr>
                                <wps:bodyPr/>
                              </wps:wsp>
                              <wps:wsp>
                                <wps:cNvPr id="86" name="直线 14"/>
                                <wps:cNvCnPr/>
                                <wps:spPr bwMode="auto">
                                  <a:xfrm>
                                    <a:off x="7493" y="7739"/>
                                    <a:ext cx="540" cy="0"/>
                                  </a:xfrm>
                                  <a:prstGeom prst="line">
                                    <a:avLst/>
                                  </a:prstGeom>
                                  <a:noFill/>
                                  <a:ln w="9525">
                                    <a:solidFill>
                                      <a:srgbClr val="000000"/>
                                    </a:solidFill>
                                    <a:round/>
                                    <a:tailEnd type="triangle" w="med" len="med"/>
                                  </a:ln>
                                </wps:spPr>
                                <wps:bodyPr/>
                              </wps:wsp>
                              <wps:wsp>
                                <wps:cNvPr id="87" name="文本框 15"/>
                                <wps:cNvSpPr txBox="1">
                                  <a:spLocks noChangeArrowheads="1"/>
                                </wps:cNvSpPr>
                                <wps:spPr bwMode="auto">
                                  <a:xfrm>
                                    <a:off x="8048" y="7505"/>
                                    <a:ext cx="1440" cy="468"/>
                                  </a:xfrm>
                                  <a:prstGeom prst="rect">
                                    <a:avLst/>
                                  </a:prstGeom>
                                  <a:solidFill>
                                    <a:srgbClr val="FFFFFF"/>
                                  </a:solidFill>
                                  <a:ln w="9525">
                                    <a:solidFill>
                                      <a:srgbClr val="000000"/>
                                    </a:solidFill>
                                    <a:miter lim="800000"/>
                                  </a:ln>
                                </wps:spPr>
                                <wps:txbx>
                                  <w:txbxContent>
                                    <w:p w14:paraId="4F8E7F96">
                                      <w:pPr>
                                        <w:rPr>
                                          <w:szCs w:val="21"/>
                                        </w:rPr>
                                      </w:pPr>
                                      <w:r>
                                        <w:rPr>
                                          <w:rFonts w:hint="eastAsia"/>
                                          <w:szCs w:val="21"/>
                                        </w:rPr>
                                        <w:t>混凝土工程</w:t>
                                      </w:r>
                                    </w:p>
                                  </w:txbxContent>
                                </wps:txbx>
                                <wps:bodyPr rot="0" vert="horz" wrap="square" lIns="91440" tIns="45720" rIns="91440" bIns="45720" anchor="t" anchorCtr="0" upright="1">
                                  <a:noAutofit/>
                                </wps:bodyPr>
                              </wps:wsp>
                              <wps:wsp>
                                <wps:cNvPr id="90" name="直线 18"/>
                                <wps:cNvCnPr/>
                                <wps:spPr bwMode="auto">
                                  <a:xfrm>
                                    <a:off x="6942" y="7488"/>
                                    <a:ext cx="540" cy="0"/>
                                  </a:xfrm>
                                  <a:prstGeom prst="line">
                                    <a:avLst/>
                                  </a:prstGeom>
                                  <a:noFill/>
                                  <a:ln w="9525">
                                    <a:solidFill>
                                      <a:srgbClr val="000000"/>
                                    </a:solidFill>
                                    <a:round/>
                                    <a:tailEnd type="triangle" w="med" len="med"/>
                                  </a:ln>
                                </wps:spPr>
                                <wps:bodyPr/>
                              </wps:wsp>
                              <wps:wsp>
                                <wps:cNvPr id="97" name="直线 25"/>
                                <wps:cNvCnPr/>
                                <wps:spPr bwMode="auto">
                                  <a:xfrm>
                                    <a:off x="5034" y="12117"/>
                                    <a:ext cx="794" cy="0"/>
                                  </a:xfrm>
                                  <a:prstGeom prst="line">
                                    <a:avLst/>
                                  </a:prstGeom>
                                  <a:noFill/>
                                  <a:ln w="9525">
                                    <a:solidFill>
                                      <a:srgbClr val="000000"/>
                                    </a:solidFill>
                                    <a:round/>
                                    <a:tailEnd type="triangle" w="med" len="med"/>
                                  </a:ln>
                                </wps:spPr>
                                <wps:bodyPr/>
                              </wps:wsp>
                              <wps:wsp>
                                <wps:cNvPr id="98" name="文本框 26"/>
                                <wps:cNvSpPr txBox="1">
                                  <a:spLocks noChangeArrowheads="1"/>
                                </wps:cNvSpPr>
                                <wps:spPr bwMode="auto">
                                  <a:xfrm>
                                    <a:off x="5849" y="11921"/>
                                    <a:ext cx="1155" cy="468"/>
                                  </a:xfrm>
                                  <a:prstGeom prst="rect">
                                    <a:avLst/>
                                  </a:prstGeom>
                                  <a:solidFill>
                                    <a:srgbClr val="FFFFFF"/>
                                  </a:solidFill>
                                  <a:ln w="9525">
                                    <a:solidFill>
                                      <a:srgbClr val="000000"/>
                                    </a:solidFill>
                                    <a:miter lim="800000"/>
                                  </a:ln>
                                </wps:spPr>
                                <wps:txbx>
                                  <w:txbxContent>
                                    <w:p w14:paraId="22285CC0">
                                      <w:pPr>
                                        <w:jc w:val="center"/>
                                        <w:rPr>
                                          <w:szCs w:val="21"/>
                                        </w:rPr>
                                      </w:pPr>
                                      <w:r>
                                        <w:rPr>
                                          <w:rFonts w:hint="eastAsia"/>
                                          <w:szCs w:val="21"/>
                                        </w:rPr>
                                        <w:t>集电线路</w:t>
                                      </w:r>
                                    </w:p>
                                  </w:txbxContent>
                                </wps:txbx>
                                <wps:bodyPr rot="0" vert="horz" wrap="square" lIns="91440" tIns="45720" rIns="91440" bIns="45720" anchor="t" anchorCtr="0" upright="1">
                                  <a:noAutofit/>
                                </wps:bodyPr>
                              </wps:wsp>
                              <wps:wsp>
                                <wps:cNvPr id="99" name="直线 27"/>
                                <wps:cNvCnPr/>
                                <wps:spPr bwMode="auto">
                                  <a:xfrm flipV="1">
                                    <a:off x="7660" y="11943"/>
                                    <a:ext cx="0" cy="453"/>
                                  </a:xfrm>
                                  <a:prstGeom prst="line">
                                    <a:avLst/>
                                  </a:prstGeom>
                                  <a:noFill/>
                                  <a:ln w="9525">
                                    <a:solidFill>
                                      <a:srgbClr val="000000"/>
                                    </a:solidFill>
                                    <a:round/>
                                  </a:ln>
                                </wps:spPr>
                                <wps:bodyPr/>
                              </wps:wsp>
                              <wps:wsp>
                                <wps:cNvPr id="100" name="直线 28"/>
                                <wps:cNvCnPr/>
                                <wps:spPr bwMode="auto">
                                  <a:xfrm>
                                    <a:off x="7661" y="11959"/>
                                    <a:ext cx="540" cy="0"/>
                                  </a:xfrm>
                                  <a:prstGeom prst="line">
                                    <a:avLst/>
                                  </a:prstGeom>
                                  <a:noFill/>
                                  <a:ln w="9525">
                                    <a:solidFill>
                                      <a:srgbClr val="000000"/>
                                    </a:solidFill>
                                    <a:round/>
                                    <a:tailEnd type="triangle" w="med" len="med"/>
                                  </a:ln>
                                </wps:spPr>
                                <wps:bodyPr/>
                              </wps:wsp>
                              <wps:wsp>
                                <wps:cNvPr id="101" name="文本框 29"/>
                                <wps:cNvSpPr txBox="1">
                                  <a:spLocks noChangeArrowheads="1"/>
                                </wps:cNvSpPr>
                                <wps:spPr bwMode="auto">
                                  <a:xfrm>
                                    <a:off x="8182" y="11714"/>
                                    <a:ext cx="1155" cy="468"/>
                                  </a:xfrm>
                                  <a:prstGeom prst="rect">
                                    <a:avLst/>
                                  </a:prstGeom>
                                  <a:solidFill>
                                    <a:srgbClr val="FFFFFF"/>
                                  </a:solidFill>
                                  <a:ln w="9525">
                                    <a:solidFill>
                                      <a:srgbClr val="000000"/>
                                    </a:solidFill>
                                    <a:miter lim="800000"/>
                                  </a:ln>
                                </wps:spPr>
                                <wps:txbx>
                                  <w:txbxContent>
                                    <w:p w14:paraId="64C0FC55">
                                      <w:pPr>
                                        <w:rPr>
                                          <w:szCs w:val="21"/>
                                        </w:rPr>
                                      </w:pPr>
                                      <w:r>
                                        <w:rPr>
                                          <w:rFonts w:hint="eastAsia"/>
                                          <w:szCs w:val="21"/>
                                        </w:rPr>
                                        <w:t>土方工程</w:t>
                                      </w:r>
                                    </w:p>
                                  </w:txbxContent>
                                </wps:txbx>
                                <wps:bodyPr rot="0" vert="horz" wrap="square" lIns="91440" tIns="45720" rIns="91440" bIns="45720" anchor="t" anchorCtr="0" upright="1">
                                  <a:noAutofit/>
                                </wps:bodyPr>
                              </wps:wsp>
                              <wps:wsp>
                                <wps:cNvPr id="102" name="直线 30"/>
                                <wps:cNvCnPr/>
                                <wps:spPr bwMode="auto">
                                  <a:xfrm>
                                    <a:off x="7677" y="12407"/>
                                    <a:ext cx="540" cy="0"/>
                                  </a:xfrm>
                                  <a:prstGeom prst="line">
                                    <a:avLst/>
                                  </a:prstGeom>
                                  <a:noFill/>
                                  <a:ln w="9525">
                                    <a:solidFill>
                                      <a:srgbClr val="000000"/>
                                    </a:solidFill>
                                    <a:round/>
                                    <a:tailEnd type="triangle" w="med" len="med"/>
                                  </a:ln>
                                </wps:spPr>
                                <wps:bodyPr/>
                              </wps:wsp>
                              <wps:wsp>
                                <wps:cNvPr id="103" name="文本框 31"/>
                                <wps:cNvSpPr txBox="1">
                                  <a:spLocks noChangeArrowheads="1"/>
                                </wps:cNvSpPr>
                                <wps:spPr bwMode="auto">
                                  <a:xfrm>
                                    <a:off x="8200" y="12290"/>
                                    <a:ext cx="1185" cy="468"/>
                                  </a:xfrm>
                                  <a:prstGeom prst="rect">
                                    <a:avLst/>
                                  </a:prstGeom>
                                  <a:solidFill>
                                    <a:srgbClr val="FFFFFF"/>
                                  </a:solidFill>
                                  <a:ln w="9525">
                                    <a:solidFill>
                                      <a:srgbClr val="000000"/>
                                    </a:solidFill>
                                    <a:miter lim="800000"/>
                                  </a:ln>
                                </wps:spPr>
                                <wps:txbx>
                                  <w:txbxContent>
                                    <w:p w14:paraId="5C6BC5E5">
                                      <w:pPr>
                                        <w:rPr>
                                          <w:szCs w:val="21"/>
                                        </w:rPr>
                                      </w:pPr>
                                      <w:r>
                                        <w:rPr>
                                          <w:rFonts w:hint="eastAsia"/>
                                          <w:szCs w:val="21"/>
                                        </w:rPr>
                                        <w:t>安装工程</w:t>
                                      </w:r>
                                    </w:p>
                                  </w:txbxContent>
                                </wps:txbx>
                                <wps:bodyPr rot="0" vert="horz" wrap="square" lIns="91440" tIns="45720" rIns="91440" bIns="45720" anchor="t" anchorCtr="0" upright="1">
                                  <a:noAutofit/>
                                </wps:bodyPr>
                              </wps:wsp>
                              <wps:wsp>
                                <wps:cNvPr id="104" name="直线 32"/>
                                <wps:cNvCnPr/>
                                <wps:spPr bwMode="auto">
                                  <a:xfrm>
                                    <a:off x="7036" y="12186"/>
                                    <a:ext cx="625" cy="0"/>
                                  </a:xfrm>
                                  <a:prstGeom prst="line">
                                    <a:avLst/>
                                  </a:prstGeom>
                                  <a:noFill/>
                                  <a:ln w="9525">
                                    <a:solidFill>
                                      <a:srgbClr val="000000"/>
                                    </a:solidFill>
                                    <a:round/>
                                    <a:tailEnd type="triangle" w="med" len="med"/>
                                  </a:ln>
                                </wps:spPr>
                                <wps:bodyPr/>
                              </wps:wsp>
                              <wpg:grpSp>
                                <wpg:cNvPr id="207" name="组合 37"/>
                                <wpg:cNvGrpSpPr/>
                                <wpg:grpSpPr>
                                  <a:xfrm>
                                    <a:off x="2544" y="5453"/>
                                    <a:ext cx="5178" cy="1324"/>
                                    <a:chOff x="2697" y="5461"/>
                                    <a:chExt cx="5178" cy="1324"/>
                                  </a:xfrm>
                                </wpg:grpSpPr>
                                <wpg:grpSp>
                                  <wpg:cNvPr id="208" name="组合 38"/>
                                  <wpg:cNvGrpSpPr/>
                                  <wpg:grpSpPr>
                                    <a:xfrm>
                                      <a:off x="2697" y="5663"/>
                                      <a:ext cx="2100" cy="468"/>
                                      <a:chOff x="2697" y="8499"/>
                                      <a:chExt cx="2100" cy="468"/>
                                    </a:xfrm>
                                  </wpg:grpSpPr>
                                  <wps:wsp>
                                    <wps:cNvPr id="111" name="直线 39"/>
                                    <wps:cNvCnPr/>
                                    <wps:spPr bwMode="auto">
                                      <a:xfrm>
                                        <a:off x="2697" y="8766"/>
                                        <a:ext cx="900" cy="0"/>
                                      </a:xfrm>
                                      <a:prstGeom prst="line">
                                        <a:avLst/>
                                      </a:prstGeom>
                                      <a:noFill/>
                                      <a:ln w="9525">
                                        <a:solidFill>
                                          <a:srgbClr val="000000"/>
                                        </a:solidFill>
                                        <a:round/>
                                        <a:tailEnd type="triangle" w="med" len="med"/>
                                      </a:ln>
                                    </wps:spPr>
                                    <wps:bodyPr/>
                                  </wps:wsp>
                                  <wps:wsp>
                                    <wps:cNvPr id="112" name="文本框 40"/>
                                    <wps:cNvSpPr txBox="1">
                                      <a:spLocks noChangeArrowheads="1"/>
                                    </wps:cNvSpPr>
                                    <wps:spPr bwMode="auto">
                                      <a:xfrm>
                                        <a:off x="3582" y="8499"/>
                                        <a:ext cx="1215" cy="468"/>
                                      </a:xfrm>
                                      <a:prstGeom prst="rect">
                                        <a:avLst/>
                                      </a:prstGeom>
                                      <a:solidFill>
                                        <a:srgbClr val="FFFFFF"/>
                                      </a:solidFill>
                                      <a:ln w="9525">
                                        <a:solidFill>
                                          <a:srgbClr val="000000"/>
                                        </a:solidFill>
                                        <a:miter lim="800000"/>
                                      </a:ln>
                                    </wps:spPr>
                                    <wps:txbx>
                                      <w:txbxContent>
                                        <w:p w14:paraId="780CDB6A">
                                          <w:pPr>
                                            <w:rPr>
                                              <w:szCs w:val="21"/>
                                            </w:rPr>
                                          </w:pPr>
                                          <w:r>
                                            <w:rPr>
                                              <w:rFonts w:hint="eastAsia"/>
                                              <w:szCs w:val="21"/>
                                            </w:rPr>
                                            <w:t>辅助工程</w:t>
                                          </w:r>
                                        </w:p>
                                      </w:txbxContent>
                                    </wps:txbx>
                                    <wps:bodyPr rot="0" vert="horz" wrap="square" lIns="91440" tIns="45720" rIns="91440" bIns="45720" anchor="t" anchorCtr="0" upright="1">
                                      <a:noAutofit/>
                                    </wps:bodyPr>
                                  </wps:wsp>
                                </wpg:grpSp>
                                <wps:wsp>
                                  <wps:cNvPr id="113" name="直线 41"/>
                                  <wps:cNvCnPr/>
                                  <wps:spPr bwMode="auto">
                                    <a:xfrm>
                                      <a:off x="4797" y="5915"/>
                                      <a:ext cx="852" cy="0"/>
                                    </a:xfrm>
                                    <a:prstGeom prst="line">
                                      <a:avLst/>
                                    </a:prstGeom>
                                    <a:noFill/>
                                    <a:ln w="9525">
                                      <a:solidFill>
                                        <a:srgbClr val="000000"/>
                                      </a:solidFill>
                                      <a:round/>
                                      <a:tailEnd type="triangle" w="med" len="med"/>
                                    </a:ln>
                                  </wps:spPr>
                                  <wps:bodyPr/>
                                </wps:wsp>
                                <wps:wsp>
                                  <wps:cNvPr id="115" name="直线 43"/>
                                  <wps:cNvCnPr/>
                                  <wps:spPr bwMode="auto">
                                    <a:xfrm>
                                      <a:off x="5671" y="6548"/>
                                      <a:ext cx="540" cy="0"/>
                                    </a:xfrm>
                                    <a:prstGeom prst="line">
                                      <a:avLst/>
                                    </a:prstGeom>
                                    <a:noFill/>
                                    <a:ln w="9525">
                                      <a:solidFill>
                                        <a:srgbClr val="000000"/>
                                      </a:solidFill>
                                      <a:round/>
                                      <a:tailEnd type="triangle" w="med" len="med"/>
                                    </a:ln>
                                  </wps:spPr>
                                  <wps:bodyPr/>
                                </wps:wsp>
                                <wps:wsp>
                                  <wps:cNvPr id="117" name="文本框 45"/>
                                  <wps:cNvSpPr txBox="1">
                                    <a:spLocks noChangeArrowheads="1"/>
                                  </wps:cNvSpPr>
                                  <wps:spPr bwMode="auto">
                                    <a:xfrm>
                                      <a:off x="6228" y="6335"/>
                                      <a:ext cx="1647" cy="450"/>
                                    </a:xfrm>
                                    <a:prstGeom prst="rect">
                                      <a:avLst/>
                                    </a:prstGeom>
                                    <a:solidFill>
                                      <a:srgbClr val="FFFFFF"/>
                                    </a:solidFill>
                                    <a:ln w="9525">
                                      <a:solidFill>
                                        <a:srgbClr val="000000"/>
                                      </a:solidFill>
                                      <a:miter lim="800000"/>
                                    </a:ln>
                                  </wps:spPr>
                                  <wps:txbx>
                                    <w:txbxContent>
                                      <w:p w14:paraId="640758B5">
                                        <w:pPr>
                                          <w:spacing w:line="360" w:lineRule="auto"/>
                                          <w:ind w:firstLine="210" w:firstLineChars="100"/>
                                          <w:rPr>
                                            <w:szCs w:val="21"/>
                                          </w:rPr>
                                        </w:pPr>
                                        <w:r>
                                          <w:rPr>
                                            <w:rFonts w:hint="eastAsia"/>
                                            <w:szCs w:val="21"/>
                                          </w:rPr>
                                          <w:t>施工电源线路</w:t>
                                        </w:r>
                                      </w:p>
                                    </w:txbxContent>
                                  </wps:txbx>
                                  <wps:bodyPr rot="0" vert="horz" wrap="square" lIns="25400" tIns="25400" rIns="25400" bIns="25400" anchor="ctr" anchorCtr="0" upright="1">
                                    <a:noAutofit/>
                                  </wps:bodyPr>
                                </wps:wsp>
                                <wps:wsp>
                                  <wps:cNvPr id="118" name="直线 46"/>
                                  <wps:cNvCnPr/>
                                  <wps:spPr bwMode="auto">
                                    <a:xfrm flipV="1">
                                      <a:off x="5660" y="5461"/>
                                      <a:ext cx="0" cy="1087"/>
                                    </a:xfrm>
                                    <a:prstGeom prst="line">
                                      <a:avLst/>
                                    </a:prstGeom>
                                    <a:noFill/>
                                    <a:ln w="9525">
                                      <a:solidFill>
                                        <a:srgbClr val="000000"/>
                                      </a:solidFill>
                                      <a:round/>
                                    </a:ln>
                                  </wps:spPr>
                                  <wps:bodyPr/>
                                </wps:wsp>
                              </wpg:grpSp>
                              <wps:wsp>
                                <wps:cNvPr id="119" name="直线 47"/>
                                <wps:cNvCnPr/>
                                <wps:spPr bwMode="auto">
                                  <a:xfrm>
                                    <a:off x="5039" y="9927"/>
                                    <a:ext cx="704" cy="0"/>
                                  </a:xfrm>
                                  <a:prstGeom prst="line">
                                    <a:avLst/>
                                  </a:prstGeom>
                                  <a:noFill/>
                                  <a:ln w="9525">
                                    <a:solidFill>
                                      <a:srgbClr val="000000"/>
                                    </a:solidFill>
                                    <a:round/>
                                    <a:tailEnd type="triangle" w="med" len="med"/>
                                  </a:ln>
                                </wps:spPr>
                                <wps:bodyPr/>
                              </wps:wsp>
                              <wps:wsp>
                                <wps:cNvPr id="120" name="文本框 48"/>
                                <wps:cNvSpPr txBox="1">
                                  <a:spLocks noChangeArrowheads="1"/>
                                </wps:cNvSpPr>
                                <wps:spPr bwMode="auto">
                                  <a:xfrm>
                                    <a:off x="8183" y="10605"/>
                                    <a:ext cx="1185" cy="468"/>
                                  </a:xfrm>
                                  <a:prstGeom prst="rect">
                                    <a:avLst/>
                                  </a:prstGeom>
                                  <a:solidFill>
                                    <a:srgbClr val="FFFFFF"/>
                                  </a:solidFill>
                                  <a:ln w="9525">
                                    <a:solidFill>
                                      <a:srgbClr val="000000"/>
                                    </a:solidFill>
                                    <a:miter lim="800000"/>
                                  </a:ln>
                                </wps:spPr>
                                <wps:txbx>
                                  <w:txbxContent>
                                    <w:p w14:paraId="05C5811C">
                                      <w:pPr>
                                        <w:rPr>
                                          <w:szCs w:val="21"/>
                                        </w:rPr>
                                      </w:pPr>
                                      <w:r>
                                        <w:rPr>
                                          <w:rFonts w:hint="eastAsia"/>
                                          <w:szCs w:val="21"/>
                                        </w:rPr>
                                        <w:t>箱变安装</w:t>
                                      </w:r>
                                    </w:p>
                                  </w:txbxContent>
                                </wps:txbx>
                                <wps:bodyPr rot="0" vert="horz" wrap="square" lIns="91440" tIns="45720" rIns="91440" bIns="45720" anchor="t" anchorCtr="0" upright="1">
                                  <a:noAutofit/>
                                </wps:bodyPr>
                              </wps:wsp>
                              <wps:wsp>
                                <wps:cNvPr id="121" name="文本框 49"/>
                                <wps:cNvSpPr txBox="1">
                                  <a:spLocks noChangeArrowheads="1"/>
                                </wps:cNvSpPr>
                                <wps:spPr bwMode="auto">
                                  <a:xfrm>
                                    <a:off x="5711" y="9721"/>
                                    <a:ext cx="1215" cy="485"/>
                                  </a:xfrm>
                                  <a:prstGeom prst="rect">
                                    <a:avLst/>
                                  </a:prstGeom>
                                  <a:solidFill>
                                    <a:srgbClr val="FFFFFF"/>
                                  </a:solidFill>
                                  <a:ln w="9525">
                                    <a:solidFill>
                                      <a:srgbClr val="000000"/>
                                    </a:solidFill>
                                    <a:miter lim="800000"/>
                                  </a:ln>
                                </wps:spPr>
                                <wps:txbx>
                                  <w:txbxContent>
                                    <w:p w14:paraId="09AA4B13">
                                      <w:r>
                                        <w:rPr>
                                          <w:rFonts w:hint="eastAsia"/>
                                          <w:szCs w:val="21"/>
                                        </w:rPr>
                                        <w:t>风机安装</w:t>
                                      </w:r>
                                    </w:p>
                                    <w:p w14:paraId="650ED471">
                                      <w:pPr>
                                        <w:rPr>
                                          <w:szCs w:val="21"/>
                                        </w:rPr>
                                      </w:pPr>
                                    </w:p>
                                  </w:txbxContent>
                                </wps:txbx>
                                <wps:bodyPr rot="0" vert="horz" wrap="square" lIns="91440" tIns="45720" rIns="91440" bIns="45720" anchor="t" anchorCtr="0" upright="1">
                                  <a:noAutofit/>
                                </wps:bodyPr>
                              </wps:wsp>
                              <wps:wsp>
                                <wps:cNvPr id="122" name="直线 50"/>
                                <wps:cNvCnPr/>
                                <wps:spPr bwMode="auto">
                                  <a:xfrm>
                                    <a:off x="6942" y="10048"/>
                                    <a:ext cx="1140" cy="0"/>
                                  </a:xfrm>
                                  <a:prstGeom prst="line">
                                    <a:avLst/>
                                  </a:prstGeom>
                                  <a:noFill/>
                                  <a:ln w="9525">
                                    <a:solidFill>
                                      <a:srgbClr val="000000"/>
                                    </a:solidFill>
                                    <a:round/>
                                    <a:tailEnd type="triangle" w="med" len="med"/>
                                  </a:ln>
                                </wps:spPr>
                                <wps:bodyPr/>
                              </wps:wsp>
                              <wps:wsp>
                                <wps:cNvPr id="123" name="直线 51"/>
                                <wps:cNvCnPr/>
                                <wps:spPr bwMode="auto">
                                  <a:xfrm flipH="1" flipV="1">
                                    <a:off x="7599" y="8731"/>
                                    <a:ext cx="15" cy="2052"/>
                                  </a:xfrm>
                                  <a:prstGeom prst="line">
                                    <a:avLst/>
                                  </a:prstGeom>
                                  <a:noFill/>
                                  <a:ln w="9525">
                                    <a:solidFill>
                                      <a:srgbClr val="000000"/>
                                    </a:solidFill>
                                    <a:round/>
                                  </a:ln>
                                </wps:spPr>
                                <wps:bodyPr/>
                              </wps:wsp>
                              <wps:wsp>
                                <wps:cNvPr id="124" name="直线 52"/>
                                <wps:cNvCnPr/>
                                <wps:spPr bwMode="auto">
                                  <a:xfrm>
                                    <a:off x="7632" y="9488"/>
                                    <a:ext cx="540" cy="0"/>
                                  </a:xfrm>
                                  <a:prstGeom prst="line">
                                    <a:avLst/>
                                  </a:prstGeom>
                                  <a:noFill/>
                                  <a:ln w="9525">
                                    <a:solidFill>
                                      <a:srgbClr val="000000"/>
                                    </a:solidFill>
                                    <a:round/>
                                    <a:tailEnd type="triangle" w="med" len="med"/>
                                  </a:ln>
                                </wps:spPr>
                                <wps:bodyPr/>
                              </wps:wsp>
                              <wps:wsp>
                                <wps:cNvPr id="125" name="直线 53"/>
                                <wps:cNvCnPr/>
                                <wps:spPr bwMode="auto">
                                  <a:xfrm>
                                    <a:off x="7631" y="10800"/>
                                    <a:ext cx="540" cy="0"/>
                                  </a:xfrm>
                                  <a:prstGeom prst="line">
                                    <a:avLst/>
                                  </a:prstGeom>
                                  <a:noFill/>
                                  <a:ln w="9525">
                                    <a:solidFill>
                                      <a:srgbClr val="000000"/>
                                    </a:solidFill>
                                    <a:round/>
                                    <a:tailEnd type="triangle" w="med" len="med"/>
                                  </a:ln>
                                </wps:spPr>
                                <wps:bodyPr/>
                              </wps:wsp>
                              <wps:wsp>
                                <wps:cNvPr id="126" name="文本框 54"/>
                                <wps:cNvSpPr txBox="1">
                                  <a:spLocks noChangeArrowheads="1"/>
                                </wps:cNvSpPr>
                                <wps:spPr bwMode="auto">
                                  <a:xfrm>
                                    <a:off x="8137" y="8502"/>
                                    <a:ext cx="1215" cy="468"/>
                                  </a:xfrm>
                                  <a:prstGeom prst="rect">
                                    <a:avLst/>
                                  </a:prstGeom>
                                  <a:solidFill>
                                    <a:srgbClr val="FFFFFF"/>
                                  </a:solidFill>
                                  <a:ln w="9525">
                                    <a:solidFill>
                                      <a:srgbClr val="000000"/>
                                    </a:solidFill>
                                    <a:miter lim="800000"/>
                                  </a:ln>
                                </wps:spPr>
                                <wps:txbx>
                                  <w:txbxContent>
                                    <w:p w14:paraId="5C3FE5CE">
                                      <w:pPr>
                                        <w:rPr>
                                          <w:szCs w:val="21"/>
                                        </w:rPr>
                                      </w:pPr>
                                      <w:r>
                                        <w:rPr>
                                          <w:rFonts w:hint="eastAsia"/>
                                          <w:szCs w:val="21"/>
                                        </w:rPr>
                                        <w:t>塔架安装</w:t>
                                      </w:r>
                                    </w:p>
                                  </w:txbxContent>
                                </wps:txbx>
                                <wps:bodyPr rot="0" vert="horz" wrap="square" lIns="91440" tIns="45720" rIns="91440" bIns="45720" anchor="t" anchorCtr="0" upright="1">
                                  <a:noAutofit/>
                                </wps:bodyPr>
                              </wps:wsp>
                              <wps:wsp>
                                <wps:cNvPr id="127" name="文本框 55"/>
                                <wps:cNvSpPr txBox="1">
                                  <a:spLocks noChangeArrowheads="1"/>
                                </wps:cNvSpPr>
                                <wps:spPr bwMode="auto">
                                  <a:xfrm>
                                    <a:off x="8154" y="9221"/>
                                    <a:ext cx="1215" cy="468"/>
                                  </a:xfrm>
                                  <a:prstGeom prst="rect">
                                    <a:avLst/>
                                  </a:prstGeom>
                                  <a:solidFill>
                                    <a:srgbClr val="FFFFFF"/>
                                  </a:solidFill>
                                  <a:ln w="9525">
                                    <a:solidFill>
                                      <a:srgbClr val="000000"/>
                                    </a:solidFill>
                                    <a:miter lim="800000"/>
                                  </a:ln>
                                </wps:spPr>
                                <wps:txbx>
                                  <w:txbxContent>
                                    <w:p w14:paraId="6BE22B89">
                                      <w:pPr>
                                        <w:rPr>
                                          <w:szCs w:val="21"/>
                                        </w:rPr>
                                      </w:pPr>
                                      <w:r>
                                        <w:rPr>
                                          <w:rFonts w:hint="eastAsia"/>
                                          <w:szCs w:val="21"/>
                                        </w:rPr>
                                        <w:t>机舱吊装</w:t>
                                      </w:r>
                                    </w:p>
                                  </w:txbxContent>
                                </wps:txbx>
                                <wps:bodyPr rot="0" vert="horz" wrap="square" lIns="91440" tIns="45720" rIns="91440" bIns="45720" anchor="t" anchorCtr="0" upright="1">
                                  <a:noAutofit/>
                                </wps:bodyPr>
                              </wps:wsp>
                              <wps:wsp>
                                <wps:cNvPr id="128" name="文本框 56"/>
                                <wps:cNvSpPr txBox="1">
                                  <a:spLocks noChangeArrowheads="1"/>
                                </wps:cNvSpPr>
                                <wps:spPr bwMode="auto">
                                  <a:xfrm>
                                    <a:off x="8115" y="9843"/>
                                    <a:ext cx="1845" cy="492"/>
                                  </a:xfrm>
                                  <a:prstGeom prst="rect">
                                    <a:avLst/>
                                  </a:prstGeom>
                                  <a:solidFill>
                                    <a:srgbClr val="FFFFFF"/>
                                  </a:solidFill>
                                  <a:ln w="9525">
                                    <a:solidFill>
                                      <a:srgbClr val="000000"/>
                                    </a:solidFill>
                                    <a:miter lim="800000"/>
                                  </a:ln>
                                </wps:spPr>
                                <wps:txbx>
                                  <w:txbxContent>
                                    <w:p w14:paraId="31B7877C">
                                      <w:pPr>
                                        <w:jc w:val="center"/>
                                        <w:rPr>
                                          <w:szCs w:val="21"/>
                                        </w:rPr>
                                      </w:pPr>
                                      <w:r>
                                        <w:rPr>
                                          <w:rFonts w:hint="eastAsia"/>
                                          <w:szCs w:val="21"/>
                                        </w:rPr>
                                        <w:t>叶片及轮毂吊装</w:t>
                                      </w:r>
                                    </w:p>
                                  </w:txbxContent>
                                </wps:txbx>
                                <wps:bodyPr rot="0" vert="horz" wrap="square" lIns="91440" tIns="45720" rIns="91440" bIns="45720" anchor="t" anchorCtr="0" upright="1">
                                  <a:noAutofit/>
                                </wps:bodyPr>
                              </wps:wsp>
                              <wps:wsp>
                                <wps:cNvPr id="129" name="直线 57"/>
                                <wps:cNvCnPr/>
                                <wps:spPr bwMode="auto">
                                  <a:xfrm>
                                    <a:off x="7614" y="8731"/>
                                    <a:ext cx="540" cy="0"/>
                                  </a:xfrm>
                                  <a:prstGeom prst="line">
                                    <a:avLst/>
                                  </a:prstGeom>
                                  <a:noFill/>
                                  <a:ln w="9525">
                                    <a:solidFill>
                                      <a:srgbClr val="000000"/>
                                    </a:solidFill>
                                    <a:round/>
                                    <a:tailEnd type="triangle" w="med" len="med"/>
                                  </a:ln>
                                </wps:spPr>
                                <wps:bodyPr/>
                              </wps:wsp>
                            </wpg:grpSp>
                            <wps:wsp>
                              <wps:cNvPr id="21" name="文本框 44"/>
                              <wps:cNvSpPr txBox="1">
                                <a:spLocks noChangeArrowheads="1"/>
                              </wps:cNvSpPr>
                              <wps:spPr bwMode="auto">
                                <a:xfrm>
                                  <a:off x="2627630" y="90475"/>
                                  <a:ext cx="889635" cy="297164"/>
                                </a:xfrm>
                                <a:prstGeom prst="rect">
                                  <a:avLst/>
                                </a:prstGeom>
                                <a:solidFill>
                                  <a:srgbClr val="FFFFFF"/>
                                </a:solidFill>
                                <a:ln w="9525">
                                  <a:solidFill>
                                    <a:srgbClr val="000000"/>
                                  </a:solidFill>
                                  <a:miter lim="800000"/>
                                </a:ln>
                              </wps:spPr>
                              <wps:txbx>
                                <w:txbxContent>
                                  <w:p w14:paraId="013FB1BD">
                                    <w:pPr>
                                      <w:rPr>
                                        <w:szCs w:val="21"/>
                                      </w:rPr>
                                    </w:pPr>
                                    <w:r>
                                      <w:rPr>
                                        <w:rFonts w:hint="eastAsia"/>
                                        <w:szCs w:val="21"/>
                                      </w:rPr>
                                      <w:t>施工临建区</w:t>
                                    </w:r>
                                  </w:p>
                                </w:txbxContent>
                              </wps:txbx>
                              <wps:bodyPr rot="0" vert="horz" wrap="square" lIns="91440" tIns="45720" rIns="91440" bIns="45720" anchor="t" anchorCtr="0" upright="1">
                                <a:noAutofit/>
                              </wps:bodyPr>
                            </wps:wsp>
                            <wps:wsp>
                              <wps:cNvPr id="22" name="直线 42"/>
                              <wps:cNvCnPr/>
                              <wps:spPr bwMode="auto">
                                <a:xfrm>
                                  <a:off x="2271395" y="199689"/>
                                  <a:ext cx="342265" cy="0"/>
                                </a:xfrm>
                                <a:prstGeom prst="line">
                                  <a:avLst/>
                                </a:prstGeom>
                                <a:noFill/>
                                <a:ln w="9525">
                                  <a:solidFill>
                                    <a:srgbClr val="000000"/>
                                  </a:solidFill>
                                  <a:round/>
                                  <a:tailEnd type="triangle" w="med" len="med"/>
                                </a:ln>
                              </wps:spPr>
                              <wps:bodyPr/>
                            </wps:wsp>
                          </wpg:wgp>
                        </a:graphicData>
                      </a:graphic>
                    </wp:anchor>
                  </w:drawing>
                </mc:Choice>
                <mc:Fallback>
                  <w:pict>
                    <v:group id="_x0000_s1026" o:spid="_x0000_s1026" o:spt="203" style="position:absolute;left:0pt;margin-left:8.5pt;margin-top:1.8pt;height:373.1pt;width:401.5pt;z-index:251659264;mso-width-relative:page;mso-height-relative:page;" coordorigin="0,90475" coordsize="5098919,4738111" o:gfxdata="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">
                      <o:lock v:ext="edit" aspectratio="f"/>
                      <v:group id="组合 2" o:spid="_x0000_s1026" o:spt="203" style="position:absolute;left:0;top:145082;height:4683504;width:5098919;" coordorigin="1929,5382" coordsize="8031,7376" o:gfxdata="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hrBQr0AAADcAAAADwAAAAAAAAABACAAAAAiAAAAZHJzL2Rvd25yZXYueG1s&#10;UEsBAhQAFAAAAAgAh07iQDMvBZ47AAAAOQAAABUAAAAAAAAAAQAgAAAADAEAAGRycy9ncm91cHNo&#10;YXBleG1sLnhtbFBLBQYAAAAABgAGAGABAADJAwAAAAA=&#10;">
                        <o:lock v:ext="edit" aspectratio="f"/>
                        <v:shape id="文本框 3" o:spid="_x0000_s1026" o:spt="202" type="#_x0000_t202" style="position:absolute;left:1929;top:5382;height:6006;width:603;" fillcolor="#FFFFFF" filled="t" stroked="t" coordsize="21600,21600" o:gfxdata="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F/TFG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style="layout-flow:vertical-ideographic;">
                            <w:txbxContent>
                              <w:p w14:paraId="76CDBB2D">
                                <w:pPr>
                                  <w:jc w:val="center"/>
                                  <w:rPr>
                                    <w:sz w:val="24"/>
                                  </w:rPr>
                                </w:pPr>
                                <w:r>
                                  <w:rPr>
                                    <w:rFonts w:hint="eastAsia"/>
                                  </w:rPr>
                                  <w:t>50</w:t>
                                </w:r>
                                <w:r>
                                  <w:t>MW</w:t>
                                </w:r>
                                <w:r>
                                  <w:rPr>
                                    <w:rFonts w:hint="eastAsia"/>
                                  </w:rPr>
                                  <w:t>风电项目</w:t>
                                </w:r>
                              </w:p>
                            </w:txbxContent>
                          </v:textbox>
                        </v:shape>
                        <v:line id="直线 4" o:spid="_x0000_s1026" o:spt="20" style="position:absolute;left:2544;top:10215;height:7;width:725;" filled="f" stroked="t" coordsize="21600,21600" o:gfxdata="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NMk5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5" o:spid="_x0000_s1026" o:spt="202" type="#_x0000_t202" style="position:absolute;left:3310;top:9965;height:468;width:1215;" fillcolor="#FFFFFF" filled="t" stroked="t" coordsize="21600,21600" o:gfxdata="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3KiDb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14:paraId="0E721379">
                                <w:pPr>
                                  <w:rPr>
                                    <w:szCs w:val="21"/>
                                  </w:rPr>
                                </w:pPr>
                                <w:r>
                                  <w:rPr>
                                    <w:rFonts w:hint="eastAsia"/>
                                    <w:szCs w:val="21"/>
                                  </w:rPr>
                                  <w:t>主体工程</w:t>
                                </w:r>
                              </w:p>
                            </w:txbxContent>
                          </v:textbox>
                        </v:shape>
                        <v:line id="直线 6" o:spid="_x0000_s1026" o:spt="20" style="position:absolute;left:4542;top:10188;height:0;width:465;" filled="f" stroked="t" coordsize="21600,21600" o:gfxdata="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gAVDb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直线 7" o:spid="_x0000_s1026" o:spt="20" style="position:absolute;left:5007;top:7491;flip:x y;height:4614;width:7;" filled="f" stroked="t" coordsize="21600,21600" o:gfxdata="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88Clu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直线 8" o:spid="_x0000_s1026" o:spt="20" style="position:absolute;left:5024;top:7491;height:0;width:720;" filled="f" stroked="t" coordsize="21600,21600" o:gfxdata="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aNpLL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shape id="文本框 9" o:spid="_x0000_s1026" o:spt="202" type="#_x0000_t202" style="position:absolute;left:5727;top:7257;height:468;width:1215;" fillcolor="#FFFFFF" filled="t" stroked="t" coordsize="21600,21600" o:gfxdata="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Lvxb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14:paraId="47D4057C">
                                <w:pPr>
                                  <w:rPr>
                                    <w:szCs w:val="21"/>
                                  </w:rPr>
                                </w:pPr>
                                <w:r>
                                  <w:rPr>
                                    <w:rFonts w:hint="eastAsia"/>
                                    <w:szCs w:val="21"/>
                                  </w:rPr>
                                  <w:t>风机基础</w:t>
                                </w:r>
                              </w:p>
                            </w:txbxContent>
                          </v:textbox>
                        </v:shape>
                        <v:line id="直线 10" o:spid="_x0000_s1026" o:spt="20" style="position:absolute;left:7493;top:7257;flip:y;height:267;width:0;" filled="f" stroked="t" coordsize="21600,21600" o:gfxdata="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pkDp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1" o:spid="_x0000_s1026" o:spt="20" style="position:absolute;left:7493;top:7240;height:0;width:540;" filled="f" stroked="t" coordsize="21600,21600" o:gfxdata="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x91u/&#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12" o:spid="_x0000_s1026" o:spt="202" type="#_x0000_t202" style="position:absolute;left:8012;top:6975;height:468;width:1155;" fillcolor="#FFFFFF" filled="t" stroked="t" coordsize="21600,21600" o:gfxdata="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51TF2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14:paraId="47E5DB56">
                                <w:pPr>
                                  <w:rPr>
                                    <w:szCs w:val="21"/>
                                  </w:rPr>
                                </w:pPr>
                                <w:r>
                                  <w:rPr>
                                    <w:rFonts w:hint="eastAsia"/>
                                    <w:szCs w:val="21"/>
                                  </w:rPr>
                                  <w:t>土方工程</w:t>
                                </w:r>
                              </w:p>
                            </w:txbxContent>
                          </v:textbox>
                        </v:shape>
                        <v:line id="直线 13" o:spid="_x0000_s1026" o:spt="20" style="position:absolute;left:7493;top:7458;flip:y;height:267;width:0;" filled="f" stroked="t" coordsize="21600,21600" o:gfxdata="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T9id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4" o:spid="_x0000_s1026" o:spt="20" style="position:absolute;left:7493;top:7739;height:0;width:540;" filled="f" stroked="t" coordsize="21600,21600" o:gfxdata="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EGVMO/&#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15" o:spid="_x0000_s1026" o:spt="202" type="#_x0000_t202" style="position:absolute;left:8048;top:7505;height:468;width:1440;" fillcolor="#FFFFFF" filled="t" stroked="t" coordsize="21600,21600" o:gfxdata="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qfSKr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14:paraId="4F8E7F96">
                                <w:pPr>
                                  <w:rPr>
                                    <w:szCs w:val="21"/>
                                  </w:rPr>
                                </w:pPr>
                                <w:r>
                                  <w:rPr>
                                    <w:rFonts w:hint="eastAsia"/>
                                    <w:szCs w:val="21"/>
                                  </w:rPr>
                                  <w:t>混凝土工程</w:t>
                                </w:r>
                              </w:p>
                            </w:txbxContent>
                          </v:textbox>
                        </v:shape>
                        <v:line id="直线 18" o:spid="_x0000_s1026" o:spt="20" style="position:absolute;left:6942;top:7488;height:0;width:540;" filled="f" stroked="t" coordsize="21600,21600" o:gfxdata="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Hr/8b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直线 25" o:spid="_x0000_s1026" o:spt="20" style="position:absolute;left:5034;top:12117;height:0;width:794;" filled="f" stroked="t" coordsize="21600,21600" o:gfxdata="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uTZ4W/&#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26" o:spid="_x0000_s1026" o:spt="202" type="#_x0000_t202" style="position:absolute;left:5849;top:11921;height:468;width:1155;" fillcolor="#FFFFFF" filled="t" stroked="t" coordsize="21600,21600" o:gfxdata="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h0IW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14:paraId="22285CC0">
                                <w:pPr>
                                  <w:jc w:val="center"/>
                                  <w:rPr>
                                    <w:szCs w:val="21"/>
                                  </w:rPr>
                                </w:pPr>
                                <w:r>
                                  <w:rPr>
                                    <w:rFonts w:hint="eastAsia"/>
                                    <w:szCs w:val="21"/>
                                  </w:rPr>
                                  <w:t>集电线路</w:t>
                                </w:r>
                              </w:p>
                            </w:txbxContent>
                          </v:textbox>
                        </v:shape>
                        <v:line id="直线 27" o:spid="_x0000_s1026" o:spt="20" style="position:absolute;left:7660;top:11943;flip:y;height:453;width:0;" filled="f" stroked="t" coordsize="21600,21600" o:gfxdata="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bREW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28" o:spid="_x0000_s1026" o:spt="20" style="position:absolute;left:7661;top:11959;height:0;width:540;" filled="f" stroked="t" coordsize="21600,21600" o:gfxdata="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vf62&#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29" o:spid="_x0000_s1026" o:spt="202" type="#_x0000_t202" style="position:absolute;left:8182;top:11714;height:468;width:1155;" fillcolor="#FFFFFF" filled="t" stroked="t" coordsize="21600,21600" o:gfxdata="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wp4w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14:paraId="64C0FC55">
                                <w:pPr>
                                  <w:rPr>
                                    <w:szCs w:val="21"/>
                                  </w:rPr>
                                </w:pPr>
                                <w:r>
                                  <w:rPr>
                                    <w:rFonts w:hint="eastAsia"/>
                                    <w:szCs w:val="21"/>
                                  </w:rPr>
                                  <w:t>土方工程</w:t>
                                </w:r>
                              </w:p>
                            </w:txbxContent>
                          </v:textbox>
                        </v:shape>
                        <v:line id="直线 30" o:spid="_x0000_s1026" o:spt="20" style="position:absolute;left:7677;top:12407;height:0;width:540;" filled="f" stroked="t" coordsize="21600,21600" o:gfxdata="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I8Va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31" o:spid="_x0000_s1026" o:spt="202" type="#_x0000_t202" style="position:absolute;left:8200;top:12290;height:468;width:1185;" fillcolor="#FFFFFF" filled="t" stroked="t" coordsize="21600,21600" o:gfxdata="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9cpdy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14:paraId="5C6BC5E5">
                                <w:pPr>
                                  <w:rPr>
                                    <w:szCs w:val="21"/>
                                  </w:rPr>
                                </w:pPr>
                                <w:r>
                                  <w:rPr>
                                    <w:rFonts w:hint="eastAsia"/>
                                    <w:szCs w:val="21"/>
                                  </w:rPr>
                                  <w:t>安装工程</w:t>
                                </w:r>
                              </w:p>
                            </w:txbxContent>
                          </v:textbox>
                        </v:shape>
                        <v:line id="直线 32" o:spid="_x0000_s1026" o:spt="20" style="position:absolute;left:7036;top:12186;height:0;width:625;" filled="f" stroked="t" coordsize="21600,21600" o:gfxdata="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hvi1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id="组合 37" o:spid="_x0000_s1026" o:spt="203" style="position:absolute;left:2544;top:5453;height:1324;width:5178;" coordorigin="2697,5461" coordsize="5178,1324" o:gfxdata="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ZVmTZvwAAANwAAAAPAAAAAAAAAAEAIAAAACIAAABkcnMvZG93bnJldi54&#10;bWxQSwECFAAUAAAACACHTuJAMy8FnjsAAAA5AAAAFQAAAAAAAAABACAAAAAOAQAAZHJzL2dyb3Vw&#10;c2hhcGV4bWwueG1sUEsFBgAAAAAGAAYAYAEAAMsDAAAAAA==&#10;">
                          <o:lock v:ext="edit" aspectratio="f"/>
                          <v:group id="组合 38" o:spid="_x0000_s1026" o:spt="203" style="position:absolute;left:2697;top:5663;height:468;width:2100;" coordorigin="2697,8499" coordsize="2100,468" o:gfxdata="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KjJ8Ku7AAAA3AAAAA8AAAAAAAAAAQAgAAAAIgAAAGRycy9kb3ducmV2LnhtbFBL&#10;AQIUABQAAAAIAIdO4kAzLwWeOwAAADkAAAAVAAAAAAAAAAEAIAAAAAoBAABkcnMvZ3JvdXBzaGFw&#10;ZXhtbC54bWxQSwUGAAAAAAYABgBgAQAAxwMAAAAA&#10;">
                            <o:lock v:ext="edit" aspectratio="f"/>
                            <v:line id="直线 39" o:spid="_x0000_s1026" o:spt="20" style="position:absolute;left:2697;top:8766;height:0;width:900;" filled="f" stroked="t" coordsize="21600,21600" o:gfxdata="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KM3w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40" o:spid="_x0000_s1026" o:spt="202" type="#_x0000_t202" style="position:absolute;left:3582;top:8499;height:468;width:1215;" fillcolor="#FFFFFF" filled="t" stroked="t" coordsize="21600,21600" o:gfxdata="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yZaa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14:paraId="780CDB6A">
                                    <w:pPr>
                                      <w:rPr>
                                        <w:szCs w:val="21"/>
                                      </w:rPr>
                                    </w:pPr>
                                    <w:r>
                                      <w:rPr>
                                        <w:rFonts w:hint="eastAsia"/>
                                        <w:szCs w:val="21"/>
                                      </w:rPr>
                                      <w:t>辅助工程</w:t>
                                    </w:r>
                                  </w:p>
                                </w:txbxContent>
                              </v:textbox>
                            </v:shape>
                          </v:group>
                          <v:line id="直线 41" o:spid="_x0000_s1026" o:spt="20" style="position:absolute;left:4797;top:5915;height:0;width:852;" filled="f" stroked="t" coordsize="21600,21600" o:gfxdata="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tvYc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43" o:spid="_x0000_s1026" o:spt="20" style="position:absolute;left:5671;top:6548;height:0;width:540;" filled="f" stroked="t" coordsize="21600,21600" o:gfxdata="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E8vz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45" o:spid="_x0000_s1026" o:spt="202" type="#_x0000_t202" style="position:absolute;left:6228;top:6335;height:450;width:1647;v-text-anchor:middle;" fillcolor="#FFFFFF" filled="t" stroked="t" coordsize="21600,21600" o:gfxdata="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cNFrb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inset="2pt,2pt,2pt,2pt">
                              <w:txbxContent>
                                <w:p w14:paraId="640758B5">
                                  <w:pPr>
                                    <w:spacing w:line="360" w:lineRule="auto"/>
                                    <w:ind w:firstLine="210" w:firstLineChars="100"/>
                                    <w:rPr>
                                      <w:szCs w:val="21"/>
                                    </w:rPr>
                                  </w:pPr>
                                  <w:r>
                                    <w:rPr>
                                      <w:rFonts w:hint="eastAsia"/>
                                      <w:szCs w:val="21"/>
                                    </w:rPr>
                                    <w:t>施工电源线路</w:t>
                                  </w:r>
                                </w:p>
                              </w:txbxContent>
                            </v:textbox>
                          </v:shape>
                          <v:line id="直线 46" o:spid="_x0000_s1026" o:spt="20" style="position:absolute;left:5660;top:5461;flip:y;height:1087;width:0;" filled="f" stroked="t" coordsize="21600,21600" o:gfxdata="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2z3r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line id="直线 47" o:spid="_x0000_s1026" o:spt="20" style="position:absolute;left:5039;top:9927;height:0;width:704;" filled="f" stroked="t" coordsize="21600,21600" o:gfxdata="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XsH2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48" o:spid="_x0000_s1026" o:spt="202" type="#_x0000_t202" style="position:absolute;left:8183;top:10605;height:468;width:1185;" fillcolor="#FFFFFF" filled="t" stroked="t" coordsize="21600,21600" o:gfxdata="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7Z8u/&#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14:paraId="05C5811C">
                                <w:pPr>
                                  <w:rPr>
                                    <w:szCs w:val="21"/>
                                  </w:rPr>
                                </w:pPr>
                                <w:r>
                                  <w:rPr>
                                    <w:rFonts w:hint="eastAsia"/>
                                    <w:szCs w:val="21"/>
                                  </w:rPr>
                                  <w:t>箱变安装</w:t>
                                </w:r>
                              </w:p>
                            </w:txbxContent>
                          </v:textbox>
                        </v:shape>
                        <v:shape id="文本框 49" o:spid="_x0000_s1026" o:spt="202" type="#_x0000_t202" style="position:absolute;left:5711;top:9721;height:485;width:1215;" fillcolor="#FFFFFF" filled="t" stroked="t" coordsize="21600,21600" o:gfxdata="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d8JQ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14:paraId="09AA4B13">
                                <w:r>
                                  <w:rPr>
                                    <w:rFonts w:hint="eastAsia"/>
                                    <w:szCs w:val="21"/>
                                  </w:rPr>
                                  <w:t>风机安装</w:t>
                                </w:r>
                              </w:p>
                              <w:p w14:paraId="650ED471">
                                <w:pPr>
                                  <w:rPr>
                                    <w:szCs w:val="21"/>
                                  </w:rPr>
                                </w:pPr>
                              </w:p>
                            </w:txbxContent>
                          </v:textbox>
                        </v:shape>
                        <v:line id="直线 50" o:spid="_x0000_s1026" o:spt="20" style="position:absolute;left:6942;top:10048;height:0;width:1140;" filled="f" stroked="t" coordsize="21600,21600" o:gfxdata="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lpk6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51" o:spid="_x0000_s1026" o:spt="20" style="position:absolute;left:7599;top:8731;flip:x y;height:2052;width:15;" filled="f" stroked="t" coordsize="21600,21600" o:gfxdata="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5mTX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52" o:spid="_x0000_s1026" o:spt="20" style="position:absolute;left:7632;top:9488;height:0;width:540;" filled="f" stroked="t" coordsize="21600,21600" o:gfxdata="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jOk1b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53" o:spid="_x0000_s1026" o:spt="20" style="position:absolute;left:7631;top:10800;height:0;width:540;" filled="f" stroked="t" coordsize="21600,21600" o:gfxdata="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X8BT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54" o:spid="_x0000_s1026" o:spt="202" type="#_x0000_t202" style="position:absolute;left:8137;top:8502;height:468;width:1215;" fillcolor="#FFFFFF" filled="t" stroked="t" coordsize="21600,21600" o:gfxdata="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nlok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14:paraId="5C3FE5CE">
                                <w:pPr>
                                  <w:rPr>
                                    <w:szCs w:val="21"/>
                                  </w:rPr>
                                </w:pPr>
                                <w:r>
                                  <w:rPr>
                                    <w:rFonts w:hint="eastAsia"/>
                                    <w:szCs w:val="21"/>
                                  </w:rPr>
                                  <w:t>塔架安装</w:t>
                                </w:r>
                              </w:p>
                            </w:txbxContent>
                          </v:textbox>
                        </v:shape>
                        <v:shape id="文本框 55" o:spid="_x0000_s1026" o:spt="202" type="#_x0000_t202" style="position:absolute;left:8154;top:9221;height:468;width:1215;" fillcolor="#FFFFFF" filled="t" stroked="t" coordsize="21600,21600" o:gfxdata="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0v+/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14:paraId="6BE22B89">
                                <w:pPr>
                                  <w:rPr>
                                    <w:szCs w:val="21"/>
                                  </w:rPr>
                                </w:pPr>
                                <w:r>
                                  <w:rPr>
                                    <w:rFonts w:hint="eastAsia"/>
                                    <w:szCs w:val="21"/>
                                  </w:rPr>
                                  <w:t>机舱吊装</w:t>
                                </w:r>
                              </w:p>
                            </w:txbxContent>
                          </v:textbox>
                        </v:shape>
                        <v:shape id="文本框 56" o:spid="_x0000_s1026" o:spt="202" type="#_x0000_t202" style="position:absolute;left:8115;top:9843;height:492;width:1845;" fillcolor="#FFFFFF" filled="t" stroked="t" coordsize="21600,21600" o:gfxdata="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pNa82/&#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14:paraId="31B7877C">
                                <w:pPr>
                                  <w:jc w:val="center"/>
                                  <w:rPr>
                                    <w:szCs w:val="21"/>
                                  </w:rPr>
                                </w:pPr>
                                <w:r>
                                  <w:rPr>
                                    <w:rFonts w:hint="eastAsia"/>
                                    <w:szCs w:val="21"/>
                                  </w:rPr>
                                  <w:t>叶片及轮毂吊装</w:t>
                                </w:r>
                              </w:p>
                            </w:txbxContent>
                          </v:textbox>
                        </v:shape>
                        <v:line id="直线 57" o:spid="_x0000_s1026" o:spt="20" style="position:absolute;left:7614;top:8731;height:0;width:540;" filled="f" stroked="t" coordsize="21600,21600" o:gfxdata="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ILS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v:shape id="文本框 44" o:spid="_x0000_s1026" o:spt="202" type="#_x0000_t202" style="position:absolute;left:2627630;top:90475;height:297164;width:889635;" fillcolor="#FFFFFF" filled="t" stroked="t" coordsize="21600,21600" o:gfxdata="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GSw/7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14:paraId="013FB1BD">
                              <w:pPr>
                                <w:rPr>
                                  <w:szCs w:val="21"/>
                                </w:rPr>
                              </w:pPr>
                              <w:r>
                                <w:rPr>
                                  <w:rFonts w:hint="eastAsia"/>
                                  <w:szCs w:val="21"/>
                                </w:rPr>
                                <w:t>施工临建区</w:t>
                              </w:r>
                            </w:p>
                          </w:txbxContent>
                        </v:textbox>
                      </v:shape>
                      <v:line id="直线 42" o:spid="_x0000_s1026" o:spt="20" style="position:absolute;left:2271395;top:199689;height:0;width:342265;" filled="f" stroked="t" coordsize="21600,21600" o:gfxdata="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bDfq/&#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w:pict>
                </mc:Fallback>
              </mc:AlternateContent>
            </w:r>
          </w:p>
          <w:p w14:paraId="1B4658B7">
            <w:pPr>
              <w:widowControl/>
              <w:shd w:val="clear" w:color="auto" w:fill="FFFFFF"/>
              <w:jc w:val="center"/>
              <w:rPr>
                <w:color w:val="auto"/>
                <w:kern w:val="0"/>
                <w:sz w:val="24"/>
                <w:highlight w:val="none"/>
              </w:rPr>
            </w:pPr>
          </w:p>
          <w:p w14:paraId="74C619E7">
            <w:pPr>
              <w:widowControl/>
              <w:shd w:val="clear" w:color="auto" w:fill="FFFFFF"/>
              <w:jc w:val="center"/>
              <w:rPr>
                <w:color w:val="auto"/>
                <w:kern w:val="0"/>
                <w:sz w:val="24"/>
                <w:highlight w:val="none"/>
              </w:rPr>
            </w:pPr>
          </w:p>
          <w:p w14:paraId="6EDCA050">
            <w:pPr>
              <w:widowControl/>
              <w:shd w:val="clear" w:color="auto" w:fill="FFFFFF"/>
              <w:ind w:firstLine="482"/>
              <w:jc w:val="center"/>
              <w:rPr>
                <w:rFonts w:hint="eastAsia" w:hAnsi="黑体" w:eastAsia="黑体"/>
                <w:color w:val="auto"/>
                <w:kern w:val="0"/>
                <w:sz w:val="24"/>
                <w:highlight w:val="none"/>
              </w:rPr>
            </w:pPr>
          </w:p>
          <w:p w14:paraId="20FEFE66">
            <w:pPr>
              <w:widowControl/>
              <w:shd w:val="clear" w:color="auto" w:fill="FFFFFF"/>
              <w:ind w:firstLine="482"/>
              <w:jc w:val="center"/>
              <w:rPr>
                <w:rFonts w:hint="eastAsia" w:hAnsi="黑体" w:eastAsia="黑体"/>
                <w:color w:val="auto"/>
                <w:kern w:val="0"/>
                <w:sz w:val="24"/>
                <w:highlight w:val="none"/>
              </w:rPr>
            </w:pPr>
          </w:p>
          <w:p w14:paraId="717240BB">
            <w:pPr>
              <w:widowControl/>
              <w:shd w:val="clear" w:color="auto" w:fill="FFFFFF"/>
              <w:ind w:firstLine="482"/>
              <w:jc w:val="center"/>
              <w:rPr>
                <w:rFonts w:hint="eastAsia" w:hAnsi="黑体" w:eastAsia="黑体"/>
                <w:color w:val="auto"/>
                <w:kern w:val="0"/>
                <w:sz w:val="24"/>
                <w:highlight w:val="none"/>
              </w:rPr>
            </w:pPr>
          </w:p>
          <w:p w14:paraId="472A302F">
            <w:pPr>
              <w:widowControl/>
              <w:shd w:val="clear" w:color="auto" w:fill="FFFFFF"/>
              <w:ind w:firstLine="482"/>
              <w:jc w:val="center"/>
              <w:rPr>
                <w:rFonts w:hint="eastAsia" w:hAnsi="黑体" w:eastAsia="黑体"/>
                <w:color w:val="auto"/>
                <w:kern w:val="0"/>
                <w:sz w:val="24"/>
                <w:highlight w:val="none"/>
              </w:rPr>
            </w:pPr>
          </w:p>
          <w:p w14:paraId="3887446E">
            <w:pPr>
              <w:widowControl/>
              <w:shd w:val="clear" w:color="auto" w:fill="FFFFFF"/>
              <w:ind w:firstLine="482"/>
              <w:jc w:val="center"/>
              <w:rPr>
                <w:rFonts w:hint="eastAsia" w:hAnsi="黑体" w:eastAsia="黑体"/>
                <w:color w:val="auto"/>
                <w:kern w:val="0"/>
                <w:sz w:val="24"/>
                <w:highlight w:val="none"/>
              </w:rPr>
            </w:pPr>
          </w:p>
          <w:p w14:paraId="38590322">
            <w:pPr>
              <w:widowControl/>
              <w:shd w:val="clear" w:color="auto" w:fill="FFFFFF"/>
              <w:ind w:firstLine="482"/>
              <w:jc w:val="center"/>
              <w:rPr>
                <w:rFonts w:hint="eastAsia" w:hAnsi="黑体" w:eastAsia="黑体"/>
                <w:color w:val="auto"/>
                <w:kern w:val="0"/>
                <w:sz w:val="24"/>
                <w:highlight w:val="none"/>
              </w:rPr>
            </w:pPr>
          </w:p>
          <w:p w14:paraId="49D9FAA7">
            <w:pPr>
              <w:widowControl/>
              <w:shd w:val="clear" w:color="auto" w:fill="FFFFFF"/>
              <w:ind w:firstLine="482"/>
              <w:jc w:val="center"/>
              <w:rPr>
                <w:rFonts w:hint="eastAsia" w:hAnsi="黑体" w:eastAsia="黑体"/>
                <w:color w:val="auto"/>
                <w:kern w:val="0"/>
                <w:sz w:val="24"/>
                <w:highlight w:val="none"/>
              </w:rPr>
            </w:pPr>
          </w:p>
          <w:p w14:paraId="4A71C790">
            <w:pPr>
              <w:widowControl/>
              <w:shd w:val="clear" w:color="auto" w:fill="FFFFFF"/>
              <w:ind w:firstLine="482"/>
              <w:jc w:val="center"/>
              <w:rPr>
                <w:rFonts w:hint="eastAsia" w:hAnsi="黑体" w:eastAsia="黑体"/>
                <w:color w:val="auto"/>
                <w:kern w:val="0"/>
                <w:sz w:val="24"/>
                <w:highlight w:val="none"/>
              </w:rPr>
            </w:pPr>
          </w:p>
          <w:p w14:paraId="0A01B290">
            <w:pPr>
              <w:widowControl/>
              <w:shd w:val="clear" w:color="auto" w:fill="FFFFFF"/>
              <w:ind w:firstLine="482"/>
              <w:jc w:val="center"/>
              <w:rPr>
                <w:rFonts w:hint="eastAsia" w:hAnsi="黑体" w:eastAsia="黑体"/>
                <w:color w:val="auto"/>
                <w:kern w:val="0"/>
                <w:sz w:val="24"/>
                <w:highlight w:val="none"/>
              </w:rPr>
            </w:pPr>
          </w:p>
          <w:p w14:paraId="7E2BEA38">
            <w:pPr>
              <w:widowControl/>
              <w:shd w:val="clear" w:color="auto" w:fill="FFFFFF"/>
              <w:ind w:firstLine="482"/>
              <w:jc w:val="center"/>
              <w:rPr>
                <w:rFonts w:hint="eastAsia" w:hAnsi="黑体" w:eastAsia="黑体"/>
                <w:color w:val="auto"/>
                <w:kern w:val="0"/>
                <w:sz w:val="24"/>
                <w:highlight w:val="none"/>
              </w:rPr>
            </w:pPr>
          </w:p>
          <w:p w14:paraId="75C5511D">
            <w:pPr>
              <w:widowControl/>
              <w:shd w:val="clear" w:color="auto" w:fill="FFFFFF"/>
              <w:ind w:firstLine="482"/>
              <w:jc w:val="center"/>
              <w:rPr>
                <w:rFonts w:hint="eastAsia" w:hAnsi="黑体" w:eastAsia="黑体"/>
                <w:color w:val="auto"/>
                <w:kern w:val="0"/>
                <w:sz w:val="24"/>
                <w:highlight w:val="none"/>
              </w:rPr>
            </w:pPr>
          </w:p>
          <w:p w14:paraId="2DC5BF98">
            <w:pPr>
              <w:widowControl/>
              <w:shd w:val="clear" w:color="auto" w:fill="FFFFFF"/>
              <w:ind w:firstLine="482"/>
              <w:jc w:val="center"/>
              <w:rPr>
                <w:rFonts w:hint="eastAsia" w:hAnsi="黑体" w:eastAsia="黑体"/>
                <w:color w:val="auto"/>
                <w:kern w:val="0"/>
                <w:sz w:val="24"/>
                <w:highlight w:val="none"/>
              </w:rPr>
            </w:pPr>
          </w:p>
          <w:p w14:paraId="16540004">
            <w:pPr>
              <w:widowControl/>
              <w:shd w:val="clear" w:color="auto" w:fill="FFFFFF"/>
              <w:ind w:firstLine="482"/>
              <w:jc w:val="center"/>
              <w:rPr>
                <w:rFonts w:hint="eastAsia" w:hAnsi="黑体" w:eastAsia="黑体"/>
                <w:color w:val="auto"/>
                <w:kern w:val="0"/>
                <w:sz w:val="24"/>
                <w:highlight w:val="none"/>
              </w:rPr>
            </w:pPr>
          </w:p>
          <w:p w14:paraId="2F914C1B">
            <w:pPr>
              <w:widowControl/>
              <w:shd w:val="clear" w:color="auto" w:fill="FFFFFF"/>
              <w:ind w:firstLine="482"/>
              <w:jc w:val="center"/>
              <w:rPr>
                <w:rFonts w:hint="eastAsia" w:hAnsi="黑体" w:eastAsia="黑体"/>
                <w:color w:val="auto"/>
                <w:kern w:val="0"/>
                <w:sz w:val="24"/>
                <w:highlight w:val="none"/>
              </w:rPr>
            </w:pPr>
          </w:p>
          <w:p w14:paraId="7421798D">
            <w:pPr>
              <w:widowControl/>
              <w:shd w:val="clear" w:color="auto" w:fill="FFFFFF"/>
              <w:ind w:firstLine="482"/>
              <w:jc w:val="center"/>
              <w:rPr>
                <w:rFonts w:hint="eastAsia" w:hAnsi="黑体" w:eastAsia="黑体"/>
                <w:color w:val="auto"/>
                <w:kern w:val="0"/>
                <w:sz w:val="24"/>
                <w:highlight w:val="none"/>
              </w:rPr>
            </w:pPr>
          </w:p>
          <w:p w14:paraId="43411CF2">
            <w:pPr>
              <w:widowControl/>
              <w:shd w:val="clear" w:color="auto" w:fill="FFFFFF"/>
              <w:ind w:firstLine="482"/>
              <w:jc w:val="center"/>
              <w:rPr>
                <w:rFonts w:hint="eastAsia" w:hAnsi="黑体" w:eastAsia="黑体"/>
                <w:color w:val="auto"/>
                <w:kern w:val="0"/>
                <w:sz w:val="24"/>
                <w:highlight w:val="none"/>
              </w:rPr>
            </w:pPr>
          </w:p>
          <w:p w14:paraId="34003A2B">
            <w:pPr>
              <w:widowControl/>
              <w:shd w:val="clear" w:color="auto" w:fill="FFFFFF"/>
              <w:ind w:firstLine="482"/>
              <w:jc w:val="center"/>
              <w:rPr>
                <w:rFonts w:hint="eastAsia" w:hAnsi="黑体" w:eastAsia="黑体"/>
                <w:color w:val="auto"/>
                <w:kern w:val="0"/>
                <w:sz w:val="24"/>
                <w:highlight w:val="none"/>
              </w:rPr>
            </w:pPr>
          </w:p>
          <w:p w14:paraId="07C45DB0">
            <w:pPr>
              <w:widowControl/>
              <w:shd w:val="clear" w:color="auto" w:fill="FFFFFF"/>
              <w:ind w:firstLine="482"/>
              <w:jc w:val="center"/>
              <w:rPr>
                <w:rFonts w:hint="eastAsia" w:hAnsi="黑体" w:eastAsia="黑体"/>
                <w:color w:val="auto"/>
                <w:kern w:val="0"/>
                <w:sz w:val="24"/>
                <w:highlight w:val="none"/>
              </w:rPr>
            </w:pPr>
          </w:p>
          <w:p w14:paraId="134AE927">
            <w:pPr>
              <w:widowControl/>
              <w:shd w:val="clear" w:color="auto" w:fill="FFFFFF"/>
              <w:ind w:firstLine="482"/>
              <w:jc w:val="center"/>
              <w:rPr>
                <w:rFonts w:hint="eastAsia" w:hAnsi="黑体" w:eastAsia="黑体"/>
                <w:color w:val="auto"/>
                <w:kern w:val="0"/>
                <w:sz w:val="24"/>
                <w:highlight w:val="none"/>
              </w:rPr>
            </w:pPr>
          </w:p>
          <w:p w14:paraId="3BDF4A32">
            <w:pPr>
              <w:widowControl/>
              <w:shd w:val="clear" w:color="auto" w:fill="FFFFFF"/>
              <w:ind w:firstLine="482"/>
              <w:jc w:val="center"/>
              <w:rPr>
                <w:rFonts w:hint="eastAsia" w:hAnsi="黑体" w:eastAsia="黑体"/>
                <w:color w:val="auto"/>
                <w:kern w:val="0"/>
                <w:sz w:val="24"/>
                <w:highlight w:val="none"/>
              </w:rPr>
            </w:pPr>
          </w:p>
          <w:p w14:paraId="002E2F84">
            <w:pPr>
              <w:widowControl/>
              <w:shd w:val="clear" w:color="auto" w:fill="FFFFFF"/>
              <w:ind w:firstLine="482"/>
              <w:jc w:val="center"/>
              <w:rPr>
                <w:rFonts w:hint="eastAsia" w:hAnsi="黑体" w:eastAsia="黑体"/>
                <w:color w:val="auto"/>
                <w:kern w:val="0"/>
                <w:sz w:val="24"/>
                <w:highlight w:val="none"/>
              </w:rPr>
            </w:pPr>
          </w:p>
          <w:p w14:paraId="06E19C25">
            <w:pPr>
              <w:widowControl/>
              <w:shd w:val="clear" w:color="auto" w:fill="FFFFFF"/>
              <w:ind w:firstLine="482"/>
              <w:jc w:val="center"/>
              <w:rPr>
                <w:rFonts w:hint="eastAsia" w:hAnsi="黑体" w:eastAsia="黑体"/>
                <w:color w:val="auto"/>
                <w:kern w:val="0"/>
                <w:sz w:val="24"/>
                <w:highlight w:val="none"/>
              </w:rPr>
            </w:pPr>
          </w:p>
          <w:p w14:paraId="182FEBF8">
            <w:pPr>
              <w:widowControl/>
              <w:shd w:val="clear" w:color="auto" w:fill="FFFFFF"/>
              <w:ind w:firstLine="482"/>
              <w:jc w:val="center"/>
              <w:rPr>
                <w:rFonts w:hint="eastAsia" w:hAnsi="黑体" w:eastAsia="黑体"/>
                <w:color w:val="auto"/>
                <w:kern w:val="0"/>
                <w:sz w:val="24"/>
                <w:highlight w:val="none"/>
              </w:rPr>
            </w:pPr>
          </w:p>
          <w:p w14:paraId="017C579D">
            <w:pPr>
              <w:widowControl/>
              <w:shd w:val="clear" w:color="auto" w:fill="FFFFFF"/>
              <w:ind w:firstLine="482"/>
              <w:jc w:val="center"/>
              <w:rPr>
                <w:rFonts w:hint="eastAsia" w:hAnsi="黑体" w:eastAsia="黑体"/>
                <w:color w:val="auto"/>
                <w:kern w:val="0"/>
                <w:sz w:val="24"/>
                <w:highlight w:val="none"/>
              </w:rPr>
            </w:pPr>
          </w:p>
          <w:p w14:paraId="1A39D40D">
            <w:pPr>
              <w:widowControl/>
              <w:shd w:val="clear" w:color="auto" w:fill="FFFFFF"/>
              <w:ind w:firstLine="482"/>
              <w:jc w:val="center"/>
              <w:rPr>
                <w:rFonts w:hint="eastAsia" w:hAnsi="黑体" w:eastAsia="黑体"/>
                <w:color w:val="auto"/>
                <w:kern w:val="0"/>
                <w:sz w:val="24"/>
                <w:highlight w:val="none"/>
              </w:rPr>
            </w:pPr>
          </w:p>
          <w:p w14:paraId="41F94A76">
            <w:pPr>
              <w:widowControl/>
              <w:shd w:val="clear" w:color="auto" w:fill="FFFFFF"/>
              <w:ind w:firstLine="482"/>
              <w:jc w:val="center"/>
              <w:rPr>
                <w:rFonts w:hint="eastAsia" w:ascii="黑体" w:hAnsi="黑体" w:eastAsia="黑体"/>
                <w:color w:val="auto"/>
                <w:kern w:val="0"/>
                <w:sz w:val="21"/>
                <w:szCs w:val="21"/>
                <w:highlight w:val="none"/>
              </w:rPr>
            </w:pPr>
            <w:r>
              <w:rPr>
                <w:rFonts w:hAnsi="黑体" w:eastAsia="黑体"/>
                <w:color w:val="auto"/>
                <w:kern w:val="0"/>
                <w:sz w:val="21"/>
                <w:szCs w:val="21"/>
                <w:highlight w:val="none"/>
              </w:rPr>
              <w:t>图</w:t>
            </w:r>
            <w:r>
              <w:rPr>
                <w:rFonts w:hint="eastAsia" w:ascii="黑体" w:hAnsi="黑体" w:eastAsia="黑体" w:cs="黑体"/>
                <w:color w:val="auto"/>
                <w:kern w:val="0"/>
                <w:sz w:val="21"/>
                <w:szCs w:val="21"/>
                <w:highlight w:val="none"/>
              </w:rPr>
              <w:t xml:space="preserve">2-1  </w:t>
            </w:r>
            <w:r>
              <w:rPr>
                <w:rFonts w:hAnsi="黑体" w:eastAsia="黑体"/>
                <w:color w:val="auto"/>
                <w:kern w:val="0"/>
                <w:sz w:val="21"/>
                <w:szCs w:val="21"/>
                <w:highlight w:val="none"/>
              </w:rPr>
              <w:t>风电场施工期主要工程</w:t>
            </w:r>
            <w:r>
              <w:rPr>
                <w:rFonts w:ascii="黑体" w:hAnsi="黑体" w:eastAsia="黑体"/>
                <w:color w:val="auto"/>
                <w:kern w:val="0"/>
                <w:sz w:val="21"/>
                <w:szCs w:val="21"/>
                <w:highlight w:val="none"/>
              </w:rPr>
              <w:t>内容</w:t>
            </w:r>
          </w:p>
          <w:p w14:paraId="74990425">
            <w:pPr>
              <w:spacing w:line="480" w:lineRule="exact"/>
              <w:ind w:firstLine="480" w:firstLineChars="200"/>
              <w:jc w:val="left"/>
              <w:textAlignment w:val="baseline"/>
              <w:rPr>
                <w:rFonts w:hint="eastAsia"/>
                <w:color w:val="auto"/>
                <w:sz w:val="24"/>
                <w:highlight w:val="none"/>
              </w:rPr>
            </w:pPr>
            <w:r>
              <w:rPr>
                <w:rFonts w:hint="eastAsia" w:ascii="Times New Roman" w:eastAsia="宋体"/>
                <w:color w:val="auto"/>
                <w:sz w:val="24"/>
                <w:highlight w:val="none"/>
                <w:lang w:val="en-US" w:eastAsia="zh-CN"/>
              </w:rPr>
              <w:t xml:space="preserve">（1）风电机组基础工程施工 </w:t>
            </w:r>
          </w:p>
          <w:p w14:paraId="5D37A5EA">
            <w:pPr>
              <w:numPr>
                <w:ilvl w:val="0"/>
                <w:numId w:val="0"/>
              </w:numPr>
              <w:spacing w:line="480" w:lineRule="exact"/>
              <w:ind w:firstLine="480" w:firstLineChars="200"/>
              <w:jc w:val="left"/>
              <w:textAlignment w:val="baseline"/>
              <w:rPr>
                <w:rFonts w:hint="eastAsia" w:ascii="Times New Roman" w:eastAsia="宋体"/>
                <w:color w:val="auto"/>
                <w:sz w:val="24"/>
                <w:highlight w:val="none"/>
                <w:lang w:val="en-US" w:eastAsia="zh-CN"/>
              </w:rPr>
            </w:pPr>
            <w:r>
              <w:rPr>
                <w:rFonts w:hint="eastAsia" w:ascii="Times New Roman" w:eastAsia="宋体"/>
                <w:color w:val="auto"/>
                <w:sz w:val="24"/>
                <w:highlight w:val="none"/>
                <w:lang w:val="en-US" w:eastAsia="zh-CN"/>
              </w:rPr>
              <w:t>1）基坑开挖</w:t>
            </w:r>
          </w:p>
          <w:p w14:paraId="0722A2FC">
            <w:pPr>
              <w:numPr>
                <w:ilvl w:val="0"/>
                <w:numId w:val="0"/>
              </w:numPr>
              <w:spacing w:line="480" w:lineRule="exact"/>
              <w:ind w:firstLine="480" w:firstLineChars="200"/>
              <w:jc w:val="left"/>
              <w:textAlignment w:val="baseline"/>
              <w:rPr>
                <w:rFonts w:hint="eastAsia" w:ascii="Times New Roman" w:eastAsia="宋体"/>
                <w:color w:val="auto"/>
                <w:sz w:val="24"/>
                <w:highlight w:val="none"/>
                <w:lang w:val="en-US" w:eastAsia="zh-CN"/>
              </w:rPr>
            </w:pPr>
            <w:r>
              <w:rPr>
                <w:rFonts w:hint="eastAsia" w:ascii="Times New Roman" w:eastAsia="宋体"/>
                <w:color w:val="auto"/>
                <w:sz w:val="24"/>
                <w:highlight w:val="none"/>
                <w:lang w:val="en-US" w:eastAsia="zh-CN"/>
              </w:rPr>
              <w:t>基坑开挖时，对土石方开挖应采用小型挖掘机，并辅以人工修整基坑边坡的方式进行开挖。开挖出的土方除在基坑附近预留足够回填土外，多余的土方可用于修筑检修道路或回填场坪使用。基坑根据土质考虑放坡，并确定是否需要边坡处理，基坑底边留排水槽。</w:t>
            </w:r>
          </w:p>
          <w:p w14:paraId="647A9BE4">
            <w:pPr>
              <w:numPr>
                <w:ilvl w:val="0"/>
                <w:numId w:val="0"/>
              </w:numPr>
              <w:spacing w:line="480" w:lineRule="exact"/>
              <w:ind w:firstLine="480" w:firstLineChars="200"/>
              <w:jc w:val="left"/>
              <w:textAlignment w:val="baseline"/>
              <w:rPr>
                <w:rFonts w:hint="eastAsia" w:ascii="Times New Roman" w:eastAsia="宋体"/>
                <w:color w:val="auto"/>
                <w:sz w:val="24"/>
                <w:highlight w:val="none"/>
                <w:lang w:val="en-US" w:eastAsia="zh-CN"/>
              </w:rPr>
            </w:pPr>
            <w:r>
              <w:rPr>
                <w:rFonts w:hint="eastAsia" w:ascii="Times New Roman" w:eastAsia="宋体"/>
                <w:color w:val="auto"/>
                <w:sz w:val="24"/>
                <w:highlight w:val="none"/>
                <w:lang w:val="en-US" w:eastAsia="zh-CN"/>
              </w:rPr>
              <w:t>2）基础混凝土浇筑</w:t>
            </w:r>
          </w:p>
          <w:p w14:paraId="431F71FC">
            <w:pPr>
              <w:numPr>
                <w:ilvl w:val="0"/>
                <w:numId w:val="0"/>
              </w:numPr>
              <w:spacing w:line="480" w:lineRule="exact"/>
              <w:ind w:firstLine="480" w:firstLineChars="200"/>
              <w:jc w:val="left"/>
              <w:textAlignment w:val="baseline"/>
              <w:rPr>
                <w:rFonts w:hint="eastAsia" w:ascii="Times New Roman" w:eastAsia="宋体"/>
                <w:color w:val="auto"/>
                <w:sz w:val="24"/>
                <w:highlight w:val="none"/>
                <w:lang w:val="en-US" w:eastAsia="zh-CN"/>
              </w:rPr>
            </w:pPr>
            <w:r>
              <w:rPr>
                <w:rFonts w:hint="eastAsia" w:ascii="Times New Roman" w:eastAsia="宋体"/>
                <w:color w:val="auto"/>
                <w:sz w:val="24"/>
                <w:highlight w:val="none"/>
                <w:lang w:val="en-US" w:eastAsia="zh-CN"/>
              </w:rPr>
              <w:t>风机基础施工时必须严格执行《大体积混凝土施工规范》GB50496 中的强制性规定。基坑开挖验收后，首先浇筑混凝土垫层；待垫层混凝土凝固后，再进行钢筋绑扎、模板架设和浇筑基础混凝土，基础混凝土必须一次浇筑完毕。混凝土采用商品混凝土。混凝土浇筑结束后表面立即遮盖并洒水养护</w:t>
            </w:r>
            <w:r>
              <w:rPr>
                <w:rFonts w:hint="eastAsia"/>
                <w:color w:val="auto"/>
                <w:sz w:val="24"/>
                <w:highlight w:val="none"/>
                <w:lang w:val="en-US" w:eastAsia="zh-CN"/>
              </w:rPr>
              <w:t>。</w:t>
            </w:r>
          </w:p>
          <w:p w14:paraId="0FF57731">
            <w:pPr>
              <w:numPr>
                <w:ilvl w:val="0"/>
                <w:numId w:val="0"/>
              </w:numPr>
              <w:spacing w:line="480" w:lineRule="exact"/>
              <w:ind w:firstLine="480" w:firstLineChars="200"/>
              <w:jc w:val="left"/>
              <w:textAlignment w:val="baseline"/>
              <w:rPr>
                <w:rFonts w:hint="eastAsia"/>
                <w:color w:val="auto"/>
                <w:sz w:val="24"/>
                <w:highlight w:val="none"/>
                <w:lang w:val="en-US" w:eastAsia="zh-CN"/>
              </w:rPr>
            </w:pPr>
            <w:r>
              <w:rPr>
                <w:rFonts w:hint="eastAsia" w:ascii="Times New Roman" w:eastAsia="宋体"/>
                <w:color w:val="auto"/>
                <w:sz w:val="24"/>
                <w:highlight w:val="none"/>
                <w:lang w:val="en-US" w:eastAsia="zh-CN"/>
              </w:rPr>
              <w:t>3）基础土石方回填</w:t>
            </w:r>
          </w:p>
          <w:p w14:paraId="0F5B80AF">
            <w:pPr>
              <w:numPr>
                <w:ilvl w:val="0"/>
                <w:numId w:val="0"/>
              </w:numPr>
              <w:spacing w:line="480" w:lineRule="exact"/>
              <w:ind w:firstLine="480" w:firstLineChars="200"/>
              <w:jc w:val="left"/>
              <w:textAlignment w:val="baseline"/>
              <w:rPr>
                <w:rFonts w:hint="default" w:ascii="Times New Roman" w:eastAsia="宋体"/>
                <w:color w:val="auto"/>
                <w:sz w:val="24"/>
                <w:highlight w:val="none"/>
                <w:lang w:val="en-US" w:eastAsia="zh-CN"/>
              </w:rPr>
            </w:pPr>
            <w:r>
              <w:rPr>
                <w:rFonts w:hint="default" w:ascii="Times New Roman" w:eastAsia="宋体"/>
                <w:color w:val="auto"/>
                <w:sz w:val="24"/>
                <w:highlight w:val="none"/>
                <w:lang w:val="en-US" w:eastAsia="zh-CN"/>
              </w:rPr>
              <w:t>基础混凝土在达到规定强度后方可进行土石方回填，回填土要求干容重符合要求。回填时应分层回填、分层进行夯实</w:t>
            </w:r>
            <w:r>
              <w:rPr>
                <w:rFonts w:hint="eastAsia" w:ascii="Times New Roman" w:eastAsia="宋体"/>
                <w:color w:val="auto"/>
                <w:sz w:val="24"/>
                <w:highlight w:val="none"/>
                <w:lang w:val="en-US" w:eastAsia="zh-CN"/>
              </w:rPr>
              <w:t>。</w:t>
            </w:r>
          </w:p>
          <w:p w14:paraId="0EACD8F7">
            <w:pPr>
              <w:numPr>
                <w:ilvl w:val="0"/>
                <w:numId w:val="0"/>
              </w:numPr>
              <w:spacing w:line="480" w:lineRule="exact"/>
              <w:ind w:firstLine="480" w:firstLineChars="200"/>
              <w:jc w:val="left"/>
              <w:textAlignment w:val="baseline"/>
              <w:rPr>
                <w:rFonts w:hint="eastAsia" w:ascii="Times New Roman" w:eastAsia="宋体"/>
                <w:color w:val="auto"/>
                <w:sz w:val="24"/>
                <w:highlight w:val="none"/>
                <w:lang w:val="en-US" w:eastAsia="zh-CN"/>
              </w:rPr>
            </w:pPr>
            <w:r>
              <w:rPr>
                <w:rFonts w:hint="eastAsia" w:ascii="Times New Roman" w:eastAsia="宋体"/>
                <w:color w:val="auto"/>
                <w:sz w:val="24"/>
                <w:highlight w:val="none"/>
                <w:lang w:val="en-US" w:eastAsia="zh-CN"/>
              </w:rPr>
              <w:t>（2）风电机组安装</w:t>
            </w:r>
          </w:p>
          <w:p w14:paraId="02F8C46D">
            <w:pPr>
              <w:numPr>
                <w:ilvl w:val="0"/>
                <w:numId w:val="0"/>
              </w:numPr>
              <w:spacing w:line="480" w:lineRule="exact"/>
              <w:ind w:firstLine="480" w:firstLineChars="200"/>
              <w:jc w:val="left"/>
              <w:textAlignment w:val="baseline"/>
              <w:rPr>
                <w:rFonts w:hint="eastAsia" w:ascii="Times New Roman" w:eastAsia="宋体"/>
                <w:color w:val="auto"/>
                <w:sz w:val="24"/>
                <w:highlight w:val="none"/>
                <w:lang w:val="en-US" w:eastAsia="zh-CN"/>
              </w:rPr>
            </w:pPr>
            <w:r>
              <w:rPr>
                <w:rFonts w:hint="eastAsia" w:ascii="Times New Roman" w:eastAsia="宋体"/>
                <w:color w:val="auto"/>
                <w:sz w:val="24"/>
                <w:highlight w:val="none"/>
                <w:lang w:val="en-US" w:eastAsia="zh-CN"/>
              </w:rPr>
              <w:t>1）塔筒安装</w:t>
            </w:r>
          </w:p>
          <w:p w14:paraId="2F493C84">
            <w:pPr>
              <w:numPr>
                <w:ilvl w:val="0"/>
                <w:numId w:val="0"/>
              </w:numPr>
              <w:spacing w:line="480" w:lineRule="exact"/>
              <w:ind w:firstLine="480" w:firstLineChars="200"/>
              <w:jc w:val="left"/>
              <w:textAlignment w:val="baseline"/>
              <w:rPr>
                <w:rFonts w:hint="eastAsia" w:ascii="Times New Roman" w:eastAsia="宋体"/>
                <w:color w:val="auto"/>
                <w:sz w:val="24"/>
                <w:highlight w:val="none"/>
                <w:lang w:val="en-US" w:eastAsia="zh-CN"/>
              </w:rPr>
            </w:pPr>
            <w:r>
              <w:rPr>
                <w:rFonts w:hint="eastAsia" w:ascii="Times New Roman" w:eastAsia="宋体"/>
                <w:color w:val="auto"/>
                <w:sz w:val="24"/>
                <w:highlight w:val="none"/>
                <w:lang w:val="en-US" w:eastAsia="zh-CN"/>
              </w:rPr>
              <w:t>6节钢塔筒摆放在吊车的旋转起吊半径范围内。塔架在吊装前，要将塔架内需布设的电缆及结构配件等全部安装固定完毕。每节塔筒采用两台吊车配合吊装，六节塔筒分别由下至上逐节吊装。塔筒位置调整好后，再紧固螺栓。本工程拟采用一套吊装机械施工用主吊车为1250t 履带吊1台，辅助吊车为100t 汽车吊(或履带吊)1台，50t汽车吊2台。整个安装工作必须严格按照生产厂家规范及说明书要求进行。</w:t>
            </w:r>
          </w:p>
          <w:p w14:paraId="40B09761">
            <w:pPr>
              <w:numPr>
                <w:ilvl w:val="0"/>
                <w:numId w:val="0"/>
              </w:numPr>
              <w:spacing w:line="480" w:lineRule="exact"/>
              <w:ind w:firstLine="480" w:firstLineChars="200"/>
              <w:jc w:val="left"/>
              <w:textAlignment w:val="baseline"/>
              <w:rPr>
                <w:rFonts w:hint="eastAsia" w:ascii="Times New Roman" w:eastAsia="宋体"/>
                <w:color w:val="auto"/>
                <w:sz w:val="24"/>
                <w:highlight w:val="none"/>
                <w:lang w:val="en-US" w:eastAsia="zh-CN"/>
              </w:rPr>
            </w:pPr>
            <w:r>
              <w:rPr>
                <w:rFonts w:hint="eastAsia" w:ascii="Times New Roman" w:eastAsia="宋体"/>
                <w:color w:val="auto"/>
                <w:sz w:val="24"/>
                <w:highlight w:val="none"/>
                <w:lang w:val="en-US" w:eastAsia="zh-CN"/>
              </w:rPr>
              <w:t>2）机舱安装</w:t>
            </w:r>
          </w:p>
          <w:p w14:paraId="3E54690E">
            <w:pPr>
              <w:numPr>
                <w:ilvl w:val="0"/>
                <w:numId w:val="0"/>
              </w:numPr>
              <w:spacing w:line="480" w:lineRule="exact"/>
              <w:ind w:firstLine="480" w:firstLineChars="200"/>
              <w:jc w:val="left"/>
              <w:textAlignment w:val="baseline"/>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 xml:space="preserve">机舱的安装应选择良好的天气，下雨或风速超过设备制造厂规定(或吊装机械限值)时不允许安装风力发电机。①将风向标和风速仪安装在机舱的顶部。②用两条绳索固定在机舱的两侧，两名工人在地面上对机舱的移动进行控制。塔顶、吊车、地面指挥和控制起重人员共同配合进行吊装。③塔顶安装人员指挥并控制吊装将机舱底部法兰与塔筒顶部法兰进行对接。 </w:t>
            </w:r>
            <w:r>
              <w:rPr>
                <w:rFonts w:hint="default" w:ascii="Times New Roman" w:hAnsi="Times New Roman" w:eastAsia="微软雅黑" w:cs="Times New Roman"/>
                <w:color w:val="auto"/>
                <w:sz w:val="24"/>
                <w:highlight w:val="none"/>
                <w:lang w:val="en-US" w:eastAsia="zh-CN"/>
              </w:rPr>
              <w:t>④</w:t>
            </w:r>
            <w:r>
              <w:rPr>
                <w:rFonts w:hint="default" w:ascii="Times New Roman" w:hAnsi="Times New Roman" w:eastAsia="宋体" w:cs="Times New Roman"/>
                <w:color w:val="auto"/>
                <w:sz w:val="24"/>
                <w:highlight w:val="none"/>
                <w:lang w:val="en-US" w:eastAsia="zh-CN"/>
              </w:rPr>
              <w:t>固定好机舱底部与塔筒螺栓后卸下吊具。本项目箱变安装在机舱内。</w:t>
            </w:r>
          </w:p>
          <w:p w14:paraId="2772AF7C">
            <w:pPr>
              <w:numPr>
                <w:ilvl w:val="0"/>
                <w:numId w:val="0"/>
              </w:numPr>
              <w:spacing w:line="480" w:lineRule="exact"/>
              <w:ind w:firstLine="480" w:firstLineChars="200"/>
              <w:jc w:val="left"/>
              <w:textAlignment w:val="baseline"/>
              <w:rPr>
                <w:rFonts w:hint="eastAsia" w:ascii="Times New Roman" w:eastAsia="宋体"/>
                <w:color w:val="auto"/>
                <w:sz w:val="24"/>
                <w:highlight w:val="none"/>
                <w:lang w:val="en-US" w:eastAsia="zh-CN"/>
              </w:rPr>
            </w:pPr>
            <w:r>
              <w:rPr>
                <w:rFonts w:hint="eastAsia" w:ascii="Times New Roman" w:eastAsia="宋体"/>
                <w:color w:val="auto"/>
                <w:sz w:val="24"/>
                <w:highlight w:val="none"/>
                <w:lang w:val="en-US" w:eastAsia="zh-CN"/>
              </w:rPr>
              <w:t>（3）叶片安装</w:t>
            </w:r>
          </w:p>
          <w:p w14:paraId="0DA5A47C">
            <w:pPr>
              <w:numPr>
                <w:ilvl w:val="0"/>
                <w:numId w:val="0"/>
              </w:numPr>
              <w:spacing w:line="480" w:lineRule="exact"/>
              <w:ind w:firstLine="480" w:firstLineChars="200"/>
              <w:jc w:val="left"/>
              <w:textAlignment w:val="baseline"/>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首先在地面将三个叶片组装到轮毂上，然后利用两台吊车(主吊为1250t履带吊，辅吊为100t吊车)“抬吊”将叶轮安装到位。安装顺序为：①将轮毂固定在地面吊装位置上。②在吊车和地面人员的配合下将三片叶片依次安装到轮毂上。③用泡沫等柔软物将叶轮支撑好。④将吊耳安装到叶轮的吊装固定环上。</w:t>
            </w:r>
            <w:r>
              <w:rPr>
                <w:rFonts w:hint="default" w:ascii="Times New Roman" w:hAnsi="Times New Roman" w:eastAsia="微软雅黑" w:cs="Times New Roman"/>
                <w:color w:val="auto"/>
                <w:sz w:val="24"/>
                <w:highlight w:val="none"/>
                <w:lang w:val="en-US" w:eastAsia="zh-CN"/>
              </w:rPr>
              <w:t>⑤</w:t>
            </w:r>
            <w:r>
              <w:rPr>
                <w:rFonts w:hint="default" w:ascii="Times New Roman" w:hAnsi="Times New Roman" w:eastAsia="宋体" w:cs="Times New Roman"/>
                <w:color w:val="auto"/>
                <w:sz w:val="24"/>
                <w:highlight w:val="none"/>
                <w:lang w:val="en-US" w:eastAsia="zh-CN"/>
              </w:rPr>
              <w:t>每片叶片的边缘保护器上挂一条150～200m长的绳索。</w:t>
            </w:r>
            <w:r>
              <w:rPr>
                <w:rFonts w:hint="default" w:ascii="Times New Roman" w:hAnsi="Times New Roman" w:eastAsia="微软雅黑" w:cs="Times New Roman"/>
                <w:color w:val="auto"/>
                <w:sz w:val="24"/>
                <w:highlight w:val="none"/>
                <w:lang w:val="en-US" w:eastAsia="zh-CN"/>
              </w:rPr>
              <w:t>⑥</w:t>
            </w:r>
            <w:r>
              <w:rPr>
                <w:rFonts w:hint="default" w:ascii="Times New Roman" w:hAnsi="Times New Roman" w:eastAsia="宋体" w:cs="Times New Roman"/>
                <w:color w:val="auto"/>
                <w:sz w:val="24"/>
                <w:highlight w:val="none"/>
                <w:lang w:val="en-US" w:eastAsia="zh-CN"/>
              </w:rPr>
              <w:t>主吊辅吊相互配合将叶轮提升到规定高度后，使叶轮轮毂的连接法兰平面与机舱的连接法兰平面相互平行。在这一过程中地面工作人员配合控制叶轮的摆动和位移。</w:t>
            </w:r>
            <w:r>
              <w:rPr>
                <w:rFonts w:hint="default" w:ascii="Times New Roman" w:hAnsi="Times New Roman" w:eastAsia="微软雅黑" w:cs="Times New Roman"/>
                <w:color w:val="auto"/>
                <w:sz w:val="24"/>
                <w:highlight w:val="none"/>
                <w:lang w:val="en-US" w:eastAsia="zh-CN"/>
              </w:rPr>
              <w:t>⑦</w:t>
            </w:r>
            <w:r>
              <w:rPr>
                <w:rFonts w:hint="default" w:ascii="Times New Roman" w:hAnsi="Times New Roman" w:eastAsia="宋体" w:cs="Times New Roman"/>
                <w:color w:val="auto"/>
                <w:sz w:val="24"/>
                <w:highlight w:val="none"/>
                <w:lang w:val="en-US" w:eastAsia="zh-CN"/>
              </w:rPr>
              <w:t>徐徐提升叶轮将叶轮安装到机舱上的对接法兰上，用螺栓将叶轮固定在机舱的法兰上。</w:t>
            </w:r>
            <w:r>
              <w:rPr>
                <w:rFonts w:hint="default" w:ascii="Times New Roman" w:hAnsi="Times New Roman" w:eastAsia="微软雅黑" w:cs="Times New Roman"/>
                <w:color w:val="auto"/>
                <w:sz w:val="24"/>
                <w:highlight w:val="none"/>
                <w:lang w:val="en-US" w:eastAsia="zh-CN"/>
              </w:rPr>
              <w:t>⑧</w:t>
            </w:r>
            <w:r>
              <w:rPr>
                <w:rFonts w:hint="default" w:ascii="Times New Roman" w:hAnsi="Times New Roman" w:eastAsia="宋体" w:cs="Times New Roman"/>
                <w:color w:val="auto"/>
                <w:sz w:val="24"/>
                <w:highlight w:val="none"/>
                <w:lang w:val="en-US" w:eastAsia="zh-CN"/>
              </w:rPr>
              <w:t>卸下吊具。</w:t>
            </w:r>
          </w:p>
          <w:p w14:paraId="1FDC7C39">
            <w:pPr>
              <w:numPr>
                <w:ilvl w:val="0"/>
                <w:numId w:val="0"/>
              </w:numPr>
              <w:spacing w:line="480" w:lineRule="exact"/>
              <w:ind w:firstLine="480" w:firstLineChars="200"/>
              <w:jc w:val="left"/>
              <w:textAlignment w:val="baseline"/>
              <w:rPr>
                <w:rFonts w:hint="eastAsia" w:ascii="Times New Roman" w:eastAsia="宋体"/>
                <w:color w:val="auto"/>
                <w:sz w:val="24"/>
                <w:highlight w:val="none"/>
                <w:lang w:val="en-US" w:eastAsia="zh-CN"/>
              </w:rPr>
            </w:pPr>
            <w:r>
              <w:rPr>
                <w:rFonts w:hint="eastAsia"/>
                <w:color w:val="auto"/>
                <w:sz w:val="24"/>
                <w:highlight w:val="none"/>
                <w:lang w:val="en-US" w:eastAsia="zh-CN"/>
              </w:rPr>
              <w:t>（4）</w:t>
            </w:r>
            <w:r>
              <w:rPr>
                <w:rFonts w:hint="eastAsia" w:ascii="Times New Roman" w:eastAsia="宋体"/>
                <w:color w:val="auto"/>
                <w:sz w:val="24"/>
                <w:highlight w:val="none"/>
                <w:lang w:val="en-US" w:eastAsia="zh-CN"/>
              </w:rPr>
              <w:t>集电线路施工</w:t>
            </w:r>
          </w:p>
          <w:p w14:paraId="0FA3A30F">
            <w:pPr>
              <w:numPr>
                <w:ilvl w:val="0"/>
                <w:numId w:val="0"/>
              </w:numPr>
              <w:spacing w:line="480" w:lineRule="exact"/>
              <w:ind w:firstLine="480" w:firstLineChars="200"/>
              <w:jc w:val="left"/>
              <w:textAlignment w:val="baseline"/>
              <w:rPr>
                <w:rFonts w:hint="eastAsia" w:ascii="Times New Roman" w:eastAsia="宋体"/>
                <w:color w:val="auto"/>
                <w:sz w:val="24"/>
                <w:highlight w:val="none"/>
                <w:lang w:val="en-US" w:eastAsia="zh-CN"/>
              </w:rPr>
            </w:pPr>
            <w:r>
              <w:rPr>
                <w:rFonts w:hint="eastAsia" w:ascii="Times New Roman" w:eastAsia="宋体"/>
                <w:color w:val="auto"/>
                <w:sz w:val="24"/>
                <w:highlight w:val="none"/>
                <w:lang w:val="en-US" w:eastAsia="zh-CN"/>
              </w:rPr>
              <w:t>塔基架设采用铁塔，线路工程施工分四个阶段：一是施工准备；二是基础施工；三是塔基施工；四是架线。</w:t>
            </w:r>
          </w:p>
          <w:p w14:paraId="52F3FB9C">
            <w:pPr>
              <w:numPr>
                <w:ilvl w:val="0"/>
                <w:numId w:val="0"/>
              </w:numPr>
              <w:spacing w:line="480" w:lineRule="exact"/>
              <w:ind w:firstLine="480" w:firstLineChars="200"/>
              <w:jc w:val="left"/>
              <w:textAlignment w:val="baseline"/>
              <w:rPr>
                <w:rFonts w:hint="eastAsia" w:ascii="Times New Roman" w:eastAsia="宋体"/>
                <w:color w:val="auto"/>
                <w:sz w:val="24"/>
                <w:highlight w:val="none"/>
                <w:lang w:val="en-US" w:eastAsia="zh-CN"/>
              </w:rPr>
            </w:pPr>
            <w:r>
              <w:rPr>
                <w:rFonts w:hint="eastAsia" w:ascii="Times New Roman" w:eastAsia="宋体"/>
                <w:color w:val="auto"/>
                <w:sz w:val="24"/>
                <w:highlight w:val="none"/>
                <w:lang w:val="en-US" w:eastAsia="zh-CN"/>
              </w:rPr>
              <w:t xml:space="preserve">1）施工准备 </w:t>
            </w:r>
          </w:p>
          <w:p w14:paraId="2471E16F">
            <w:pPr>
              <w:numPr>
                <w:ilvl w:val="0"/>
                <w:numId w:val="0"/>
              </w:numPr>
              <w:spacing w:line="480" w:lineRule="exact"/>
              <w:ind w:firstLine="480" w:firstLineChars="200"/>
              <w:jc w:val="left"/>
              <w:textAlignment w:val="baseline"/>
              <w:rPr>
                <w:rFonts w:hint="eastAsia" w:ascii="Times New Roman" w:eastAsia="宋体"/>
                <w:color w:val="auto"/>
                <w:sz w:val="24"/>
                <w:highlight w:val="none"/>
                <w:lang w:val="en-US" w:eastAsia="zh-CN"/>
              </w:rPr>
            </w:pPr>
            <w:r>
              <w:rPr>
                <w:rFonts w:hint="eastAsia" w:ascii="Times New Roman" w:eastAsia="宋体"/>
                <w:color w:val="auto"/>
                <w:sz w:val="24"/>
                <w:highlight w:val="none"/>
                <w:lang w:val="en-US" w:eastAsia="zh-CN"/>
              </w:rPr>
              <w:t xml:space="preserve">施工准备阶段主要是施工备料，部分铁塔需修建临时道路。 </w:t>
            </w:r>
          </w:p>
          <w:p w14:paraId="5E2D8129">
            <w:pPr>
              <w:numPr>
                <w:ilvl w:val="0"/>
                <w:numId w:val="0"/>
              </w:numPr>
              <w:spacing w:line="480" w:lineRule="exact"/>
              <w:ind w:firstLine="480" w:firstLineChars="200"/>
              <w:jc w:val="left"/>
              <w:textAlignment w:val="baseline"/>
              <w:rPr>
                <w:rFonts w:hint="eastAsia" w:ascii="Times New Roman" w:eastAsia="宋体"/>
                <w:color w:val="auto"/>
                <w:sz w:val="24"/>
                <w:highlight w:val="none"/>
                <w:lang w:val="en-US" w:eastAsia="zh-CN"/>
              </w:rPr>
            </w:pPr>
            <w:r>
              <w:rPr>
                <w:rFonts w:hint="eastAsia" w:ascii="Times New Roman" w:eastAsia="宋体"/>
                <w:color w:val="auto"/>
                <w:sz w:val="24"/>
                <w:highlight w:val="none"/>
                <w:lang w:val="en-US" w:eastAsia="zh-CN"/>
              </w:rPr>
              <w:t xml:space="preserve">2）基础施工 </w:t>
            </w:r>
          </w:p>
          <w:p w14:paraId="4D264BDB">
            <w:pPr>
              <w:numPr>
                <w:ilvl w:val="0"/>
                <w:numId w:val="0"/>
              </w:numPr>
              <w:spacing w:line="480" w:lineRule="exact"/>
              <w:ind w:firstLine="480" w:firstLineChars="200"/>
              <w:jc w:val="left"/>
              <w:textAlignment w:val="baseline"/>
              <w:rPr>
                <w:rFonts w:hint="eastAsia" w:ascii="Times New Roman" w:eastAsia="宋体"/>
                <w:color w:val="auto"/>
                <w:sz w:val="24"/>
                <w:highlight w:val="none"/>
                <w:lang w:val="en-US" w:eastAsia="zh-CN"/>
              </w:rPr>
            </w:pPr>
            <w:r>
              <w:rPr>
                <w:rFonts w:hint="eastAsia" w:ascii="Times New Roman" w:eastAsia="宋体"/>
                <w:color w:val="auto"/>
                <w:sz w:val="24"/>
                <w:highlight w:val="none"/>
                <w:lang w:val="en-US" w:eastAsia="zh-CN"/>
              </w:rPr>
              <w:t>该项目集电线路工程规模较小，塔基基础开挖以人工与机械相结合的方式， 线路在确保安全和质量的前提下，尽量减小开挖的范围，避免不必要的开挖和过多的破坏原状土。</w:t>
            </w:r>
          </w:p>
          <w:p w14:paraId="64AC70F2">
            <w:pPr>
              <w:numPr>
                <w:ilvl w:val="0"/>
                <w:numId w:val="0"/>
              </w:numPr>
              <w:spacing w:line="480" w:lineRule="exact"/>
              <w:ind w:firstLine="480" w:firstLineChars="200"/>
              <w:jc w:val="left"/>
              <w:textAlignment w:val="baseline"/>
              <w:rPr>
                <w:rFonts w:hint="eastAsia" w:ascii="Times New Roman" w:eastAsia="宋体"/>
                <w:color w:val="auto"/>
                <w:sz w:val="24"/>
                <w:highlight w:val="none"/>
                <w:lang w:val="en-US" w:eastAsia="zh-CN"/>
              </w:rPr>
            </w:pPr>
            <w:r>
              <w:rPr>
                <w:rFonts w:hint="eastAsia" w:ascii="Times New Roman" w:eastAsia="宋体"/>
                <w:color w:val="auto"/>
                <w:sz w:val="24"/>
                <w:highlight w:val="none"/>
                <w:lang w:val="en-US" w:eastAsia="zh-CN"/>
              </w:rPr>
              <w:t>对于铁塔塔基，基础施工时，尽量缩短基坑暴露时间，做到随挖随浇制基础，同时做好基面及基坑的排水工作；基坑开挖大时，尽量较少对基底土层的扰动。</w:t>
            </w:r>
          </w:p>
          <w:p w14:paraId="251A1B8B">
            <w:pPr>
              <w:numPr>
                <w:ilvl w:val="0"/>
                <w:numId w:val="0"/>
              </w:numPr>
              <w:spacing w:line="480" w:lineRule="exact"/>
              <w:ind w:firstLine="480" w:firstLineChars="200"/>
              <w:jc w:val="left"/>
              <w:textAlignment w:val="baseline"/>
              <w:rPr>
                <w:rFonts w:hint="eastAsia" w:ascii="Times New Roman" w:eastAsia="宋体"/>
                <w:color w:val="auto"/>
                <w:sz w:val="24"/>
                <w:highlight w:val="none"/>
                <w:lang w:val="en-US" w:eastAsia="zh-CN"/>
              </w:rPr>
            </w:pPr>
            <w:r>
              <w:rPr>
                <w:rFonts w:hint="eastAsia" w:ascii="Times New Roman" w:eastAsia="宋体"/>
                <w:color w:val="auto"/>
                <w:sz w:val="24"/>
                <w:highlight w:val="none"/>
                <w:lang w:val="en-US" w:eastAsia="zh-CN"/>
              </w:rPr>
              <w:t xml:space="preserve">项目采用商品混凝土，混凝土浇筑后及时养护。 </w:t>
            </w:r>
          </w:p>
          <w:p w14:paraId="7CBC0F4F">
            <w:pPr>
              <w:numPr>
                <w:ilvl w:val="0"/>
                <w:numId w:val="0"/>
              </w:numPr>
              <w:spacing w:line="480" w:lineRule="exact"/>
              <w:ind w:firstLine="480" w:firstLineChars="200"/>
              <w:jc w:val="left"/>
              <w:textAlignment w:val="baseline"/>
              <w:rPr>
                <w:rFonts w:hint="eastAsia" w:ascii="Times New Roman" w:eastAsia="宋体"/>
                <w:color w:val="auto"/>
                <w:sz w:val="24"/>
                <w:highlight w:val="none"/>
                <w:lang w:val="en-US" w:eastAsia="zh-CN"/>
              </w:rPr>
            </w:pPr>
            <w:r>
              <w:rPr>
                <w:rFonts w:hint="eastAsia" w:ascii="Times New Roman" w:eastAsia="宋体"/>
                <w:color w:val="auto"/>
                <w:sz w:val="24"/>
                <w:highlight w:val="none"/>
                <w:lang w:val="en-US" w:eastAsia="zh-CN"/>
              </w:rPr>
              <w:t xml:space="preserve">3）塔体施工、架线 </w:t>
            </w:r>
          </w:p>
          <w:p w14:paraId="62A1594A">
            <w:pPr>
              <w:numPr>
                <w:ilvl w:val="0"/>
                <w:numId w:val="0"/>
              </w:numPr>
              <w:spacing w:line="480" w:lineRule="exact"/>
              <w:ind w:firstLine="480" w:firstLineChars="200"/>
              <w:jc w:val="left"/>
              <w:textAlignment w:val="baseline"/>
              <w:rPr>
                <w:rFonts w:hint="eastAsia" w:ascii="Times New Roman" w:eastAsia="宋体"/>
                <w:color w:val="auto"/>
                <w:sz w:val="24"/>
                <w:highlight w:val="none"/>
                <w:lang w:val="en-US" w:eastAsia="zh-CN"/>
              </w:rPr>
            </w:pPr>
            <w:r>
              <w:rPr>
                <w:rFonts w:hint="eastAsia" w:ascii="Times New Roman" w:eastAsia="宋体"/>
                <w:color w:val="auto"/>
                <w:sz w:val="24"/>
                <w:highlight w:val="none"/>
                <w:lang w:val="en-US" w:eastAsia="zh-CN"/>
              </w:rPr>
              <w:t xml:space="preserve">塔体施工主要为人工组装、人为架线。铁塔组装必须有完整的施工技术方案，在组装过程中，应采取不导致部件变形或损坏的措施。放线前应有完整有效的架线（包括放线、紧线及附件的安装等）施工技术文件，放线过程中，对展放的导线和地线应进行外观检查，应该符合设计要求，在架线过程中，对使用的工器具要符合要求，确保安全。 </w:t>
            </w:r>
          </w:p>
          <w:p w14:paraId="5AC27450">
            <w:pPr>
              <w:numPr>
                <w:ilvl w:val="0"/>
                <w:numId w:val="0"/>
              </w:numPr>
              <w:spacing w:line="480" w:lineRule="exact"/>
              <w:ind w:firstLine="480" w:firstLineChars="200"/>
              <w:jc w:val="left"/>
              <w:textAlignment w:val="baseline"/>
              <w:rPr>
                <w:rFonts w:hint="eastAsia" w:ascii="Times New Roman" w:eastAsia="宋体"/>
                <w:color w:val="auto"/>
                <w:sz w:val="24"/>
                <w:highlight w:val="none"/>
                <w:lang w:val="en-US" w:eastAsia="zh-CN"/>
              </w:rPr>
            </w:pPr>
            <w:r>
              <w:rPr>
                <w:rFonts w:hint="eastAsia" w:ascii="Times New Roman" w:eastAsia="宋体"/>
                <w:color w:val="auto"/>
                <w:sz w:val="24"/>
                <w:highlight w:val="none"/>
                <w:lang w:val="en-US" w:eastAsia="zh-CN"/>
              </w:rPr>
              <w:t xml:space="preserve">4）接地工程 </w:t>
            </w:r>
          </w:p>
          <w:p w14:paraId="4A10BAC6">
            <w:pPr>
              <w:numPr>
                <w:ilvl w:val="0"/>
                <w:numId w:val="0"/>
              </w:numPr>
              <w:spacing w:line="480" w:lineRule="exact"/>
              <w:ind w:firstLine="480" w:firstLineChars="200"/>
              <w:jc w:val="left"/>
              <w:textAlignment w:val="baseline"/>
              <w:rPr>
                <w:color w:val="auto"/>
                <w:sz w:val="24"/>
                <w:highlight w:val="none"/>
              </w:rPr>
            </w:pPr>
            <w:r>
              <w:rPr>
                <w:rFonts w:hint="eastAsia" w:ascii="Times New Roman" w:eastAsia="宋体"/>
                <w:color w:val="auto"/>
                <w:sz w:val="24"/>
                <w:highlight w:val="none"/>
                <w:lang w:val="en-US" w:eastAsia="zh-CN"/>
              </w:rPr>
              <w:t xml:space="preserve">本工程铁塔需做接地，根据设计要求进行施工，在施工结束后，对接地电阻要进行测量，对不满足要求者，要采取有效措施，适当加长接地线，增加接地极或换土直至满足要求为止。 </w:t>
            </w:r>
          </w:p>
        </w:tc>
      </w:tr>
      <w:tr w14:paraId="70DE89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32" w:hRule="atLeast"/>
          <w:jc w:val="center"/>
        </w:trPr>
        <w:tc>
          <w:tcPr>
            <w:tcW w:w="710" w:type="dxa"/>
            <w:vAlign w:val="center"/>
          </w:tcPr>
          <w:p w14:paraId="275AD77A">
            <w:pPr>
              <w:adjustRightInd w:val="0"/>
              <w:snapToGrid w:val="0"/>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其他</w:t>
            </w:r>
          </w:p>
        </w:tc>
        <w:tc>
          <w:tcPr>
            <w:tcW w:w="8380" w:type="dxa"/>
            <w:vAlign w:val="center"/>
          </w:tcPr>
          <w:p w14:paraId="542285F6">
            <w:pPr>
              <w:spacing w:line="480" w:lineRule="exact"/>
              <w:ind w:firstLine="480" w:firstLineChars="200"/>
              <w:jc w:val="center"/>
              <w:rPr>
                <w:rFonts w:hint="eastAsia"/>
                <w:color w:val="auto"/>
                <w:sz w:val="24"/>
                <w:highlight w:val="none"/>
              </w:rPr>
            </w:pPr>
          </w:p>
          <w:p w14:paraId="100B1AE3">
            <w:pPr>
              <w:spacing w:line="480" w:lineRule="exact"/>
              <w:ind w:firstLine="480" w:firstLineChars="200"/>
              <w:jc w:val="center"/>
              <w:rPr>
                <w:rFonts w:hint="eastAsia"/>
                <w:color w:val="auto"/>
                <w:sz w:val="24"/>
                <w:highlight w:val="none"/>
              </w:rPr>
            </w:pPr>
          </w:p>
          <w:p w14:paraId="40D1C63E">
            <w:pPr>
              <w:spacing w:line="480" w:lineRule="exact"/>
              <w:ind w:firstLine="480" w:firstLineChars="200"/>
              <w:jc w:val="center"/>
              <w:rPr>
                <w:rFonts w:hint="eastAsia"/>
                <w:color w:val="auto"/>
                <w:sz w:val="24"/>
                <w:highlight w:val="none"/>
              </w:rPr>
            </w:pPr>
          </w:p>
          <w:p w14:paraId="63092508">
            <w:pPr>
              <w:spacing w:line="480" w:lineRule="exact"/>
              <w:ind w:firstLine="480" w:firstLineChars="200"/>
              <w:jc w:val="center"/>
              <w:rPr>
                <w:rFonts w:hint="eastAsia"/>
                <w:color w:val="auto"/>
                <w:sz w:val="24"/>
                <w:highlight w:val="none"/>
              </w:rPr>
            </w:pPr>
            <w:r>
              <w:rPr>
                <w:rFonts w:hint="eastAsia"/>
                <w:color w:val="auto"/>
                <w:sz w:val="24"/>
                <w:highlight w:val="none"/>
              </w:rPr>
              <w:t>无</w:t>
            </w:r>
          </w:p>
          <w:p w14:paraId="6E10985D">
            <w:pPr>
              <w:pStyle w:val="7"/>
              <w:rPr>
                <w:rFonts w:hint="eastAsia"/>
                <w:color w:val="auto"/>
                <w:sz w:val="24"/>
                <w:highlight w:val="none"/>
              </w:rPr>
            </w:pPr>
          </w:p>
          <w:p w14:paraId="2DD4A275">
            <w:pPr>
              <w:rPr>
                <w:rFonts w:hint="eastAsia"/>
                <w:color w:val="auto"/>
                <w:sz w:val="24"/>
                <w:highlight w:val="none"/>
              </w:rPr>
            </w:pPr>
          </w:p>
          <w:p w14:paraId="7F4FFBAE">
            <w:pPr>
              <w:rPr>
                <w:color w:val="auto"/>
                <w:highlight w:val="none"/>
              </w:rPr>
            </w:pPr>
          </w:p>
        </w:tc>
      </w:tr>
    </w:tbl>
    <w:p w14:paraId="2442A646">
      <w:pPr>
        <w:rPr>
          <w:rFonts w:hint="eastAsia"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br w:type="page"/>
      </w:r>
    </w:p>
    <w:p w14:paraId="2BF19430">
      <w:pPr>
        <w:pStyle w:val="9"/>
        <w:jc w:val="center"/>
        <w:outlineLvl w:val="0"/>
        <w:rPr>
          <w:rFonts w:hint="eastAsia"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t>三、生态环境现状、保护目标及评价标准</w:t>
      </w:r>
    </w:p>
    <w:tbl>
      <w:tblPr>
        <w:tblStyle w:val="10"/>
        <w:tblW w:w="915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41"/>
        <w:gridCol w:w="8416"/>
      </w:tblGrid>
      <w:tr w14:paraId="5B3F4C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1" w:type="dxa"/>
            <w:vAlign w:val="center"/>
          </w:tcPr>
          <w:p w14:paraId="6DCEB739">
            <w:pPr>
              <w:adjustRightInd w:val="0"/>
              <w:snapToGrid w:val="0"/>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生态环境现状</w:t>
            </w:r>
          </w:p>
        </w:tc>
        <w:tc>
          <w:tcPr>
            <w:tcW w:w="8416" w:type="dxa"/>
          </w:tcPr>
          <w:p w14:paraId="2E57F1FB">
            <w:pPr>
              <w:adjustRightInd w:val="0"/>
              <w:snapToGrid w:val="0"/>
              <w:spacing w:line="480" w:lineRule="exact"/>
              <w:ind w:firstLine="480" w:firstLineChars="200"/>
              <w:rPr>
                <w:color w:val="auto"/>
                <w:kern w:val="0"/>
                <w:sz w:val="24"/>
                <w:highlight w:val="none"/>
              </w:rPr>
            </w:pPr>
            <w:r>
              <w:rPr>
                <w:rFonts w:hint="eastAsia"/>
                <w:color w:val="auto"/>
                <w:kern w:val="0"/>
                <w:sz w:val="24"/>
                <w:highlight w:val="none"/>
              </w:rPr>
              <w:t>1</w:t>
            </w:r>
            <w:r>
              <w:rPr>
                <w:color w:val="auto"/>
                <w:kern w:val="0"/>
                <w:sz w:val="24"/>
                <w:highlight w:val="none"/>
              </w:rPr>
              <w:t>、生态环境现状</w:t>
            </w:r>
          </w:p>
          <w:p w14:paraId="7EEAEFCA">
            <w:pPr>
              <w:adjustRightInd w:val="0"/>
              <w:snapToGrid w:val="0"/>
              <w:spacing w:line="480" w:lineRule="exact"/>
              <w:ind w:firstLine="504" w:firstLineChars="200"/>
              <w:rPr>
                <w:color w:val="auto"/>
                <w:spacing w:val="6"/>
                <w:sz w:val="24"/>
                <w:highlight w:val="none"/>
              </w:rPr>
            </w:pPr>
            <w:r>
              <w:rPr>
                <w:rFonts w:hint="eastAsia"/>
                <w:color w:val="auto"/>
                <w:spacing w:val="6"/>
                <w:sz w:val="24"/>
                <w:highlight w:val="none"/>
              </w:rPr>
              <w:t>（1）评价范围</w:t>
            </w:r>
          </w:p>
          <w:p w14:paraId="15FE0EC6">
            <w:pPr>
              <w:adjustRightInd w:val="0"/>
              <w:snapToGrid w:val="0"/>
              <w:spacing w:line="480" w:lineRule="exact"/>
              <w:ind w:firstLine="480" w:firstLineChars="200"/>
              <w:rPr>
                <w:color w:val="auto"/>
                <w:spacing w:val="6"/>
                <w:sz w:val="24"/>
                <w:highlight w:val="none"/>
              </w:rPr>
            </w:pPr>
            <w:r>
              <w:rPr>
                <w:rFonts w:hint="eastAsia"/>
                <w:color w:val="auto"/>
                <w:kern w:val="0"/>
                <w:sz w:val="24"/>
                <w:highlight w:val="none"/>
              </w:rPr>
              <w:t>根据《建设项目环境影响报告表编制技术指南》（生态影响类）（试行）要求及《建设项目分类管理名录》（2</w:t>
            </w:r>
            <w:r>
              <w:rPr>
                <w:color w:val="auto"/>
                <w:kern w:val="0"/>
                <w:sz w:val="24"/>
                <w:highlight w:val="none"/>
              </w:rPr>
              <w:t>021</w:t>
            </w:r>
            <w:r>
              <w:rPr>
                <w:rFonts w:hint="eastAsia"/>
                <w:color w:val="auto"/>
                <w:kern w:val="0"/>
                <w:sz w:val="24"/>
                <w:highlight w:val="none"/>
              </w:rPr>
              <w:t>年版）相关要求可知，陆上风力发电项目环境敏感区定义为“国家公园、自然保护区、风景名胜区、世界文化和自然遗产地、海洋特别保护区、饮用水水源保护区；以居住、医疗卫生、文化教育、科研、行政办公为主要功能的区域，以及文物保护单位”。</w:t>
            </w:r>
            <w:r>
              <w:rPr>
                <w:rFonts w:hint="eastAsia"/>
                <w:color w:val="auto"/>
                <w:spacing w:val="6"/>
                <w:sz w:val="24"/>
                <w:highlight w:val="none"/>
              </w:rPr>
              <w:t>本项目评价范围内不涉及上述环境敏感区，故本项目不设生态环境影响专题分析。</w:t>
            </w:r>
          </w:p>
          <w:p w14:paraId="4E89751B">
            <w:pPr>
              <w:adjustRightInd w:val="0"/>
              <w:snapToGrid w:val="0"/>
              <w:spacing w:line="480" w:lineRule="exact"/>
              <w:ind w:firstLine="504" w:firstLineChars="200"/>
              <w:rPr>
                <w:color w:val="auto"/>
                <w:spacing w:val="6"/>
                <w:sz w:val="24"/>
                <w:highlight w:val="none"/>
              </w:rPr>
            </w:pPr>
            <w:r>
              <w:rPr>
                <w:rFonts w:hint="eastAsia"/>
                <w:color w:val="auto"/>
                <w:spacing w:val="6"/>
                <w:sz w:val="24"/>
                <w:highlight w:val="none"/>
              </w:rPr>
              <w:t>根据《环境影响评价技术导则 生态影响》（HJ19-2022），评价范围应依据评价项目对生态因子的影响方式、影响程度和生态因子之间的相互影响和相互依存关系确定。可综合考虑评价项目与项目区的气候过程、水文过程、生物过程等生物地球化学循环过程的相互作用关系，以评价项目影响区域所涉及的完整气候单元、水文单元、生态单元、地理单元界限为参照边界。</w:t>
            </w:r>
          </w:p>
          <w:p w14:paraId="0A5E68F9">
            <w:pPr>
              <w:adjustRightInd w:val="0"/>
              <w:snapToGrid w:val="0"/>
              <w:spacing w:line="480" w:lineRule="exact"/>
              <w:ind w:firstLine="504" w:firstLineChars="200"/>
              <w:rPr>
                <w:color w:val="auto"/>
                <w:spacing w:val="6"/>
                <w:sz w:val="24"/>
                <w:highlight w:val="none"/>
              </w:rPr>
            </w:pPr>
            <w:r>
              <w:rPr>
                <w:rFonts w:hint="eastAsia"/>
                <w:color w:val="auto"/>
                <w:spacing w:val="6"/>
                <w:sz w:val="24"/>
                <w:highlight w:val="none"/>
              </w:rPr>
              <w:t>本次评价范围确定为风机边界和集电线路边界外扩300m区域。本工程评价范围约</w:t>
            </w:r>
            <w:r>
              <w:rPr>
                <w:rFonts w:hint="eastAsia" w:ascii="Times New Roman" w:eastAsia="宋体"/>
                <w:color w:val="auto"/>
                <w:spacing w:val="6"/>
                <w:sz w:val="24"/>
                <w:highlight w:val="none"/>
                <w:lang w:val="en-US" w:eastAsia="zh-CN"/>
              </w:rPr>
              <w:t>1309.28</w:t>
            </w:r>
            <w:r>
              <w:rPr>
                <w:rFonts w:hint="eastAsia"/>
                <w:color w:val="auto"/>
                <w:spacing w:val="6"/>
                <w:sz w:val="24"/>
                <w:highlight w:val="none"/>
              </w:rPr>
              <w:t>hm</w:t>
            </w:r>
            <w:r>
              <w:rPr>
                <w:rFonts w:hint="eastAsia"/>
                <w:color w:val="auto"/>
                <w:spacing w:val="6"/>
                <w:sz w:val="24"/>
                <w:highlight w:val="none"/>
                <w:vertAlign w:val="superscript"/>
              </w:rPr>
              <w:t>2</w:t>
            </w:r>
            <w:r>
              <w:rPr>
                <w:rFonts w:hint="eastAsia"/>
                <w:color w:val="auto"/>
                <w:spacing w:val="6"/>
                <w:sz w:val="24"/>
                <w:highlight w:val="none"/>
              </w:rPr>
              <w:t>。</w:t>
            </w:r>
          </w:p>
          <w:p w14:paraId="62EDDBF7">
            <w:pPr>
              <w:adjustRightInd w:val="0"/>
              <w:snapToGrid w:val="0"/>
              <w:spacing w:line="480" w:lineRule="exact"/>
              <w:ind w:firstLine="504" w:firstLineChars="200"/>
              <w:rPr>
                <w:color w:val="auto"/>
                <w:spacing w:val="6"/>
                <w:sz w:val="24"/>
                <w:highlight w:val="none"/>
              </w:rPr>
            </w:pPr>
            <w:r>
              <w:rPr>
                <w:rFonts w:hint="eastAsia"/>
                <w:color w:val="auto"/>
                <w:spacing w:val="6"/>
                <w:sz w:val="24"/>
                <w:highlight w:val="none"/>
              </w:rPr>
              <w:t>（2）遥感解译</w:t>
            </w:r>
          </w:p>
          <w:p w14:paraId="5A1C85D2">
            <w:pPr>
              <w:adjustRightInd w:val="0"/>
              <w:snapToGrid w:val="0"/>
              <w:spacing w:line="480" w:lineRule="exact"/>
              <w:ind w:firstLine="504" w:firstLineChars="200"/>
              <w:rPr>
                <w:color w:val="auto"/>
                <w:spacing w:val="6"/>
                <w:sz w:val="24"/>
                <w:highlight w:val="none"/>
              </w:rPr>
            </w:pPr>
            <w:r>
              <w:rPr>
                <w:rFonts w:hint="eastAsia"/>
                <w:color w:val="auto"/>
                <w:spacing w:val="6"/>
                <w:sz w:val="24"/>
                <w:highlight w:val="none"/>
              </w:rPr>
              <w:t>遥感解译使用的信息源主要为中巴地球资源卫星04星（CB04）遥感影像，全色波段影像的空间分辨率达5m，数据获取时间</w:t>
            </w:r>
            <w:r>
              <w:rPr>
                <w:rFonts w:hint="eastAsia" w:eastAsia="宋体"/>
                <w:color w:val="auto"/>
                <w:spacing w:val="6"/>
                <w:sz w:val="24"/>
                <w:highlight w:val="none"/>
                <w:lang w:eastAsia="zh-CN"/>
              </w:rPr>
              <w:t>2024年</w:t>
            </w:r>
            <w:r>
              <w:rPr>
                <w:rFonts w:hint="eastAsia"/>
                <w:color w:val="auto"/>
                <w:spacing w:val="6"/>
                <w:sz w:val="24"/>
                <w:highlight w:val="none"/>
              </w:rPr>
              <w:t>9月，解译时间为202</w:t>
            </w:r>
            <w:r>
              <w:rPr>
                <w:rFonts w:hint="eastAsia" w:ascii="Times New Roman" w:eastAsia="宋体"/>
                <w:color w:val="auto"/>
                <w:spacing w:val="6"/>
                <w:sz w:val="24"/>
                <w:highlight w:val="none"/>
                <w:lang w:val="en-US" w:eastAsia="zh-CN"/>
              </w:rPr>
              <w:t>5</w:t>
            </w:r>
            <w:r>
              <w:rPr>
                <w:rFonts w:hint="eastAsia"/>
                <w:color w:val="auto"/>
                <w:spacing w:val="6"/>
                <w:sz w:val="24"/>
                <w:highlight w:val="none"/>
              </w:rPr>
              <w:t>年</w:t>
            </w:r>
            <w:r>
              <w:rPr>
                <w:rFonts w:hint="eastAsia" w:ascii="Times New Roman" w:eastAsia="宋体"/>
                <w:color w:val="auto"/>
                <w:spacing w:val="6"/>
                <w:sz w:val="24"/>
                <w:highlight w:val="none"/>
                <w:lang w:val="en-US" w:eastAsia="zh-CN"/>
              </w:rPr>
              <w:t>12</w:t>
            </w:r>
            <w:r>
              <w:rPr>
                <w:rFonts w:hint="eastAsia"/>
                <w:color w:val="auto"/>
                <w:spacing w:val="6"/>
                <w:sz w:val="24"/>
                <w:highlight w:val="none"/>
              </w:rPr>
              <w:t>月。利用卫星遥感图像和地理信息系统软件进行地类判读，并进行野外核实调查。</w:t>
            </w:r>
            <w:r>
              <w:rPr>
                <w:color w:val="auto"/>
                <w:kern w:val="0"/>
                <w:sz w:val="24"/>
                <w:highlight w:val="none"/>
              </w:rPr>
              <w:t>解译内容包括植被类型、生态系统类型和植被覆盖度</w:t>
            </w:r>
            <w:r>
              <w:rPr>
                <w:rFonts w:hint="eastAsia"/>
                <w:color w:val="auto"/>
                <w:kern w:val="0"/>
                <w:sz w:val="24"/>
                <w:highlight w:val="none"/>
              </w:rPr>
              <w:t>，土地利用现状情况根据三调成果图进行识别分析</w:t>
            </w:r>
            <w:r>
              <w:rPr>
                <w:color w:val="auto"/>
                <w:kern w:val="0"/>
                <w:sz w:val="24"/>
                <w:highlight w:val="none"/>
              </w:rPr>
              <w:t>。</w:t>
            </w:r>
            <w:r>
              <w:rPr>
                <w:rFonts w:hint="eastAsia"/>
                <w:color w:val="auto"/>
                <w:spacing w:val="4"/>
                <w:sz w:val="24"/>
                <w:highlight w:val="none"/>
              </w:rPr>
              <w:t>分析</w:t>
            </w:r>
            <w:r>
              <w:rPr>
                <w:color w:val="auto"/>
                <w:spacing w:val="4"/>
                <w:sz w:val="24"/>
                <w:highlight w:val="none"/>
              </w:rPr>
              <w:t>结果详见表3-2至3-8和附图</w:t>
            </w:r>
            <w:r>
              <w:rPr>
                <w:rFonts w:hint="eastAsia" w:ascii="Times New Roman" w:eastAsia="宋体"/>
                <w:color w:val="auto"/>
                <w:spacing w:val="4"/>
                <w:sz w:val="24"/>
                <w:highlight w:val="none"/>
                <w:lang w:val="en-US" w:eastAsia="zh-CN"/>
              </w:rPr>
              <w:t>7</w:t>
            </w:r>
            <w:r>
              <w:rPr>
                <w:color w:val="auto"/>
                <w:spacing w:val="4"/>
                <w:sz w:val="24"/>
                <w:highlight w:val="none"/>
              </w:rPr>
              <w:t>、</w:t>
            </w:r>
            <w:r>
              <w:rPr>
                <w:rFonts w:hint="eastAsia" w:ascii="Times New Roman" w:eastAsia="宋体"/>
                <w:color w:val="auto"/>
                <w:spacing w:val="4"/>
                <w:sz w:val="24"/>
                <w:highlight w:val="none"/>
                <w:lang w:val="en-US" w:eastAsia="zh-CN"/>
              </w:rPr>
              <w:t>8</w:t>
            </w:r>
            <w:r>
              <w:rPr>
                <w:color w:val="auto"/>
                <w:spacing w:val="4"/>
                <w:sz w:val="24"/>
                <w:highlight w:val="none"/>
              </w:rPr>
              <w:t>、</w:t>
            </w:r>
            <w:r>
              <w:rPr>
                <w:rFonts w:hint="eastAsia" w:ascii="Times New Roman" w:eastAsia="宋体"/>
                <w:color w:val="auto"/>
                <w:spacing w:val="4"/>
                <w:sz w:val="24"/>
                <w:highlight w:val="none"/>
                <w:lang w:val="en-US" w:eastAsia="zh-CN"/>
              </w:rPr>
              <w:t>9</w:t>
            </w:r>
            <w:r>
              <w:rPr>
                <w:color w:val="auto"/>
                <w:spacing w:val="4"/>
                <w:sz w:val="24"/>
                <w:highlight w:val="none"/>
              </w:rPr>
              <w:t>、1</w:t>
            </w:r>
            <w:r>
              <w:rPr>
                <w:rFonts w:hint="eastAsia" w:ascii="Times New Roman" w:eastAsia="宋体"/>
                <w:color w:val="auto"/>
                <w:spacing w:val="4"/>
                <w:sz w:val="24"/>
                <w:highlight w:val="none"/>
                <w:lang w:val="en-US" w:eastAsia="zh-CN"/>
              </w:rPr>
              <w:t>0</w:t>
            </w:r>
            <w:r>
              <w:rPr>
                <w:color w:val="auto"/>
                <w:spacing w:val="4"/>
                <w:sz w:val="24"/>
                <w:highlight w:val="none"/>
              </w:rPr>
              <w:t>。</w:t>
            </w:r>
          </w:p>
          <w:p w14:paraId="1346A322">
            <w:pPr>
              <w:pStyle w:val="20"/>
              <w:rPr>
                <w:color w:val="auto"/>
                <w:highlight w:val="none"/>
              </w:rPr>
            </w:pPr>
            <w:r>
              <w:rPr>
                <w:rFonts w:hint="eastAsia" w:ascii="黑体" w:hAnsi="黑体" w:cs="黑体"/>
                <w:color w:val="auto"/>
                <w:highlight w:val="none"/>
              </w:rPr>
              <w:t>表3-1    中巴地球资源卫星0</w:t>
            </w:r>
            <w:r>
              <w:rPr>
                <w:color w:val="auto"/>
                <w:highlight w:val="none"/>
              </w:rPr>
              <w:t>4星主要技术参数</w:t>
            </w:r>
          </w:p>
          <w:tbl>
            <w:tblPr>
              <w:tblStyle w:val="10"/>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2187"/>
              <w:gridCol w:w="1956"/>
              <w:gridCol w:w="1953"/>
              <w:gridCol w:w="2074"/>
            </w:tblGrid>
            <w:tr w14:paraId="56FB36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1339" w:type="pct"/>
                  <w:vAlign w:val="center"/>
                </w:tcPr>
                <w:p w14:paraId="17ECFAAA">
                  <w:pPr>
                    <w:pStyle w:val="3"/>
                    <w:ind w:firstLine="0" w:firstLineChars="0"/>
                    <w:jc w:val="center"/>
                    <w:rPr>
                      <w:color w:val="auto"/>
                      <w:highlight w:val="none"/>
                    </w:rPr>
                  </w:pPr>
                  <w:r>
                    <w:rPr>
                      <w:color w:val="auto"/>
                      <w:highlight w:val="none"/>
                    </w:rPr>
                    <w:t>传感器类型</w:t>
                  </w:r>
                </w:p>
              </w:tc>
              <w:tc>
                <w:tcPr>
                  <w:tcW w:w="1197" w:type="pct"/>
                  <w:vAlign w:val="center"/>
                </w:tcPr>
                <w:p w14:paraId="7958FEC8">
                  <w:pPr>
                    <w:pStyle w:val="3"/>
                    <w:ind w:firstLine="0" w:firstLineChars="0"/>
                    <w:jc w:val="center"/>
                    <w:rPr>
                      <w:color w:val="auto"/>
                      <w:highlight w:val="none"/>
                    </w:rPr>
                  </w:pPr>
                  <w:r>
                    <w:rPr>
                      <w:color w:val="auto"/>
                      <w:highlight w:val="none"/>
                    </w:rPr>
                    <w:t>波 段（μm）</w:t>
                  </w:r>
                </w:p>
              </w:tc>
              <w:tc>
                <w:tcPr>
                  <w:tcW w:w="1195" w:type="pct"/>
                  <w:vAlign w:val="center"/>
                </w:tcPr>
                <w:p w14:paraId="6633333E">
                  <w:pPr>
                    <w:pStyle w:val="3"/>
                    <w:ind w:firstLine="0" w:firstLineChars="0"/>
                    <w:jc w:val="center"/>
                    <w:rPr>
                      <w:color w:val="auto"/>
                      <w:highlight w:val="none"/>
                    </w:rPr>
                  </w:pPr>
                  <w:r>
                    <w:rPr>
                      <w:color w:val="auto"/>
                      <w:highlight w:val="none"/>
                    </w:rPr>
                    <w:t>分辨率</w:t>
                  </w:r>
                </w:p>
              </w:tc>
              <w:tc>
                <w:tcPr>
                  <w:tcW w:w="1269" w:type="pct"/>
                  <w:vAlign w:val="center"/>
                </w:tcPr>
                <w:p w14:paraId="5541C3A3">
                  <w:pPr>
                    <w:pStyle w:val="3"/>
                    <w:ind w:firstLine="0" w:firstLineChars="0"/>
                    <w:jc w:val="center"/>
                    <w:rPr>
                      <w:color w:val="auto"/>
                      <w:highlight w:val="none"/>
                    </w:rPr>
                  </w:pPr>
                  <w:r>
                    <w:rPr>
                      <w:color w:val="auto"/>
                      <w:highlight w:val="none"/>
                    </w:rPr>
                    <w:t>幅宽</w:t>
                  </w:r>
                </w:p>
              </w:tc>
            </w:tr>
            <w:tr w14:paraId="440C86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1339" w:type="pct"/>
                  <w:vAlign w:val="center"/>
                </w:tcPr>
                <w:p w14:paraId="7E68C677">
                  <w:pPr>
                    <w:pStyle w:val="3"/>
                    <w:ind w:firstLine="0" w:firstLineChars="0"/>
                    <w:jc w:val="center"/>
                    <w:rPr>
                      <w:color w:val="auto"/>
                      <w:highlight w:val="none"/>
                    </w:rPr>
                  </w:pPr>
                  <w:r>
                    <w:rPr>
                      <w:color w:val="auto"/>
                      <w:highlight w:val="none"/>
                    </w:rPr>
                    <w:t>全色相机（PAN）</w:t>
                  </w:r>
                </w:p>
              </w:tc>
              <w:tc>
                <w:tcPr>
                  <w:tcW w:w="1197" w:type="pct"/>
                  <w:vAlign w:val="center"/>
                </w:tcPr>
                <w:p w14:paraId="1492BE1E">
                  <w:pPr>
                    <w:pStyle w:val="3"/>
                    <w:ind w:firstLine="0" w:firstLineChars="0"/>
                    <w:jc w:val="center"/>
                    <w:rPr>
                      <w:color w:val="auto"/>
                      <w:highlight w:val="none"/>
                    </w:rPr>
                  </w:pPr>
                  <w:r>
                    <w:rPr>
                      <w:color w:val="auto"/>
                      <w:highlight w:val="none"/>
                    </w:rPr>
                    <w:t>0.51-0.85</w:t>
                  </w:r>
                </w:p>
              </w:tc>
              <w:tc>
                <w:tcPr>
                  <w:tcW w:w="1195" w:type="pct"/>
                  <w:vAlign w:val="center"/>
                </w:tcPr>
                <w:p w14:paraId="5C94342D">
                  <w:pPr>
                    <w:pStyle w:val="3"/>
                    <w:ind w:firstLine="0" w:firstLineChars="0"/>
                    <w:jc w:val="center"/>
                    <w:rPr>
                      <w:color w:val="auto"/>
                      <w:highlight w:val="none"/>
                    </w:rPr>
                  </w:pPr>
                  <w:r>
                    <w:rPr>
                      <w:color w:val="auto"/>
                      <w:highlight w:val="none"/>
                    </w:rPr>
                    <w:t>5m</w:t>
                  </w:r>
                </w:p>
              </w:tc>
              <w:tc>
                <w:tcPr>
                  <w:tcW w:w="1269" w:type="pct"/>
                  <w:vAlign w:val="center"/>
                </w:tcPr>
                <w:p w14:paraId="3CA293CA">
                  <w:pPr>
                    <w:pStyle w:val="3"/>
                    <w:ind w:firstLine="0" w:firstLineChars="0"/>
                    <w:jc w:val="center"/>
                    <w:rPr>
                      <w:color w:val="auto"/>
                      <w:highlight w:val="none"/>
                    </w:rPr>
                  </w:pPr>
                  <w:r>
                    <w:rPr>
                      <w:color w:val="auto"/>
                      <w:highlight w:val="none"/>
                    </w:rPr>
                    <w:t>60km</w:t>
                  </w:r>
                </w:p>
              </w:tc>
            </w:tr>
          </w:tbl>
          <w:p w14:paraId="2F8BCA1F">
            <w:pPr>
              <w:pStyle w:val="2"/>
              <w:spacing w:before="0" w:after="0" w:line="240" w:lineRule="auto"/>
              <w:jc w:val="center"/>
              <w:rPr>
                <w:rFonts w:hint="eastAsia" w:ascii="黑体" w:hAnsi="黑体" w:eastAsia="黑体"/>
                <w:b w:val="0"/>
                <w:color w:val="auto"/>
                <w:sz w:val="21"/>
                <w:szCs w:val="21"/>
                <w:highlight w:val="none"/>
              </w:rPr>
            </w:pPr>
            <w:r>
              <w:rPr>
                <w:rFonts w:ascii="黑体" w:hAnsi="黑体" w:eastAsia="黑体"/>
                <w:b w:val="0"/>
                <w:color w:val="auto"/>
                <w:sz w:val="21"/>
                <w:szCs w:val="21"/>
                <w:highlight w:val="none"/>
              </w:rPr>
              <w:t>表</w:t>
            </w:r>
            <w:r>
              <w:rPr>
                <w:rFonts w:hint="eastAsia" w:ascii="黑体" w:hAnsi="黑体" w:eastAsia="黑体"/>
                <w:b w:val="0"/>
                <w:color w:val="auto"/>
                <w:sz w:val="21"/>
                <w:szCs w:val="21"/>
                <w:highlight w:val="none"/>
              </w:rPr>
              <w:t>3-2</w:t>
            </w:r>
            <w:r>
              <w:rPr>
                <w:rFonts w:ascii="黑体" w:hAnsi="黑体" w:eastAsia="黑体"/>
                <w:b w:val="0"/>
                <w:color w:val="auto"/>
                <w:sz w:val="21"/>
                <w:szCs w:val="21"/>
                <w:highlight w:val="none"/>
              </w:rPr>
              <w:t xml:space="preserve">    评价范围土地利用现状</w:t>
            </w:r>
            <w:r>
              <w:rPr>
                <w:rFonts w:hint="eastAsia" w:ascii="黑体" w:hAnsi="黑体" w:eastAsia="黑体"/>
                <w:b w:val="0"/>
                <w:color w:val="auto"/>
                <w:sz w:val="21"/>
                <w:szCs w:val="21"/>
                <w:highlight w:val="none"/>
              </w:rPr>
              <w:t xml:space="preserve">  单位：h</w:t>
            </w:r>
            <w:r>
              <w:rPr>
                <w:rFonts w:ascii="黑体" w:hAnsi="黑体" w:eastAsia="黑体"/>
                <w:b w:val="0"/>
                <w:color w:val="auto"/>
                <w:sz w:val="21"/>
                <w:szCs w:val="21"/>
                <w:highlight w:val="none"/>
              </w:rPr>
              <w:t>m</w:t>
            </w:r>
            <w:r>
              <w:rPr>
                <w:rFonts w:ascii="黑体" w:hAnsi="黑体" w:eastAsia="黑体"/>
                <w:b w:val="0"/>
                <w:color w:val="auto"/>
                <w:sz w:val="21"/>
                <w:szCs w:val="21"/>
                <w:highlight w:val="none"/>
                <w:vertAlign w:val="superscript"/>
              </w:rPr>
              <w:t>2</w:t>
            </w:r>
          </w:p>
          <w:tbl>
            <w:tblPr>
              <w:tblStyle w:val="10"/>
              <w:tblW w:w="5000" w:type="pct"/>
              <w:jc w:val="center"/>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4080"/>
              <w:gridCol w:w="2007"/>
              <w:gridCol w:w="2083"/>
            </w:tblGrid>
            <w:tr w14:paraId="5410999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jc w:val="center"/>
              </w:trPr>
              <w:tc>
                <w:tcPr>
                  <w:tcW w:w="2496" w:type="pct"/>
                  <w:vAlign w:val="center"/>
                </w:tcPr>
                <w:p w14:paraId="20D5D869">
                  <w:pPr>
                    <w:pStyle w:val="3"/>
                    <w:ind w:firstLine="0" w:firstLineChars="0"/>
                    <w:jc w:val="center"/>
                    <w:rPr>
                      <w:color w:val="auto"/>
                      <w:szCs w:val="21"/>
                      <w:highlight w:val="none"/>
                    </w:rPr>
                  </w:pPr>
                  <w:r>
                    <w:rPr>
                      <w:color w:val="auto"/>
                      <w:szCs w:val="21"/>
                      <w:highlight w:val="none"/>
                    </w:rPr>
                    <w:t>土地类型</w:t>
                  </w:r>
                </w:p>
              </w:tc>
              <w:tc>
                <w:tcPr>
                  <w:tcW w:w="1228" w:type="pct"/>
                  <w:vAlign w:val="center"/>
                </w:tcPr>
                <w:p w14:paraId="46DC031E">
                  <w:pPr>
                    <w:pStyle w:val="3"/>
                    <w:ind w:firstLine="0" w:firstLineChars="0"/>
                    <w:jc w:val="center"/>
                    <w:rPr>
                      <w:color w:val="auto"/>
                      <w:szCs w:val="21"/>
                      <w:highlight w:val="none"/>
                    </w:rPr>
                  </w:pPr>
                  <w:r>
                    <w:rPr>
                      <w:color w:val="auto"/>
                      <w:szCs w:val="21"/>
                      <w:highlight w:val="none"/>
                    </w:rPr>
                    <w:t>面积</w:t>
                  </w:r>
                </w:p>
              </w:tc>
              <w:tc>
                <w:tcPr>
                  <w:tcW w:w="1274" w:type="pct"/>
                  <w:vAlign w:val="center"/>
                </w:tcPr>
                <w:p w14:paraId="017080FA">
                  <w:pPr>
                    <w:pStyle w:val="3"/>
                    <w:ind w:firstLine="0" w:firstLineChars="0"/>
                    <w:jc w:val="center"/>
                    <w:rPr>
                      <w:color w:val="auto"/>
                      <w:szCs w:val="21"/>
                      <w:highlight w:val="none"/>
                    </w:rPr>
                  </w:pPr>
                  <w:r>
                    <w:rPr>
                      <w:color w:val="auto"/>
                      <w:szCs w:val="21"/>
                      <w:highlight w:val="none"/>
                    </w:rPr>
                    <w:t>比例</w:t>
                  </w:r>
                </w:p>
              </w:tc>
            </w:tr>
            <w:tr w14:paraId="27ED98B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jc w:val="center"/>
              </w:trPr>
              <w:tc>
                <w:tcPr>
                  <w:tcW w:w="4080" w:type="dxa"/>
                  <w:vAlign w:val="bottom"/>
                </w:tcPr>
                <w:p w14:paraId="1BE0F420">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城镇村道路用地</w:t>
                  </w:r>
                </w:p>
              </w:tc>
              <w:tc>
                <w:tcPr>
                  <w:tcW w:w="2007" w:type="dxa"/>
                  <w:vAlign w:val="bottom"/>
                </w:tcPr>
                <w:p w14:paraId="20022C65">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0.19</w:t>
                  </w:r>
                </w:p>
              </w:tc>
              <w:tc>
                <w:tcPr>
                  <w:tcW w:w="2083" w:type="dxa"/>
                  <w:vAlign w:val="bottom"/>
                </w:tcPr>
                <w:p w14:paraId="0E6DDE16">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0.01%</w:t>
                  </w:r>
                </w:p>
              </w:tc>
            </w:tr>
            <w:tr w14:paraId="1B1CA8F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jc w:val="center"/>
              </w:trPr>
              <w:tc>
                <w:tcPr>
                  <w:tcW w:w="4080" w:type="dxa"/>
                  <w:vAlign w:val="bottom"/>
                </w:tcPr>
                <w:p w14:paraId="61091440">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公路用地</w:t>
                  </w:r>
                </w:p>
              </w:tc>
              <w:tc>
                <w:tcPr>
                  <w:tcW w:w="2007" w:type="dxa"/>
                  <w:vAlign w:val="bottom"/>
                </w:tcPr>
                <w:p w14:paraId="345ABEAE">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4.99</w:t>
                  </w:r>
                </w:p>
              </w:tc>
              <w:tc>
                <w:tcPr>
                  <w:tcW w:w="2083" w:type="dxa"/>
                  <w:vAlign w:val="bottom"/>
                </w:tcPr>
                <w:p w14:paraId="1851F47A">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0.38%</w:t>
                  </w:r>
                </w:p>
              </w:tc>
            </w:tr>
            <w:tr w14:paraId="6F247B4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jc w:val="center"/>
              </w:trPr>
              <w:tc>
                <w:tcPr>
                  <w:tcW w:w="4080" w:type="dxa"/>
                  <w:vAlign w:val="bottom"/>
                </w:tcPr>
                <w:p w14:paraId="3589D701">
                  <w:pPr>
                    <w:keepNext w:val="0"/>
                    <w:keepLines w:val="0"/>
                    <w:widowControl/>
                    <w:suppressLineNumbers w:val="0"/>
                    <w:jc w:val="center"/>
                    <w:textAlignment w:val="bottom"/>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公用设施用地</w:t>
                  </w:r>
                </w:p>
              </w:tc>
              <w:tc>
                <w:tcPr>
                  <w:tcW w:w="2007" w:type="dxa"/>
                  <w:vAlign w:val="bottom"/>
                </w:tcPr>
                <w:p w14:paraId="040A16B6">
                  <w:pPr>
                    <w:keepNext w:val="0"/>
                    <w:keepLines w:val="0"/>
                    <w:widowControl/>
                    <w:suppressLineNumbers w:val="0"/>
                    <w:jc w:val="center"/>
                    <w:textAlignment w:val="bottom"/>
                    <w:rPr>
                      <w:rFonts w:hint="default" w:ascii="Times New Roman" w:hAnsi="Times New Roman" w:eastAsia="宋体" w:cs="Times New Roman"/>
                      <w:color w:val="auto"/>
                      <w:kern w:val="0"/>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1.</w:t>
                  </w:r>
                  <w:r>
                    <w:rPr>
                      <w:rFonts w:hint="eastAsia" w:ascii="Times New Roman" w:hAnsi="Times New Roman" w:eastAsia="宋体" w:cs="Times New Roman"/>
                      <w:i w:val="0"/>
                      <w:iCs w:val="0"/>
                      <w:color w:val="auto"/>
                      <w:kern w:val="0"/>
                      <w:sz w:val="21"/>
                      <w:szCs w:val="21"/>
                      <w:highlight w:val="none"/>
                      <w:u w:val="none"/>
                      <w:lang w:val="en-US" w:eastAsia="zh-CN" w:bidi="ar"/>
                    </w:rPr>
                    <w:t>40</w:t>
                  </w:r>
                </w:p>
              </w:tc>
              <w:tc>
                <w:tcPr>
                  <w:tcW w:w="2083" w:type="dxa"/>
                  <w:vAlign w:val="bottom"/>
                </w:tcPr>
                <w:p w14:paraId="1215F353">
                  <w:pPr>
                    <w:keepNext w:val="0"/>
                    <w:keepLines w:val="0"/>
                    <w:widowControl/>
                    <w:suppressLineNumbers w:val="0"/>
                    <w:jc w:val="center"/>
                    <w:textAlignment w:val="bottom"/>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0.11%</w:t>
                  </w:r>
                </w:p>
              </w:tc>
            </w:tr>
            <w:tr w14:paraId="0010E70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jc w:val="center"/>
              </w:trPr>
              <w:tc>
                <w:tcPr>
                  <w:tcW w:w="4080" w:type="dxa"/>
                  <w:vAlign w:val="bottom"/>
                </w:tcPr>
                <w:p w14:paraId="65999773">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灌木林地</w:t>
                  </w:r>
                </w:p>
              </w:tc>
              <w:tc>
                <w:tcPr>
                  <w:tcW w:w="2007" w:type="dxa"/>
                  <w:vAlign w:val="bottom"/>
                </w:tcPr>
                <w:p w14:paraId="5053F603">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14.8</w:t>
                  </w:r>
                  <w:r>
                    <w:rPr>
                      <w:rFonts w:hint="eastAsia" w:ascii="Times New Roman" w:hAnsi="Times New Roman" w:eastAsia="宋体" w:cs="Times New Roman"/>
                      <w:i w:val="0"/>
                      <w:iCs w:val="0"/>
                      <w:color w:val="auto"/>
                      <w:kern w:val="0"/>
                      <w:sz w:val="21"/>
                      <w:szCs w:val="21"/>
                      <w:highlight w:val="none"/>
                      <w:u w:val="none"/>
                      <w:lang w:val="en-US" w:eastAsia="zh-CN" w:bidi="ar"/>
                    </w:rPr>
                    <w:t>2</w:t>
                  </w:r>
                </w:p>
              </w:tc>
              <w:tc>
                <w:tcPr>
                  <w:tcW w:w="2083" w:type="dxa"/>
                  <w:vAlign w:val="bottom"/>
                </w:tcPr>
                <w:p w14:paraId="4011A5C2">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1.13%</w:t>
                  </w:r>
                </w:p>
              </w:tc>
            </w:tr>
            <w:tr w14:paraId="417D1B4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jc w:val="center"/>
              </w:trPr>
              <w:tc>
                <w:tcPr>
                  <w:tcW w:w="4080" w:type="dxa"/>
                  <w:vAlign w:val="bottom"/>
                </w:tcPr>
                <w:p w14:paraId="237CED4A">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果园</w:t>
                  </w:r>
                </w:p>
              </w:tc>
              <w:tc>
                <w:tcPr>
                  <w:tcW w:w="2007" w:type="dxa"/>
                  <w:vAlign w:val="bottom"/>
                </w:tcPr>
                <w:p w14:paraId="0AA7E443">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0.5</w:t>
                  </w:r>
                  <w:r>
                    <w:rPr>
                      <w:rFonts w:hint="eastAsia" w:ascii="Times New Roman" w:hAnsi="Times New Roman" w:eastAsia="宋体" w:cs="Times New Roman"/>
                      <w:i w:val="0"/>
                      <w:iCs w:val="0"/>
                      <w:color w:val="auto"/>
                      <w:kern w:val="0"/>
                      <w:sz w:val="21"/>
                      <w:szCs w:val="21"/>
                      <w:highlight w:val="none"/>
                      <w:u w:val="none"/>
                      <w:lang w:val="en-US" w:eastAsia="zh-CN" w:bidi="ar"/>
                    </w:rPr>
                    <w:t>3</w:t>
                  </w:r>
                </w:p>
              </w:tc>
              <w:tc>
                <w:tcPr>
                  <w:tcW w:w="2083" w:type="dxa"/>
                  <w:vAlign w:val="bottom"/>
                </w:tcPr>
                <w:p w14:paraId="65EC9E2D">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0.04%</w:t>
                  </w:r>
                </w:p>
              </w:tc>
            </w:tr>
            <w:tr w14:paraId="4B6E6EE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jc w:val="center"/>
              </w:trPr>
              <w:tc>
                <w:tcPr>
                  <w:tcW w:w="4080" w:type="dxa"/>
                  <w:vAlign w:val="bottom"/>
                </w:tcPr>
                <w:p w14:paraId="778B96EE">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旱地</w:t>
                  </w:r>
                </w:p>
              </w:tc>
              <w:tc>
                <w:tcPr>
                  <w:tcW w:w="2007" w:type="dxa"/>
                  <w:vAlign w:val="bottom"/>
                </w:tcPr>
                <w:p w14:paraId="412A0E24">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305.</w:t>
                  </w:r>
                  <w:r>
                    <w:rPr>
                      <w:rFonts w:hint="eastAsia" w:ascii="Times New Roman" w:hAnsi="Times New Roman" w:eastAsia="宋体" w:cs="Times New Roman"/>
                      <w:i w:val="0"/>
                      <w:iCs w:val="0"/>
                      <w:color w:val="auto"/>
                      <w:kern w:val="0"/>
                      <w:sz w:val="21"/>
                      <w:szCs w:val="21"/>
                      <w:highlight w:val="none"/>
                      <w:u w:val="none"/>
                      <w:lang w:val="en-US" w:eastAsia="zh-CN" w:bidi="ar"/>
                    </w:rPr>
                    <w:t>20</w:t>
                  </w:r>
                </w:p>
              </w:tc>
              <w:tc>
                <w:tcPr>
                  <w:tcW w:w="2083" w:type="dxa"/>
                  <w:vAlign w:val="bottom"/>
                </w:tcPr>
                <w:p w14:paraId="056D414A">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23.31%</w:t>
                  </w:r>
                </w:p>
              </w:tc>
            </w:tr>
            <w:tr w14:paraId="7801AD2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jc w:val="center"/>
              </w:trPr>
              <w:tc>
                <w:tcPr>
                  <w:tcW w:w="4080" w:type="dxa"/>
                  <w:vAlign w:val="bottom"/>
                </w:tcPr>
                <w:p w14:paraId="66A25908">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农村道路</w:t>
                  </w:r>
                </w:p>
              </w:tc>
              <w:tc>
                <w:tcPr>
                  <w:tcW w:w="2007" w:type="dxa"/>
                  <w:vAlign w:val="bottom"/>
                </w:tcPr>
                <w:p w14:paraId="7D3E6710">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7.</w:t>
                  </w:r>
                  <w:r>
                    <w:rPr>
                      <w:rFonts w:hint="eastAsia" w:ascii="Times New Roman" w:hAnsi="Times New Roman" w:eastAsia="宋体" w:cs="Times New Roman"/>
                      <w:i w:val="0"/>
                      <w:iCs w:val="0"/>
                      <w:color w:val="auto"/>
                      <w:kern w:val="0"/>
                      <w:sz w:val="21"/>
                      <w:szCs w:val="21"/>
                      <w:highlight w:val="none"/>
                      <w:u w:val="none"/>
                      <w:lang w:val="en-US" w:eastAsia="zh-CN" w:bidi="ar"/>
                    </w:rPr>
                    <w:t>70</w:t>
                  </w:r>
                </w:p>
              </w:tc>
              <w:tc>
                <w:tcPr>
                  <w:tcW w:w="2083" w:type="dxa"/>
                  <w:vAlign w:val="bottom"/>
                </w:tcPr>
                <w:p w14:paraId="5E04C4E0">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0.59%</w:t>
                  </w:r>
                </w:p>
              </w:tc>
            </w:tr>
            <w:tr w14:paraId="3BF5C61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jc w:val="center"/>
              </w:trPr>
              <w:tc>
                <w:tcPr>
                  <w:tcW w:w="4080" w:type="dxa"/>
                  <w:vAlign w:val="bottom"/>
                </w:tcPr>
                <w:p w14:paraId="735C7A98">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农村宅基地</w:t>
                  </w:r>
                </w:p>
              </w:tc>
              <w:tc>
                <w:tcPr>
                  <w:tcW w:w="2007" w:type="dxa"/>
                  <w:vAlign w:val="bottom"/>
                </w:tcPr>
                <w:p w14:paraId="3DD819B9">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6.8</w:t>
                  </w:r>
                  <w:r>
                    <w:rPr>
                      <w:rFonts w:hint="eastAsia" w:ascii="Times New Roman" w:hAnsi="Times New Roman" w:eastAsia="宋体" w:cs="Times New Roman"/>
                      <w:i w:val="0"/>
                      <w:iCs w:val="0"/>
                      <w:color w:val="auto"/>
                      <w:kern w:val="0"/>
                      <w:sz w:val="21"/>
                      <w:szCs w:val="21"/>
                      <w:highlight w:val="none"/>
                      <w:u w:val="none"/>
                      <w:lang w:val="en-US" w:eastAsia="zh-CN" w:bidi="ar"/>
                    </w:rPr>
                    <w:t>7</w:t>
                  </w:r>
                </w:p>
              </w:tc>
              <w:tc>
                <w:tcPr>
                  <w:tcW w:w="2083" w:type="dxa"/>
                  <w:vAlign w:val="bottom"/>
                </w:tcPr>
                <w:p w14:paraId="265F9577">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0.52%</w:t>
                  </w:r>
                </w:p>
              </w:tc>
            </w:tr>
            <w:tr w14:paraId="7B0BC0B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jc w:val="center"/>
              </w:trPr>
              <w:tc>
                <w:tcPr>
                  <w:tcW w:w="4080" w:type="dxa"/>
                  <w:vAlign w:val="bottom"/>
                </w:tcPr>
                <w:p w14:paraId="47808F09">
                  <w:pPr>
                    <w:keepNext w:val="0"/>
                    <w:keepLines w:val="0"/>
                    <w:widowControl/>
                    <w:suppressLineNumbers w:val="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其他草地</w:t>
                  </w:r>
                </w:p>
              </w:tc>
              <w:tc>
                <w:tcPr>
                  <w:tcW w:w="2007" w:type="dxa"/>
                  <w:vAlign w:val="bottom"/>
                </w:tcPr>
                <w:p w14:paraId="4E3F9025">
                  <w:pPr>
                    <w:keepNext w:val="0"/>
                    <w:keepLines w:val="0"/>
                    <w:widowControl/>
                    <w:suppressLineNumbers w:val="0"/>
                    <w:jc w:val="center"/>
                    <w:textAlignment w:val="bottom"/>
                    <w:rPr>
                      <w:rFonts w:hint="default" w:ascii="Times New Roman" w:hAnsi="Times New Roman" w:eastAsia="宋体" w:cs="Times New Roman"/>
                      <w:color w:val="auto"/>
                      <w:kern w:val="0"/>
                      <w:sz w:val="21"/>
                      <w:szCs w:val="21"/>
                      <w:highlight w:val="none"/>
                      <w:lang w:val="en-US" w:bidi="ar"/>
                    </w:rPr>
                  </w:pPr>
                  <w:r>
                    <w:rPr>
                      <w:rFonts w:hint="default" w:ascii="Times New Roman" w:hAnsi="Times New Roman" w:eastAsia="宋体" w:cs="Times New Roman"/>
                      <w:i w:val="0"/>
                      <w:iCs w:val="0"/>
                      <w:color w:val="auto"/>
                      <w:kern w:val="0"/>
                      <w:sz w:val="21"/>
                      <w:szCs w:val="21"/>
                      <w:highlight w:val="none"/>
                      <w:u w:val="none"/>
                      <w:lang w:val="en-US" w:eastAsia="zh-CN" w:bidi="ar"/>
                    </w:rPr>
                    <w:t>213.</w:t>
                  </w:r>
                  <w:r>
                    <w:rPr>
                      <w:rFonts w:hint="eastAsia" w:ascii="Times New Roman" w:hAnsi="Times New Roman" w:eastAsia="宋体" w:cs="Times New Roman"/>
                      <w:i w:val="0"/>
                      <w:iCs w:val="0"/>
                      <w:color w:val="auto"/>
                      <w:kern w:val="0"/>
                      <w:sz w:val="21"/>
                      <w:szCs w:val="21"/>
                      <w:highlight w:val="none"/>
                      <w:u w:val="none"/>
                      <w:lang w:val="en-US" w:eastAsia="zh-CN" w:bidi="ar"/>
                    </w:rPr>
                    <w:t>11</w:t>
                  </w:r>
                </w:p>
              </w:tc>
              <w:tc>
                <w:tcPr>
                  <w:tcW w:w="2083" w:type="dxa"/>
                  <w:vAlign w:val="bottom"/>
                </w:tcPr>
                <w:p w14:paraId="036B3E8F">
                  <w:pPr>
                    <w:keepNext w:val="0"/>
                    <w:keepLines w:val="0"/>
                    <w:widowControl/>
                    <w:suppressLineNumbers w:val="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16.28%</w:t>
                  </w:r>
                </w:p>
              </w:tc>
            </w:tr>
            <w:tr w14:paraId="23C9E00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jc w:val="center"/>
              </w:trPr>
              <w:tc>
                <w:tcPr>
                  <w:tcW w:w="4080" w:type="dxa"/>
                  <w:vAlign w:val="bottom"/>
                </w:tcPr>
                <w:p w14:paraId="142262EE">
                  <w:pPr>
                    <w:keepNext w:val="0"/>
                    <w:keepLines w:val="0"/>
                    <w:widowControl/>
                    <w:suppressLineNumbers w:val="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其他林地</w:t>
                  </w:r>
                </w:p>
              </w:tc>
              <w:tc>
                <w:tcPr>
                  <w:tcW w:w="2007" w:type="dxa"/>
                  <w:vAlign w:val="bottom"/>
                </w:tcPr>
                <w:p w14:paraId="6FAB003E">
                  <w:pPr>
                    <w:keepNext w:val="0"/>
                    <w:keepLines w:val="0"/>
                    <w:widowControl/>
                    <w:suppressLineNumbers w:val="0"/>
                    <w:jc w:val="center"/>
                    <w:textAlignment w:val="bottom"/>
                    <w:rPr>
                      <w:rFonts w:hint="default" w:ascii="Times New Roman" w:hAnsi="Times New Roman" w:eastAsia="宋体" w:cs="Times New Roman"/>
                      <w:color w:val="auto"/>
                      <w:kern w:val="0"/>
                      <w:sz w:val="21"/>
                      <w:szCs w:val="21"/>
                      <w:highlight w:val="none"/>
                      <w:lang w:val="en-US" w:bidi="ar"/>
                    </w:rPr>
                  </w:pPr>
                  <w:r>
                    <w:rPr>
                      <w:rFonts w:hint="default" w:ascii="Times New Roman" w:hAnsi="Times New Roman" w:eastAsia="宋体" w:cs="Times New Roman"/>
                      <w:i w:val="0"/>
                      <w:iCs w:val="0"/>
                      <w:color w:val="auto"/>
                      <w:kern w:val="0"/>
                      <w:sz w:val="21"/>
                      <w:szCs w:val="21"/>
                      <w:highlight w:val="none"/>
                      <w:u w:val="none"/>
                      <w:lang w:val="en-US" w:eastAsia="zh-CN" w:bidi="ar"/>
                    </w:rPr>
                    <w:t>17</w:t>
                  </w:r>
                  <w:r>
                    <w:rPr>
                      <w:rFonts w:hint="eastAsia" w:ascii="Times New Roman" w:hAnsi="Times New Roman" w:eastAsia="宋体" w:cs="Times New Roman"/>
                      <w:i w:val="0"/>
                      <w:iCs w:val="0"/>
                      <w:color w:val="auto"/>
                      <w:kern w:val="0"/>
                      <w:sz w:val="21"/>
                      <w:szCs w:val="21"/>
                      <w:highlight w:val="none"/>
                      <w:u w:val="none"/>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eastAsia" w:ascii="Times New Roman" w:hAnsi="Times New Roman" w:eastAsia="宋体" w:cs="Times New Roman"/>
                      <w:i w:val="0"/>
                      <w:iCs w:val="0"/>
                      <w:color w:val="auto"/>
                      <w:kern w:val="0"/>
                      <w:sz w:val="21"/>
                      <w:szCs w:val="21"/>
                      <w:highlight w:val="none"/>
                      <w:u w:val="none"/>
                      <w:lang w:val="en-US" w:eastAsia="zh-CN" w:bidi="ar"/>
                    </w:rPr>
                    <w:t>02</w:t>
                  </w:r>
                </w:p>
              </w:tc>
              <w:tc>
                <w:tcPr>
                  <w:tcW w:w="2083" w:type="dxa"/>
                  <w:vAlign w:val="bottom"/>
                </w:tcPr>
                <w:p w14:paraId="6FD31196">
                  <w:pPr>
                    <w:keepNext w:val="0"/>
                    <w:keepLines w:val="0"/>
                    <w:widowControl/>
                    <w:suppressLineNumbers w:val="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13.21%</w:t>
                  </w:r>
                </w:p>
              </w:tc>
            </w:tr>
            <w:tr w14:paraId="527F737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jc w:val="center"/>
              </w:trPr>
              <w:tc>
                <w:tcPr>
                  <w:tcW w:w="4080" w:type="dxa"/>
                  <w:vAlign w:val="bottom"/>
                </w:tcPr>
                <w:p w14:paraId="1791DC6B">
                  <w:pPr>
                    <w:keepNext w:val="0"/>
                    <w:keepLines w:val="0"/>
                    <w:widowControl/>
                    <w:suppressLineNumbers w:val="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其他园地</w:t>
                  </w:r>
                </w:p>
              </w:tc>
              <w:tc>
                <w:tcPr>
                  <w:tcW w:w="2007" w:type="dxa"/>
                  <w:vAlign w:val="bottom"/>
                </w:tcPr>
                <w:p w14:paraId="695FAB55">
                  <w:pPr>
                    <w:keepNext w:val="0"/>
                    <w:keepLines w:val="0"/>
                    <w:widowControl/>
                    <w:suppressLineNumbers w:val="0"/>
                    <w:jc w:val="center"/>
                    <w:textAlignment w:val="bottom"/>
                    <w:rPr>
                      <w:rFonts w:hint="default" w:ascii="Times New Roman" w:hAnsi="Times New Roman" w:eastAsia="宋体" w:cs="Times New Roman"/>
                      <w:color w:val="auto"/>
                      <w:kern w:val="0"/>
                      <w:sz w:val="21"/>
                      <w:szCs w:val="21"/>
                      <w:highlight w:val="none"/>
                      <w:lang w:val="en-US" w:bidi="ar"/>
                    </w:rPr>
                  </w:pPr>
                  <w:r>
                    <w:rPr>
                      <w:rFonts w:hint="default" w:ascii="Times New Roman" w:hAnsi="Times New Roman" w:eastAsia="宋体" w:cs="Times New Roman"/>
                      <w:i w:val="0"/>
                      <w:iCs w:val="0"/>
                      <w:color w:val="auto"/>
                      <w:kern w:val="0"/>
                      <w:sz w:val="21"/>
                      <w:szCs w:val="21"/>
                      <w:highlight w:val="none"/>
                      <w:u w:val="none"/>
                      <w:lang w:val="en-US" w:eastAsia="zh-CN" w:bidi="ar"/>
                    </w:rPr>
                    <w:t>0.7</w:t>
                  </w:r>
                  <w:r>
                    <w:rPr>
                      <w:rFonts w:hint="eastAsia" w:ascii="Times New Roman" w:hAnsi="Times New Roman" w:eastAsia="宋体" w:cs="Times New Roman"/>
                      <w:i w:val="0"/>
                      <w:iCs w:val="0"/>
                      <w:color w:val="auto"/>
                      <w:kern w:val="0"/>
                      <w:sz w:val="21"/>
                      <w:szCs w:val="21"/>
                      <w:highlight w:val="none"/>
                      <w:u w:val="none"/>
                      <w:lang w:val="en-US" w:eastAsia="zh-CN" w:bidi="ar"/>
                    </w:rPr>
                    <w:t>6</w:t>
                  </w:r>
                </w:p>
              </w:tc>
              <w:tc>
                <w:tcPr>
                  <w:tcW w:w="2083" w:type="dxa"/>
                  <w:vAlign w:val="bottom"/>
                </w:tcPr>
                <w:p w14:paraId="085ED34C">
                  <w:pPr>
                    <w:keepNext w:val="0"/>
                    <w:keepLines w:val="0"/>
                    <w:widowControl/>
                    <w:suppressLineNumbers w:val="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0.06%</w:t>
                  </w:r>
                </w:p>
              </w:tc>
            </w:tr>
            <w:tr w14:paraId="5A15383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jc w:val="center"/>
              </w:trPr>
              <w:tc>
                <w:tcPr>
                  <w:tcW w:w="4080" w:type="dxa"/>
                  <w:vAlign w:val="bottom"/>
                </w:tcPr>
                <w:p w14:paraId="560D97DE">
                  <w:pPr>
                    <w:keepNext w:val="0"/>
                    <w:keepLines w:val="0"/>
                    <w:widowControl/>
                    <w:suppressLineNumbers w:val="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乔木林地</w:t>
                  </w:r>
                </w:p>
              </w:tc>
              <w:tc>
                <w:tcPr>
                  <w:tcW w:w="2007" w:type="dxa"/>
                  <w:vAlign w:val="bottom"/>
                </w:tcPr>
                <w:p w14:paraId="4AF9C09A">
                  <w:pPr>
                    <w:keepNext w:val="0"/>
                    <w:keepLines w:val="0"/>
                    <w:widowControl/>
                    <w:suppressLineNumbers w:val="0"/>
                    <w:jc w:val="center"/>
                    <w:textAlignment w:val="bottom"/>
                    <w:rPr>
                      <w:rFonts w:hint="default" w:ascii="Times New Roman" w:hAnsi="Times New Roman" w:eastAsia="宋体" w:cs="Times New Roman"/>
                      <w:color w:val="auto"/>
                      <w:kern w:val="0"/>
                      <w:sz w:val="21"/>
                      <w:szCs w:val="21"/>
                      <w:highlight w:val="none"/>
                      <w:lang w:val="en-US" w:bidi="ar"/>
                    </w:rPr>
                  </w:pPr>
                  <w:r>
                    <w:rPr>
                      <w:rFonts w:hint="default" w:ascii="Times New Roman" w:hAnsi="Times New Roman" w:eastAsia="宋体" w:cs="Times New Roman"/>
                      <w:i w:val="0"/>
                      <w:iCs w:val="0"/>
                      <w:color w:val="auto"/>
                      <w:kern w:val="0"/>
                      <w:sz w:val="21"/>
                      <w:szCs w:val="21"/>
                      <w:highlight w:val="none"/>
                      <w:u w:val="none"/>
                      <w:lang w:val="en-US" w:eastAsia="zh-CN" w:bidi="ar"/>
                    </w:rPr>
                    <w:t>576.7</w:t>
                  </w:r>
                  <w:r>
                    <w:rPr>
                      <w:rFonts w:hint="eastAsia" w:ascii="Times New Roman" w:hAnsi="Times New Roman" w:eastAsia="宋体" w:cs="Times New Roman"/>
                      <w:i w:val="0"/>
                      <w:iCs w:val="0"/>
                      <w:color w:val="auto"/>
                      <w:kern w:val="0"/>
                      <w:sz w:val="21"/>
                      <w:szCs w:val="21"/>
                      <w:highlight w:val="none"/>
                      <w:u w:val="none"/>
                      <w:lang w:val="en-US" w:eastAsia="zh-CN" w:bidi="ar"/>
                    </w:rPr>
                    <w:t>5</w:t>
                  </w:r>
                </w:p>
              </w:tc>
              <w:tc>
                <w:tcPr>
                  <w:tcW w:w="2083" w:type="dxa"/>
                  <w:vAlign w:val="bottom"/>
                </w:tcPr>
                <w:p w14:paraId="1DD34981">
                  <w:pPr>
                    <w:keepNext w:val="0"/>
                    <w:keepLines w:val="0"/>
                    <w:widowControl/>
                    <w:suppressLineNumbers w:val="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44.05%</w:t>
                  </w:r>
                </w:p>
              </w:tc>
            </w:tr>
            <w:tr w14:paraId="6F2C0FD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jc w:val="center"/>
              </w:trPr>
              <w:tc>
                <w:tcPr>
                  <w:tcW w:w="4080" w:type="dxa"/>
                  <w:vAlign w:val="bottom"/>
                </w:tcPr>
                <w:p w14:paraId="1B60C917">
                  <w:pPr>
                    <w:keepNext w:val="0"/>
                    <w:keepLines w:val="0"/>
                    <w:widowControl/>
                    <w:suppressLineNumbers w:val="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商业服务业设施用地</w:t>
                  </w:r>
                </w:p>
              </w:tc>
              <w:tc>
                <w:tcPr>
                  <w:tcW w:w="2007" w:type="dxa"/>
                  <w:vAlign w:val="bottom"/>
                </w:tcPr>
                <w:p w14:paraId="5618CF58">
                  <w:pPr>
                    <w:keepNext w:val="0"/>
                    <w:keepLines w:val="0"/>
                    <w:widowControl/>
                    <w:suppressLineNumbers w:val="0"/>
                    <w:jc w:val="center"/>
                    <w:textAlignment w:val="bottom"/>
                    <w:rPr>
                      <w:rFonts w:hint="default" w:ascii="Times New Roman" w:hAnsi="Times New Roman" w:eastAsia="宋体" w:cs="Times New Roman"/>
                      <w:color w:val="auto"/>
                      <w:kern w:val="0"/>
                      <w:sz w:val="21"/>
                      <w:szCs w:val="21"/>
                      <w:highlight w:val="none"/>
                      <w:lang w:val="en-US" w:bidi="ar"/>
                    </w:rPr>
                  </w:pPr>
                  <w:r>
                    <w:rPr>
                      <w:rFonts w:hint="default" w:ascii="Times New Roman" w:hAnsi="Times New Roman" w:eastAsia="宋体" w:cs="Times New Roman"/>
                      <w:i w:val="0"/>
                      <w:iCs w:val="0"/>
                      <w:color w:val="auto"/>
                      <w:kern w:val="0"/>
                      <w:sz w:val="21"/>
                      <w:szCs w:val="21"/>
                      <w:highlight w:val="none"/>
                      <w:u w:val="none"/>
                      <w:lang w:val="en-US" w:eastAsia="zh-CN" w:bidi="ar"/>
                    </w:rPr>
                    <w:t>0.1</w:t>
                  </w:r>
                  <w:r>
                    <w:rPr>
                      <w:rFonts w:hint="eastAsia" w:ascii="Times New Roman" w:hAnsi="Times New Roman" w:eastAsia="宋体" w:cs="Times New Roman"/>
                      <w:i w:val="0"/>
                      <w:iCs w:val="0"/>
                      <w:color w:val="auto"/>
                      <w:kern w:val="0"/>
                      <w:sz w:val="21"/>
                      <w:szCs w:val="21"/>
                      <w:highlight w:val="none"/>
                      <w:u w:val="none"/>
                      <w:lang w:val="en-US" w:eastAsia="zh-CN" w:bidi="ar"/>
                    </w:rPr>
                    <w:t>6</w:t>
                  </w:r>
                </w:p>
              </w:tc>
              <w:tc>
                <w:tcPr>
                  <w:tcW w:w="2083" w:type="dxa"/>
                  <w:vAlign w:val="bottom"/>
                </w:tcPr>
                <w:p w14:paraId="2D53FC73">
                  <w:pPr>
                    <w:keepNext w:val="0"/>
                    <w:keepLines w:val="0"/>
                    <w:widowControl/>
                    <w:suppressLineNumbers w:val="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0.01%</w:t>
                  </w:r>
                </w:p>
              </w:tc>
            </w:tr>
            <w:tr w14:paraId="08691BD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jc w:val="center"/>
              </w:trPr>
              <w:tc>
                <w:tcPr>
                  <w:tcW w:w="4080" w:type="dxa"/>
                  <w:vAlign w:val="bottom"/>
                </w:tcPr>
                <w:p w14:paraId="284334D9">
                  <w:pPr>
                    <w:keepNext w:val="0"/>
                    <w:keepLines w:val="0"/>
                    <w:widowControl/>
                    <w:suppressLineNumbers w:val="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设施农用地</w:t>
                  </w:r>
                </w:p>
              </w:tc>
              <w:tc>
                <w:tcPr>
                  <w:tcW w:w="2007" w:type="dxa"/>
                  <w:vAlign w:val="bottom"/>
                </w:tcPr>
                <w:p w14:paraId="5B923D78">
                  <w:pPr>
                    <w:keepNext w:val="0"/>
                    <w:keepLines w:val="0"/>
                    <w:widowControl/>
                    <w:suppressLineNumbers w:val="0"/>
                    <w:jc w:val="center"/>
                    <w:textAlignment w:val="bottom"/>
                    <w:rPr>
                      <w:rFonts w:hint="default" w:ascii="Times New Roman" w:hAnsi="Times New Roman" w:eastAsia="宋体" w:cs="Times New Roman"/>
                      <w:color w:val="auto"/>
                      <w:kern w:val="0"/>
                      <w:sz w:val="21"/>
                      <w:szCs w:val="21"/>
                      <w:highlight w:val="none"/>
                      <w:lang w:val="en-US" w:bidi="ar"/>
                    </w:rPr>
                  </w:pPr>
                  <w:r>
                    <w:rPr>
                      <w:rFonts w:hint="default" w:ascii="Times New Roman" w:hAnsi="Times New Roman" w:eastAsia="宋体" w:cs="Times New Roman"/>
                      <w:i w:val="0"/>
                      <w:iCs w:val="0"/>
                      <w:color w:val="auto"/>
                      <w:kern w:val="0"/>
                      <w:sz w:val="21"/>
                      <w:szCs w:val="21"/>
                      <w:highlight w:val="none"/>
                      <w:u w:val="none"/>
                      <w:lang w:val="en-US" w:eastAsia="zh-CN" w:bidi="ar"/>
                    </w:rPr>
                    <w:t>3.6</w:t>
                  </w:r>
                  <w:r>
                    <w:rPr>
                      <w:rFonts w:hint="eastAsia" w:ascii="Times New Roman" w:hAnsi="Times New Roman" w:eastAsia="宋体" w:cs="Times New Roman"/>
                      <w:i w:val="0"/>
                      <w:iCs w:val="0"/>
                      <w:color w:val="auto"/>
                      <w:kern w:val="0"/>
                      <w:sz w:val="21"/>
                      <w:szCs w:val="21"/>
                      <w:highlight w:val="none"/>
                      <w:u w:val="none"/>
                      <w:lang w:val="en-US" w:eastAsia="zh-CN" w:bidi="ar"/>
                    </w:rPr>
                    <w:t>9</w:t>
                  </w:r>
                </w:p>
              </w:tc>
              <w:tc>
                <w:tcPr>
                  <w:tcW w:w="2083" w:type="dxa"/>
                  <w:vAlign w:val="bottom"/>
                </w:tcPr>
                <w:p w14:paraId="79BAD488">
                  <w:pPr>
                    <w:keepNext w:val="0"/>
                    <w:keepLines w:val="0"/>
                    <w:widowControl/>
                    <w:suppressLineNumbers w:val="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0.28%</w:t>
                  </w:r>
                </w:p>
              </w:tc>
            </w:tr>
            <w:tr w14:paraId="47E1395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jc w:val="center"/>
              </w:trPr>
              <w:tc>
                <w:tcPr>
                  <w:tcW w:w="4080" w:type="dxa"/>
                  <w:vAlign w:val="bottom"/>
                </w:tcPr>
                <w:p w14:paraId="4FA1ACE7">
                  <w:pPr>
                    <w:keepNext w:val="0"/>
                    <w:keepLines w:val="0"/>
                    <w:widowControl/>
                    <w:suppressLineNumbers w:val="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特殊用地</w:t>
                  </w:r>
                </w:p>
              </w:tc>
              <w:tc>
                <w:tcPr>
                  <w:tcW w:w="2007" w:type="dxa"/>
                  <w:vAlign w:val="bottom"/>
                </w:tcPr>
                <w:p w14:paraId="0D351D21">
                  <w:pPr>
                    <w:keepNext w:val="0"/>
                    <w:keepLines w:val="0"/>
                    <w:widowControl/>
                    <w:suppressLineNumbers w:val="0"/>
                    <w:jc w:val="center"/>
                    <w:textAlignment w:val="bottom"/>
                    <w:rPr>
                      <w:rFonts w:hint="default" w:ascii="Times New Roman" w:hAnsi="Times New Roman" w:eastAsia="宋体" w:cs="Times New Roman"/>
                      <w:color w:val="auto"/>
                      <w:kern w:val="0"/>
                      <w:sz w:val="21"/>
                      <w:szCs w:val="21"/>
                      <w:highlight w:val="none"/>
                      <w:lang w:val="en-US" w:bidi="ar"/>
                    </w:rPr>
                  </w:pPr>
                  <w:r>
                    <w:rPr>
                      <w:rFonts w:hint="default" w:ascii="Times New Roman" w:hAnsi="Times New Roman" w:eastAsia="宋体" w:cs="Times New Roman"/>
                      <w:i w:val="0"/>
                      <w:iCs w:val="0"/>
                      <w:color w:val="auto"/>
                      <w:kern w:val="0"/>
                      <w:sz w:val="21"/>
                      <w:szCs w:val="21"/>
                      <w:highlight w:val="none"/>
                      <w:u w:val="none"/>
                      <w:lang w:val="en-US" w:eastAsia="zh-CN" w:bidi="ar"/>
                    </w:rPr>
                    <w:t>0.0</w:t>
                  </w:r>
                  <w:r>
                    <w:rPr>
                      <w:rFonts w:hint="eastAsia" w:ascii="Times New Roman" w:hAnsi="Times New Roman" w:eastAsia="宋体" w:cs="Times New Roman"/>
                      <w:i w:val="0"/>
                      <w:iCs w:val="0"/>
                      <w:color w:val="auto"/>
                      <w:kern w:val="0"/>
                      <w:sz w:val="21"/>
                      <w:szCs w:val="21"/>
                      <w:highlight w:val="none"/>
                      <w:u w:val="none"/>
                      <w:lang w:val="en-US" w:eastAsia="zh-CN" w:bidi="ar"/>
                    </w:rPr>
                    <w:t>9</w:t>
                  </w:r>
                </w:p>
              </w:tc>
              <w:tc>
                <w:tcPr>
                  <w:tcW w:w="2083" w:type="dxa"/>
                  <w:vAlign w:val="bottom"/>
                </w:tcPr>
                <w:p w14:paraId="341733DE">
                  <w:pPr>
                    <w:keepNext w:val="0"/>
                    <w:keepLines w:val="0"/>
                    <w:widowControl/>
                    <w:suppressLineNumbers w:val="0"/>
                    <w:jc w:val="center"/>
                    <w:textAlignment w:val="bottom"/>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0.01%</w:t>
                  </w:r>
                </w:p>
              </w:tc>
            </w:tr>
            <w:tr w14:paraId="6FEE7E6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jc w:val="center"/>
              </w:trPr>
              <w:tc>
                <w:tcPr>
                  <w:tcW w:w="4080" w:type="dxa"/>
                  <w:vAlign w:val="bottom"/>
                </w:tcPr>
                <w:p w14:paraId="1CD24606">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总计</w:t>
                  </w:r>
                </w:p>
              </w:tc>
              <w:tc>
                <w:tcPr>
                  <w:tcW w:w="2007" w:type="dxa"/>
                  <w:vAlign w:val="bottom"/>
                </w:tcPr>
                <w:p w14:paraId="2146A437">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1309.28</w:t>
                  </w:r>
                </w:p>
              </w:tc>
              <w:tc>
                <w:tcPr>
                  <w:tcW w:w="2083" w:type="dxa"/>
                  <w:vAlign w:val="bottom"/>
                </w:tcPr>
                <w:p w14:paraId="3B28160E">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r>
          </w:tbl>
          <w:p w14:paraId="5EBDC569">
            <w:pPr>
              <w:pStyle w:val="2"/>
              <w:spacing w:before="0" w:after="0" w:line="240" w:lineRule="auto"/>
              <w:jc w:val="center"/>
              <w:rPr>
                <w:rFonts w:hint="eastAsia" w:ascii="黑体" w:hAnsi="黑体" w:eastAsia="黑体"/>
                <w:b w:val="0"/>
                <w:color w:val="auto"/>
                <w:sz w:val="21"/>
                <w:szCs w:val="21"/>
                <w:highlight w:val="none"/>
              </w:rPr>
            </w:pPr>
            <w:r>
              <w:rPr>
                <w:rFonts w:ascii="黑体" w:hAnsi="黑体" w:eastAsia="黑体"/>
                <w:b w:val="0"/>
                <w:color w:val="auto"/>
                <w:sz w:val="21"/>
                <w:szCs w:val="21"/>
                <w:highlight w:val="none"/>
              </w:rPr>
              <w:t>表</w:t>
            </w:r>
            <w:r>
              <w:rPr>
                <w:rFonts w:hint="eastAsia" w:ascii="黑体" w:hAnsi="黑体" w:eastAsia="黑体"/>
                <w:b w:val="0"/>
                <w:color w:val="auto"/>
                <w:sz w:val="21"/>
                <w:szCs w:val="21"/>
                <w:highlight w:val="none"/>
              </w:rPr>
              <w:t>3-3</w:t>
            </w:r>
            <w:r>
              <w:rPr>
                <w:rFonts w:ascii="黑体" w:hAnsi="黑体" w:eastAsia="黑体"/>
                <w:b w:val="0"/>
                <w:color w:val="auto"/>
                <w:sz w:val="21"/>
                <w:szCs w:val="21"/>
                <w:highlight w:val="none"/>
              </w:rPr>
              <w:t xml:space="preserve">    占地范围土地利用现状</w:t>
            </w:r>
            <w:r>
              <w:rPr>
                <w:rFonts w:hint="eastAsia" w:ascii="黑体" w:hAnsi="黑体" w:eastAsia="黑体"/>
                <w:b w:val="0"/>
                <w:color w:val="auto"/>
                <w:sz w:val="21"/>
                <w:szCs w:val="21"/>
                <w:highlight w:val="none"/>
              </w:rPr>
              <w:t xml:space="preserve">  单位：</w:t>
            </w:r>
            <w:r>
              <w:rPr>
                <w:rFonts w:hint="eastAsia" w:ascii="黑体" w:hAnsi="黑体" w:eastAsia="黑体"/>
                <w:b w:val="0"/>
                <w:color w:val="auto"/>
                <w:sz w:val="21"/>
                <w:szCs w:val="21"/>
                <w:highlight w:val="none"/>
                <w:lang w:val="en-US" w:eastAsia="zh-CN"/>
              </w:rPr>
              <w:t>h</w:t>
            </w:r>
            <w:r>
              <w:rPr>
                <w:rFonts w:ascii="黑体" w:hAnsi="黑体" w:eastAsia="黑体"/>
                <w:b w:val="0"/>
                <w:color w:val="auto"/>
                <w:sz w:val="21"/>
                <w:szCs w:val="21"/>
                <w:highlight w:val="none"/>
              </w:rPr>
              <w:t>m</w:t>
            </w:r>
            <w:r>
              <w:rPr>
                <w:rFonts w:ascii="黑体" w:hAnsi="黑体" w:eastAsia="黑体"/>
                <w:b w:val="0"/>
                <w:color w:val="auto"/>
                <w:sz w:val="21"/>
                <w:szCs w:val="21"/>
                <w:highlight w:val="none"/>
                <w:vertAlign w:val="superscript"/>
              </w:rPr>
              <w:t>2</w:t>
            </w:r>
          </w:p>
          <w:tbl>
            <w:tblPr>
              <w:tblStyle w:val="10"/>
              <w:tblW w:w="5000" w:type="pct"/>
              <w:jc w:val="center"/>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4080"/>
              <w:gridCol w:w="2007"/>
              <w:gridCol w:w="2083"/>
            </w:tblGrid>
            <w:tr w14:paraId="45D60B1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jc w:val="center"/>
              </w:trPr>
              <w:tc>
                <w:tcPr>
                  <w:tcW w:w="2496" w:type="pct"/>
                  <w:vAlign w:val="center"/>
                </w:tcPr>
                <w:p w14:paraId="314B318D">
                  <w:pPr>
                    <w:pStyle w:val="3"/>
                    <w:ind w:firstLine="0" w:firstLineChars="0"/>
                    <w:jc w:val="center"/>
                    <w:rPr>
                      <w:color w:val="auto"/>
                      <w:szCs w:val="21"/>
                      <w:highlight w:val="none"/>
                    </w:rPr>
                  </w:pPr>
                  <w:r>
                    <w:rPr>
                      <w:color w:val="auto"/>
                      <w:szCs w:val="21"/>
                      <w:highlight w:val="none"/>
                    </w:rPr>
                    <w:t>土地类型</w:t>
                  </w:r>
                </w:p>
              </w:tc>
              <w:tc>
                <w:tcPr>
                  <w:tcW w:w="1228" w:type="pct"/>
                  <w:vAlign w:val="center"/>
                </w:tcPr>
                <w:p w14:paraId="2CB8B0FC">
                  <w:pPr>
                    <w:pStyle w:val="3"/>
                    <w:ind w:firstLine="0" w:firstLineChars="0"/>
                    <w:jc w:val="center"/>
                    <w:rPr>
                      <w:color w:val="auto"/>
                      <w:szCs w:val="21"/>
                      <w:highlight w:val="none"/>
                    </w:rPr>
                  </w:pPr>
                  <w:r>
                    <w:rPr>
                      <w:color w:val="auto"/>
                      <w:szCs w:val="21"/>
                      <w:highlight w:val="none"/>
                    </w:rPr>
                    <w:t>面积</w:t>
                  </w:r>
                </w:p>
              </w:tc>
              <w:tc>
                <w:tcPr>
                  <w:tcW w:w="1274" w:type="pct"/>
                  <w:vAlign w:val="center"/>
                </w:tcPr>
                <w:p w14:paraId="446A8751">
                  <w:pPr>
                    <w:pStyle w:val="3"/>
                    <w:ind w:firstLine="0" w:firstLineChars="0"/>
                    <w:jc w:val="center"/>
                    <w:rPr>
                      <w:color w:val="auto"/>
                      <w:szCs w:val="21"/>
                      <w:highlight w:val="none"/>
                    </w:rPr>
                  </w:pPr>
                  <w:r>
                    <w:rPr>
                      <w:color w:val="auto"/>
                      <w:szCs w:val="21"/>
                      <w:highlight w:val="none"/>
                    </w:rPr>
                    <w:t>比例</w:t>
                  </w:r>
                </w:p>
              </w:tc>
            </w:tr>
            <w:tr w14:paraId="47C4623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jc w:val="center"/>
              </w:trPr>
              <w:tc>
                <w:tcPr>
                  <w:tcW w:w="4353" w:type="dxa"/>
                  <w:vAlign w:val="center"/>
                </w:tcPr>
                <w:p w14:paraId="3F752576">
                  <w:pPr>
                    <w:jc w:val="center"/>
                    <w:rPr>
                      <w:color w:val="auto"/>
                      <w:szCs w:val="21"/>
                      <w:highlight w:val="none"/>
                    </w:rPr>
                  </w:pPr>
                  <w:r>
                    <w:rPr>
                      <w:rFonts w:hint="eastAsia" w:ascii="Times New Roman" w:eastAsia="宋体"/>
                      <w:color w:val="auto"/>
                      <w:highlight w:val="none"/>
                      <w:lang w:val="en-US" w:eastAsia="zh-CN"/>
                    </w:rPr>
                    <w:t>旱地</w:t>
                  </w:r>
                </w:p>
              </w:tc>
              <w:tc>
                <w:tcPr>
                  <w:tcW w:w="1228" w:type="pct"/>
                  <w:vAlign w:val="center"/>
                </w:tcPr>
                <w:p w14:paraId="0C2AF61D">
                  <w:pPr>
                    <w:pStyle w:val="3"/>
                    <w:ind w:firstLine="0" w:firstLineChars="0"/>
                    <w:jc w:val="center"/>
                    <w:rPr>
                      <w:rFonts w:hint="default" w:eastAsia="宋体"/>
                      <w:color w:val="auto"/>
                      <w:szCs w:val="21"/>
                      <w:highlight w:val="none"/>
                      <w:lang w:val="en-US" w:eastAsia="zh-CN"/>
                    </w:rPr>
                  </w:pPr>
                  <w:r>
                    <w:rPr>
                      <w:rFonts w:hint="default" w:eastAsia="宋体"/>
                      <w:color w:val="auto"/>
                      <w:szCs w:val="21"/>
                      <w:highlight w:val="none"/>
                      <w:lang w:val="en-US" w:eastAsia="zh-CN"/>
                    </w:rPr>
                    <w:t>0.1094</w:t>
                  </w:r>
                </w:p>
              </w:tc>
              <w:tc>
                <w:tcPr>
                  <w:tcW w:w="1274" w:type="pct"/>
                  <w:vAlign w:val="center"/>
                </w:tcPr>
                <w:p w14:paraId="67306CA2">
                  <w:pPr>
                    <w:pStyle w:val="3"/>
                    <w:ind w:firstLine="0" w:firstLineChars="0"/>
                    <w:jc w:val="center"/>
                    <w:rPr>
                      <w:rFonts w:hint="default" w:eastAsia="宋体"/>
                      <w:color w:val="auto"/>
                      <w:szCs w:val="21"/>
                      <w:highlight w:val="none"/>
                      <w:lang w:val="en-US" w:eastAsia="zh-CN"/>
                    </w:rPr>
                  </w:pPr>
                  <w:r>
                    <w:rPr>
                      <w:rFonts w:hint="eastAsia"/>
                      <w:color w:val="auto"/>
                      <w:szCs w:val="21"/>
                      <w:highlight w:val="none"/>
                      <w:lang w:val="en-US" w:eastAsia="zh-CN"/>
                    </w:rPr>
                    <w:t>2.83%</w:t>
                  </w:r>
                </w:p>
              </w:tc>
            </w:tr>
            <w:tr w14:paraId="2A0D738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jc w:val="center"/>
              </w:trPr>
              <w:tc>
                <w:tcPr>
                  <w:tcW w:w="4353" w:type="dxa"/>
                  <w:vAlign w:val="center"/>
                </w:tcPr>
                <w:p w14:paraId="53F97A67">
                  <w:pPr>
                    <w:jc w:val="center"/>
                    <w:rPr>
                      <w:color w:val="auto"/>
                      <w:szCs w:val="21"/>
                      <w:highlight w:val="none"/>
                    </w:rPr>
                  </w:pPr>
                  <w:r>
                    <w:rPr>
                      <w:rFonts w:hint="eastAsia" w:ascii="Times New Roman" w:eastAsia="宋体"/>
                      <w:color w:val="auto"/>
                      <w:highlight w:val="none"/>
                      <w:lang w:val="en-US" w:eastAsia="zh-CN"/>
                    </w:rPr>
                    <w:t>乔木林地</w:t>
                  </w:r>
                </w:p>
              </w:tc>
              <w:tc>
                <w:tcPr>
                  <w:tcW w:w="1228" w:type="pct"/>
                  <w:vAlign w:val="center"/>
                </w:tcPr>
                <w:p w14:paraId="24D99CC2">
                  <w:pPr>
                    <w:pStyle w:val="3"/>
                    <w:ind w:firstLine="0" w:firstLineChars="0"/>
                    <w:jc w:val="center"/>
                    <w:rPr>
                      <w:rFonts w:hint="default" w:eastAsia="宋体"/>
                      <w:color w:val="auto"/>
                      <w:szCs w:val="21"/>
                      <w:highlight w:val="none"/>
                      <w:lang w:val="en-US" w:eastAsia="zh-CN"/>
                    </w:rPr>
                  </w:pPr>
                  <w:r>
                    <w:rPr>
                      <w:rFonts w:hint="eastAsia"/>
                      <w:color w:val="auto"/>
                      <w:szCs w:val="21"/>
                      <w:highlight w:val="none"/>
                      <w:lang w:val="en-US" w:eastAsia="zh-CN"/>
                    </w:rPr>
                    <w:t>1.6957</w:t>
                  </w:r>
                </w:p>
              </w:tc>
              <w:tc>
                <w:tcPr>
                  <w:tcW w:w="1274" w:type="pct"/>
                  <w:vAlign w:val="center"/>
                </w:tcPr>
                <w:p w14:paraId="4B5F8210">
                  <w:pPr>
                    <w:pStyle w:val="3"/>
                    <w:ind w:firstLine="0" w:firstLineChars="0"/>
                    <w:jc w:val="center"/>
                    <w:rPr>
                      <w:rFonts w:hint="default" w:eastAsia="宋体"/>
                      <w:color w:val="auto"/>
                      <w:szCs w:val="21"/>
                      <w:highlight w:val="none"/>
                      <w:lang w:val="en-US" w:eastAsia="zh-CN"/>
                    </w:rPr>
                  </w:pPr>
                  <w:r>
                    <w:rPr>
                      <w:rFonts w:hint="eastAsia"/>
                      <w:color w:val="auto"/>
                      <w:szCs w:val="21"/>
                      <w:highlight w:val="none"/>
                      <w:lang w:val="en-US" w:eastAsia="zh-CN"/>
                    </w:rPr>
                    <w:t>43.83%</w:t>
                  </w:r>
                </w:p>
              </w:tc>
            </w:tr>
            <w:tr w14:paraId="7221D4C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jc w:val="center"/>
              </w:trPr>
              <w:tc>
                <w:tcPr>
                  <w:tcW w:w="4353" w:type="dxa"/>
                  <w:vAlign w:val="center"/>
                </w:tcPr>
                <w:p w14:paraId="611517F1">
                  <w:pPr>
                    <w:jc w:val="center"/>
                    <w:rPr>
                      <w:color w:val="auto"/>
                      <w:szCs w:val="21"/>
                      <w:highlight w:val="none"/>
                    </w:rPr>
                  </w:pPr>
                  <w:r>
                    <w:rPr>
                      <w:rFonts w:hint="default" w:eastAsia="宋体"/>
                      <w:color w:val="auto"/>
                      <w:highlight w:val="none"/>
                      <w:lang w:val="en-US" w:eastAsia="zh-CN"/>
                    </w:rPr>
                    <w:t>灌木林地</w:t>
                  </w:r>
                </w:p>
              </w:tc>
              <w:tc>
                <w:tcPr>
                  <w:tcW w:w="1228" w:type="pct"/>
                  <w:vAlign w:val="center"/>
                </w:tcPr>
                <w:p w14:paraId="014470F7">
                  <w:pPr>
                    <w:pStyle w:val="3"/>
                    <w:ind w:firstLine="0" w:firstLineChars="0"/>
                    <w:jc w:val="center"/>
                    <w:rPr>
                      <w:rFonts w:hint="default" w:eastAsia="宋体"/>
                      <w:color w:val="auto"/>
                      <w:szCs w:val="21"/>
                      <w:highlight w:val="none"/>
                      <w:lang w:val="en-US" w:eastAsia="zh-CN"/>
                    </w:rPr>
                  </w:pPr>
                  <w:r>
                    <w:rPr>
                      <w:rFonts w:hint="eastAsia"/>
                      <w:color w:val="auto"/>
                      <w:szCs w:val="21"/>
                      <w:highlight w:val="none"/>
                      <w:lang w:val="en-US" w:eastAsia="zh-CN"/>
                    </w:rPr>
                    <w:t>0.359</w:t>
                  </w:r>
                </w:p>
              </w:tc>
              <w:tc>
                <w:tcPr>
                  <w:tcW w:w="1274" w:type="pct"/>
                  <w:vAlign w:val="center"/>
                </w:tcPr>
                <w:p w14:paraId="39AE633C">
                  <w:pPr>
                    <w:pStyle w:val="3"/>
                    <w:ind w:firstLine="0" w:firstLineChars="0"/>
                    <w:jc w:val="center"/>
                    <w:rPr>
                      <w:rFonts w:hint="default" w:eastAsia="宋体"/>
                      <w:color w:val="auto"/>
                      <w:szCs w:val="21"/>
                      <w:highlight w:val="none"/>
                      <w:lang w:val="en-US" w:eastAsia="zh-CN"/>
                    </w:rPr>
                  </w:pPr>
                  <w:r>
                    <w:rPr>
                      <w:rFonts w:hint="eastAsia"/>
                      <w:color w:val="auto"/>
                      <w:szCs w:val="21"/>
                      <w:highlight w:val="none"/>
                      <w:lang w:val="en-US" w:eastAsia="zh-CN"/>
                    </w:rPr>
                    <w:t>9.28%</w:t>
                  </w:r>
                </w:p>
              </w:tc>
            </w:tr>
            <w:tr w14:paraId="723F480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jc w:val="center"/>
              </w:trPr>
              <w:tc>
                <w:tcPr>
                  <w:tcW w:w="4353" w:type="dxa"/>
                  <w:vAlign w:val="center"/>
                </w:tcPr>
                <w:p w14:paraId="77C2805D">
                  <w:pPr>
                    <w:jc w:val="center"/>
                    <w:rPr>
                      <w:color w:val="auto"/>
                      <w:szCs w:val="21"/>
                      <w:highlight w:val="none"/>
                    </w:rPr>
                  </w:pPr>
                  <w:r>
                    <w:rPr>
                      <w:rFonts w:hint="eastAsia" w:ascii="Times New Roman" w:eastAsia="宋体"/>
                      <w:color w:val="auto"/>
                      <w:highlight w:val="none"/>
                      <w:lang w:val="en-US" w:eastAsia="zh-CN"/>
                    </w:rPr>
                    <w:t>其他林地</w:t>
                  </w:r>
                </w:p>
              </w:tc>
              <w:tc>
                <w:tcPr>
                  <w:tcW w:w="1228" w:type="pct"/>
                  <w:vAlign w:val="center"/>
                </w:tcPr>
                <w:p w14:paraId="5EBC63CE">
                  <w:pPr>
                    <w:pStyle w:val="3"/>
                    <w:ind w:firstLine="0" w:firstLineChars="0"/>
                    <w:jc w:val="center"/>
                    <w:rPr>
                      <w:rFonts w:hint="default"/>
                      <w:color w:val="auto"/>
                      <w:szCs w:val="21"/>
                      <w:highlight w:val="none"/>
                      <w:lang w:val="en-US" w:eastAsia="zh-CN"/>
                    </w:rPr>
                  </w:pPr>
                  <w:r>
                    <w:rPr>
                      <w:rFonts w:hint="eastAsia"/>
                      <w:color w:val="auto"/>
                      <w:szCs w:val="21"/>
                      <w:highlight w:val="none"/>
                      <w:lang w:val="en-US" w:eastAsia="zh-CN"/>
                    </w:rPr>
                    <w:t>0.265</w:t>
                  </w:r>
                </w:p>
              </w:tc>
              <w:tc>
                <w:tcPr>
                  <w:tcW w:w="1274" w:type="pct"/>
                  <w:vAlign w:val="center"/>
                </w:tcPr>
                <w:p w14:paraId="0572E993">
                  <w:pPr>
                    <w:pStyle w:val="3"/>
                    <w:ind w:firstLine="0" w:firstLineChars="0"/>
                    <w:jc w:val="center"/>
                    <w:rPr>
                      <w:rFonts w:hint="default" w:eastAsia="宋体"/>
                      <w:color w:val="auto"/>
                      <w:szCs w:val="21"/>
                      <w:highlight w:val="none"/>
                      <w:lang w:val="en-US" w:eastAsia="zh-CN"/>
                    </w:rPr>
                  </w:pPr>
                  <w:r>
                    <w:rPr>
                      <w:rFonts w:hint="eastAsia"/>
                      <w:color w:val="auto"/>
                      <w:szCs w:val="21"/>
                      <w:highlight w:val="none"/>
                      <w:lang w:val="en-US" w:eastAsia="zh-CN"/>
                    </w:rPr>
                    <w:t>6.85%</w:t>
                  </w:r>
                </w:p>
              </w:tc>
            </w:tr>
            <w:tr w14:paraId="41867A6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jc w:val="center"/>
              </w:trPr>
              <w:tc>
                <w:tcPr>
                  <w:tcW w:w="4353" w:type="dxa"/>
                  <w:vAlign w:val="center"/>
                </w:tcPr>
                <w:p w14:paraId="0D3D0E21">
                  <w:pPr>
                    <w:jc w:val="center"/>
                    <w:rPr>
                      <w:color w:val="auto"/>
                      <w:szCs w:val="21"/>
                      <w:highlight w:val="none"/>
                    </w:rPr>
                  </w:pPr>
                  <w:r>
                    <w:rPr>
                      <w:rFonts w:hint="eastAsia" w:ascii="Times New Roman" w:eastAsia="宋体"/>
                      <w:color w:val="auto"/>
                      <w:highlight w:val="none"/>
                      <w:lang w:val="en-US" w:eastAsia="zh-CN"/>
                    </w:rPr>
                    <w:t>其他草地</w:t>
                  </w:r>
                </w:p>
              </w:tc>
              <w:tc>
                <w:tcPr>
                  <w:tcW w:w="1228" w:type="pct"/>
                  <w:vAlign w:val="center"/>
                </w:tcPr>
                <w:p w14:paraId="33F5DE21">
                  <w:pPr>
                    <w:pStyle w:val="3"/>
                    <w:ind w:firstLine="0" w:firstLineChars="0"/>
                    <w:jc w:val="center"/>
                    <w:rPr>
                      <w:rFonts w:hint="default"/>
                      <w:color w:val="auto"/>
                      <w:szCs w:val="21"/>
                      <w:highlight w:val="none"/>
                      <w:lang w:val="en-US" w:eastAsia="zh-CN"/>
                    </w:rPr>
                  </w:pPr>
                  <w:r>
                    <w:rPr>
                      <w:rFonts w:hint="eastAsia"/>
                      <w:color w:val="auto"/>
                      <w:szCs w:val="21"/>
                      <w:highlight w:val="none"/>
                      <w:lang w:val="en-US" w:eastAsia="zh-CN"/>
                    </w:rPr>
                    <w:t>1.4332</w:t>
                  </w:r>
                </w:p>
              </w:tc>
              <w:tc>
                <w:tcPr>
                  <w:tcW w:w="1274" w:type="pct"/>
                  <w:vAlign w:val="center"/>
                </w:tcPr>
                <w:p w14:paraId="277FB9A0">
                  <w:pPr>
                    <w:pStyle w:val="3"/>
                    <w:ind w:firstLine="0" w:firstLineChars="0"/>
                    <w:jc w:val="center"/>
                    <w:rPr>
                      <w:rFonts w:hint="default" w:eastAsia="宋体"/>
                      <w:color w:val="auto"/>
                      <w:szCs w:val="21"/>
                      <w:highlight w:val="none"/>
                      <w:lang w:val="en-US" w:eastAsia="zh-CN"/>
                    </w:rPr>
                  </w:pPr>
                  <w:r>
                    <w:rPr>
                      <w:rFonts w:hint="eastAsia"/>
                      <w:color w:val="auto"/>
                      <w:szCs w:val="21"/>
                      <w:highlight w:val="none"/>
                      <w:lang w:val="en-US" w:eastAsia="zh-CN"/>
                    </w:rPr>
                    <w:t>37.04%</w:t>
                  </w:r>
                </w:p>
              </w:tc>
            </w:tr>
            <w:tr w14:paraId="6366A65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jc w:val="center"/>
              </w:trPr>
              <w:tc>
                <w:tcPr>
                  <w:tcW w:w="4353" w:type="dxa"/>
                  <w:vAlign w:val="center"/>
                </w:tcPr>
                <w:p w14:paraId="3CFEEB70">
                  <w:pPr>
                    <w:jc w:val="center"/>
                    <w:rPr>
                      <w:color w:val="auto"/>
                      <w:szCs w:val="21"/>
                      <w:highlight w:val="none"/>
                    </w:rPr>
                  </w:pPr>
                  <w:r>
                    <w:rPr>
                      <w:rFonts w:hint="eastAsia" w:ascii="Times New Roman" w:eastAsia="宋体"/>
                      <w:color w:val="auto"/>
                      <w:highlight w:val="none"/>
                      <w:lang w:val="en-US" w:eastAsia="zh-CN"/>
                    </w:rPr>
                    <w:t>农村道路</w:t>
                  </w:r>
                </w:p>
              </w:tc>
              <w:tc>
                <w:tcPr>
                  <w:tcW w:w="1228" w:type="pct"/>
                  <w:vAlign w:val="center"/>
                </w:tcPr>
                <w:p w14:paraId="064AB160">
                  <w:pPr>
                    <w:pStyle w:val="3"/>
                    <w:ind w:firstLine="0" w:firstLineChars="0"/>
                    <w:jc w:val="center"/>
                    <w:rPr>
                      <w:rFonts w:hint="default"/>
                      <w:color w:val="auto"/>
                      <w:szCs w:val="21"/>
                      <w:highlight w:val="none"/>
                      <w:lang w:val="en-US" w:eastAsia="zh-CN"/>
                    </w:rPr>
                  </w:pPr>
                  <w:r>
                    <w:rPr>
                      <w:rFonts w:hint="eastAsia"/>
                      <w:color w:val="auto"/>
                      <w:szCs w:val="21"/>
                      <w:highlight w:val="none"/>
                      <w:lang w:val="en-US" w:eastAsia="zh-CN"/>
                    </w:rPr>
                    <w:t>0.0066</w:t>
                  </w:r>
                </w:p>
              </w:tc>
              <w:tc>
                <w:tcPr>
                  <w:tcW w:w="1274" w:type="pct"/>
                  <w:vAlign w:val="center"/>
                </w:tcPr>
                <w:p w14:paraId="191D0FB1">
                  <w:pPr>
                    <w:pStyle w:val="3"/>
                    <w:ind w:firstLine="0" w:firstLineChars="0"/>
                    <w:jc w:val="center"/>
                    <w:rPr>
                      <w:rFonts w:hint="default" w:eastAsia="宋体"/>
                      <w:color w:val="auto"/>
                      <w:szCs w:val="21"/>
                      <w:highlight w:val="none"/>
                      <w:lang w:val="en-US" w:eastAsia="zh-CN"/>
                    </w:rPr>
                  </w:pPr>
                  <w:r>
                    <w:rPr>
                      <w:rFonts w:hint="eastAsia"/>
                      <w:color w:val="auto"/>
                      <w:szCs w:val="21"/>
                      <w:highlight w:val="none"/>
                      <w:lang w:val="en-US" w:eastAsia="zh-CN"/>
                    </w:rPr>
                    <w:t>0.17%</w:t>
                  </w:r>
                </w:p>
              </w:tc>
            </w:tr>
            <w:tr w14:paraId="6387F3C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jc w:val="center"/>
              </w:trPr>
              <w:tc>
                <w:tcPr>
                  <w:tcW w:w="2496" w:type="pct"/>
                  <w:vAlign w:val="center"/>
                </w:tcPr>
                <w:p w14:paraId="4325BE9E">
                  <w:pPr>
                    <w:pStyle w:val="3"/>
                    <w:ind w:firstLine="0" w:firstLineChars="0"/>
                    <w:jc w:val="center"/>
                    <w:rPr>
                      <w:color w:val="auto"/>
                      <w:szCs w:val="21"/>
                      <w:highlight w:val="none"/>
                    </w:rPr>
                  </w:pPr>
                  <w:r>
                    <w:rPr>
                      <w:rFonts w:hint="default"/>
                      <w:color w:val="auto"/>
                      <w:szCs w:val="21"/>
                      <w:highlight w:val="none"/>
                      <w:lang w:val="en-US" w:eastAsia="zh-CN"/>
                    </w:rPr>
                    <w:t>总计</w:t>
                  </w:r>
                </w:p>
              </w:tc>
              <w:tc>
                <w:tcPr>
                  <w:tcW w:w="1228" w:type="pct"/>
                  <w:vAlign w:val="center"/>
                </w:tcPr>
                <w:p w14:paraId="7B2C28DE">
                  <w:pPr>
                    <w:pStyle w:val="3"/>
                    <w:ind w:firstLine="0" w:firstLineChars="0"/>
                    <w:jc w:val="center"/>
                    <w:rPr>
                      <w:rFonts w:hint="default"/>
                      <w:color w:val="auto"/>
                      <w:szCs w:val="21"/>
                      <w:highlight w:val="none"/>
                      <w:lang w:eastAsia="zh-CN"/>
                    </w:rPr>
                  </w:pPr>
                  <w:r>
                    <w:rPr>
                      <w:rFonts w:hint="default"/>
                      <w:color w:val="auto"/>
                      <w:szCs w:val="21"/>
                      <w:highlight w:val="none"/>
                      <w:lang w:eastAsia="zh-CN"/>
                    </w:rPr>
                    <w:fldChar w:fldCharType="begin"/>
                  </w:r>
                  <w:r>
                    <w:rPr>
                      <w:rFonts w:hint="default"/>
                      <w:color w:val="auto"/>
                      <w:szCs w:val="21"/>
                      <w:highlight w:val="none"/>
                      <w:lang w:eastAsia="zh-CN"/>
                    </w:rPr>
                    <w:instrText xml:space="preserve"> =SUM(ABOVE) \* MERGEFORMAT </w:instrText>
                  </w:r>
                  <w:r>
                    <w:rPr>
                      <w:rFonts w:hint="default"/>
                      <w:color w:val="auto"/>
                      <w:szCs w:val="21"/>
                      <w:highlight w:val="none"/>
                      <w:lang w:eastAsia="zh-CN"/>
                    </w:rPr>
                    <w:fldChar w:fldCharType="separate"/>
                  </w:r>
                  <w:r>
                    <w:rPr>
                      <w:rFonts w:hint="default"/>
                      <w:color w:val="auto"/>
                      <w:szCs w:val="21"/>
                      <w:highlight w:val="none"/>
                      <w:lang w:eastAsia="zh-CN"/>
                    </w:rPr>
                    <w:t>3.8689</w:t>
                  </w:r>
                  <w:r>
                    <w:rPr>
                      <w:rFonts w:hint="default"/>
                      <w:color w:val="auto"/>
                      <w:szCs w:val="21"/>
                      <w:highlight w:val="none"/>
                      <w:lang w:eastAsia="zh-CN"/>
                    </w:rPr>
                    <w:fldChar w:fldCharType="end"/>
                  </w:r>
                </w:p>
              </w:tc>
              <w:tc>
                <w:tcPr>
                  <w:tcW w:w="1274" w:type="pct"/>
                  <w:vAlign w:val="center"/>
                </w:tcPr>
                <w:p w14:paraId="57E02604">
                  <w:pPr>
                    <w:pStyle w:val="3"/>
                    <w:ind w:firstLine="0" w:firstLineChars="0"/>
                    <w:jc w:val="center"/>
                    <w:rPr>
                      <w:rFonts w:hint="default" w:eastAsia="宋体"/>
                      <w:color w:val="auto"/>
                      <w:szCs w:val="21"/>
                      <w:highlight w:val="none"/>
                      <w:lang w:val="en-US" w:eastAsia="zh-CN"/>
                    </w:rPr>
                  </w:pPr>
                  <w:r>
                    <w:rPr>
                      <w:rFonts w:hint="eastAsia"/>
                      <w:color w:val="auto"/>
                      <w:szCs w:val="21"/>
                      <w:highlight w:val="none"/>
                      <w:lang w:val="en-US" w:eastAsia="zh-CN"/>
                    </w:rPr>
                    <w:t>100%</w:t>
                  </w:r>
                </w:p>
              </w:tc>
            </w:tr>
          </w:tbl>
          <w:p w14:paraId="16ECD5C0">
            <w:pPr>
              <w:pStyle w:val="2"/>
              <w:spacing w:before="0" w:after="0" w:line="240" w:lineRule="auto"/>
              <w:jc w:val="center"/>
              <w:rPr>
                <w:rFonts w:hint="eastAsia" w:ascii="黑体" w:hAnsi="黑体" w:eastAsia="黑体"/>
                <w:b w:val="0"/>
                <w:color w:val="auto"/>
                <w:sz w:val="21"/>
                <w:szCs w:val="21"/>
                <w:highlight w:val="none"/>
              </w:rPr>
            </w:pPr>
            <w:r>
              <w:rPr>
                <w:rFonts w:ascii="黑体" w:hAnsi="黑体" w:eastAsia="黑体"/>
                <w:b w:val="0"/>
                <w:color w:val="auto"/>
                <w:sz w:val="21"/>
                <w:szCs w:val="21"/>
                <w:highlight w:val="none"/>
              </w:rPr>
              <w:t>表</w:t>
            </w:r>
            <w:r>
              <w:rPr>
                <w:rFonts w:hint="eastAsia" w:ascii="黑体" w:hAnsi="黑体" w:eastAsia="黑体"/>
                <w:b w:val="0"/>
                <w:color w:val="auto"/>
                <w:sz w:val="21"/>
                <w:szCs w:val="21"/>
                <w:highlight w:val="none"/>
              </w:rPr>
              <w:t>3-4</w:t>
            </w:r>
            <w:r>
              <w:rPr>
                <w:rFonts w:ascii="黑体" w:hAnsi="黑体" w:eastAsia="黑体"/>
                <w:b w:val="0"/>
                <w:color w:val="auto"/>
                <w:sz w:val="21"/>
                <w:szCs w:val="21"/>
                <w:highlight w:val="none"/>
              </w:rPr>
              <w:t xml:space="preserve">    评价范围植被类型现状</w:t>
            </w:r>
            <w:r>
              <w:rPr>
                <w:rFonts w:hint="eastAsia" w:ascii="黑体" w:hAnsi="黑体" w:eastAsia="黑体"/>
                <w:b w:val="0"/>
                <w:color w:val="auto"/>
                <w:sz w:val="21"/>
                <w:szCs w:val="21"/>
                <w:highlight w:val="none"/>
              </w:rPr>
              <w:t xml:space="preserve"> 单位：h</w:t>
            </w:r>
            <w:r>
              <w:rPr>
                <w:rFonts w:ascii="黑体" w:hAnsi="黑体" w:eastAsia="黑体"/>
                <w:b w:val="0"/>
                <w:color w:val="auto"/>
                <w:sz w:val="21"/>
                <w:szCs w:val="21"/>
                <w:highlight w:val="none"/>
              </w:rPr>
              <w:t>m</w:t>
            </w:r>
            <w:r>
              <w:rPr>
                <w:rFonts w:ascii="黑体" w:hAnsi="黑体" w:eastAsia="黑体"/>
                <w:b w:val="0"/>
                <w:color w:val="auto"/>
                <w:sz w:val="21"/>
                <w:szCs w:val="21"/>
                <w:highlight w:val="none"/>
                <w:vertAlign w:val="superscript"/>
              </w:rPr>
              <w:t>2</w:t>
            </w:r>
          </w:p>
          <w:tbl>
            <w:tblPr>
              <w:tblStyle w:val="10"/>
              <w:tblW w:w="5000" w:type="pct"/>
              <w:jc w:val="center"/>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4081"/>
              <w:gridCol w:w="2033"/>
              <w:gridCol w:w="2056"/>
            </w:tblGrid>
            <w:tr w14:paraId="5A606BE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jc w:val="center"/>
              </w:trPr>
              <w:tc>
                <w:tcPr>
                  <w:tcW w:w="2497" w:type="pct"/>
                  <w:vAlign w:val="center"/>
                </w:tcPr>
                <w:p w14:paraId="16D0D92E">
                  <w:pPr>
                    <w:pStyle w:val="3"/>
                    <w:ind w:firstLine="0" w:firstLineChars="0"/>
                    <w:jc w:val="center"/>
                    <w:rPr>
                      <w:color w:val="auto"/>
                      <w:szCs w:val="21"/>
                      <w:highlight w:val="none"/>
                    </w:rPr>
                  </w:pPr>
                  <w:r>
                    <w:rPr>
                      <w:color w:val="auto"/>
                      <w:szCs w:val="21"/>
                      <w:highlight w:val="none"/>
                    </w:rPr>
                    <w:t>植被类型</w:t>
                  </w:r>
                </w:p>
              </w:tc>
              <w:tc>
                <w:tcPr>
                  <w:tcW w:w="1244" w:type="pct"/>
                  <w:vAlign w:val="center"/>
                </w:tcPr>
                <w:p w14:paraId="6528768D">
                  <w:pPr>
                    <w:pStyle w:val="3"/>
                    <w:ind w:firstLine="0" w:firstLineChars="0"/>
                    <w:jc w:val="center"/>
                    <w:rPr>
                      <w:color w:val="auto"/>
                      <w:szCs w:val="21"/>
                      <w:highlight w:val="none"/>
                    </w:rPr>
                  </w:pPr>
                  <w:r>
                    <w:rPr>
                      <w:color w:val="auto"/>
                      <w:szCs w:val="21"/>
                      <w:highlight w:val="none"/>
                    </w:rPr>
                    <w:t>面积</w:t>
                  </w:r>
                </w:p>
              </w:tc>
              <w:tc>
                <w:tcPr>
                  <w:tcW w:w="1258" w:type="pct"/>
                  <w:vAlign w:val="center"/>
                </w:tcPr>
                <w:p w14:paraId="5C58EBF1">
                  <w:pPr>
                    <w:pStyle w:val="3"/>
                    <w:ind w:firstLine="0" w:firstLineChars="0"/>
                    <w:jc w:val="center"/>
                    <w:rPr>
                      <w:color w:val="auto"/>
                      <w:szCs w:val="21"/>
                      <w:highlight w:val="none"/>
                    </w:rPr>
                  </w:pPr>
                  <w:r>
                    <w:rPr>
                      <w:color w:val="auto"/>
                      <w:szCs w:val="21"/>
                      <w:highlight w:val="none"/>
                    </w:rPr>
                    <w:t>比例</w:t>
                  </w:r>
                </w:p>
              </w:tc>
            </w:tr>
            <w:tr w14:paraId="788E855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jc w:val="center"/>
              </w:trPr>
              <w:tc>
                <w:tcPr>
                  <w:tcW w:w="4354" w:type="dxa"/>
                  <w:vAlign w:val="bottom"/>
                </w:tcPr>
                <w:p w14:paraId="401806E2">
                  <w:pPr>
                    <w:keepNext w:val="0"/>
                    <w:keepLines w:val="0"/>
                    <w:widowControl/>
                    <w:suppressLineNumbers w:val="0"/>
                    <w:jc w:val="center"/>
                    <w:textAlignment w:val="bottom"/>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草丛</w:t>
                  </w:r>
                </w:p>
              </w:tc>
              <w:tc>
                <w:tcPr>
                  <w:tcW w:w="2169" w:type="dxa"/>
                  <w:vAlign w:val="bottom"/>
                </w:tcPr>
                <w:p w14:paraId="74CCEC02">
                  <w:pPr>
                    <w:keepNext w:val="0"/>
                    <w:keepLines w:val="0"/>
                    <w:widowControl/>
                    <w:suppressLineNumbers w:val="0"/>
                    <w:jc w:val="center"/>
                    <w:textAlignment w:val="bottom"/>
                    <w:rPr>
                      <w:rFonts w:hint="default" w:ascii="Times New Roman" w:hAnsi="Times New Roman" w:eastAsia="宋体" w:cs="Times New Roman"/>
                      <w:color w:val="auto"/>
                      <w:kern w:val="0"/>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213.</w:t>
                  </w:r>
                  <w:r>
                    <w:rPr>
                      <w:rFonts w:hint="eastAsia" w:ascii="Times New Roman" w:hAnsi="Times New Roman" w:eastAsia="宋体" w:cs="Times New Roman"/>
                      <w:i w:val="0"/>
                      <w:iCs w:val="0"/>
                      <w:color w:val="auto"/>
                      <w:kern w:val="0"/>
                      <w:sz w:val="21"/>
                      <w:szCs w:val="21"/>
                      <w:highlight w:val="none"/>
                      <w:u w:val="none"/>
                      <w:lang w:val="en-US" w:eastAsia="zh-CN" w:bidi="ar"/>
                    </w:rPr>
                    <w:t>11</w:t>
                  </w:r>
                </w:p>
              </w:tc>
              <w:tc>
                <w:tcPr>
                  <w:tcW w:w="2194" w:type="dxa"/>
                  <w:vAlign w:val="bottom"/>
                </w:tcPr>
                <w:p w14:paraId="7486F5BF">
                  <w:pPr>
                    <w:keepNext w:val="0"/>
                    <w:keepLines w:val="0"/>
                    <w:widowControl/>
                    <w:suppressLineNumbers w:val="0"/>
                    <w:jc w:val="center"/>
                    <w:textAlignment w:val="bottom"/>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16.28%</w:t>
                  </w:r>
                </w:p>
              </w:tc>
            </w:tr>
            <w:tr w14:paraId="7AA2AAC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jc w:val="center"/>
              </w:trPr>
              <w:tc>
                <w:tcPr>
                  <w:tcW w:w="4354" w:type="dxa"/>
                  <w:vAlign w:val="bottom"/>
                </w:tcPr>
                <w:p w14:paraId="0E9D41AE">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果园</w:t>
                  </w:r>
                </w:p>
              </w:tc>
              <w:tc>
                <w:tcPr>
                  <w:tcW w:w="2169" w:type="dxa"/>
                  <w:vAlign w:val="bottom"/>
                </w:tcPr>
                <w:p w14:paraId="41ED6E2D">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1.</w:t>
                  </w:r>
                  <w:r>
                    <w:rPr>
                      <w:rFonts w:hint="eastAsia" w:ascii="Times New Roman" w:hAnsi="Times New Roman" w:eastAsia="宋体" w:cs="Times New Roman"/>
                      <w:i w:val="0"/>
                      <w:iCs w:val="0"/>
                      <w:color w:val="auto"/>
                      <w:kern w:val="0"/>
                      <w:sz w:val="21"/>
                      <w:szCs w:val="21"/>
                      <w:highlight w:val="none"/>
                      <w:u w:val="none"/>
                      <w:lang w:val="en-US" w:eastAsia="zh-CN" w:bidi="ar"/>
                    </w:rPr>
                    <w:t>31</w:t>
                  </w:r>
                </w:p>
              </w:tc>
              <w:tc>
                <w:tcPr>
                  <w:tcW w:w="2194" w:type="dxa"/>
                  <w:vAlign w:val="bottom"/>
                </w:tcPr>
                <w:p w14:paraId="4CA89681">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0.10%</w:t>
                  </w:r>
                </w:p>
              </w:tc>
            </w:tr>
            <w:tr w14:paraId="56C9DA0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jc w:val="center"/>
              </w:trPr>
              <w:tc>
                <w:tcPr>
                  <w:tcW w:w="4354" w:type="dxa"/>
                  <w:vAlign w:val="bottom"/>
                </w:tcPr>
                <w:p w14:paraId="4D7D8A6D">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落叶阔叶林</w:t>
                  </w:r>
                </w:p>
              </w:tc>
              <w:tc>
                <w:tcPr>
                  <w:tcW w:w="2169" w:type="dxa"/>
                  <w:vAlign w:val="bottom"/>
                </w:tcPr>
                <w:p w14:paraId="6434490B">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187.8</w:t>
                  </w:r>
                  <w:r>
                    <w:rPr>
                      <w:rFonts w:hint="eastAsia" w:ascii="Times New Roman" w:hAnsi="Times New Roman" w:eastAsia="宋体" w:cs="Times New Roman"/>
                      <w:i w:val="0"/>
                      <w:iCs w:val="0"/>
                      <w:color w:val="auto"/>
                      <w:kern w:val="0"/>
                      <w:sz w:val="21"/>
                      <w:szCs w:val="21"/>
                      <w:highlight w:val="none"/>
                      <w:u w:val="none"/>
                      <w:lang w:val="en-US" w:eastAsia="zh-CN" w:bidi="ar"/>
                    </w:rPr>
                    <w:t>3</w:t>
                  </w:r>
                </w:p>
              </w:tc>
              <w:tc>
                <w:tcPr>
                  <w:tcW w:w="2194" w:type="dxa"/>
                  <w:vAlign w:val="bottom"/>
                </w:tcPr>
                <w:p w14:paraId="44E315D8">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14.34%</w:t>
                  </w:r>
                </w:p>
              </w:tc>
            </w:tr>
            <w:tr w14:paraId="2D35EB0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jc w:val="center"/>
              </w:trPr>
              <w:tc>
                <w:tcPr>
                  <w:tcW w:w="4354" w:type="dxa"/>
                  <w:vAlign w:val="bottom"/>
                </w:tcPr>
                <w:p w14:paraId="18BF3C15">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农田植被</w:t>
                  </w:r>
                </w:p>
              </w:tc>
              <w:tc>
                <w:tcPr>
                  <w:tcW w:w="2169" w:type="dxa"/>
                  <w:vAlign w:val="bottom"/>
                </w:tcPr>
                <w:p w14:paraId="7B70A1CE">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308.8</w:t>
                  </w:r>
                  <w:r>
                    <w:rPr>
                      <w:rFonts w:hint="eastAsia" w:ascii="Times New Roman" w:hAnsi="Times New Roman" w:eastAsia="宋体" w:cs="Times New Roman"/>
                      <w:i w:val="0"/>
                      <w:iCs w:val="0"/>
                      <w:color w:val="auto"/>
                      <w:kern w:val="0"/>
                      <w:sz w:val="21"/>
                      <w:szCs w:val="21"/>
                      <w:highlight w:val="none"/>
                      <w:u w:val="none"/>
                      <w:lang w:val="en-US" w:eastAsia="zh-CN" w:bidi="ar"/>
                    </w:rPr>
                    <w:t>9</w:t>
                  </w:r>
                </w:p>
              </w:tc>
              <w:tc>
                <w:tcPr>
                  <w:tcW w:w="2194" w:type="dxa"/>
                  <w:vAlign w:val="bottom"/>
                </w:tcPr>
                <w:p w14:paraId="2AFC542C">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23.59%</w:t>
                  </w:r>
                </w:p>
              </w:tc>
            </w:tr>
            <w:tr w14:paraId="70B0BFD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jc w:val="center"/>
              </w:trPr>
              <w:tc>
                <w:tcPr>
                  <w:tcW w:w="4354" w:type="dxa"/>
                  <w:vAlign w:val="bottom"/>
                </w:tcPr>
                <w:p w14:paraId="088683F3">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其他</w:t>
                  </w:r>
                </w:p>
              </w:tc>
              <w:tc>
                <w:tcPr>
                  <w:tcW w:w="2169" w:type="dxa"/>
                  <w:vAlign w:val="bottom"/>
                </w:tcPr>
                <w:p w14:paraId="2B80C64A">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21.3</w:t>
                  </w:r>
                  <w:r>
                    <w:rPr>
                      <w:rFonts w:hint="eastAsia" w:ascii="Times New Roman" w:hAnsi="Times New Roman" w:eastAsia="宋体" w:cs="Times New Roman"/>
                      <w:i w:val="0"/>
                      <w:iCs w:val="0"/>
                      <w:color w:val="auto"/>
                      <w:kern w:val="0"/>
                      <w:sz w:val="21"/>
                      <w:szCs w:val="21"/>
                      <w:highlight w:val="none"/>
                      <w:u w:val="none"/>
                      <w:lang w:val="en-US" w:eastAsia="zh-CN" w:bidi="ar"/>
                    </w:rPr>
                    <w:t>9</w:t>
                  </w:r>
                </w:p>
              </w:tc>
              <w:tc>
                <w:tcPr>
                  <w:tcW w:w="2194" w:type="dxa"/>
                  <w:vAlign w:val="bottom"/>
                </w:tcPr>
                <w:p w14:paraId="0643C387">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1.63%</w:t>
                  </w:r>
                </w:p>
              </w:tc>
            </w:tr>
            <w:tr w14:paraId="100AF70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jc w:val="center"/>
              </w:trPr>
              <w:tc>
                <w:tcPr>
                  <w:tcW w:w="4354" w:type="dxa"/>
                  <w:vAlign w:val="bottom"/>
                </w:tcPr>
                <w:p w14:paraId="47BBDAD1">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针叶林</w:t>
                  </w:r>
                </w:p>
              </w:tc>
              <w:tc>
                <w:tcPr>
                  <w:tcW w:w="2169" w:type="dxa"/>
                  <w:vAlign w:val="bottom"/>
                </w:tcPr>
                <w:p w14:paraId="0CC663C3">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576.7</w:t>
                  </w:r>
                  <w:r>
                    <w:rPr>
                      <w:rFonts w:hint="eastAsia" w:ascii="Times New Roman" w:hAnsi="Times New Roman" w:eastAsia="宋体" w:cs="Times New Roman"/>
                      <w:i w:val="0"/>
                      <w:iCs w:val="0"/>
                      <w:color w:val="auto"/>
                      <w:kern w:val="0"/>
                      <w:sz w:val="21"/>
                      <w:szCs w:val="21"/>
                      <w:highlight w:val="none"/>
                      <w:u w:val="none"/>
                      <w:lang w:val="en-US" w:eastAsia="zh-CN" w:bidi="ar"/>
                    </w:rPr>
                    <w:t>5</w:t>
                  </w:r>
                </w:p>
              </w:tc>
              <w:tc>
                <w:tcPr>
                  <w:tcW w:w="2194" w:type="dxa"/>
                  <w:vAlign w:val="bottom"/>
                </w:tcPr>
                <w:p w14:paraId="31EDEF88">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44.05%</w:t>
                  </w:r>
                </w:p>
              </w:tc>
            </w:tr>
            <w:tr w14:paraId="6728D15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jc w:val="center"/>
              </w:trPr>
              <w:tc>
                <w:tcPr>
                  <w:tcW w:w="4354" w:type="dxa"/>
                  <w:vAlign w:val="bottom"/>
                </w:tcPr>
                <w:p w14:paraId="06E063FC">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总计</w:t>
                  </w:r>
                </w:p>
              </w:tc>
              <w:tc>
                <w:tcPr>
                  <w:tcW w:w="2169" w:type="dxa"/>
                  <w:vAlign w:val="bottom"/>
                </w:tcPr>
                <w:p w14:paraId="21B57876">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eastAsia="zh-CN" w:bidi="ar"/>
                    </w:rPr>
                  </w:pPr>
                  <w:r>
                    <w:rPr>
                      <w:rFonts w:hint="default" w:ascii="Times New Roman" w:hAnsi="Times New Roman" w:eastAsia="宋体" w:cs="Times New Roman"/>
                      <w:i w:val="0"/>
                      <w:iCs w:val="0"/>
                      <w:color w:val="auto"/>
                      <w:kern w:val="0"/>
                      <w:sz w:val="21"/>
                      <w:szCs w:val="21"/>
                      <w:highlight w:val="none"/>
                      <w:u w:val="none"/>
                      <w:lang w:eastAsia="zh-CN" w:bidi="ar"/>
                    </w:rPr>
                    <w:fldChar w:fldCharType="begin"/>
                  </w:r>
                  <w:r>
                    <w:rPr>
                      <w:rFonts w:hint="default" w:ascii="Times New Roman" w:hAnsi="Times New Roman" w:eastAsia="宋体" w:cs="Times New Roman"/>
                      <w:i w:val="0"/>
                      <w:iCs w:val="0"/>
                      <w:color w:val="auto"/>
                      <w:kern w:val="0"/>
                      <w:sz w:val="21"/>
                      <w:szCs w:val="21"/>
                      <w:highlight w:val="none"/>
                      <w:u w:val="none"/>
                      <w:lang w:eastAsia="zh-CN" w:bidi="ar"/>
                    </w:rPr>
                    <w:instrText xml:space="preserve"> =SUM(ABOVE) \* MERGEFORMAT </w:instrText>
                  </w:r>
                  <w:r>
                    <w:rPr>
                      <w:rFonts w:hint="default" w:ascii="Times New Roman" w:hAnsi="Times New Roman" w:eastAsia="宋体" w:cs="Times New Roman"/>
                      <w:i w:val="0"/>
                      <w:iCs w:val="0"/>
                      <w:color w:val="auto"/>
                      <w:kern w:val="0"/>
                      <w:sz w:val="21"/>
                      <w:szCs w:val="21"/>
                      <w:highlight w:val="none"/>
                      <w:u w:val="none"/>
                      <w:lang w:eastAsia="zh-CN" w:bidi="ar"/>
                    </w:rPr>
                    <w:fldChar w:fldCharType="separate"/>
                  </w:r>
                  <w:r>
                    <w:rPr>
                      <w:rFonts w:hint="default" w:ascii="Times New Roman" w:hAnsi="Times New Roman" w:eastAsia="宋体" w:cs="Times New Roman"/>
                      <w:i w:val="0"/>
                      <w:iCs w:val="0"/>
                      <w:color w:val="auto"/>
                      <w:kern w:val="0"/>
                      <w:sz w:val="21"/>
                      <w:szCs w:val="21"/>
                      <w:highlight w:val="none"/>
                      <w:u w:val="none"/>
                      <w:lang w:eastAsia="zh-CN" w:bidi="ar"/>
                    </w:rPr>
                    <w:t>1309.28</w:t>
                  </w:r>
                  <w:r>
                    <w:rPr>
                      <w:rFonts w:hint="default" w:ascii="Times New Roman" w:hAnsi="Times New Roman" w:eastAsia="宋体" w:cs="Times New Roman"/>
                      <w:i w:val="0"/>
                      <w:iCs w:val="0"/>
                      <w:color w:val="auto"/>
                      <w:kern w:val="0"/>
                      <w:sz w:val="21"/>
                      <w:szCs w:val="21"/>
                      <w:highlight w:val="none"/>
                      <w:u w:val="none"/>
                      <w:lang w:eastAsia="zh-CN" w:bidi="ar"/>
                    </w:rPr>
                    <w:fldChar w:fldCharType="end"/>
                  </w:r>
                </w:p>
              </w:tc>
              <w:tc>
                <w:tcPr>
                  <w:tcW w:w="2194" w:type="dxa"/>
                  <w:vAlign w:val="bottom"/>
                </w:tcPr>
                <w:p w14:paraId="598749BB">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r>
          </w:tbl>
          <w:p w14:paraId="0FB340A7">
            <w:pPr>
              <w:pStyle w:val="2"/>
              <w:spacing w:before="0" w:after="0" w:line="240" w:lineRule="auto"/>
              <w:jc w:val="center"/>
              <w:rPr>
                <w:rFonts w:hint="eastAsia" w:ascii="黑体" w:hAnsi="黑体" w:eastAsia="黑体"/>
                <w:b w:val="0"/>
                <w:color w:val="auto"/>
                <w:sz w:val="21"/>
                <w:szCs w:val="21"/>
                <w:highlight w:val="none"/>
              </w:rPr>
            </w:pPr>
            <w:r>
              <w:rPr>
                <w:rFonts w:ascii="黑体" w:hAnsi="黑体" w:eastAsia="黑体"/>
                <w:b w:val="0"/>
                <w:color w:val="auto"/>
                <w:sz w:val="21"/>
                <w:szCs w:val="21"/>
                <w:highlight w:val="none"/>
              </w:rPr>
              <w:t>表</w:t>
            </w:r>
            <w:r>
              <w:rPr>
                <w:rFonts w:hint="eastAsia" w:ascii="黑体" w:hAnsi="黑体" w:eastAsia="黑体"/>
                <w:b w:val="0"/>
                <w:color w:val="auto"/>
                <w:sz w:val="21"/>
                <w:szCs w:val="21"/>
                <w:highlight w:val="none"/>
              </w:rPr>
              <w:t>3-5</w:t>
            </w:r>
            <w:r>
              <w:rPr>
                <w:rFonts w:ascii="黑体" w:hAnsi="黑体" w:eastAsia="黑体"/>
                <w:b w:val="0"/>
                <w:color w:val="auto"/>
                <w:sz w:val="21"/>
                <w:szCs w:val="21"/>
                <w:highlight w:val="none"/>
              </w:rPr>
              <w:t xml:space="preserve">    占地范围植被类型现状</w:t>
            </w:r>
            <w:r>
              <w:rPr>
                <w:rFonts w:hint="eastAsia" w:ascii="黑体" w:hAnsi="黑体" w:eastAsia="黑体"/>
                <w:b w:val="0"/>
                <w:color w:val="auto"/>
                <w:sz w:val="21"/>
                <w:szCs w:val="21"/>
                <w:highlight w:val="none"/>
              </w:rPr>
              <w:t xml:space="preserve"> 单位：</w:t>
            </w:r>
            <w:r>
              <w:rPr>
                <w:rFonts w:hint="eastAsia" w:ascii="黑体" w:hAnsi="黑体" w:eastAsia="黑体"/>
                <w:b w:val="0"/>
                <w:color w:val="auto"/>
                <w:sz w:val="21"/>
                <w:szCs w:val="21"/>
                <w:highlight w:val="none"/>
                <w:lang w:val="en-US" w:eastAsia="zh-CN"/>
              </w:rPr>
              <w:t>h</w:t>
            </w:r>
            <w:r>
              <w:rPr>
                <w:rFonts w:ascii="黑体" w:hAnsi="黑体" w:eastAsia="黑体"/>
                <w:b w:val="0"/>
                <w:color w:val="auto"/>
                <w:sz w:val="21"/>
                <w:szCs w:val="21"/>
                <w:highlight w:val="none"/>
              </w:rPr>
              <w:t>m</w:t>
            </w:r>
            <w:r>
              <w:rPr>
                <w:rFonts w:ascii="黑体" w:hAnsi="黑体" w:eastAsia="黑体"/>
                <w:b w:val="0"/>
                <w:color w:val="auto"/>
                <w:sz w:val="21"/>
                <w:szCs w:val="21"/>
                <w:highlight w:val="none"/>
                <w:vertAlign w:val="superscript"/>
              </w:rPr>
              <w:t>2</w:t>
            </w:r>
          </w:p>
          <w:tbl>
            <w:tblPr>
              <w:tblStyle w:val="10"/>
              <w:tblW w:w="5000" w:type="pct"/>
              <w:jc w:val="center"/>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4081"/>
              <w:gridCol w:w="2033"/>
              <w:gridCol w:w="2056"/>
            </w:tblGrid>
            <w:tr w14:paraId="580B646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jc w:val="center"/>
              </w:trPr>
              <w:tc>
                <w:tcPr>
                  <w:tcW w:w="2497" w:type="pct"/>
                  <w:vAlign w:val="center"/>
                </w:tcPr>
                <w:p w14:paraId="6AC4053B">
                  <w:pPr>
                    <w:pStyle w:val="3"/>
                    <w:ind w:firstLine="0" w:firstLineChars="0"/>
                    <w:jc w:val="center"/>
                    <w:rPr>
                      <w:color w:val="auto"/>
                      <w:szCs w:val="21"/>
                      <w:highlight w:val="none"/>
                    </w:rPr>
                  </w:pPr>
                  <w:r>
                    <w:rPr>
                      <w:color w:val="auto"/>
                      <w:szCs w:val="21"/>
                      <w:highlight w:val="none"/>
                    </w:rPr>
                    <w:t>植被覆盖</w:t>
                  </w:r>
                </w:p>
              </w:tc>
              <w:tc>
                <w:tcPr>
                  <w:tcW w:w="1244" w:type="pct"/>
                  <w:vAlign w:val="center"/>
                </w:tcPr>
                <w:p w14:paraId="7D099BF8">
                  <w:pPr>
                    <w:pStyle w:val="3"/>
                    <w:ind w:firstLine="0" w:firstLineChars="0"/>
                    <w:jc w:val="center"/>
                    <w:rPr>
                      <w:color w:val="auto"/>
                      <w:szCs w:val="21"/>
                      <w:highlight w:val="none"/>
                    </w:rPr>
                  </w:pPr>
                  <w:r>
                    <w:rPr>
                      <w:color w:val="auto"/>
                      <w:szCs w:val="21"/>
                      <w:highlight w:val="none"/>
                    </w:rPr>
                    <w:t>面积</w:t>
                  </w:r>
                </w:p>
              </w:tc>
              <w:tc>
                <w:tcPr>
                  <w:tcW w:w="1258" w:type="pct"/>
                  <w:vAlign w:val="center"/>
                </w:tcPr>
                <w:p w14:paraId="74B17CBD">
                  <w:pPr>
                    <w:pStyle w:val="3"/>
                    <w:ind w:firstLine="0" w:firstLineChars="0"/>
                    <w:jc w:val="center"/>
                    <w:rPr>
                      <w:color w:val="auto"/>
                      <w:szCs w:val="21"/>
                      <w:highlight w:val="none"/>
                    </w:rPr>
                  </w:pPr>
                  <w:r>
                    <w:rPr>
                      <w:color w:val="auto"/>
                      <w:szCs w:val="21"/>
                      <w:highlight w:val="none"/>
                    </w:rPr>
                    <w:t>比例</w:t>
                  </w:r>
                </w:p>
              </w:tc>
            </w:tr>
            <w:tr w14:paraId="04B23DA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jc w:val="center"/>
              </w:trPr>
              <w:tc>
                <w:tcPr>
                  <w:tcW w:w="2497" w:type="pct"/>
                  <w:vAlign w:val="center"/>
                </w:tcPr>
                <w:p w14:paraId="4817CC76">
                  <w:pPr>
                    <w:pStyle w:val="3"/>
                    <w:ind w:firstLine="0" w:firstLineChars="0"/>
                    <w:jc w:val="center"/>
                    <w:rPr>
                      <w:color w:val="auto"/>
                      <w:szCs w:val="21"/>
                      <w:highlight w:val="none"/>
                    </w:rPr>
                  </w:pPr>
                  <w:r>
                    <w:rPr>
                      <w:rFonts w:hint="eastAsia"/>
                      <w:color w:val="auto"/>
                      <w:szCs w:val="21"/>
                      <w:highlight w:val="none"/>
                      <w:lang w:val="en-US" w:eastAsia="zh-CN"/>
                    </w:rPr>
                    <w:t>农田植被</w:t>
                  </w:r>
                </w:p>
              </w:tc>
              <w:tc>
                <w:tcPr>
                  <w:tcW w:w="2033" w:type="dxa"/>
                  <w:vAlign w:val="center"/>
                </w:tcPr>
                <w:p w14:paraId="540BAD2C">
                  <w:pPr>
                    <w:pStyle w:val="3"/>
                    <w:ind w:firstLine="0" w:firstLineChars="0"/>
                    <w:jc w:val="center"/>
                    <w:rPr>
                      <w:color w:val="auto"/>
                      <w:szCs w:val="21"/>
                      <w:highlight w:val="none"/>
                    </w:rPr>
                  </w:pPr>
                  <w:r>
                    <w:rPr>
                      <w:rFonts w:hint="default" w:eastAsia="宋体"/>
                      <w:color w:val="auto"/>
                      <w:szCs w:val="21"/>
                      <w:highlight w:val="none"/>
                      <w:lang w:val="en-US" w:eastAsia="zh-CN"/>
                    </w:rPr>
                    <w:t>0.1094</w:t>
                  </w:r>
                </w:p>
              </w:tc>
              <w:tc>
                <w:tcPr>
                  <w:tcW w:w="2056" w:type="dxa"/>
                  <w:vAlign w:val="center"/>
                </w:tcPr>
                <w:p w14:paraId="5EFF56CF">
                  <w:pPr>
                    <w:pStyle w:val="3"/>
                    <w:ind w:firstLine="0" w:firstLineChars="0"/>
                    <w:jc w:val="center"/>
                    <w:rPr>
                      <w:color w:val="auto"/>
                      <w:szCs w:val="21"/>
                      <w:highlight w:val="none"/>
                    </w:rPr>
                  </w:pPr>
                  <w:r>
                    <w:rPr>
                      <w:rFonts w:hint="eastAsia"/>
                      <w:color w:val="auto"/>
                      <w:szCs w:val="21"/>
                      <w:highlight w:val="none"/>
                      <w:lang w:val="en-US" w:eastAsia="zh-CN"/>
                    </w:rPr>
                    <w:t>2.83%</w:t>
                  </w:r>
                </w:p>
              </w:tc>
            </w:tr>
            <w:tr w14:paraId="78FAFF5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jc w:val="center"/>
              </w:trPr>
              <w:tc>
                <w:tcPr>
                  <w:tcW w:w="2497" w:type="pct"/>
                  <w:vAlign w:val="center"/>
                </w:tcPr>
                <w:p w14:paraId="44F3420C">
                  <w:pPr>
                    <w:pStyle w:val="3"/>
                    <w:ind w:firstLine="0" w:firstLineChars="0"/>
                    <w:jc w:val="center"/>
                    <w:rPr>
                      <w:color w:val="auto"/>
                      <w:szCs w:val="21"/>
                      <w:highlight w:val="none"/>
                    </w:rPr>
                  </w:pPr>
                  <w:r>
                    <w:rPr>
                      <w:rFonts w:hint="default"/>
                      <w:color w:val="auto"/>
                      <w:szCs w:val="21"/>
                      <w:highlight w:val="none"/>
                      <w:lang w:val="en-US" w:eastAsia="zh-CN"/>
                    </w:rPr>
                    <w:t>针叶林</w:t>
                  </w:r>
                </w:p>
              </w:tc>
              <w:tc>
                <w:tcPr>
                  <w:tcW w:w="2033" w:type="dxa"/>
                  <w:vAlign w:val="center"/>
                </w:tcPr>
                <w:p w14:paraId="4339AA2A">
                  <w:pPr>
                    <w:pStyle w:val="3"/>
                    <w:ind w:firstLine="0" w:firstLineChars="0"/>
                    <w:jc w:val="center"/>
                    <w:rPr>
                      <w:color w:val="auto"/>
                      <w:szCs w:val="21"/>
                      <w:highlight w:val="none"/>
                    </w:rPr>
                  </w:pPr>
                  <w:r>
                    <w:rPr>
                      <w:rFonts w:hint="eastAsia"/>
                      <w:color w:val="auto"/>
                      <w:szCs w:val="21"/>
                      <w:highlight w:val="none"/>
                      <w:lang w:val="en-US" w:eastAsia="zh-CN"/>
                    </w:rPr>
                    <w:t>1.6957</w:t>
                  </w:r>
                </w:p>
              </w:tc>
              <w:tc>
                <w:tcPr>
                  <w:tcW w:w="2056" w:type="dxa"/>
                  <w:vAlign w:val="center"/>
                </w:tcPr>
                <w:p w14:paraId="1641E500">
                  <w:pPr>
                    <w:pStyle w:val="3"/>
                    <w:ind w:firstLine="0" w:firstLineChars="0"/>
                    <w:jc w:val="center"/>
                    <w:rPr>
                      <w:color w:val="auto"/>
                      <w:szCs w:val="21"/>
                      <w:highlight w:val="none"/>
                    </w:rPr>
                  </w:pPr>
                  <w:r>
                    <w:rPr>
                      <w:rFonts w:hint="eastAsia"/>
                      <w:color w:val="auto"/>
                      <w:szCs w:val="21"/>
                      <w:highlight w:val="none"/>
                      <w:lang w:val="en-US" w:eastAsia="zh-CN"/>
                    </w:rPr>
                    <w:t>43.83%</w:t>
                  </w:r>
                </w:p>
              </w:tc>
            </w:tr>
            <w:tr w14:paraId="4D2A5BA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jc w:val="center"/>
              </w:trPr>
              <w:tc>
                <w:tcPr>
                  <w:tcW w:w="2497" w:type="pct"/>
                  <w:vAlign w:val="center"/>
                </w:tcPr>
                <w:p w14:paraId="5023DF90">
                  <w:pPr>
                    <w:pStyle w:val="3"/>
                    <w:ind w:firstLine="0" w:firstLineChars="0"/>
                    <w:jc w:val="center"/>
                    <w:rPr>
                      <w:color w:val="auto"/>
                      <w:szCs w:val="21"/>
                      <w:highlight w:val="none"/>
                    </w:rPr>
                  </w:pPr>
                  <w:r>
                    <w:rPr>
                      <w:rFonts w:hint="eastAsia"/>
                      <w:color w:val="auto"/>
                      <w:szCs w:val="21"/>
                      <w:highlight w:val="none"/>
                      <w:lang w:val="en-US" w:eastAsia="zh-CN"/>
                    </w:rPr>
                    <w:t>落叶阔叶林</w:t>
                  </w:r>
                </w:p>
              </w:tc>
              <w:tc>
                <w:tcPr>
                  <w:tcW w:w="2033" w:type="dxa"/>
                  <w:vAlign w:val="center"/>
                </w:tcPr>
                <w:p w14:paraId="0B44817D">
                  <w:pPr>
                    <w:pStyle w:val="3"/>
                    <w:ind w:firstLine="0" w:firstLineChars="0"/>
                    <w:jc w:val="center"/>
                    <w:rPr>
                      <w:rFonts w:hint="default" w:eastAsia="宋体"/>
                      <w:color w:val="auto"/>
                      <w:szCs w:val="21"/>
                      <w:highlight w:val="none"/>
                      <w:lang w:val="en-US" w:eastAsia="zh-CN"/>
                    </w:rPr>
                  </w:pPr>
                  <w:r>
                    <w:rPr>
                      <w:rFonts w:hint="eastAsia"/>
                      <w:color w:val="auto"/>
                      <w:szCs w:val="21"/>
                      <w:highlight w:val="none"/>
                      <w:lang w:val="en-US" w:eastAsia="zh-CN"/>
                    </w:rPr>
                    <w:t>0.624</w:t>
                  </w:r>
                </w:p>
              </w:tc>
              <w:tc>
                <w:tcPr>
                  <w:tcW w:w="2056" w:type="dxa"/>
                  <w:vAlign w:val="center"/>
                </w:tcPr>
                <w:p w14:paraId="5E285AA5">
                  <w:pPr>
                    <w:pStyle w:val="3"/>
                    <w:ind w:firstLine="0" w:firstLineChars="0"/>
                    <w:jc w:val="center"/>
                    <w:rPr>
                      <w:rFonts w:hint="default" w:eastAsia="宋体"/>
                      <w:color w:val="auto"/>
                      <w:szCs w:val="21"/>
                      <w:highlight w:val="none"/>
                      <w:lang w:val="en-US" w:eastAsia="zh-CN"/>
                    </w:rPr>
                  </w:pPr>
                  <w:r>
                    <w:rPr>
                      <w:rFonts w:hint="eastAsia"/>
                      <w:color w:val="auto"/>
                      <w:szCs w:val="21"/>
                      <w:highlight w:val="none"/>
                      <w:lang w:val="en-US" w:eastAsia="zh-CN"/>
                    </w:rPr>
                    <w:t>16.13%</w:t>
                  </w:r>
                </w:p>
              </w:tc>
            </w:tr>
            <w:tr w14:paraId="5E0943D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jc w:val="center"/>
              </w:trPr>
              <w:tc>
                <w:tcPr>
                  <w:tcW w:w="2497" w:type="pct"/>
                  <w:vAlign w:val="center"/>
                </w:tcPr>
                <w:p w14:paraId="5AE29B20">
                  <w:pPr>
                    <w:pStyle w:val="3"/>
                    <w:ind w:firstLine="0" w:firstLineChars="0"/>
                    <w:jc w:val="center"/>
                    <w:rPr>
                      <w:rFonts w:hint="eastAsia"/>
                      <w:color w:val="auto"/>
                      <w:szCs w:val="21"/>
                      <w:highlight w:val="none"/>
                      <w:lang w:val="en-US" w:eastAsia="zh-CN"/>
                    </w:rPr>
                  </w:pPr>
                  <w:r>
                    <w:rPr>
                      <w:rFonts w:hint="eastAsia"/>
                      <w:color w:val="auto"/>
                      <w:szCs w:val="21"/>
                      <w:highlight w:val="none"/>
                      <w:lang w:val="en-US" w:eastAsia="zh-CN"/>
                    </w:rPr>
                    <w:t>草丛</w:t>
                  </w:r>
                </w:p>
              </w:tc>
              <w:tc>
                <w:tcPr>
                  <w:tcW w:w="2033" w:type="dxa"/>
                  <w:vAlign w:val="center"/>
                </w:tcPr>
                <w:p w14:paraId="4FB37A8D">
                  <w:pPr>
                    <w:pStyle w:val="3"/>
                    <w:ind w:firstLine="0" w:firstLineChars="0"/>
                    <w:jc w:val="center"/>
                    <w:rPr>
                      <w:rFonts w:hint="eastAsia"/>
                      <w:color w:val="auto"/>
                      <w:szCs w:val="21"/>
                      <w:highlight w:val="none"/>
                      <w:lang w:val="en-US" w:eastAsia="zh-CN"/>
                    </w:rPr>
                  </w:pPr>
                  <w:r>
                    <w:rPr>
                      <w:rFonts w:hint="eastAsia"/>
                      <w:color w:val="auto"/>
                      <w:szCs w:val="21"/>
                      <w:highlight w:val="none"/>
                      <w:lang w:val="en-US" w:eastAsia="zh-CN"/>
                    </w:rPr>
                    <w:t>1.4332</w:t>
                  </w:r>
                </w:p>
              </w:tc>
              <w:tc>
                <w:tcPr>
                  <w:tcW w:w="2056" w:type="dxa"/>
                  <w:vAlign w:val="center"/>
                </w:tcPr>
                <w:p w14:paraId="4EE7E4BA">
                  <w:pPr>
                    <w:pStyle w:val="3"/>
                    <w:ind w:firstLine="0" w:firstLineChars="0"/>
                    <w:jc w:val="center"/>
                    <w:rPr>
                      <w:color w:val="auto"/>
                      <w:szCs w:val="21"/>
                      <w:highlight w:val="none"/>
                    </w:rPr>
                  </w:pPr>
                  <w:r>
                    <w:rPr>
                      <w:rFonts w:hint="eastAsia"/>
                      <w:color w:val="auto"/>
                      <w:szCs w:val="21"/>
                      <w:highlight w:val="none"/>
                      <w:lang w:val="en-US" w:eastAsia="zh-CN"/>
                    </w:rPr>
                    <w:t>37.04%</w:t>
                  </w:r>
                </w:p>
              </w:tc>
            </w:tr>
            <w:tr w14:paraId="6B1B9EB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jc w:val="center"/>
              </w:trPr>
              <w:tc>
                <w:tcPr>
                  <w:tcW w:w="2497" w:type="pct"/>
                  <w:vAlign w:val="center"/>
                </w:tcPr>
                <w:p w14:paraId="2D038281">
                  <w:pPr>
                    <w:pStyle w:val="3"/>
                    <w:ind w:firstLine="0" w:firstLineChars="0"/>
                    <w:jc w:val="center"/>
                    <w:rPr>
                      <w:rFonts w:hint="eastAsia"/>
                      <w:color w:val="auto"/>
                      <w:szCs w:val="21"/>
                      <w:highlight w:val="none"/>
                      <w:lang w:val="en-US" w:eastAsia="zh-CN"/>
                    </w:rPr>
                  </w:pPr>
                  <w:r>
                    <w:rPr>
                      <w:rFonts w:hint="eastAsia"/>
                      <w:color w:val="auto"/>
                      <w:szCs w:val="21"/>
                      <w:highlight w:val="none"/>
                      <w:lang w:val="en-US" w:eastAsia="zh-CN"/>
                    </w:rPr>
                    <w:t>其他</w:t>
                  </w:r>
                </w:p>
              </w:tc>
              <w:tc>
                <w:tcPr>
                  <w:tcW w:w="2033" w:type="dxa"/>
                  <w:vAlign w:val="center"/>
                </w:tcPr>
                <w:p w14:paraId="2746944D">
                  <w:pPr>
                    <w:pStyle w:val="3"/>
                    <w:ind w:firstLine="0" w:firstLineChars="0"/>
                    <w:jc w:val="center"/>
                    <w:rPr>
                      <w:rFonts w:hint="eastAsia"/>
                      <w:color w:val="auto"/>
                      <w:szCs w:val="21"/>
                      <w:highlight w:val="none"/>
                      <w:lang w:val="en-US" w:eastAsia="zh-CN"/>
                    </w:rPr>
                  </w:pPr>
                  <w:r>
                    <w:rPr>
                      <w:rFonts w:hint="eastAsia"/>
                      <w:color w:val="auto"/>
                      <w:szCs w:val="21"/>
                      <w:highlight w:val="none"/>
                      <w:lang w:val="en-US" w:eastAsia="zh-CN"/>
                    </w:rPr>
                    <w:t>0.0066</w:t>
                  </w:r>
                </w:p>
              </w:tc>
              <w:tc>
                <w:tcPr>
                  <w:tcW w:w="2056" w:type="dxa"/>
                  <w:vAlign w:val="center"/>
                </w:tcPr>
                <w:p w14:paraId="2ECC19BB">
                  <w:pPr>
                    <w:pStyle w:val="3"/>
                    <w:ind w:firstLine="0" w:firstLineChars="0"/>
                    <w:jc w:val="center"/>
                    <w:rPr>
                      <w:color w:val="auto"/>
                      <w:szCs w:val="21"/>
                      <w:highlight w:val="none"/>
                    </w:rPr>
                  </w:pPr>
                  <w:r>
                    <w:rPr>
                      <w:rFonts w:hint="eastAsia"/>
                      <w:color w:val="auto"/>
                      <w:szCs w:val="21"/>
                      <w:highlight w:val="none"/>
                      <w:lang w:val="en-US" w:eastAsia="zh-CN"/>
                    </w:rPr>
                    <w:t>0.17%</w:t>
                  </w:r>
                </w:p>
              </w:tc>
            </w:tr>
            <w:tr w14:paraId="2839FA1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jc w:val="center"/>
              </w:trPr>
              <w:tc>
                <w:tcPr>
                  <w:tcW w:w="2497" w:type="pct"/>
                  <w:vAlign w:val="center"/>
                </w:tcPr>
                <w:p w14:paraId="3BCD7FDE">
                  <w:pPr>
                    <w:pStyle w:val="3"/>
                    <w:ind w:firstLine="0" w:firstLineChars="0"/>
                    <w:jc w:val="center"/>
                    <w:rPr>
                      <w:rFonts w:hint="eastAsia"/>
                      <w:color w:val="auto"/>
                      <w:szCs w:val="21"/>
                      <w:highlight w:val="none"/>
                      <w:lang w:val="en-US" w:eastAsia="zh-CN"/>
                    </w:rPr>
                  </w:pPr>
                  <w:r>
                    <w:rPr>
                      <w:rFonts w:hint="eastAsia"/>
                      <w:color w:val="auto"/>
                      <w:szCs w:val="21"/>
                      <w:highlight w:val="none"/>
                      <w:lang w:val="en-US" w:eastAsia="zh-CN"/>
                    </w:rPr>
                    <w:t>总计</w:t>
                  </w:r>
                </w:p>
              </w:tc>
              <w:tc>
                <w:tcPr>
                  <w:tcW w:w="2033" w:type="dxa"/>
                  <w:vAlign w:val="center"/>
                </w:tcPr>
                <w:p w14:paraId="679140FF">
                  <w:pPr>
                    <w:pStyle w:val="3"/>
                    <w:ind w:firstLine="0" w:firstLineChars="0"/>
                    <w:jc w:val="center"/>
                    <w:rPr>
                      <w:rFonts w:hint="eastAsia"/>
                      <w:color w:val="auto"/>
                      <w:szCs w:val="21"/>
                      <w:highlight w:val="none"/>
                      <w:lang w:val="en-US" w:eastAsia="zh-CN"/>
                    </w:rPr>
                  </w:pPr>
                  <w:r>
                    <w:rPr>
                      <w:rFonts w:hint="default"/>
                      <w:color w:val="auto"/>
                      <w:szCs w:val="21"/>
                      <w:highlight w:val="none"/>
                      <w:lang w:eastAsia="zh-CN"/>
                    </w:rPr>
                    <w:fldChar w:fldCharType="begin"/>
                  </w:r>
                  <w:r>
                    <w:rPr>
                      <w:rFonts w:hint="default"/>
                      <w:color w:val="auto"/>
                      <w:szCs w:val="21"/>
                      <w:highlight w:val="none"/>
                      <w:lang w:eastAsia="zh-CN"/>
                    </w:rPr>
                    <w:instrText xml:space="preserve"> =SUM(ABOVE) \* MERGEFORMAT </w:instrText>
                  </w:r>
                  <w:r>
                    <w:rPr>
                      <w:rFonts w:hint="default"/>
                      <w:color w:val="auto"/>
                      <w:szCs w:val="21"/>
                      <w:highlight w:val="none"/>
                      <w:lang w:eastAsia="zh-CN"/>
                    </w:rPr>
                    <w:fldChar w:fldCharType="separate"/>
                  </w:r>
                  <w:r>
                    <w:rPr>
                      <w:rFonts w:hint="default"/>
                      <w:color w:val="auto"/>
                      <w:szCs w:val="21"/>
                      <w:highlight w:val="none"/>
                      <w:lang w:eastAsia="zh-CN"/>
                    </w:rPr>
                    <w:t>3.8689</w:t>
                  </w:r>
                  <w:r>
                    <w:rPr>
                      <w:rFonts w:hint="default"/>
                      <w:color w:val="auto"/>
                      <w:szCs w:val="21"/>
                      <w:highlight w:val="none"/>
                      <w:lang w:eastAsia="zh-CN"/>
                    </w:rPr>
                    <w:fldChar w:fldCharType="end"/>
                  </w:r>
                </w:p>
              </w:tc>
              <w:tc>
                <w:tcPr>
                  <w:tcW w:w="2056" w:type="dxa"/>
                  <w:vAlign w:val="center"/>
                </w:tcPr>
                <w:p w14:paraId="18A4C6E8">
                  <w:pPr>
                    <w:pStyle w:val="3"/>
                    <w:ind w:firstLine="0" w:firstLineChars="0"/>
                    <w:jc w:val="center"/>
                    <w:rPr>
                      <w:color w:val="auto"/>
                      <w:szCs w:val="21"/>
                      <w:highlight w:val="none"/>
                    </w:rPr>
                  </w:pPr>
                  <w:r>
                    <w:rPr>
                      <w:rFonts w:hint="eastAsia"/>
                      <w:color w:val="auto"/>
                      <w:szCs w:val="21"/>
                      <w:highlight w:val="none"/>
                      <w:lang w:val="en-US" w:eastAsia="zh-CN"/>
                    </w:rPr>
                    <w:t>100%</w:t>
                  </w:r>
                </w:p>
              </w:tc>
            </w:tr>
          </w:tbl>
          <w:p w14:paraId="6D0B3590">
            <w:pPr>
              <w:pStyle w:val="2"/>
              <w:spacing w:before="0" w:after="0" w:line="240" w:lineRule="auto"/>
              <w:jc w:val="center"/>
              <w:rPr>
                <w:rFonts w:hint="eastAsia" w:ascii="黑体" w:hAnsi="黑体" w:eastAsia="黑体"/>
                <w:b w:val="0"/>
                <w:color w:val="auto"/>
                <w:sz w:val="21"/>
                <w:szCs w:val="21"/>
                <w:highlight w:val="none"/>
              </w:rPr>
            </w:pPr>
            <w:r>
              <w:rPr>
                <w:rFonts w:ascii="黑体" w:hAnsi="黑体" w:eastAsia="黑体"/>
                <w:b w:val="0"/>
                <w:color w:val="auto"/>
                <w:sz w:val="21"/>
                <w:szCs w:val="21"/>
                <w:highlight w:val="none"/>
              </w:rPr>
              <w:t>表</w:t>
            </w:r>
            <w:r>
              <w:rPr>
                <w:rFonts w:hint="eastAsia" w:ascii="黑体" w:hAnsi="黑体" w:eastAsia="黑体"/>
                <w:b w:val="0"/>
                <w:color w:val="auto"/>
                <w:sz w:val="21"/>
                <w:szCs w:val="21"/>
                <w:highlight w:val="none"/>
              </w:rPr>
              <w:t>3-6</w:t>
            </w:r>
            <w:r>
              <w:rPr>
                <w:rFonts w:ascii="黑体" w:hAnsi="黑体" w:eastAsia="黑体"/>
                <w:b w:val="0"/>
                <w:color w:val="auto"/>
                <w:sz w:val="21"/>
                <w:szCs w:val="21"/>
                <w:highlight w:val="none"/>
              </w:rPr>
              <w:t xml:space="preserve">    评价范围生态系统现状</w:t>
            </w:r>
            <w:r>
              <w:rPr>
                <w:rFonts w:hint="eastAsia" w:ascii="黑体" w:hAnsi="黑体" w:eastAsia="黑体"/>
                <w:b w:val="0"/>
                <w:color w:val="auto"/>
                <w:sz w:val="21"/>
                <w:szCs w:val="21"/>
                <w:highlight w:val="none"/>
              </w:rPr>
              <w:t xml:space="preserve"> 单位：h</w:t>
            </w:r>
            <w:r>
              <w:rPr>
                <w:rFonts w:ascii="黑体" w:hAnsi="黑体" w:eastAsia="黑体"/>
                <w:b w:val="0"/>
                <w:color w:val="auto"/>
                <w:sz w:val="21"/>
                <w:szCs w:val="21"/>
                <w:highlight w:val="none"/>
              </w:rPr>
              <w:t>m</w:t>
            </w:r>
            <w:r>
              <w:rPr>
                <w:rFonts w:ascii="黑体" w:hAnsi="黑体" w:eastAsia="黑体"/>
                <w:b w:val="0"/>
                <w:color w:val="auto"/>
                <w:sz w:val="21"/>
                <w:szCs w:val="21"/>
                <w:highlight w:val="none"/>
                <w:vertAlign w:val="superscript"/>
              </w:rPr>
              <w:t>2</w:t>
            </w:r>
          </w:p>
          <w:tbl>
            <w:tblPr>
              <w:tblStyle w:val="10"/>
              <w:tblW w:w="5000" w:type="pct"/>
              <w:jc w:val="center"/>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4084"/>
              <w:gridCol w:w="2051"/>
              <w:gridCol w:w="2035"/>
            </w:tblGrid>
            <w:tr w14:paraId="119829B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jc w:val="center"/>
              </w:trPr>
              <w:tc>
                <w:tcPr>
                  <w:tcW w:w="2499" w:type="pct"/>
                  <w:vAlign w:val="center"/>
                </w:tcPr>
                <w:p w14:paraId="6212C6FA">
                  <w:pPr>
                    <w:pStyle w:val="3"/>
                    <w:ind w:firstLine="0" w:firstLineChars="0"/>
                    <w:jc w:val="center"/>
                    <w:rPr>
                      <w:color w:val="auto"/>
                      <w:szCs w:val="21"/>
                      <w:highlight w:val="none"/>
                    </w:rPr>
                  </w:pPr>
                  <w:r>
                    <w:rPr>
                      <w:rFonts w:hint="eastAsia"/>
                      <w:color w:val="auto"/>
                      <w:szCs w:val="21"/>
                      <w:highlight w:val="none"/>
                    </w:rPr>
                    <w:t>生态系统类型</w:t>
                  </w:r>
                </w:p>
              </w:tc>
              <w:tc>
                <w:tcPr>
                  <w:tcW w:w="1255" w:type="pct"/>
                  <w:vAlign w:val="center"/>
                </w:tcPr>
                <w:p w14:paraId="056853CB">
                  <w:pPr>
                    <w:pStyle w:val="3"/>
                    <w:ind w:firstLine="0" w:firstLineChars="0"/>
                    <w:jc w:val="center"/>
                    <w:rPr>
                      <w:color w:val="auto"/>
                      <w:szCs w:val="21"/>
                      <w:highlight w:val="none"/>
                    </w:rPr>
                  </w:pPr>
                  <w:r>
                    <w:rPr>
                      <w:color w:val="auto"/>
                      <w:szCs w:val="21"/>
                      <w:highlight w:val="none"/>
                    </w:rPr>
                    <w:t>面积</w:t>
                  </w:r>
                </w:p>
              </w:tc>
              <w:tc>
                <w:tcPr>
                  <w:tcW w:w="1245" w:type="pct"/>
                  <w:vAlign w:val="center"/>
                </w:tcPr>
                <w:p w14:paraId="0E63469A">
                  <w:pPr>
                    <w:pStyle w:val="3"/>
                    <w:ind w:firstLine="0" w:firstLineChars="0"/>
                    <w:jc w:val="center"/>
                    <w:rPr>
                      <w:color w:val="auto"/>
                      <w:szCs w:val="21"/>
                      <w:highlight w:val="none"/>
                    </w:rPr>
                  </w:pPr>
                  <w:r>
                    <w:rPr>
                      <w:color w:val="auto"/>
                      <w:szCs w:val="21"/>
                      <w:highlight w:val="none"/>
                    </w:rPr>
                    <w:t>比例</w:t>
                  </w:r>
                </w:p>
              </w:tc>
            </w:tr>
            <w:tr w14:paraId="3493224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jc w:val="center"/>
              </w:trPr>
              <w:tc>
                <w:tcPr>
                  <w:tcW w:w="2499" w:type="pct"/>
                  <w:vAlign w:val="bottom"/>
                </w:tcPr>
                <w:p w14:paraId="1585D615">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草地生态系统</w:t>
                  </w:r>
                </w:p>
              </w:tc>
              <w:tc>
                <w:tcPr>
                  <w:tcW w:w="1255" w:type="pct"/>
                  <w:vAlign w:val="bottom"/>
                </w:tcPr>
                <w:p w14:paraId="4A72B3BA">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213.</w:t>
                  </w:r>
                  <w:r>
                    <w:rPr>
                      <w:rFonts w:hint="eastAsia" w:ascii="Times New Roman" w:hAnsi="Times New Roman" w:eastAsia="宋体" w:cs="Times New Roman"/>
                      <w:i w:val="0"/>
                      <w:iCs w:val="0"/>
                      <w:color w:val="auto"/>
                      <w:kern w:val="0"/>
                      <w:sz w:val="21"/>
                      <w:szCs w:val="21"/>
                      <w:highlight w:val="none"/>
                      <w:u w:val="none"/>
                      <w:lang w:val="en-US" w:eastAsia="zh-CN" w:bidi="ar"/>
                    </w:rPr>
                    <w:t>11</w:t>
                  </w:r>
                </w:p>
              </w:tc>
              <w:tc>
                <w:tcPr>
                  <w:tcW w:w="1245" w:type="pct"/>
                  <w:vAlign w:val="bottom"/>
                </w:tcPr>
                <w:p w14:paraId="2D65C714">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16.28%</w:t>
                  </w:r>
                </w:p>
              </w:tc>
            </w:tr>
            <w:tr w14:paraId="39C774E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jc w:val="center"/>
              </w:trPr>
              <w:tc>
                <w:tcPr>
                  <w:tcW w:w="2499" w:type="pct"/>
                  <w:vAlign w:val="bottom"/>
                </w:tcPr>
                <w:p w14:paraId="0B97F496">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城镇生态系统</w:t>
                  </w:r>
                </w:p>
              </w:tc>
              <w:tc>
                <w:tcPr>
                  <w:tcW w:w="1255" w:type="pct"/>
                  <w:vAlign w:val="bottom"/>
                </w:tcPr>
                <w:p w14:paraId="5F8EE7B2">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21.3</w:t>
                  </w:r>
                  <w:r>
                    <w:rPr>
                      <w:rFonts w:hint="eastAsia" w:ascii="Times New Roman" w:hAnsi="Times New Roman" w:eastAsia="宋体" w:cs="Times New Roman"/>
                      <w:i w:val="0"/>
                      <w:iCs w:val="0"/>
                      <w:color w:val="auto"/>
                      <w:kern w:val="0"/>
                      <w:sz w:val="21"/>
                      <w:szCs w:val="21"/>
                      <w:highlight w:val="none"/>
                      <w:u w:val="none"/>
                      <w:lang w:val="en-US" w:eastAsia="zh-CN" w:bidi="ar"/>
                    </w:rPr>
                    <w:t>8</w:t>
                  </w:r>
                </w:p>
              </w:tc>
              <w:tc>
                <w:tcPr>
                  <w:tcW w:w="1245" w:type="pct"/>
                  <w:vAlign w:val="bottom"/>
                </w:tcPr>
                <w:p w14:paraId="085B8344">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1.63%</w:t>
                  </w:r>
                </w:p>
              </w:tc>
            </w:tr>
            <w:tr w14:paraId="2EB8B64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jc w:val="center"/>
              </w:trPr>
              <w:tc>
                <w:tcPr>
                  <w:tcW w:w="2499" w:type="pct"/>
                  <w:vAlign w:val="bottom"/>
                </w:tcPr>
                <w:p w14:paraId="33DBF03F">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农田生态系统</w:t>
                  </w:r>
                </w:p>
              </w:tc>
              <w:tc>
                <w:tcPr>
                  <w:tcW w:w="1255" w:type="pct"/>
                  <w:vAlign w:val="bottom"/>
                </w:tcPr>
                <w:p w14:paraId="179C7B2E">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308.8</w:t>
                  </w:r>
                  <w:r>
                    <w:rPr>
                      <w:rFonts w:hint="eastAsia" w:ascii="Times New Roman" w:hAnsi="Times New Roman" w:eastAsia="宋体" w:cs="Times New Roman"/>
                      <w:i w:val="0"/>
                      <w:iCs w:val="0"/>
                      <w:color w:val="auto"/>
                      <w:kern w:val="0"/>
                      <w:sz w:val="21"/>
                      <w:szCs w:val="21"/>
                      <w:highlight w:val="none"/>
                      <w:u w:val="none"/>
                      <w:lang w:val="en-US" w:eastAsia="zh-CN" w:bidi="ar"/>
                    </w:rPr>
                    <w:t>9</w:t>
                  </w:r>
                </w:p>
              </w:tc>
              <w:tc>
                <w:tcPr>
                  <w:tcW w:w="1245" w:type="pct"/>
                  <w:vAlign w:val="bottom"/>
                </w:tcPr>
                <w:p w14:paraId="692E4277">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23.59%</w:t>
                  </w:r>
                </w:p>
              </w:tc>
            </w:tr>
            <w:tr w14:paraId="7AF3853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jc w:val="center"/>
              </w:trPr>
              <w:tc>
                <w:tcPr>
                  <w:tcW w:w="2499" w:type="pct"/>
                  <w:vAlign w:val="bottom"/>
                </w:tcPr>
                <w:p w14:paraId="7F34D272">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森林生态系统</w:t>
                  </w:r>
                </w:p>
              </w:tc>
              <w:tc>
                <w:tcPr>
                  <w:tcW w:w="1255" w:type="pct"/>
                  <w:vAlign w:val="bottom"/>
                </w:tcPr>
                <w:p w14:paraId="287A62C4">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765.</w:t>
                  </w:r>
                  <w:r>
                    <w:rPr>
                      <w:rFonts w:hint="eastAsia" w:ascii="Times New Roman" w:hAnsi="Times New Roman" w:eastAsia="宋体" w:cs="Times New Roman"/>
                      <w:i w:val="0"/>
                      <w:iCs w:val="0"/>
                      <w:color w:val="auto"/>
                      <w:kern w:val="0"/>
                      <w:sz w:val="21"/>
                      <w:szCs w:val="21"/>
                      <w:highlight w:val="none"/>
                      <w:u w:val="none"/>
                      <w:lang w:val="en-US" w:eastAsia="zh-CN" w:bidi="ar"/>
                    </w:rPr>
                    <w:t>9</w:t>
                  </w:r>
                </w:p>
              </w:tc>
              <w:tc>
                <w:tcPr>
                  <w:tcW w:w="1245" w:type="pct"/>
                  <w:vAlign w:val="bottom"/>
                </w:tcPr>
                <w:p w14:paraId="7A2BBCB6">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58.49%</w:t>
                  </w:r>
                </w:p>
              </w:tc>
            </w:tr>
            <w:tr w14:paraId="0AA3D1D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jc w:val="center"/>
              </w:trPr>
              <w:tc>
                <w:tcPr>
                  <w:tcW w:w="2499" w:type="pct"/>
                  <w:vAlign w:val="bottom"/>
                </w:tcPr>
                <w:p w14:paraId="6B4A1C17">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总计</w:t>
                  </w:r>
                </w:p>
              </w:tc>
              <w:tc>
                <w:tcPr>
                  <w:tcW w:w="1255" w:type="pct"/>
                  <w:vAlign w:val="bottom"/>
                </w:tcPr>
                <w:p w14:paraId="15249678">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1309.28</w:t>
                  </w:r>
                </w:p>
              </w:tc>
              <w:tc>
                <w:tcPr>
                  <w:tcW w:w="1245" w:type="pct"/>
                  <w:vAlign w:val="bottom"/>
                </w:tcPr>
                <w:p w14:paraId="37AD33AA">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r>
          </w:tbl>
          <w:p w14:paraId="2EBFC90F">
            <w:pPr>
              <w:pStyle w:val="2"/>
              <w:spacing w:before="0" w:after="0" w:line="240" w:lineRule="auto"/>
              <w:jc w:val="center"/>
              <w:rPr>
                <w:rFonts w:ascii="黑体" w:hAnsi="黑体" w:eastAsia="黑体"/>
                <w:b w:val="0"/>
                <w:color w:val="auto"/>
                <w:sz w:val="21"/>
                <w:szCs w:val="21"/>
                <w:highlight w:val="none"/>
              </w:rPr>
            </w:pPr>
          </w:p>
          <w:p w14:paraId="2EC975C3">
            <w:pPr>
              <w:pStyle w:val="2"/>
              <w:spacing w:before="0" w:after="0" w:line="240" w:lineRule="auto"/>
              <w:jc w:val="center"/>
              <w:rPr>
                <w:rFonts w:hint="eastAsia" w:ascii="黑体" w:hAnsi="黑体" w:eastAsia="黑体"/>
                <w:b w:val="0"/>
                <w:color w:val="auto"/>
                <w:sz w:val="21"/>
                <w:szCs w:val="21"/>
                <w:highlight w:val="none"/>
              </w:rPr>
            </w:pPr>
            <w:r>
              <w:rPr>
                <w:rFonts w:ascii="黑体" w:hAnsi="黑体" w:eastAsia="黑体"/>
                <w:b w:val="0"/>
                <w:color w:val="auto"/>
                <w:sz w:val="21"/>
                <w:szCs w:val="21"/>
                <w:highlight w:val="none"/>
              </w:rPr>
              <w:t>表</w:t>
            </w:r>
            <w:r>
              <w:rPr>
                <w:rFonts w:hint="eastAsia" w:ascii="黑体" w:hAnsi="黑体" w:eastAsia="黑体"/>
                <w:b w:val="0"/>
                <w:color w:val="auto"/>
                <w:sz w:val="21"/>
                <w:szCs w:val="21"/>
                <w:highlight w:val="none"/>
              </w:rPr>
              <w:t>3-7</w:t>
            </w:r>
            <w:r>
              <w:rPr>
                <w:rFonts w:ascii="黑体" w:hAnsi="黑体" w:eastAsia="黑体"/>
                <w:b w:val="0"/>
                <w:color w:val="auto"/>
                <w:sz w:val="21"/>
                <w:szCs w:val="21"/>
                <w:highlight w:val="none"/>
              </w:rPr>
              <w:t xml:space="preserve">    占地范围生态系统现状</w:t>
            </w:r>
            <w:r>
              <w:rPr>
                <w:rFonts w:hint="eastAsia" w:ascii="黑体" w:hAnsi="黑体" w:eastAsia="黑体"/>
                <w:b w:val="0"/>
                <w:color w:val="auto"/>
                <w:sz w:val="21"/>
                <w:szCs w:val="21"/>
                <w:highlight w:val="none"/>
              </w:rPr>
              <w:t xml:space="preserve">   单位</w:t>
            </w:r>
            <w:r>
              <w:rPr>
                <w:rFonts w:hint="eastAsia" w:ascii="黑体" w:hAnsi="黑体" w:eastAsia="黑体"/>
                <w:b w:val="0"/>
                <w:color w:val="auto"/>
                <w:sz w:val="21"/>
                <w:szCs w:val="21"/>
                <w:highlight w:val="none"/>
                <w:lang w:eastAsia="zh-CN"/>
              </w:rPr>
              <w:t>：</w:t>
            </w:r>
            <w:r>
              <w:rPr>
                <w:rFonts w:hint="eastAsia" w:ascii="黑体" w:hAnsi="黑体" w:eastAsia="黑体"/>
                <w:b w:val="0"/>
                <w:color w:val="auto"/>
                <w:sz w:val="21"/>
                <w:szCs w:val="21"/>
                <w:highlight w:val="none"/>
                <w:lang w:val="en-US" w:eastAsia="zh-CN"/>
              </w:rPr>
              <w:t>h</w:t>
            </w:r>
            <w:r>
              <w:rPr>
                <w:rFonts w:ascii="黑体" w:hAnsi="黑体" w:eastAsia="黑体"/>
                <w:b w:val="0"/>
                <w:color w:val="auto"/>
                <w:sz w:val="21"/>
                <w:szCs w:val="21"/>
                <w:highlight w:val="none"/>
              </w:rPr>
              <w:t>m</w:t>
            </w:r>
            <w:r>
              <w:rPr>
                <w:rFonts w:ascii="黑体" w:hAnsi="黑体" w:eastAsia="黑体"/>
                <w:b w:val="0"/>
                <w:color w:val="auto"/>
                <w:sz w:val="21"/>
                <w:szCs w:val="21"/>
                <w:highlight w:val="none"/>
                <w:vertAlign w:val="superscript"/>
              </w:rPr>
              <w:t>2</w:t>
            </w:r>
          </w:p>
          <w:tbl>
            <w:tblPr>
              <w:tblStyle w:val="10"/>
              <w:tblW w:w="5000" w:type="pct"/>
              <w:jc w:val="center"/>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4086"/>
              <w:gridCol w:w="2051"/>
              <w:gridCol w:w="2033"/>
            </w:tblGrid>
            <w:tr w14:paraId="6EBA822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jc w:val="center"/>
              </w:trPr>
              <w:tc>
                <w:tcPr>
                  <w:tcW w:w="2500" w:type="pct"/>
                  <w:vAlign w:val="center"/>
                </w:tcPr>
                <w:p w14:paraId="01B780E0">
                  <w:pPr>
                    <w:pStyle w:val="3"/>
                    <w:ind w:firstLine="0" w:firstLineChars="0"/>
                    <w:jc w:val="center"/>
                    <w:rPr>
                      <w:color w:val="auto"/>
                      <w:szCs w:val="21"/>
                      <w:highlight w:val="none"/>
                    </w:rPr>
                  </w:pPr>
                  <w:r>
                    <w:rPr>
                      <w:color w:val="auto"/>
                      <w:szCs w:val="21"/>
                      <w:highlight w:val="none"/>
                    </w:rPr>
                    <w:t>生态系统类型</w:t>
                  </w:r>
                </w:p>
              </w:tc>
              <w:tc>
                <w:tcPr>
                  <w:tcW w:w="1255" w:type="pct"/>
                  <w:vAlign w:val="center"/>
                </w:tcPr>
                <w:p w14:paraId="77D7CC57">
                  <w:pPr>
                    <w:pStyle w:val="3"/>
                    <w:ind w:firstLine="0" w:firstLineChars="0"/>
                    <w:jc w:val="center"/>
                    <w:rPr>
                      <w:color w:val="auto"/>
                      <w:szCs w:val="21"/>
                      <w:highlight w:val="none"/>
                    </w:rPr>
                  </w:pPr>
                  <w:r>
                    <w:rPr>
                      <w:color w:val="auto"/>
                      <w:szCs w:val="21"/>
                      <w:highlight w:val="none"/>
                    </w:rPr>
                    <w:t>面积</w:t>
                  </w:r>
                </w:p>
              </w:tc>
              <w:tc>
                <w:tcPr>
                  <w:tcW w:w="1244" w:type="pct"/>
                  <w:vAlign w:val="center"/>
                </w:tcPr>
                <w:p w14:paraId="2CC723F0">
                  <w:pPr>
                    <w:pStyle w:val="3"/>
                    <w:ind w:firstLine="0" w:firstLineChars="0"/>
                    <w:jc w:val="center"/>
                    <w:rPr>
                      <w:color w:val="auto"/>
                      <w:szCs w:val="21"/>
                      <w:highlight w:val="none"/>
                    </w:rPr>
                  </w:pPr>
                  <w:r>
                    <w:rPr>
                      <w:color w:val="auto"/>
                      <w:szCs w:val="21"/>
                      <w:highlight w:val="none"/>
                    </w:rPr>
                    <w:t>比例</w:t>
                  </w:r>
                </w:p>
              </w:tc>
            </w:tr>
            <w:tr w14:paraId="3AB68EA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jc w:val="center"/>
              </w:trPr>
              <w:tc>
                <w:tcPr>
                  <w:tcW w:w="2500" w:type="pct"/>
                  <w:vAlign w:val="center"/>
                </w:tcPr>
                <w:p w14:paraId="0421104E">
                  <w:pPr>
                    <w:pStyle w:val="3"/>
                    <w:ind w:firstLine="0" w:firstLineChars="0"/>
                    <w:jc w:val="center"/>
                    <w:rPr>
                      <w:color w:val="auto"/>
                      <w:szCs w:val="21"/>
                      <w:highlight w:val="none"/>
                    </w:rPr>
                  </w:pPr>
                  <w:r>
                    <w:rPr>
                      <w:rFonts w:hint="default"/>
                      <w:color w:val="auto"/>
                      <w:szCs w:val="21"/>
                      <w:highlight w:val="none"/>
                      <w:lang w:val="en-US" w:eastAsia="zh-CN"/>
                    </w:rPr>
                    <w:t>农田生态系统</w:t>
                  </w:r>
                </w:p>
              </w:tc>
              <w:tc>
                <w:tcPr>
                  <w:tcW w:w="1255" w:type="pct"/>
                  <w:vAlign w:val="center"/>
                </w:tcPr>
                <w:p w14:paraId="037B41E7">
                  <w:pPr>
                    <w:pStyle w:val="3"/>
                    <w:ind w:firstLine="0" w:firstLineChars="0"/>
                    <w:jc w:val="center"/>
                    <w:rPr>
                      <w:color w:val="auto"/>
                      <w:szCs w:val="21"/>
                      <w:highlight w:val="none"/>
                    </w:rPr>
                  </w:pPr>
                  <w:r>
                    <w:rPr>
                      <w:rFonts w:hint="default" w:eastAsia="宋体"/>
                      <w:color w:val="auto"/>
                      <w:szCs w:val="21"/>
                      <w:highlight w:val="none"/>
                      <w:lang w:val="en-US" w:eastAsia="zh-CN"/>
                    </w:rPr>
                    <w:t>0.1094</w:t>
                  </w:r>
                </w:p>
              </w:tc>
              <w:tc>
                <w:tcPr>
                  <w:tcW w:w="1244" w:type="pct"/>
                  <w:vAlign w:val="center"/>
                </w:tcPr>
                <w:p w14:paraId="2A9BEBEC">
                  <w:pPr>
                    <w:pStyle w:val="3"/>
                    <w:ind w:firstLine="0" w:firstLineChars="0"/>
                    <w:jc w:val="center"/>
                    <w:rPr>
                      <w:color w:val="auto"/>
                      <w:szCs w:val="21"/>
                      <w:highlight w:val="none"/>
                    </w:rPr>
                  </w:pPr>
                  <w:r>
                    <w:rPr>
                      <w:rFonts w:hint="eastAsia"/>
                      <w:color w:val="auto"/>
                      <w:szCs w:val="21"/>
                      <w:highlight w:val="none"/>
                      <w:lang w:val="en-US" w:eastAsia="zh-CN"/>
                    </w:rPr>
                    <w:t>2.83%</w:t>
                  </w:r>
                </w:p>
              </w:tc>
            </w:tr>
            <w:tr w14:paraId="7992382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jc w:val="center"/>
              </w:trPr>
              <w:tc>
                <w:tcPr>
                  <w:tcW w:w="2500" w:type="pct"/>
                  <w:vAlign w:val="center"/>
                </w:tcPr>
                <w:p w14:paraId="7F8B9B02">
                  <w:pPr>
                    <w:pStyle w:val="3"/>
                    <w:ind w:firstLine="0" w:firstLineChars="0"/>
                    <w:jc w:val="center"/>
                    <w:rPr>
                      <w:color w:val="auto"/>
                      <w:szCs w:val="21"/>
                      <w:highlight w:val="none"/>
                    </w:rPr>
                  </w:pPr>
                  <w:r>
                    <w:rPr>
                      <w:rFonts w:hint="default"/>
                      <w:color w:val="auto"/>
                      <w:szCs w:val="21"/>
                      <w:highlight w:val="none"/>
                      <w:lang w:val="en-US" w:eastAsia="zh-CN"/>
                    </w:rPr>
                    <w:t>森林生态系统</w:t>
                  </w:r>
                </w:p>
              </w:tc>
              <w:tc>
                <w:tcPr>
                  <w:tcW w:w="1255" w:type="pct"/>
                  <w:vAlign w:val="center"/>
                </w:tcPr>
                <w:p w14:paraId="29C69C3B">
                  <w:pPr>
                    <w:pStyle w:val="3"/>
                    <w:ind w:firstLine="0" w:firstLineChars="0"/>
                    <w:jc w:val="center"/>
                    <w:rPr>
                      <w:rFonts w:hint="default" w:eastAsia="宋体"/>
                      <w:color w:val="auto"/>
                      <w:szCs w:val="21"/>
                      <w:highlight w:val="none"/>
                      <w:lang w:val="en-US" w:eastAsia="zh-CN"/>
                    </w:rPr>
                  </w:pPr>
                  <w:r>
                    <w:rPr>
                      <w:rFonts w:hint="eastAsia"/>
                      <w:color w:val="auto"/>
                      <w:szCs w:val="21"/>
                      <w:highlight w:val="none"/>
                      <w:lang w:val="en-US" w:eastAsia="zh-CN"/>
                    </w:rPr>
                    <w:t>2.3197</w:t>
                  </w:r>
                </w:p>
              </w:tc>
              <w:tc>
                <w:tcPr>
                  <w:tcW w:w="1244" w:type="pct"/>
                  <w:vAlign w:val="center"/>
                </w:tcPr>
                <w:p w14:paraId="43644AB1">
                  <w:pPr>
                    <w:pStyle w:val="3"/>
                    <w:ind w:firstLine="0" w:firstLineChars="0"/>
                    <w:jc w:val="center"/>
                    <w:rPr>
                      <w:rFonts w:hint="default" w:eastAsia="宋体"/>
                      <w:color w:val="auto"/>
                      <w:szCs w:val="21"/>
                      <w:highlight w:val="none"/>
                      <w:lang w:val="en-US" w:eastAsia="zh-CN"/>
                    </w:rPr>
                  </w:pPr>
                  <w:r>
                    <w:rPr>
                      <w:rFonts w:hint="eastAsia"/>
                      <w:color w:val="auto"/>
                      <w:szCs w:val="21"/>
                      <w:highlight w:val="none"/>
                      <w:lang w:val="en-US" w:eastAsia="zh-CN"/>
                    </w:rPr>
                    <w:t>59.96%</w:t>
                  </w:r>
                </w:p>
              </w:tc>
            </w:tr>
            <w:tr w14:paraId="7D689FE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126" w:hRule="atLeast"/>
                <w:jc w:val="center"/>
              </w:trPr>
              <w:tc>
                <w:tcPr>
                  <w:tcW w:w="2500" w:type="pct"/>
                  <w:vAlign w:val="center"/>
                </w:tcPr>
                <w:p w14:paraId="36F8BE21">
                  <w:pPr>
                    <w:pStyle w:val="3"/>
                    <w:ind w:firstLine="0" w:firstLineChars="0"/>
                    <w:jc w:val="center"/>
                    <w:rPr>
                      <w:color w:val="auto"/>
                      <w:szCs w:val="21"/>
                      <w:highlight w:val="none"/>
                    </w:rPr>
                  </w:pPr>
                  <w:r>
                    <w:rPr>
                      <w:rFonts w:hint="default"/>
                      <w:color w:val="auto"/>
                      <w:szCs w:val="21"/>
                      <w:highlight w:val="none"/>
                      <w:lang w:val="en-US" w:eastAsia="zh-CN"/>
                    </w:rPr>
                    <w:t>草地生态系统</w:t>
                  </w:r>
                </w:p>
              </w:tc>
              <w:tc>
                <w:tcPr>
                  <w:tcW w:w="1255" w:type="pct"/>
                  <w:vAlign w:val="center"/>
                </w:tcPr>
                <w:p w14:paraId="75388AF4">
                  <w:pPr>
                    <w:pStyle w:val="3"/>
                    <w:ind w:firstLine="0" w:firstLineChars="0"/>
                    <w:jc w:val="center"/>
                    <w:rPr>
                      <w:rFonts w:hint="default"/>
                      <w:color w:val="auto"/>
                      <w:szCs w:val="21"/>
                      <w:highlight w:val="none"/>
                      <w:lang w:val="en-US" w:eastAsia="zh-CN"/>
                    </w:rPr>
                  </w:pPr>
                  <w:r>
                    <w:rPr>
                      <w:rFonts w:hint="eastAsia"/>
                      <w:color w:val="auto"/>
                      <w:szCs w:val="21"/>
                      <w:highlight w:val="none"/>
                      <w:lang w:val="en-US" w:eastAsia="zh-CN"/>
                    </w:rPr>
                    <w:t>1.4332</w:t>
                  </w:r>
                </w:p>
              </w:tc>
              <w:tc>
                <w:tcPr>
                  <w:tcW w:w="1244" w:type="pct"/>
                  <w:vAlign w:val="center"/>
                </w:tcPr>
                <w:p w14:paraId="60B92AF4">
                  <w:pPr>
                    <w:pStyle w:val="3"/>
                    <w:ind w:firstLine="0" w:firstLineChars="0"/>
                    <w:jc w:val="center"/>
                    <w:rPr>
                      <w:rFonts w:hint="default" w:eastAsia="宋体"/>
                      <w:color w:val="auto"/>
                      <w:szCs w:val="21"/>
                      <w:highlight w:val="none"/>
                      <w:lang w:val="en-US" w:eastAsia="zh-CN"/>
                    </w:rPr>
                  </w:pPr>
                  <w:r>
                    <w:rPr>
                      <w:rFonts w:hint="eastAsia"/>
                      <w:color w:val="auto"/>
                      <w:szCs w:val="21"/>
                      <w:highlight w:val="none"/>
                      <w:lang w:val="en-US" w:eastAsia="zh-CN"/>
                    </w:rPr>
                    <w:t>37.04%</w:t>
                  </w:r>
                </w:p>
              </w:tc>
            </w:tr>
            <w:tr w14:paraId="4509C1B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126" w:hRule="atLeast"/>
                <w:jc w:val="center"/>
              </w:trPr>
              <w:tc>
                <w:tcPr>
                  <w:tcW w:w="2500" w:type="pct"/>
                  <w:vAlign w:val="center"/>
                </w:tcPr>
                <w:p w14:paraId="4D1C5AAB">
                  <w:pPr>
                    <w:pStyle w:val="3"/>
                    <w:ind w:firstLine="0" w:firstLineChars="0"/>
                    <w:jc w:val="center"/>
                    <w:rPr>
                      <w:rFonts w:hint="default"/>
                      <w:color w:val="auto"/>
                      <w:szCs w:val="21"/>
                      <w:highlight w:val="none"/>
                      <w:lang w:val="en-US" w:eastAsia="zh-CN"/>
                    </w:rPr>
                  </w:pPr>
                  <w:r>
                    <w:rPr>
                      <w:rFonts w:hint="eastAsia"/>
                      <w:color w:val="auto"/>
                      <w:szCs w:val="21"/>
                      <w:highlight w:val="none"/>
                      <w:lang w:val="en-US" w:eastAsia="zh-CN"/>
                    </w:rPr>
                    <w:t>城镇生态系统</w:t>
                  </w:r>
                </w:p>
              </w:tc>
              <w:tc>
                <w:tcPr>
                  <w:tcW w:w="1255" w:type="pct"/>
                  <w:vAlign w:val="center"/>
                </w:tcPr>
                <w:p w14:paraId="11E75F11">
                  <w:pPr>
                    <w:pStyle w:val="3"/>
                    <w:ind w:firstLine="0" w:firstLineChars="0"/>
                    <w:jc w:val="center"/>
                    <w:rPr>
                      <w:rFonts w:hint="default"/>
                      <w:color w:val="auto"/>
                      <w:szCs w:val="21"/>
                      <w:highlight w:val="none"/>
                      <w:lang w:val="en-US" w:eastAsia="zh-CN"/>
                    </w:rPr>
                  </w:pPr>
                  <w:r>
                    <w:rPr>
                      <w:rFonts w:hint="eastAsia"/>
                      <w:color w:val="auto"/>
                      <w:szCs w:val="21"/>
                      <w:highlight w:val="none"/>
                      <w:lang w:val="en-US" w:eastAsia="zh-CN"/>
                    </w:rPr>
                    <w:t>0.0066</w:t>
                  </w:r>
                </w:p>
              </w:tc>
              <w:tc>
                <w:tcPr>
                  <w:tcW w:w="1244" w:type="pct"/>
                  <w:vAlign w:val="center"/>
                </w:tcPr>
                <w:p w14:paraId="034FFE9E">
                  <w:pPr>
                    <w:pStyle w:val="3"/>
                    <w:ind w:firstLine="0" w:firstLineChars="0"/>
                    <w:jc w:val="center"/>
                    <w:rPr>
                      <w:rFonts w:hint="default"/>
                      <w:color w:val="auto"/>
                      <w:szCs w:val="21"/>
                      <w:highlight w:val="none"/>
                      <w:lang w:val="en-US" w:eastAsia="zh-CN"/>
                    </w:rPr>
                  </w:pPr>
                  <w:r>
                    <w:rPr>
                      <w:rFonts w:hint="eastAsia"/>
                      <w:color w:val="auto"/>
                      <w:szCs w:val="21"/>
                      <w:highlight w:val="none"/>
                      <w:lang w:val="en-US" w:eastAsia="zh-CN"/>
                    </w:rPr>
                    <w:t>0.17%</w:t>
                  </w:r>
                </w:p>
              </w:tc>
            </w:tr>
            <w:tr w14:paraId="7E6E3CF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jc w:val="center"/>
              </w:trPr>
              <w:tc>
                <w:tcPr>
                  <w:tcW w:w="2500" w:type="pct"/>
                  <w:vAlign w:val="center"/>
                </w:tcPr>
                <w:p w14:paraId="02B0D88A">
                  <w:pPr>
                    <w:pStyle w:val="3"/>
                    <w:ind w:firstLine="0" w:firstLineChars="0"/>
                    <w:jc w:val="center"/>
                    <w:rPr>
                      <w:color w:val="auto"/>
                      <w:szCs w:val="21"/>
                      <w:highlight w:val="none"/>
                    </w:rPr>
                  </w:pPr>
                  <w:r>
                    <w:rPr>
                      <w:rFonts w:hint="eastAsia"/>
                      <w:color w:val="auto"/>
                      <w:szCs w:val="21"/>
                      <w:highlight w:val="none"/>
                      <w:lang w:val="en-US" w:eastAsia="zh-CN"/>
                    </w:rPr>
                    <w:t>总计</w:t>
                  </w:r>
                </w:p>
              </w:tc>
              <w:tc>
                <w:tcPr>
                  <w:tcW w:w="1255" w:type="pct"/>
                  <w:vAlign w:val="center"/>
                </w:tcPr>
                <w:p w14:paraId="4EE4CA86">
                  <w:pPr>
                    <w:pStyle w:val="3"/>
                    <w:ind w:firstLine="0" w:firstLineChars="0"/>
                    <w:jc w:val="center"/>
                    <w:rPr>
                      <w:rFonts w:hint="eastAsia"/>
                      <w:color w:val="auto"/>
                      <w:szCs w:val="21"/>
                      <w:highlight w:val="none"/>
                      <w:lang w:val="en-US" w:eastAsia="zh-CN"/>
                    </w:rPr>
                  </w:pPr>
                  <w:r>
                    <w:rPr>
                      <w:rFonts w:hint="default"/>
                      <w:color w:val="auto"/>
                      <w:szCs w:val="21"/>
                      <w:highlight w:val="none"/>
                      <w:lang w:eastAsia="zh-CN"/>
                    </w:rPr>
                    <w:fldChar w:fldCharType="begin"/>
                  </w:r>
                  <w:r>
                    <w:rPr>
                      <w:rFonts w:hint="default"/>
                      <w:color w:val="auto"/>
                      <w:szCs w:val="21"/>
                      <w:highlight w:val="none"/>
                      <w:lang w:eastAsia="zh-CN"/>
                    </w:rPr>
                    <w:instrText xml:space="preserve"> =SUM(ABOVE) \* MERGEFORMAT </w:instrText>
                  </w:r>
                  <w:r>
                    <w:rPr>
                      <w:rFonts w:hint="default"/>
                      <w:color w:val="auto"/>
                      <w:szCs w:val="21"/>
                      <w:highlight w:val="none"/>
                      <w:lang w:eastAsia="zh-CN"/>
                    </w:rPr>
                    <w:fldChar w:fldCharType="separate"/>
                  </w:r>
                  <w:r>
                    <w:rPr>
                      <w:rFonts w:hint="default"/>
                      <w:color w:val="auto"/>
                      <w:szCs w:val="21"/>
                      <w:highlight w:val="none"/>
                      <w:lang w:eastAsia="zh-CN"/>
                    </w:rPr>
                    <w:t>3.8689</w:t>
                  </w:r>
                  <w:r>
                    <w:rPr>
                      <w:rFonts w:hint="default"/>
                      <w:color w:val="auto"/>
                      <w:szCs w:val="21"/>
                      <w:highlight w:val="none"/>
                      <w:lang w:eastAsia="zh-CN"/>
                    </w:rPr>
                    <w:fldChar w:fldCharType="end"/>
                  </w:r>
                </w:p>
              </w:tc>
              <w:tc>
                <w:tcPr>
                  <w:tcW w:w="1244" w:type="pct"/>
                  <w:vAlign w:val="center"/>
                </w:tcPr>
                <w:p w14:paraId="2AF73351">
                  <w:pPr>
                    <w:pStyle w:val="3"/>
                    <w:ind w:firstLine="0" w:firstLineChars="0"/>
                    <w:jc w:val="center"/>
                    <w:rPr>
                      <w:color w:val="auto"/>
                      <w:szCs w:val="21"/>
                      <w:highlight w:val="none"/>
                    </w:rPr>
                  </w:pPr>
                  <w:r>
                    <w:rPr>
                      <w:rFonts w:hint="eastAsia"/>
                      <w:color w:val="auto"/>
                      <w:szCs w:val="21"/>
                      <w:highlight w:val="none"/>
                      <w:lang w:val="en-US" w:eastAsia="zh-CN"/>
                    </w:rPr>
                    <w:t>100%</w:t>
                  </w:r>
                </w:p>
              </w:tc>
            </w:tr>
          </w:tbl>
          <w:p w14:paraId="7981E1F2">
            <w:pPr>
              <w:pStyle w:val="2"/>
              <w:spacing w:before="0" w:after="0" w:line="240" w:lineRule="auto"/>
              <w:jc w:val="center"/>
              <w:rPr>
                <w:rFonts w:hint="eastAsia" w:ascii="黑体" w:hAnsi="黑体" w:eastAsia="黑体"/>
                <w:b w:val="0"/>
                <w:color w:val="auto"/>
                <w:sz w:val="21"/>
                <w:szCs w:val="21"/>
                <w:highlight w:val="none"/>
              </w:rPr>
            </w:pPr>
            <w:r>
              <w:rPr>
                <w:rFonts w:ascii="黑体" w:hAnsi="黑体" w:eastAsia="黑体"/>
                <w:b w:val="0"/>
                <w:color w:val="auto"/>
                <w:sz w:val="21"/>
                <w:szCs w:val="21"/>
                <w:highlight w:val="none"/>
              </w:rPr>
              <w:t>表</w:t>
            </w:r>
            <w:r>
              <w:rPr>
                <w:rFonts w:hint="eastAsia" w:ascii="黑体" w:hAnsi="黑体" w:eastAsia="黑体"/>
                <w:b w:val="0"/>
                <w:color w:val="auto"/>
                <w:sz w:val="21"/>
                <w:szCs w:val="21"/>
                <w:highlight w:val="none"/>
              </w:rPr>
              <w:t>3-8</w:t>
            </w:r>
            <w:r>
              <w:rPr>
                <w:rFonts w:ascii="黑体" w:hAnsi="黑体" w:eastAsia="黑体"/>
                <w:b w:val="0"/>
                <w:color w:val="auto"/>
                <w:sz w:val="21"/>
                <w:szCs w:val="21"/>
                <w:highlight w:val="none"/>
              </w:rPr>
              <w:t xml:space="preserve">    评价范围植被覆盖度现状</w:t>
            </w:r>
            <w:r>
              <w:rPr>
                <w:rFonts w:hint="eastAsia" w:ascii="黑体" w:hAnsi="黑体" w:eastAsia="黑体"/>
                <w:b w:val="0"/>
                <w:color w:val="auto"/>
                <w:sz w:val="21"/>
                <w:szCs w:val="21"/>
                <w:highlight w:val="none"/>
              </w:rPr>
              <w:t xml:space="preserve"> 单位：h</w:t>
            </w:r>
            <w:r>
              <w:rPr>
                <w:rFonts w:ascii="黑体" w:hAnsi="黑体" w:eastAsia="黑体"/>
                <w:b w:val="0"/>
                <w:color w:val="auto"/>
                <w:sz w:val="21"/>
                <w:szCs w:val="21"/>
                <w:highlight w:val="none"/>
              </w:rPr>
              <w:t>m</w:t>
            </w:r>
            <w:r>
              <w:rPr>
                <w:rFonts w:ascii="黑体" w:hAnsi="黑体" w:eastAsia="黑体"/>
                <w:b w:val="0"/>
                <w:color w:val="auto"/>
                <w:sz w:val="21"/>
                <w:szCs w:val="21"/>
                <w:highlight w:val="none"/>
                <w:vertAlign w:val="superscript"/>
              </w:rPr>
              <w:t>2</w:t>
            </w:r>
          </w:p>
          <w:tbl>
            <w:tblPr>
              <w:tblStyle w:val="10"/>
              <w:tblW w:w="5000" w:type="pct"/>
              <w:jc w:val="center"/>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4083"/>
              <w:gridCol w:w="2052"/>
              <w:gridCol w:w="2035"/>
            </w:tblGrid>
            <w:tr w14:paraId="3F3F97D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jc w:val="center"/>
              </w:trPr>
              <w:tc>
                <w:tcPr>
                  <w:tcW w:w="2499" w:type="pct"/>
                  <w:vAlign w:val="center"/>
                </w:tcPr>
                <w:p w14:paraId="06C60BC3">
                  <w:pPr>
                    <w:pStyle w:val="3"/>
                    <w:ind w:firstLine="0" w:firstLineChars="0"/>
                    <w:jc w:val="center"/>
                    <w:rPr>
                      <w:color w:val="auto"/>
                      <w:szCs w:val="21"/>
                      <w:highlight w:val="none"/>
                    </w:rPr>
                  </w:pPr>
                  <w:r>
                    <w:rPr>
                      <w:color w:val="auto"/>
                      <w:szCs w:val="21"/>
                      <w:highlight w:val="none"/>
                    </w:rPr>
                    <w:t>植被覆盖度</w:t>
                  </w:r>
                </w:p>
              </w:tc>
              <w:tc>
                <w:tcPr>
                  <w:tcW w:w="1256" w:type="pct"/>
                  <w:vAlign w:val="center"/>
                </w:tcPr>
                <w:p w14:paraId="76BDDB47">
                  <w:pPr>
                    <w:pStyle w:val="3"/>
                    <w:ind w:firstLine="0" w:firstLineChars="0"/>
                    <w:jc w:val="center"/>
                    <w:rPr>
                      <w:color w:val="auto"/>
                      <w:szCs w:val="21"/>
                      <w:highlight w:val="none"/>
                    </w:rPr>
                  </w:pPr>
                  <w:r>
                    <w:rPr>
                      <w:color w:val="auto"/>
                      <w:szCs w:val="21"/>
                      <w:highlight w:val="none"/>
                    </w:rPr>
                    <w:t>面积</w:t>
                  </w:r>
                </w:p>
              </w:tc>
              <w:tc>
                <w:tcPr>
                  <w:tcW w:w="1245" w:type="pct"/>
                  <w:vAlign w:val="center"/>
                </w:tcPr>
                <w:p w14:paraId="6C922FC5">
                  <w:pPr>
                    <w:pStyle w:val="3"/>
                    <w:ind w:firstLine="0" w:firstLineChars="0"/>
                    <w:jc w:val="center"/>
                    <w:rPr>
                      <w:color w:val="auto"/>
                      <w:szCs w:val="21"/>
                      <w:highlight w:val="none"/>
                    </w:rPr>
                  </w:pPr>
                  <w:r>
                    <w:rPr>
                      <w:color w:val="auto"/>
                      <w:szCs w:val="21"/>
                      <w:highlight w:val="none"/>
                    </w:rPr>
                    <w:t>比例</w:t>
                  </w:r>
                </w:p>
              </w:tc>
            </w:tr>
            <w:tr w14:paraId="0099824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jc w:val="center"/>
              </w:trPr>
              <w:tc>
                <w:tcPr>
                  <w:tcW w:w="4083" w:type="dxa"/>
                  <w:vAlign w:val="bottom"/>
                </w:tcPr>
                <w:p w14:paraId="05B210DE">
                  <w:pPr>
                    <w:keepNext w:val="0"/>
                    <w:keepLines w:val="0"/>
                    <w:widowControl/>
                    <w:suppressLineNumbers w:val="0"/>
                    <w:jc w:val="center"/>
                    <w:textAlignment w:val="bottom"/>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&gt;50%</w:t>
                  </w:r>
                </w:p>
              </w:tc>
              <w:tc>
                <w:tcPr>
                  <w:tcW w:w="2052" w:type="dxa"/>
                  <w:vAlign w:val="bottom"/>
                </w:tcPr>
                <w:p w14:paraId="1B3DD9BC">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308.8</w:t>
                  </w:r>
                  <w:r>
                    <w:rPr>
                      <w:rFonts w:hint="eastAsia" w:ascii="Times New Roman" w:hAnsi="Times New Roman" w:eastAsia="宋体" w:cs="Times New Roman"/>
                      <w:i w:val="0"/>
                      <w:iCs w:val="0"/>
                      <w:color w:val="auto"/>
                      <w:kern w:val="0"/>
                      <w:sz w:val="21"/>
                      <w:szCs w:val="21"/>
                      <w:highlight w:val="none"/>
                      <w:u w:val="none"/>
                      <w:lang w:val="en-US" w:eastAsia="zh-CN" w:bidi="ar"/>
                    </w:rPr>
                    <w:t>9</w:t>
                  </w:r>
                </w:p>
              </w:tc>
              <w:tc>
                <w:tcPr>
                  <w:tcW w:w="2035" w:type="dxa"/>
                  <w:vAlign w:val="bottom"/>
                </w:tcPr>
                <w:p w14:paraId="2ED6C6E8">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23.59%</w:t>
                  </w:r>
                </w:p>
              </w:tc>
            </w:tr>
            <w:tr w14:paraId="7DDB33D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jc w:val="center"/>
              </w:trPr>
              <w:tc>
                <w:tcPr>
                  <w:tcW w:w="4083" w:type="dxa"/>
                  <w:vAlign w:val="bottom"/>
                </w:tcPr>
                <w:p w14:paraId="1C28C3E1">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0-20%</w:t>
                  </w:r>
                </w:p>
              </w:tc>
              <w:tc>
                <w:tcPr>
                  <w:tcW w:w="2052" w:type="dxa"/>
                  <w:vAlign w:val="bottom"/>
                </w:tcPr>
                <w:p w14:paraId="62EF4489">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21.3</w:t>
                  </w:r>
                  <w:r>
                    <w:rPr>
                      <w:rFonts w:hint="eastAsia" w:ascii="Times New Roman" w:hAnsi="Times New Roman" w:eastAsia="宋体" w:cs="Times New Roman"/>
                      <w:i w:val="0"/>
                      <w:iCs w:val="0"/>
                      <w:color w:val="auto"/>
                      <w:kern w:val="0"/>
                      <w:sz w:val="21"/>
                      <w:szCs w:val="21"/>
                      <w:highlight w:val="none"/>
                      <w:u w:val="none"/>
                      <w:lang w:val="en-US" w:eastAsia="zh-CN" w:bidi="ar"/>
                    </w:rPr>
                    <w:t>8</w:t>
                  </w:r>
                </w:p>
              </w:tc>
              <w:tc>
                <w:tcPr>
                  <w:tcW w:w="2035" w:type="dxa"/>
                  <w:vAlign w:val="bottom"/>
                </w:tcPr>
                <w:p w14:paraId="10253126">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1.63%</w:t>
                  </w:r>
                </w:p>
              </w:tc>
            </w:tr>
            <w:tr w14:paraId="37FB684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jc w:val="center"/>
              </w:trPr>
              <w:tc>
                <w:tcPr>
                  <w:tcW w:w="4083" w:type="dxa"/>
                  <w:vAlign w:val="bottom"/>
                </w:tcPr>
                <w:p w14:paraId="5D61231C">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20-30%</w:t>
                  </w:r>
                </w:p>
              </w:tc>
              <w:tc>
                <w:tcPr>
                  <w:tcW w:w="2052" w:type="dxa"/>
                  <w:vAlign w:val="bottom"/>
                </w:tcPr>
                <w:p w14:paraId="728CDF2E">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213.</w:t>
                  </w:r>
                  <w:r>
                    <w:rPr>
                      <w:rFonts w:hint="eastAsia" w:ascii="Times New Roman" w:hAnsi="Times New Roman" w:eastAsia="宋体" w:cs="Times New Roman"/>
                      <w:i w:val="0"/>
                      <w:iCs w:val="0"/>
                      <w:color w:val="auto"/>
                      <w:kern w:val="0"/>
                      <w:sz w:val="21"/>
                      <w:szCs w:val="21"/>
                      <w:highlight w:val="none"/>
                      <w:u w:val="none"/>
                      <w:lang w:val="en-US" w:eastAsia="zh-CN" w:bidi="ar"/>
                    </w:rPr>
                    <w:t>11</w:t>
                  </w:r>
                </w:p>
              </w:tc>
              <w:tc>
                <w:tcPr>
                  <w:tcW w:w="2035" w:type="dxa"/>
                  <w:vAlign w:val="bottom"/>
                </w:tcPr>
                <w:p w14:paraId="215AEB23">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16.28%</w:t>
                  </w:r>
                </w:p>
              </w:tc>
            </w:tr>
            <w:tr w14:paraId="424F6C5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jc w:val="center"/>
              </w:trPr>
              <w:tc>
                <w:tcPr>
                  <w:tcW w:w="4083" w:type="dxa"/>
                  <w:vAlign w:val="bottom"/>
                </w:tcPr>
                <w:p w14:paraId="42DBEEA4">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30-40%</w:t>
                  </w:r>
                </w:p>
              </w:tc>
              <w:tc>
                <w:tcPr>
                  <w:tcW w:w="2052" w:type="dxa"/>
                  <w:vAlign w:val="bottom"/>
                </w:tcPr>
                <w:p w14:paraId="0A5EDFAD">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187.8</w:t>
                  </w:r>
                  <w:r>
                    <w:rPr>
                      <w:rFonts w:hint="eastAsia" w:ascii="Times New Roman" w:hAnsi="Times New Roman" w:eastAsia="宋体" w:cs="Times New Roman"/>
                      <w:i w:val="0"/>
                      <w:iCs w:val="0"/>
                      <w:color w:val="auto"/>
                      <w:kern w:val="0"/>
                      <w:sz w:val="21"/>
                      <w:szCs w:val="21"/>
                      <w:highlight w:val="none"/>
                      <w:u w:val="none"/>
                      <w:lang w:val="en-US" w:eastAsia="zh-CN" w:bidi="ar"/>
                    </w:rPr>
                    <w:t>5</w:t>
                  </w:r>
                </w:p>
              </w:tc>
              <w:tc>
                <w:tcPr>
                  <w:tcW w:w="2035" w:type="dxa"/>
                  <w:vAlign w:val="bottom"/>
                </w:tcPr>
                <w:p w14:paraId="74B79802">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14.34%</w:t>
                  </w:r>
                </w:p>
              </w:tc>
            </w:tr>
            <w:tr w14:paraId="2BB9B5E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jc w:val="center"/>
              </w:trPr>
              <w:tc>
                <w:tcPr>
                  <w:tcW w:w="4083" w:type="dxa"/>
                  <w:vAlign w:val="bottom"/>
                </w:tcPr>
                <w:p w14:paraId="7BFC9AA0">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40-50%</w:t>
                  </w:r>
                </w:p>
              </w:tc>
              <w:tc>
                <w:tcPr>
                  <w:tcW w:w="2052" w:type="dxa"/>
                  <w:vAlign w:val="bottom"/>
                </w:tcPr>
                <w:p w14:paraId="24C4D57A">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578.0</w:t>
                  </w:r>
                  <w:r>
                    <w:rPr>
                      <w:rFonts w:hint="eastAsia" w:ascii="Times New Roman" w:hAnsi="Times New Roman" w:eastAsia="宋体" w:cs="Times New Roman"/>
                      <w:i w:val="0"/>
                      <w:iCs w:val="0"/>
                      <w:color w:val="auto"/>
                      <w:kern w:val="0"/>
                      <w:sz w:val="21"/>
                      <w:szCs w:val="21"/>
                      <w:highlight w:val="none"/>
                      <w:u w:val="none"/>
                      <w:lang w:val="en-US" w:eastAsia="zh-CN" w:bidi="ar"/>
                    </w:rPr>
                    <w:t>5</w:t>
                  </w:r>
                </w:p>
              </w:tc>
              <w:tc>
                <w:tcPr>
                  <w:tcW w:w="2035" w:type="dxa"/>
                  <w:vAlign w:val="bottom"/>
                </w:tcPr>
                <w:p w14:paraId="2E3E6BC8">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44.15%</w:t>
                  </w:r>
                </w:p>
              </w:tc>
            </w:tr>
            <w:tr w14:paraId="67C9F32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jc w:val="center"/>
              </w:trPr>
              <w:tc>
                <w:tcPr>
                  <w:tcW w:w="4083" w:type="dxa"/>
                  <w:vAlign w:val="bottom"/>
                </w:tcPr>
                <w:p w14:paraId="0E84BF2F">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总计</w:t>
                  </w:r>
                </w:p>
              </w:tc>
              <w:tc>
                <w:tcPr>
                  <w:tcW w:w="2052" w:type="dxa"/>
                  <w:vAlign w:val="bottom"/>
                </w:tcPr>
                <w:p w14:paraId="15A71424">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1309.28</w:t>
                  </w:r>
                </w:p>
              </w:tc>
              <w:tc>
                <w:tcPr>
                  <w:tcW w:w="2035" w:type="dxa"/>
                  <w:vAlign w:val="bottom"/>
                </w:tcPr>
                <w:p w14:paraId="45BC670B">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r>
          </w:tbl>
          <w:p w14:paraId="4981F70F">
            <w:pPr>
              <w:pStyle w:val="6"/>
              <w:snapToGrid/>
              <w:spacing w:line="480" w:lineRule="exact"/>
              <w:ind w:left="0" w:leftChars="0" w:right="0" w:rightChars="0" w:firstLine="480" w:firstLineChars="200"/>
              <w:rPr>
                <w:color w:val="auto"/>
                <w:sz w:val="24"/>
                <w:highlight w:val="none"/>
              </w:rPr>
            </w:pPr>
            <w:r>
              <w:rPr>
                <w:color w:val="auto"/>
                <w:sz w:val="24"/>
                <w:highlight w:val="none"/>
              </w:rPr>
              <w:t>根据遥感影像解析和评价实地调查，评价范围内土地利用现状划分为</w:t>
            </w:r>
            <w:r>
              <w:rPr>
                <w:rFonts w:hint="eastAsia"/>
                <w:color w:val="auto"/>
                <w:sz w:val="24"/>
                <w:highlight w:val="none"/>
                <w:lang w:val="en-US" w:eastAsia="zh-CN"/>
              </w:rPr>
              <w:t>15</w:t>
            </w:r>
            <w:r>
              <w:rPr>
                <w:color w:val="auto"/>
                <w:sz w:val="24"/>
                <w:highlight w:val="none"/>
              </w:rPr>
              <w:t>种土地利用类型，其中占比最大的为</w:t>
            </w:r>
            <w:r>
              <w:rPr>
                <w:rFonts w:hint="eastAsia"/>
                <w:color w:val="auto"/>
                <w:sz w:val="24"/>
                <w:highlight w:val="none"/>
                <w:lang w:val="en-US" w:eastAsia="zh-CN"/>
              </w:rPr>
              <w:t>乔木林地</w:t>
            </w:r>
            <w:r>
              <w:rPr>
                <w:color w:val="auto"/>
                <w:sz w:val="24"/>
                <w:highlight w:val="none"/>
              </w:rPr>
              <w:t>，比例</w:t>
            </w:r>
            <w:r>
              <w:rPr>
                <w:rFonts w:hint="eastAsia"/>
                <w:color w:val="auto"/>
                <w:sz w:val="24"/>
                <w:highlight w:val="none"/>
                <w:lang w:val="en-US" w:eastAsia="zh-CN"/>
              </w:rPr>
              <w:t>44.0</w:t>
            </w:r>
            <w:r>
              <w:rPr>
                <w:rFonts w:hint="eastAsia"/>
                <w:color w:val="auto"/>
                <w:sz w:val="24"/>
                <w:highlight w:val="none"/>
              </w:rPr>
              <w:t>5</w:t>
            </w:r>
            <w:r>
              <w:rPr>
                <w:color w:val="auto"/>
                <w:sz w:val="24"/>
                <w:highlight w:val="none"/>
              </w:rPr>
              <w:t>%；评价范围内植被类型有种，占比最大的为</w:t>
            </w:r>
            <w:r>
              <w:rPr>
                <w:rFonts w:hint="eastAsia"/>
                <w:color w:val="auto"/>
                <w:sz w:val="24"/>
                <w:highlight w:val="none"/>
                <w:lang w:val="en-US" w:eastAsia="zh-CN"/>
              </w:rPr>
              <w:t>针叶林</w:t>
            </w:r>
            <w:r>
              <w:rPr>
                <w:color w:val="auto"/>
                <w:sz w:val="24"/>
                <w:highlight w:val="none"/>
              </w:rPr>
              <w:t>，比例</w:t>
            </w:r>
            <w:r>
              <w:rPr>
                <w:rFonts w:hint="eastAsia"/>
                <w:color w:val="auto"/>
                <w:sz w:val="24"/>
                <w:highlight w:val="none"/>
                <w:lang w:val="en-US" w:eastAsia="zh-CN"/>
              </w:rPr>
              <w:t>44.0</w:t>
            </w:r>
            <w:r>
              <w:rPr>
                <w:rFonts w:hint="eastAsia"/>
                <w:color w:val="auto"/>
                <w:sz w:val="24"/>
                <w:highlight w:val="none"/>
              </w:rPr>
              <w:t>5</w:t>
            </w:r>
            <w:r>
              <w:rPr>
                <w:color w:val="auto"/>
                <w:sz w:val="24"/>
                <w:highlight w:val="none"/>
              </w:rPr>
              <w:t>%；评价范围内生态系统类型有</w:t>
            </w:r>
            <w:r>
              <w:rPr>
                <w:rFonts w:hint="eastAsia"/>
                <w:color w:val="auto"/>
                <w:sz w:val="24"/>
                <w:highlight w:val="none"/>
                <w:lang w:val="en-US" w:eastAsia="zh-CN"/>
              </w:rPr>
              <w:t>4</w:t>
            </w:r>
            <w:r>
              <w:rPr>
                <w:color w:val="auto"/>
                <w:sz w:val="24"/>
                <w:highlight w:val="none"/>
              </w:rPr>
              <w:t>种，占比最大的为</w:t>
            </w:r>
            <w:r>
              <w:rPr>
                <w:rFonts w:hint="eastAsia"/>
                <w:color w:val="auto"/>
                <w:sz w:val="24"/>
                <w:highlight w:val="none"/>
                <w:lang w:val="en-US" w:eastAsia="zh-CN"/>
              </w:rPr>
              <w:t>森林</w:t>
            </w:r>
            <w:r>
              <w:rPr>
                <w:color w:val="auto"/>
                <w:sz w:val="24"/>
                <w:highlight w:val="none"/>
              </w:rPr>
              <w:t>生态系统，比例</w:t>
            </w:r>
            <w:r>
              <w:rPr>
                <w:rFonts w:hint="eastAsia"/>
                <w:color w:val="auto"/>
                <w:sz w:val="24"/>
                <w:highlight w:val="none"/>
              </w:rPr>
              <w:t>5</w:t>
            </w:r>
            <w:r>
              <w:rPr>
                <w:rFonts w:hint="eastAsia"/>
                <w:color w:val="auto"/>
                <w:sz w:val="24"/>
                <w:highlight w:val="none"/>
                <w:lang w:val="en-US" w:eastAsia="zh-CN"/>
              </w:rPr>
              <w:t>8.49</w:t>
            </w:r>
            <w:r>
              <w:rPr>
                <w:color w:val="auto"/>
                <w:sz w:val="24"/>
                <w:highlight w:val="none"/>
              </w:rPr>
              <w:t>%；评价范围植被覆盖度占比最大的为40-50%，占比</w:t>
            </w:r>
            <w:r>
              <w:rPr>
                <w:rFonts w:hint="eastAsia"/>
                <w:color w:val="auto"/>
                <w:sz w:val="24"/>
                <w:highlight w:val="none"/>
                <w:lang w:val="en-US" w:eastAsia="zh-CN"/>
              </w:rPr>
              <w:t>44.15</w:t>
            </w:r>
            <w:r>
              <w:rPr>
                <w:color w:val="auto"/>
                <w:sz w:val="24"/>
                <w:highlight w:val="none"/>
              </w:rPr>
              <w:t>%。占地范围内占地类型有</w:t>
            </w:r>
            <w:r>
              <w:rPr>
                <w:rFonts w:hint="eastAsia"/>
                <w:color w:val="auto"/>
                <w:sz w:val="24"/>
                <w:highlight w:val="none"/>
                <w:lang w:val="en-US" w:eastAsia="zh-CN"/>
              </w:rPr>
              <w:t>6</w:t>
            </w:r>
            <w:r>
              <w:rPr>
                <w:color w:val="auto"/>
                <w:sz w:val="24"/>
                <w:highlight w:val="none"/>
              </w:rPr>
              <w:t>种，占比最大的为</w:t>
            </w:r>
            <w:r>
              <w:rPr>
                <w:rFonts w:hint="eastAsia"/>
                <w:color w:val="auto"/>
                <w:sz w:val="24"/>
                <w:highlight w:val="none"/>
                <w:lang w:val="en-US" w:eastAsia="zh-CN"/>
              </w:rPr>
              <w:t>乔木</w:t>
            </w:r>
            <w:r>
              <w:rPr>
                <w:rFonts w:hint="eastAsia"/>
                <w:color w:val="auto"/>
                <w:sz w:val="24"/>
                <w:highlight w:val="none"/>
              </w:rPr>
              <w:t>林地</w:t>
            </w:r>
            <w:r>
              <w:rPr>
                <w:color w:val="auto"/>
                <w:sz w:val="24"/>
                <w:highlight w:val="none"/>
              </w:rPr>
              <w:t>，比例</w:t>
            </w:r>
            <w:r>
              <w:rPr>
                <w:rFonts w:hint="eastAsia"/>
                <w:color w:val="auto"/>
                <w:sz w:val="24"/>
                <w:highlight w:val="none"/>
                <w:lang w:val="en-US" w:eastAsia="zh-CN"/>
              </w:rPr>
              <w:t>43.83</w:t>
            </w:r>
            <w:r>
              <w:rPr>
                <w:color w:val="auto"/>
                <w:sz w:val="24"/>
                <w:highlight w:val="none"/>
              </w:rPr>
              <w:t>%；占地范围植被类型有</w:t>
            </w:r>
            <w:r>
              <w:rPr>
                <w:rFonts w:hint="eastAsia"/>
                <w:color w:val="auto"/>
                <w:sz w:val="24"/>
                <w:highlight w:val="none"/>
                <w:lang w:val="en-US" w:eastAsia="zh-CN"/>
              </w:rPr>
              <w:t>5</w:t>
            </w:r>
            <w:r>
              <w:rPr>
                <w:color w:val="auto"/>
                <w:sz w:val="24"/>
                <w:highlight w:val="none"/>
              </w:rPr>
              <w:t>种，占比最大的为</w:t>
            </w:r>
            <w:r>
              <w:rPr>
                <w:rFonts w:hint="eastAsia"/>
                <w:color w:val="auto"/>
                <w:sz w:val="24"/>
                <w:highlight w:val="none"/>
                <w:lang w:val="en-US" w:eastAsia="zh-CN"/>
              </w:rPr>
              <w:t>针叶林</w:t>
            </w:r>
            <w:r>
              <w:rPr>
                <w:color w:val="auto"/>
                <w:sz w:val="24"/>
                <w:highlight w:val="none"/>
              </w:rPr>
              <w:t>，比例</w:t>
            </w:r>
            <w:r>
              <w:rPr>
                <w:rFonts w:hint="eastAsia"/>
                <w:color w:val="auto"/>
                <w:sz w:val="24"/>
                <w:highlight w:val="none"/>
                <w:lang w:val="en-US" w:eastAsia="zh-CN"/>
              </w:rPr>
              <w:t>43.83</w:t>
            </w:r>
            <w:r>
              <w:rPr>
                <w:color w:val="auto"/>
                <w:sz w:val="24"/>
                <w:highlight w:val="none"/>
              </w:rPr>
              <w:t>%；占地范围内生态系统共有</w:t>
            </w:r>
            <w:r>
              <w:rPr>
                <w:rFonts w:hint="eastAsia"/>
                <w:color w:val="auto"/>
                <w:sz w:val="24"/>
                <w:highlight w:val="none"/>
                <w:lang w:val="en-US" w:eastAsia="zh-CN"/>
              </w:rPr>
              <w:t>4</w:t>
            </w:r>
            <w:r>
              <w:rPr>
                <w:color w:val="auto"/>
                <w:sz w:val="24"/>
                <w:highlight w:val="none"/>
              </w:rPr>
              <w:t>种，</w:t>
            </w:r>
            <w:r>
              <w:rPr>
                <w:rFonts w:hint="eastAsia"/>
                <w:color w:val="auto"/>
                <w:sz w:val="24"/>
                <w:highlight w:val="none"/>
                <w:lang w:val="en-US" w:eastAsia="zh-CN"/>
              </w:rPr>
              <w:t>森林生态系统</w:t>
            </w:r>
            <w:r>
              <w:rPr>
                <w:color w:val="auto"/>
                <w:sz w:val="24"/>
                <w:highlight w:val="none"/>
              </w:rPr>
              <w:t>占比最大，比例</w:t>
            </w:r>
            <w:r>
              <w:rPr>
                <w:rFonts w:hint="eastAsia"/>
                <w:color w:val="auto"/>
                <w:sz w:val="24"/>
                <w:highlight w:val="none"/>
                <w:lang w:val="en-US" w:eastAsia="zh-CN"/>
              </w:rPr>
              <w:t>59.96</w:t>
            </w:r>
            <w:r>
              <w:rPr>
                <w:color w:val="auto"/>
                <w:sz w:val="24"/>
                <w:highlight w:val="none"/>
              </w:rPr>
              <w:t>%。</w:t>
            </w:r>
          </w:p>
          <w:p w14:paraId="19EFD6C3">
            <w:pPr>
              <w:pStyle w:val="6"/>
              <w:snapToGrid/>
              <w:spacing w:line="480" w:lineRule="exact"/>
              <w:ind w:left="0" w:leftChars="0" w:right="0" w:rightChars="0" w:firstLine="480" w:firstLineChars="200"/>
              <w:rPr>
                <w:bCs/>
                <w:color w:val="auto"/>
                <w:sz w:val="24"/>
                <w:highlight w:val="none"/>
              </w:rPr>
            </w:pPr>
            <w:r>
              <w:rPr>
                <w:rFonts w:hint="eastAsia"/>
                <w:bCs/>
                <w:color w:val="auto"/>
                <w:sz w:val="24"/>
                <w:highlight w:val="none"/>
              </w:rPr>
              <w:t>2、</w:t>
            </w:r>
            <w:r>
              <w:rPr>
                <w:bCs/>
                <w:color w:val="auto"/>
                <w:sz w:val="24"/>
                <w:highlight w:val="none"/>
              </w:rPr>
              <w:t>植物现状</w:t>
            </w:r>
          </w:p>
          <w:p w14:paraId="04726254">
            <w:pPr>
              <w:spacing w:line="480" w:lineRule="exact"/>
              <w:ind w:firstLine="496" w:firstLineChars="200"/>
              <w:rPr>
                <w:rFonts w:hint="eastAsia"/>
                <w:color w:val="auto"/>
                <w:spacing w:val="4"/>
                <w:sz w:val="24"/>
                <w:highlight w:val="none"/>
                <w:lang w:eastAsia="zh-CN"/>
              </w:rPr>
            </w:pPr>
            <w:r>
              <w:rPr>
                <w:rFonts w:hint="eastAsia" w:ascii="Times New Roman" w:eastAsia="宋体"/>
                <w:color w:val="auto"/>
                <w:spacing w:val="4"/>
                <w:sz w:val="24"/>
                <w:highlight w:val="none"/>
                <w:lang w:val="en-US" w:eastAsia="zh-CN"/>
              </w:rPr>
              <w:t>项目区所在区域植被种类构成较丰富，乔木主要有油松、白皮松、侧柏、落叶松、刺槐等；灌木主要有绣线菊、胡枝子、栒子木、胡颓子、连翘、黄栌、荆条、虎榛子、黄刺玫、荆条等；草类主要有苔草、白羊草、铁杆蒿、柴胡、苍术、桔梗等；果木类有山楂柿、苹果、梨、桃、枣、核桃等；农作物有冬小麦、玉米、豆类、谷类等。</w:t>
            </w:r>
          </w:p>
          <w:p w14:paraId="138A87BD">
            <w:pPr>
              <w:spacing w:line="480" w:lineRule="exact"/>
              <w:ind w:firstLine="496" w:firstLineChars="200"/>
              <w:rPr>
                <w:color w:val="auto"/>
                <w:spacing w:val="4"/>
                <w:sz w:val="24"/>
                <w:highlight w:val="none"/>
              </w:rPr>
            </w:pPr>
            <w:r>
              <w:rPr>
                <w:rFonts w:hint="eastAsia"/>
                <w:color w:val="auto"/>
                <w:spacing w:val="4"/>
                <w:sz w:val="24"/>
                <w:highlight w:val="none"/>
              </w:rPr>
              <w:t>3、</w:t>
            </w:r>
            <w:r>
              <w:rPr>
                <w:color w:val="auto"/>
                <w:spacing w:val="4"/>
                <w:sz w:val="24"/>
                <w:highlight w:val="none"/>
              </w:rPr>
              <w:t>动物</w:t>
            </w:r>
            <w:r>
              <w:rPr>
                <w:rFonts w:hint="eastAsia"/>
                <w:color w:val="auto"/>
                <w:spacing w:val="4"/>
                <w:sz w:val="24"/>
                <w:highlight w:val="none"/>
              </w:rPr>
              <w:t>现状</w:t>
            </w:r>
          </w:p>
          <w:p w14:paraId="65EC1783">
            <w:pPr>
              <w:spacing w:line="480" w:lineRule="exact"/>
              <w:ind w:firstLine="496" w:firstLineChars="200"/>
              <w:rPr>
                <w:rFonts w:hint="eastAsia"/>
                <w:color w:val="auto"/>
                <w:spacing w:val="4"/>
                <w:sz w:val="24"/>
                <w:highlight w:val="none"/>
              </w:rPr>
            </w:pPr>
            <w:r>
              <w:rPr>
                <w:rFonts w:hint="eastAsia" w:ascii="Times New Roman" w:eastAsia="宋体"/>
                <w:color w:val="auto"/>
                <w:spacing w:val="4"/>
                <w:sz w:val="24"/>
                <w:highlight w:val="none"/>
                <w:lang w:val="en-US" w:eastAsia="zh-CN"/>
              </w:rPr>
              <w:t>本项目所在区域内的动物资源主要有爬行类的蛇、蜥蜴、蟾蜍，哺乳类的野兔、刺猬、鼠，以及各种鸟类。</w:t>
            </w:r>
          </w:p>
          <w:p w14:paraId="1715050C">
            <w:pPr>
              <w:spacing w:line="480" w:lineRule="exact"/>
              <w:ind w:firstLine="496" w:firstLineChars="200"/>
              <w:rPr>
                <w:rFonts w:hint="eastAsia"/>
                <w:color w:val="auto"/>
                <w:spacing w:val="4"/>
                <w:sz w:val="24"/>
                <w:highlight w:val="none"/>
              </w:rPr>
            </w:pPr>
            <w:r>
              <w:rPr>
                <w:rFonts w:hint="eastAsia"/>
                <w:color w:val="auto"/>
                <w:spacing w:val="4"/>
                <w:sz w:val="24"/>
                <w:highlight w:val="none"/>
              </w:rPr>
              <w:t>调查期间，风电场内未发现有国家级及省级重点保护的野生动物，风电场不是候鸟迁徙的主要通道和主要栖息地。</w:t>
            </w:r>
          </w:p>
          <w:p w14:paraId="2E484880">
            <w:pPr>
              <w:spacing w:line="480" w:lineRule="exact"/>
              <w:ind w:firstLine="480" w:firstLineChars="200"/>
              <w:rPr>
                <w:bCs/>
                <w:color w:val="auto"/>
                <w:sz w:val="24"/>
                <w:highlight w:val="none"/>
              </w:rPr>
            </w:pPr>
            <w:r>
              <w:rPr>
                <w:rFonts w:hint="eastAsia"/>
                <w:bCs/>
                <w:color w:val="auto"/>
                <w:sz w:val="24"/>
                <w:highlight w:val="none"/>
              </w:rPr>
              <w:t>4</w:t>
            </w:r>
            <w:r>
              <w:rPr>
                <w:bCs/>
                <w:color w:val="auto"/>
                <w:sz w:val="24"/>
                <w:highlight w:val="none"/>
              </w:rPr>
              <w:t>、环境空气质量现状</w:t>
            </w:r>
          </w:p>
          <w:p w14:paraId="26121465">
            <w:pPr>
              <w:spacing w:line="480" w:lineRule="exact"/>
              <w:ind w:firstLine="480" w:firstLineChars="200"/>
              <w:rPr>
                <w:color w:val="auto"/>
                <w:sz w:val="24"/>
                <w:highlight w:val="none"/>
              </w:rPr>
            </w:pPr>
            <w:r>
              <w:rPr>
                <w:rFonts w:hint="eastAsia"/>
                <w:color w:val="auto"/>
                <w:sz w:val="24"/>
                <w:highlight w:val="none"/>
              </w:rPr>
              <w:t>本次评价引用</w:t>
            </w:r>
            <w:r>
              <w:rPr>
                <w:rFonts w:hint="eastAsia" w:eastAsia="宋体"/>
                <w:color w:val="auto"/>
                <w:sz w:val="24"/>
                <w:highlight w:val="none"/>
                <w:lang w:eastAsia="zh-CN"/>
              </w:rPr>
              <w:t>壶关县</w:t>
            </w:r>
            <w:r>
              <w:rPr>
                <w:rFonts w:hint="eastAsia"/>
                <w:color w:val="auto"/>
                <w:sz w:val="24"/>
                <w:highlight w:val="none"/>
              </w:rPr>
              <w:t>202</w:t>
            </w:r>
            <w:r>
              <w:rPr>
                <w:rFonts w:hint="eastAsia" w:ascii="Times New Roman" w:eastAsia="宋体"/>
                <w:color w:val="auto"/>
                <w:sz w:val="24"/>
                <w:highlight w:val="none"/>
                <w:lang w:val="en-US" w:eastAsia="zh-CN"/>
              </w:rPr>
              <w:t>4</w:t>
            </w:r>
            <w:r>
              <w:rPr>
                <w:rFonts w:hint="eastAsia"/>
                <w:color w:val="auto"/>
                <w:sz w:val="24"/>
                <w:highlight w:val="none"/>
              </w:rPr>
              <w:t>年1-12月各项污染物监测统计数据来说明区域环境空气质量状况，评价标准采用《环境空气质量标准》（GB3095-2012）中二级标准。</w:t>
            </w:r>
            <w:r>
              <w:rPr>
                <w:color w:val="auto"/>
                <w:sz w:val="24"/>
                <w:highlight w:val="none"/>
              </w:rPr>
              <w:t>监测数据见表3-9。</w:t>
            </w:r>
          </w:p>
          <w:p w14:paraId="1EA52705">
            <w:pPr>
              <w:spacing w:line="480" w:lineRule="exact"/>
              <w:jc w:val="center"/>
              <w:rPr>
                <w:rFonts w:hint="eastAsia" w:ascii="黑体" w:hAnsi="黑体" w:eastAsia="黑体" w:cs="黑体"/>
                <w:color w:val="auto"/>
                <w:szCs w:val="21"/>
                <w:highlight w:val="none"/>
              </w:rPr>
            </w:pPr>
            <w:r>
              <w:rPr>
                <w:color w:val="auto"/>
                <w:szCs w:val="21"/>
                <w:highlight w:val="none"/>
              </w:rPr>
              <w:t>表</w:t>
            </w:r>
            <w:r>
              <w:rPr>
                <w:rFonts w:hint="eastAsia" w:ascii="黑体" w:hAnsi="黑体" w:eastAsia="黑体" w:cs="黑体"/>
                <w:color w:val="auto"/>
                <w:szCs w:val="21"/>
                <w:highlight w:val="none"/>
              </w:rPr>
              <w:t>3-9</w:t>
            </w:r>
            <w:r>
              <w:rPr>
                <w:color w:val="auto"/>
                <w:szCs w:val="21"/>
                <w:highlight w:val="none"/>
              </w:rPr>
              <w:t xml:space="preserve">  </w:t>
            </w:r>
            <w:r>
              <w:rPr>
                <w:rFonts w:hint="eastAsia" w:ascii="黑体" w:hAnsi="黑体" w:eastAsia="黑体" w:cs="黑体"/>
                <w:color w:val="auto"/>
                <w:szCs w:val="21"/>
                <w:highlight w:val="none"/>
                <w:lang w:eastAsia="zh-CN"/>
              </w:rPr>
              <w:t>壶关县</w:t>
            </w:r>
            <w:r>
              <w:rPr>
                <w:rFonts w:hint="eastAsia" w:ascii="黑体" w:hAnsi="黑体" w:eastAsia="黑体" w:cs="黑体"/>
                <w:color w:val="auto"/>
                <w:szCs w:val="21"/>
                <w:highlight w:val="none"/>
              </w:rPr>
              <w:t>环境空气质量现状监测及评价结果一览表</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3"/>
              <w:gridCol w:w="884"/>
              <w:gridCol w:w="884"/>
              <w:gridCol w:w="891"/>
              <w:gridCol w:w="884"/>
              <w:gridCol w:w="1418"/>
              <w:gridCol w:w="2196"/>
            </w:tblGrid>
            <w:tr w14:paraId="18C9E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tcBorders>
                    <w:top w:val="single" w:color="auto" w:sz="12" w:space="0"/>
                    <w:left w:val="single" w:color="auto" w:sz="12" w:space="0"/>
                    <w:tl2br w:val="single" w:color="auto" w:sz="4" w:space="0"/>
                  </w:tcBorders>
                  <w:shd w:val="clear" w:color="auto" w:fill="auto"/>
                  <w:vAlign w:val="center"/>
                </w:tcPr>
                <w:p w14:paraId="40D6AF1D">
                  <w:pPr>
                    <w:jc w:val="right"/>
                    <w:rPr>
                      <w:color w:val="auto"/>
                      <w:szCs w:val="21"/>
                      <w:highlight w:val="none"/>
                    </w:rPr>
                  </w:pPr>
                  <w:r>
                    <w:rPr>
                      <w:color w:val="auto"/>
                      <w:szCs w:val="21"/>
                      <w:highlight w:val="none"/>
                    </w:rPr>
                    <w:t>监测因子</w:t>
                  </w:r>
                </w:p>
                <w:p w14:paraId="0708C7E3">
                  <w:pPr>
                    <w:jc w:val="left"/>
                    <w:rPr>
                      <w:color w:val="auto"/>
                      <w:szCs w:val="21"/>
                      <w:highlight w:val="none"/>
                    </w:rPr>
                  </w:pPr>
                  <w:r>
                    <w:rPr>
                      <w:color w:val="auto"/>
                      <w:szCs w:val="21"/>
                      <w:highlight w:val="none"/>
                    </w:rPr>
                    <w:t>项目</w:t>
                  </w:r>
                </w:p>
              </w:tc>
              <w:tc>
                <w:tcPr>
                  <w:tcW w:w="347" w:type="pct"/>
                  <w:tcBorders>
                    <w:top w:val="single" w:color="auto" w:sz="12" w:space="0"/>
                  </w:tcBorders>
                  <w:shd w:val="clear" w:color="auto" w:fill="auto"/>
                  <w:vAlign w:val="center"/>
                </w:tcPr>
                <w:p w14:paraId="76E91140">
                  <w:pPr>
                    <w:jc w:val="center"/>
                    <w:rPr>
                      <w:color w:val="auto"/>
                      <w:szCs w:val="21"/>
                      <w:highlight w:val="none"/>
                      <w:vertAlign w:val="superscript"/>
                    </w:rPr>
                  </w:pPr>
                  <w:r>
                    <w:rPr>
                      <w:color w:val="auto"/>
                      <w:szCs w:val="21"/>
                      <w:highlight w:val="none"/>
                    </w:rPr>
                    <w:t>SO</w:t>
                  </w:r>
                  <w:r>
                    <w:rPr>
                      <w:color w:val="auto"/>
                      <w:szCs w:val="21"/>
                      <w:highlight w:val="none"/>
                      <w:vertAlign w:val="subscript"/>
                    </w:rPr>
                    <w:t>2</w:t>
                  </w:r>
                </w:p>
                <w:p w14:paraId="6647B085">
                  <w:pPr>
                    <w:jc w:val="center"/>
                    <w:rPr>
                      <w:color w:val="auto"/>
                      <w:szCs w:val="21"/>
                      <w:highlight w:val="none"/>
                      <w:vertAlign w:val="superscript"/>
                    </w:rPr>
                  </w:pPr>
                  <w:r>
                    <w:rPr>
                      <w:color w:val="auto"/>
                      <w:szCs w:val="21"/>
                      <w:highlight w:val="none"/>
                    </w:rPr>
                    <w:t>μg/m</w:t>
                  </w:r>
                  <w:r>
                    <w:rPr>
                      <w:color w:val="auto"/>
                      <w:szCs w:val="21"/>
                      <w:highlight w:val="none"/>
                      <w:vertAlign w:val="superscript"/>
                    </w:rPr>
                    <w:t>3</w:t>
                  </w:r>
                </w:p>
              </w:tc>
              <w:tc>
                <w:tcPr>
                  <w:tcW w:w="453" w:type="pct"/>
                  <w:tcBorders>
                    <w:top w:val="single" w:color="auto" w:sz="12" w:space="0"/>
                  </w:tcBorders>
                  <w:shd w:val="clear" w:color="auto" w:fill="auto"/>
                  <w:vAlign w:val="center"/>
                </w:tcPr>
                <w:p w14:paraId="674BCA49">
                  <w:pPr>
                    <w:jc w:val="center"/>
                    <w:rPr>
                      <w:color w:val="auto"/>
                      <w:szCs w:val="21"/>
                      <w:highlight w:val="none"/>
                      <w:vertAlign w:val="subscript"/>
                    </w:rPr>
                  </w:pPr>
                  <w:r>
                    <w:rPr>
                      <w:color w:val="auto"/>
                      <w:szCs w:val="21"/>
                      <w:highlight w:val="none"/>
                    </w:rPr>
                    <w:t>NO</w:t>
                  </w:r>
                  <w:r>
                    <w:rPr>
                      <w:color w:val="auto"/>
                      <w:szCs w:val="21"/>
                      <w:highlight w:val="none"/>
                      <w:vertAlign w:val="subscript"/>
                    </w:rPr>
                    <w:t>2</w:t>
                  </w:r>
                </w:p>
                <w:p w14:paraId="619C48E8">
                  <w:pPr>
                    <w:jc w:val="center"/>
                    <w:rPr>
                      <w:color w:val="auto"/>
                      <w:szCs w:val="21"/>
                      <w:highlight w:val="none"/>
                      <w:vertAlign w:val="subscript"/>
                    </w:rPr>
                  </w:pPr>
                  <w:r>
                    <w:rPr>
                      <w:color w:val="auto"/>
                      <w:szCs w:val="21"/>
                      <w:highlight w:val="none"/>
                    </w:rPr>
                    <w:t>μg/m</w:t>
                  </w:r>
                  <w:r>
                    <w:rPr>
                      <w:color w:val="auto"/>
                      <w:szCs w:val="21"/>
                      <w:highlight w:val="none"/>
                      <w:vertAlign w:val="superscript"/>
                    </w:rPr>
                    <w:t>3</w:t>
                  </w:r>
                </w:p>
              </w:tc>
              <w:tc>
                <w:tcPr>
                  <w:tcW w:w="600" w:type="pct"/>
                  <w:tcBorders>
                    <w:top w:val="single" w:color="auto" w:sz="12" w:space="0"/>
                  </w:tcBorders>
                  <w:shd w:val="clear" w:color="auto" w:fill="auto"/>
                  <w:vAlign w:val="center"/>
                </w:tcPr>
                <w:p w14:paraId="43A5C5D2">
                  <w:pPr>
                    <w:jc w:val="center"/>
                    <w:rPr>
                      <w:color w:val="auto"/>
                      <w:szCs w:val="21"/>
                      <w:highlight w:val="none"/>
                      <w:vertAlign w:val="subscript"/>
                    </w:rPr>
                  </w:pPr>
                  <w:r>
                    <w:rPr>
                      <w:color w:val="auto"/>
                      <w:szCs w:val="21"/>
                      <w:highlight w:val="none"/>
                    </w:rPr>
                    <w:t>PM</w:t>
                  </w:r>
                  <w:r>
                    <w:rPr>
                      <w:color w:val="auto"/>
                      <w:szCs w:val="21"/>
                      <w:highlight w:val="none"/>
                      <w:vertAlign w:val="subscript"/>
                    </w:rPr>
                    <w:t>10</w:t>
                  </w:r>
                </w:p>
                <w:p w14:paraId="49A2E573">
                  <w:pPr>
                    <w:jc w:val="center"/>
                    <w:rPr>
                      <w:color w:val="auto"/>
                      <w:szCs w:val="21"/>
                      <w:highlight w:val="none"/>
                      <w:vertAlign w:val="subscript"/>
                    </w:rPr>
                  </w:pPr>
                  <w:r>
                    <w:rPr>
                      <w:color w:val="auto"/>
                      <w:szCs w:val="21"/>
                      <w:highlight w:val="none"/>
                    </w:rPr>
                    <w:t>μg/m</w:t>
                  </w:r>
                  <w:r>
                    <w:rPr>
                      <w:color w:val="auto"/>
                      <w:szCs w:val="21"/>
                      <w:highlight w:val="none"/>
                      <w:vertAlign w:val="superscript"/>
                    </w:rPr>
                    <w:t>3</w:t>
                  </w:r>
                </w:p>
              </w:tc>
              <w:tc>
                <w:tcPr>
                  <w:tcW w:w="540" w:type="pct"/>
                  <w:tcBorders>
                    <w:top w:val="single" w:color="auto" w:sz="12" w:space="0"/>
                  </w:tcBorders>
                  <w:shd w:val="clear" w:color="auto" w:fill="auto"/>
                  <w:vAlign w:val="center"/>
                </w:tcPr>
                <w:p w14:paraId="094956A8">
                  <w:pPr>
                    <w:jc w:val="center"/>
                    <w:rPr>
                      <w:color w:val="auto"/>
                      <w:szCs w:val="21"/>
                      <w:highlight w:val="none"/>
                      <w:vertAlign w:val="subscript"/>
                    </w:rPr>
                  </w:pPr>
                  <w:r>
                    <w:rPr>
                      <w:color w:val="auto"/>
                      <w:szCs w:val="21"/>
                      <w:highlight w:val="none"/>
                    </w:rPr>
                    <w:t>PM</w:t>
                  </w:r>
                  <w:r>
                    <w:rPr>
                      <w:color w:val="auto"/>
                      <w:szCs w:val="21"/>
                      <w:highlight w:val="none"/>
                      <w:vertAlign w:val="subscript"/>
                    </w:rPr>
                    <w:t>2.5</w:t>
                  </w:r>
                </w:p>
                <w:p w14:paraId="5D8E1165">
                  <w:pPr>
                    <w:jc w:val="center"/>
                    <w:rPr>
                      <w:color w:val="auto"/>
                      <w:szCs w:val="21"/>
                      <w:highlight w:val="none"/>
                    </w:rPr>
                  </w:pPr>
                  <w:r>
                    <w:rPr>
                      <w:color w:val="auto"/>
                      <w:szCs w:val="21"/>
                      <w:highlight w:val="none"/>
                    </w:rPr>
                    <w:t>μg/m</w:t>
                  </w:r>
                  <w:r>
                    <w:rPr>
                      <w:color w:val="auto"/>
                      <w:szCs w:val="21"/>
                      <w:highlight w:val="none"/>
                      <w:vertAlign w:val="superscript"/>
                    </w:rPr>
                    <w:t>3</w:t>
                  </w:r>
                </w:p>
              </w:tc>
              <w:tc>
                <w:tcPr>
                  <w:tcW w:w="977" w:type="pct"/>
                  <w:tcBorders>
                    <w:top w:val="single" w:color="auto" w:sz="12" w:space="0"/>
                  </w:tcBorders>
                  <w:shd w:val="clear" w:color="auto" w:fill="auto"/>
                  <w:vAlign w:val="center"/>
                </w:tcPr>
                <w:p w14:paraId="2E3E2988">
                  <w:pPr>
                    <w:jc w:val="center"/>
                    <w:rPr>
                      <w:color w:val="auto"/>
                      <w:szCs w:val="21"/>
                      <w:highlight w:val="none"/>
                    </w:rPr>
                  </w:pPr>
                  <w:r>
                    <w:rPr>
                      <w:color w:val="auto"/>
                      <w:szCs w:val="21"/>
                      <w:highlight w:val="none"/>
                    </w:rPr>
                    <w:t>CO</w:t>
                  </w:r>
                </w:p>
                <w:p w14:paraId="21CC1815">
                  <w:pPr>
                    <w:jc w:val="center"/>
                    <w:rPr>
                      <w:color w:val="auto"/>
                      <w:szCs w:val="21"/>
                      <w:highlight w:val="none"/>
                      <w:vertAlign w:val="subscript"/>
                    </w:rPr>
                  </w:pPr>
                  <w:r>
                    <w:rPr>
                      <w:color w:val="auto"/>
                      <w:szCs w:val="21"/>
                      <w:highlight w:val="none"/>
                    </w:rPr>
                    <w:t>mg/m</w:t>
                  </w:r>
                  <w:r>
                    <w:rPr>
                      <w:color w:val="auto"/>
                      <w:szCs w:val="21"/>
                      <w:highlight w:val="none"/>
                      <w:vertAlign w:val="superscript"/>
                    </w:rPr>
                    <w:t>3</w:t>
                  </w:r>
                </w:p>
              </w:tc>
              <w:tc>
                <w:tcPr>
                  <w:tcW w:w="1396" w:type="pct"/>
                  <w:tcBorders>
                    <w:top w:val="single" w:color="auto" w:sz="12" w:space="0"/>
                    <w:right w:val="single" w:color="auto" w:sz="12" w:space="0"/>
                  </w:tcBorders>
                  <w:shd w:val="clear" w:color="auto" w:fill="auto"/>
                  <w:vAlign w:val="center"/>
                </w:tcPr>
                <w:p w14:paraId="2DC490A8">
                  <w:pPr>
                    <w:jc w:val="center"/>
                    <w:rPr>
                      <w:color w:val="auto"/>
                      <w:szCs w:val="21"/>
                      <w:highlight w:val="none"/>
                      <w:vertAlign w:val="subscript"/>
                    </w:rPr>
                  </w:pPr>
                  <w:r>
                    <w:rPr>
                      <w:color w:val="auto"/>
                      <w:szCs w:val="21"/>
                      <w:highlight w:val="none"/>
                    </w:rPr>
                    <w:t>O</w:t>
                  </w:r>
                  <w:r>
                    <w:rPr>
                      <w:color w:val="auto"/>
                      <w:szCs w:val="21"/>
                      <w:highlight w:val="none"/>
                      <w:vertAlign w:val="subscript"/>
                    </w:rPr>
                    <w:t>3</w:t>
                  </w:r>
                </w:p>
                <w:p w14:paraId="68EE4B41">
                  <w:pPr>
                    <w:jc w:val="center"/>
                    <w:rPr>
                      <w:color w:val="auto"/>
                      <w:szCs w:val="21"/>
                      <w:highlight w:val="none"/>
                    </w:rPr>
                  </w:pPr>
                  <w:r>
                    <w:rPr>
                      <w:color w:val="auto"/>
                      <w:szCs w:val="21"/>
                      <w:highlight w:val="none"/>
                    </w:rPr>
                    <w:t>μg/m</w:t>
                  </w:r>
                  <w:r>
                    <w:rPr>
                      <w:color w:val="auto"/>
                      <w:szCs w:val="21"/>
                      <w:highlight w:val="none"/>
                      <w:vertAlign w:val="superscript"/>
                    </w:rPr>
                    <w:t>3</w:t>
                  </w:r>
                </w:p>
              </w:tc>
            </w:tr>
            <w:tr w14:paraId="41D35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tcBorders>
                    <w:left w:val="single" w:color="auto" w:sz="12" w:space="0"/>
                  </w:tcBorders>
                  <w:shd w:val="clear" w:color="auto" w:fill="auto"/>
                  <w:vAlign w:val="center"/>
                </w:tcPr>
                <w:p w14:paraId="15D847EA">
                  <w:pPr>
                    <w:jc w:val="center"/>
                    <w:rPr>
                      <w:color w:val="auto"/>
                      <w:szCs w:val="21"/>
                      <w:highlight w:val="none"/>
                    </w:rPr>
                  </w:pPr>
                  <w:r>
                    <w:rPr>
                      <w:color w:val="auto"/>
                      <w:szCs w:val="21"/>
                      <w:highlight w:val="none"/>
                    </w:rPr>
                    <w:t>统计浓度</w:t>
                  </w:r>
                </w:p>
              </w:tc>
              <w:tc>
                <w:tcPr>
                  <w:tcW w:w="347" w:type="pct"/>
                  <w:shd w:val="clear" w:color="auto" w:fill="auto"/>
                  <w:vAlign w:val="center"/>
                </w:tcPr>
                <w:p w14:paraId="254B9687">
                  <w:pPr>
                    <w:jc w:val="center"/>
                    <w:rPr>
                      <w:rFonts w:hint="eastAsia" w:eastAsia="宋体"/>
                      <w:color w:val="auto"/>
                      <w:szCs w:val="21"/>
                      <w:highlight w:val="none"/>
                      <w:lang w:val="en-US" w:eastAsia="zh-CN"/>
                    </w:rPr>
                  </w:pPr>
                  <w:r>
                    <w:rPr>
                      <w:rFonts w:hint="eastAsia"/>
                      <w:color w:val="auto"/>
                      <w:szCs w:val="21"/>
                      <w:highlight w:val="none"/>
                    </w:rPr>
                    <w:t>1</w:t>
                  </w:r>
                  <w:r>
                    <w:rPr>
                      <w:rFonts w:hint="eastAsia" w:ascii="Times New Roman" w:eastAsia="宋体"/>
                      <w:color w:val="auto"/>
                      <w:szCs w:val="21"/>
                      <w:highlight w:val="none"/>
                      <w:lang w:val="en-US" w:eastAsia="zh-CN"/>
                    </w:rPr>
                    <w:t>4</w:t>
                  </w:r>
                </w:p>
              </w:tc>
              <w:tc>
                <w:tcPr>
                  <w:tcW w:w="453" w:type="pct"/>
                  <w:shd w:val="clear" w:color="auto" w:fill="auto"/>
                  <w:vAlign w:val="center"/>
                </w:tcPr>
                <w:p w14:paraId="5FDA8D8F">
                  <w:pPr>
                    <w:jc w:val="center"/>
                    <w:rPr>
                      <w:rFonts w:hint="default" w:eastAsia="宋体"/>
                      <w:color w:val="auto"/>
                      <w:szCs w:val="21"/>
                      <w:highlight w:val="none"/>
                      <w:lang w:val="en-US" w:eastAsia="zh-CN"/>
                    </w:rPr>
                  </w:pPr>
                  <w:r>
                    <w:rPr>
                      <w:rFonts w:hint="eastAsia" w:ascii="Times New Roman" w:eastAsia="宋体"/>
                      <w:color w:val="auto"/>
                      <w:szCs w:val="21"/>
                      <w:highlight w:val="none"/>
                      <w:lang w:val="en-US" w:eastAsia="zh-CN"/>
                    </w:rPr>
                    <w:t>25</w:t>
                  </w:r>
                </w:p>
              </w:tc>
              <w:tc>
                <w:tcPr>
                  <w:tcW w:w="600" w:type="pct"/>
                  <w:shd w:val="clear" w:color="auto" w:fill="auto"/>
                  <w:vAlign w:val="center"/>
                </w:tcPr>
                <w:p w14:paraId="5E75A2F4">
                  <w:pPr>
                    <w:jc w:val="center"/>
                    <w:rPr>
                      <w:color w:val="auto"/>
                      <w:szCs w:val="21"/>
                      <w:highlight w:val="none"/>
                    </w:rPr>
                  </w:pPr>
                  <w:r>
                    <w:rPr>
                      <w:rFonts w:hint="eastAsia" w:ascii="Times New Roman" w:eastAsia="宋体"/>
                      <w:color w:val="auto"/>
                      <w:szCs w:val="21"/>
                      <w:highlight w:val="none"/>
                      <w:lang w:val="en-US" w:eastAsia="zh-CN"/>
                    </w:rPr>
                    <w:t>6</w:t>
                  </w:r>
                  <w:r>
                    <w:rPr>
                      <w:rFonts w:hint="eastAsia"/>
                      <w:color w:val="auto"/>
                      <w:szCs w:val="21"/>
                      <w:highlight w:val="none"/>
                    </w:rPr>
                    <w:t>8</w:t>
                  </w:r>
                </w:p>
              </w:tc>
              <w:tc>
                <w:tcPr>
                  <w:tcW w:w="540" w:type="pct"/>
                  <w:shd w:val="clear" w:color="auto" w:fill="auto"/>
                  <w:vAlign w:val="center"/>
                </w:tcPr>
                <w:p w14:paraId="61F95C15">
                  <w:pPr>
                    <w:jc w:val="center"/>
                    <w:rPr>
                      <w:rFonts w:hint="eastAsia" w:eastAsia="宋体"/>
                      <w:color w:val="auto"/>
                      <w:szCs w:val="21"/>
                      <w:highlight w:val="none"/>
                      <w:lang w:val="en-US" w:eastAsia="zh-CN"/>
                    </w:rPr>
                  </w:pPr>
                  <w:r>
                    <w:rPr>
                      <w:rFonts w:hint="eastAsia"/>
                      <w:color w:val="auto"/>
                      <w:szCs w:val="21"/>
                      <w:highlight w:val="none"/>
                    </w:rPr>
                    <w:t>3</w:t>
                  </w:r>
                  <w:r>
                    <w:rPr>
                      <w:rFonts w:hint="eastAsia" w:ascii="Times New Roman" w:eastAsia="宋体"/>
                      <w:color w:val="auto"/>
                      <w:szCs w:val="21"/>
                      <w:highlight w:val="none"/>
                      <w:lang w:val="en-US" w:eastAsia="zh-CN"/>
                    </w:rPr>
                    <w:t>4</w:t>
                  </w:r>
                </w:p>
              </w:tc>
              <w:tc>
                <w:tcPr>
                  <w:tcW w:w="977" w:type="pct"/>
                  <w:shd w:val="clear" w:color="auto" w:fill="auto"/>
                  <w:vAlign w:val="center"/>
                </w:tcPr>
                <w:p w14:paraId="364E6B9E">
                  <w:pPr>
                    <w:jc w:val="center"/>
                    <w:rPr>
                      <w:rFonts w:hint="default" w:eastAsia="宋体"/>
                      <w:color w:val="auto"/>
                      <w:szCs w:val="21"/>
                      <w:highlight w:val="none"/>
                      <w:lang w:val="en-US" w:eastAsia="zh-CN"/>
                    </w:rPr>
                  </w:pPr>
                  <w:r>
                    <w:rPr>
                      <w:rFonts w:hint="eastAsia" w:ascii="Times New Roman" w:eastAsia="宋体"/>
                      <w:color w:val="auto"/>
                      <w:szCs w:val="21"/>
                      <w:highlight w:val="none"/>
                      <w:lang w:val="en-US" w:eastAsia="zh-CN"/>
                    </w:rPr>
                    <w:t>2.1</w:t>
                  </w:r>
                </w:p>
              </w:tc>
              <w:tc>
                <w:tcPr>
                  <w:tcW w:w="1396" w:type="pct"/>
                  <w:tcBorders>
                    <w:right w:val="single" w:color="auto" w:sz="12" w:space="0"/>
                  </w:tcBorders>
                  <w:shd w:val="clear" w:color="auto" w:fill="auto"/>
                  <w:vAlign w:val="center"/>
                </w:tcPr>
                <w:p w14:paraId="79836C01">
                  <w:pPr>
                    <w:jc w:val="center"/>
                    <w:rPr>
                      <w:rFonts w:hint="default" w:eastAsia="宋体"/>
                      <w:color w:val="auto"/>
                      <w:szCs w:val="21"/>
                      <w:highlight w:val="none"/>
                      <w:lang w:val="en-US" w:eastAsia="zh-CN"/>
                    </w:rPr>
                  </w:pPr>
                  <w:r>
                    <w:rPr>
                      <w:rFonts w:hint="eastAsia"/>
                      <w:color w:val="auto"/>
                      <w:szCs w:val="21"/>
                      <w:highlight w:val="none"/>
                    </w:rPr>
                    <w:t>1</w:t>
                  </w:r>
                  <w:r>
                    <w:rPr>
                      <w:rFonts w:hint="eastAsia" w:ascii="Times New Roman" w:eastAsia="宋体"/>
                      <w:color w:val="auto"/>
                      <w:szCs w:val="21"/>
                      <w:highlight w:val="none"/>
                      <w:lang w:val="en-US" w:eastAsia="zh-CN"/>
                    </w:rPr>
                    <w:t>66</w:t>
                  </w:r>
                </w:p>
              </w:tc>
            </w:tr>
            <w:tr w14:paraId="4A277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tcBorders>
                    <w:left w:val="single" w:color="auto" w:sz="12" w:space="0"/>
                  </w:tcBorders>
                  <w:shd w:val="clear" w:color="auto" w:fill="auto"/>
                  <w:vAlign w:val="center"/>
                </w:tcPr>
                <w:p w14:paraId="642BB56C">
                  <w:pPr>
                    <w:jc w:val="center"/>
                    <w:rPr>
                      <w:color w:val="auto"/>
                      <w:szCs w:val="21"/>
                      <w:highlight w:val="none"/>
                    </w:rPr>
                  </w:pPr>
                  <w:r>
                    <w:rPr>
                      <w:color w:val="auto"/>
                      <w:szCs w:val="21"/>
                      <w:highlight w:val="none"/>
                    </w:rPr>
                    <w:t>标准值</w:t>
                  </w:r>
                </w:p>
              </w:tc>
              <w:tc>
                <w:tcPr>
                  <w:tcW w:w="347" w:type="pct"/>
                  <w:shd w:val="clear" w:color="auto" w:fill="auto"/>
                  <w:vAlign w:val="center"/>
                </w:tcPr>
                <w:p w14:paraId="7BDBE246">
                  <w:pPr>
                    <w:jc w:val="center"/>
                    <w:rPr>
                      <w:color w:val="auto"/>
                      <w:szCs w:val="21"/>
                      <w:highlight w:val="none"/>
                    </w:rPr>
                  </w:pPr>
                  <w:r>
                    <w:rPr>
                      <w:color w:val="auto"/>
                      <w:szCs w:val="21"/>
                      <w:highlight w:val="none"/>
                    </w:rPr>
                    <w:t>60</w:t>
                  </w:r>
                </w:p>
              </w:tc>
              <w:tc>
                <w:tcPr>
                  <w:tcW w:w="453" w:type="pct"/>
                  <w:shd w:val="clear" w:color="auto" w:fill="auto"/>
                  <w:vAlign w:val="center"/>
                </w:tcPr>
                <w:p w14:paraId="3D8482CD">
                  <w:pPr>
                    <w:jc w:val="center"/>
                    <w:rPr>
                      <w:color w:val="auto"/>
                      <w:szCs w:val="21"/>
                      <w:highlight w:val="none"/>
                    </w:rPr>
                  </w:pPr>
                  <w:r>
                    <w:rPr>
                      <w:color w:val="auto"/>
                      <w:szCs w:val="21"/>
                      <w:highlight w:val="none"/>
                    </w:rPr>
                    <w:t>40</w:t>
                  </w:r>
                </w:p>
              </w:tc>
              <w:tc>
                <w:tcPr>
                  <w:tcW w:w="600" w:type="pct"/>
                  <w:shd w:val="clear" w:color="auto" w:fill="auto"/>
                  <w:vAlign w:val="center"/>
                </w:tcPr>
                <w:p w14:paraId="1F9AD78E">
                  <w:pPr>
                    <w:jc w:val="center"/>
                    <w:rPr>
                      <w:color w:val="auto"/>
                      <w:szCs w:val="21"/>
                      <w:highlight w:val="none"/>
                    </w:rPr>
                  </w:pPr>
                  <w:r>
                    <w:rPr>
                      <w:color w:val="auto"/>
                      <w:szCs w:val="21"/>
                      <w:highlight w:val="none"/>
                    </w:rPr>
                    <w:t>70</w:t>
                  </w:r>
                </w:p>
              </w:tc>
              <w:tc>
                <w:tcPr>
                  <w:tcW w:w="540" w:type="pct"/>
                  <w:shd w:val="clear" w:color="auto" w:fill="auto"/>
                  <w:vAlign w:val="center"/>
                </w:tcPr>
                <w:p w14:paraId="124C1757">
                  <w:pPr>
                    <w:jc w:val="center"/>
                    <w:rPr>
                      <w:color w:val="auto"/>
                      <w:szCs w:val="21"/>
                      <w:highlight w:val="none"/>
                    </w:rPr>
                  </w:pPr>
                  <w:r>
                    <w:rPr>
                      <w:color w:val="auto"/>
                      <w:szCs w:val="21"/>
                      <w:highlight w:val="none"/>
                    </w:rPr>
                    <w:t>35</w:t>
                  </w:r>
                </w:p>
              </w:tc>
              <w:tc>
                <w:tcPr>
                  <w:tcW w:w="977" w:type="pct"/>
                  <w:shd w:val="clear" w:color="auto" w:fill="auto"/>
                  <w:vAlign w:val="center"/>
                </w:tcPr>
                <w:p w14:paraId="0C28134A">
                  <w:pPr>
                    <w:jc w:val="center"/>
                    <w:rPr>
                      <w:color w:val="auto"/>
                      <w:szCs w:val="21"/>
                      <w:highlight w:val="none"/>
                    </w:rPr>
                  </w:pPr>
                  <w:r>
                    <w:rPr>
                      <w:color w:val="auto"/>
                      <w:szCs w:val="21"/>
                      <w:highlight w:val="none"/>
                    </w:rPr>
                    <w:t>4</w:t>
                  </w:r>
                </w:p>
              </w:tc>
              <w:tc>
                <w:tcPr>
                  <w:tcW w:w="1396" w:type="pct"/>
                  <w:tcBorders>
                    <w:right w:val="single" w:color="auto" w:sz="12" w:space="0"/>
                  </w:tcBorders>
                  <w:shd w:val="clear" w:color="auto" w:fill="auto"/>
                  <w:vAlign w:val="center"/>
                </w:tcPr>
                <w:p w14:paraId="7878B793">
                  <w:pPr>
                    <w:jc w:val="center"/>
                    <w:rPr>
                      <w:color w:val="auto"/>
                      <w:szCs w:val="21"/>
                      <w:highlight w:val="none"/>
                    </w:rPr>
                  </w:pPr>
                  <w:r>
                    <w:rPr>
                      <w:color w:val="auto"/>
                      <w:szCs w:val="21"/>
                      <w:highlight w:val="none"/>
                    </w:rPr>
                    <w:t>160</w:t>
                  </w:r>
                </w:p>
              </w:tc>
            </w:tr>
            <w:tr w14:paraId="23E8F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87" w:type="pct"/>
                  <w:tcBorders>
                    <w:left w:val="single" w:color="auto" w:sz="12" w:space="0"/>
                  </w:tcBorders>
                  <w:shd w:val="clear" w:color="auto" w:fill="auto"/>
                  <w:vAlign w:val="center"/>
                </w:tcPr>
                <w:p w14:paraId="68010F1B">
                  <w:pPr>
                    <w:jc w:val="center"/>
                    <w:rPr>
                      <w:color w:val="auto"/>
                      <w:szCs w:val="21"/>
                      <w:highlight w:val="none"/>
                    </w:rPr>
                  </w:pPr>
                  <w:r>
                    <w:rPr>
                      <w:color w:val="auto"/>
                      <w:szCs w:val="21"/>
                      <w:highlight w:val="none"/>
                    </w:rPr>
                    <w:t>占标率</w:t>
                  </w:r>
                </w:p>
              </w:tc>
              <w:tc>
                <w:tcPr>
                  <w:tcW w:w="347" w:type="pct"/>
                  <w:shd w:val="clear" w:color="auto" w:fill="auto"/>
                  <w:vAlign w:val="center"/>
                </w:tcPr>
                <w:p w14:paraId="0BAD731A">
                  <w:pPr>
                    <w:jc w:val="center"/>
                    <w:rPr>
                      <w:color w:val="auto"/>
                      <w:szCs w:val="21"/>
                      <w:highlight w:val="none"/>
                    </w:rPr>
                  </w:pPr>
                  <w:r>
                    <w:rPr>
                      <w:rFonts w:hint="eastAsia" w:ascii="Times New Roman" w:eastAsia="宋体"/>
                      <w:color w:val="auto"/>
                      <w:szCs w:val="21"/>
                      <w:highlight w:val="none"/>
                      <w:lang w:val="en-US" w:eastAsia="zh-CN"/>
                    </w:rPr>
                    <w:t>23</w:t>
                  </w:r>
                  <w:r>
                    <w:rPr>
                      <w:rFonts w:hint="eastAsia"/>
                      <w:color w:val="auto"/>
                      <w:szCs w:val="21"/>
                      <w:highlight w:val="none"/>
                    </w:rPr>
                    <w:t>.3</w:t>
                  </w:r>
                  <w:r>
                    <w:rPr>
                      <w:color w:val="auto"/>
                      <w:szCs w:val="21"/>
                      <w:highlight w:val="none"/>
                    </w:rPr>
                    <w:t>%</w:t>
                  </w:r>
                </w:p>
              </w:tc>
              <w:tc>
                <w:tcPr>
                  <w:tcW w:w="453" w:type="pct"/>
                  <w:shd w:val="clear" w:color="auto" w:fill="auto"/>
                  <w:vAlign w:val="center"/>
                </w:tcPr>
                <w:p w14:paraId="18255C54">
                  <w:pPr>
                    <w:jc w:val="center"/>
                    <w:rPr>
                      <w:color w:val="auto"/>
                      <w:szCs w:val="21"/>
                      <w:highlight w:val="none"/>
                    </w:rPr>
                  </w:pPr>
                  <w:r>
                    <w:rPr>
                      <w:rFonts w:hint="eastAsia" w:ascii="Times New Roman" w:eastAsia="宋体"/>
                      <w:color w:val="auto"/>
                      <w:szCs w:val="21"/>
                      <w:highlight w:val="none"/>
                      <w:lang w:val="en-US" w:eastAsia="zh-CN"/>
                    </w:rPr>
                    <w:t>6</w:t>
                  </w:r>
                  <w:r>
                    <w:rPr>
                      <w:rFonts w:hint="eastAsia"/>
                      <w:color w:val="auto"/>
                      <w:szCs w:val="21"/>
                      <w:highlight w:val="none"/>
                    </w:rPr>
                    <w:t>2.5</w:t>
                  </w:r>
                  <w:r>
                    <w:rPr>
                      <w:color w:val="auto"/>
                      <w:szCs w:val="21"/>
                      <w:highlight w:val="none"/>
                    </w:rPr>
                    <w:t>%</w:t>
                  </w:r>
                </w:p>
              </w:tc>
              <w:tc>
                <w:tcPr>
                  <w:tcW w:w="600" w:type="pct"/>
                  <w:shd w:val="clear" w:color="auto" w:fill="auto"/>
                  <w:vAlign w:val="center"/>
                </w:tcPr>
                <w:p w14:paraId="6C53B89D">
                  <w:pPr>
                    <w:jc w:val="center"/>
                    <w:rPr>
                      <w:color w:val="auto"/>
                      <w:szCs w:val="21"/>
                      <w:highlight w:val="none"/>
                    </w:rPr>
                  </w:pPr>
                  <w:r>
                    <w:rPr>
                      <w:rFonts w:hint="eastAsia" w:ascii="Times New Roman" w:eastAsia="宋体"/>
                      <w:color w:val="auto"/>
                      <w:szCs w:val="21"/>
                      <w:highlight w:val="none"/>
                      <w:lang w:val="en-US" w:eastAsia="zh-CN"/>
                    </w:rPr>
                    <w:t>97.1</w:t>
                  </w:r>
                  <w:r>
                    <w:rPr>
                      <w:color w:val="auto"/>
                      <w:szCs w:val="21"/>
                      <w:highlight w:val="none"/>
                    </w:rPr>
                    <w:t>%</w:t>
                  </w:r>
                </w:p>
              </w:tc>
              <w:tc>
                <w:tcPr>
                  <w:tcW w:w="540" w:type="pct"/>
                  <w:shd w:val="clear" w:color="auto" w:fill="auto"/>
                  <w:vAlign w:val="center"/>
                </w:tcPr>
                <w:p w14:paraId="62DE3E6B">
                  <w:pPr>
                    <w:jc w:val="center"/>
                    <w:rPr>
                      <w:color w:val="auto"/>
                      <w:szCs w:val="21"/>
                      <w:highlight w:val="none"/>
                    </w:rPr>
                  </w:pPr>
                  <w:r>
                    <w:rPr>
                      <w:rFonts w:hint="eastAsia"/>
                      <w:color w:val="auto"/>
                      <w:szCs w:val="21"/>
                      <w:highlight w:val="none"/>
                    </w:rPr>
                    <w:t>9</w:t>
                  </w:r>
                  <w:r>
                    <w:rPr>
                      <w:rFonts w:hint="eastAsia" w:ascii="Times New Roman" w:eastAsia="宋体"/>
                      <w:color w:val="auto"/>
                      <w:szCs w:val="21"/>
                      <w:highlight w:val="none"/>
                      <w:lang w:val="en-US" w:eastAsia="zh-CN"/>
                    </w:rPr>
                    <w:t>7.1</w:t>
                  </w:r>
                  <w:r>
                    <w:rPr>
                      <w:color w:val="auto"/>
                      <w:szCs w:val="21"/>
                      <w:highlight w:val="none"/>
                    </w:rPr>
                    <w:t>%</w:t>
                  </w:r>
                </w:p>
              </w:tc>
              <w:tc>
                <w:tcPr>
                  <w:tcW w:w="977" w:type="pct"/>
                  <w:shd w:val="clear" w:color="auto" w:fill="auto"/>
                  <w:vAlign w:val="center"/>
                </w:tcPr>
                <w:p w14:paraId="030D718E">
                  <w:pPr>
                    <w:jc w:val="center"/>
                    <w:rPr>
                      <w:color w:val="auto"/>
                      <w:szCs w:val="21"/>
                      <w:highlight w:val="none"/>
                    </w:rPr>
                  </w:pPr>
                  <w:r>
                    <w:rPr>
                      <w:rFonts w:hint="eastAsia" w:ascii="Times New Roman" w:eastAsia="宋体"/>
                      <w:color w:val="auto"/>
                      <w:szCs w:val="21"/>
                      <w:highlight w:val="none"/>
                      <w:lang w:val="en-US" w:eastAsia="zh-CN"/>
                    </w:rPr>
                    <w:t>52</w:t>
                  </w:r>
                  <w:r>
                    <w:rPr>
                      <w:rFonts w:hint="eastAsia"/>
                      <w:color w:val="auto"/>
                      <w:szCs w:val="21"/>
                      <w:highlight w:val="none"/>
                    </w:rPr>
                    <w:t>.5</w:t>
                  </w:r>
                  <w:r>
                    <w:rPr>
                      <w:color w:val="auto"/>
                      <w:szCs w:val="21"/>
                      <w:highlight w:val="none"/>
                    </w:rPr>
                    <w:t>%</w:t>
                  </w:r>
                </w:p>
              </w:tc>
              <w:tc>
                <w:tcPr>
                  <w:tcW w:w="1396" w:type="pct"/>
                  <w:tcBorders>
                    <w:right w:val="single" w:color="auto" w:sz="12" w:space="0"/>
                  </w:tcBorders>
                  <w:shd w:val="clear" w:color="auto" w:fill="auto"/>
                  <w:vAlign w:val="center"/>
                </w:tcPr>
                <w:p w14:paraId="35CA1088">
                  <w:pPr>
                    <w:jc w:val="center"/>
                    <w:rPr>
                      <w:color w:val="auto"/>
                      <w:szCs w:val="21"/>
                      <w:highlight w:val="none"/>
                    </w:rPr>
                  </w:pPr>
                  <w:r>
                    <w:rPr>
                      <w:rFonts w:hint="eastAsia"/>
                      <w:color w:val="auto"/>
                      <w:szCs w:val="21"/>
                      <w:highlight w:val="none"/>
                    </w:rPr>
                    <w:t>10</w:t>
                  </w:r>
                  <w:r>
                    <w:rPr>
                      <w:rFonts w:hint="eastAsia" w:ascii="Times New Roman" w:eastAsia="宋体"/>
                      <w:color w:val="auto"/>
                      <w:szCs w:val="21"/>
                      <w:highlight w:val="none"/>
                      <w:lang w:val="en-US" w:eastAsia="zh-CN"/>
                    </w:rPr>
                    <w:t>3.7</w:t>
                  </w:r>
                  <w:r>
                    <w:rPr>
                      <w:color w:val="auto"/>
                      <w:szCs w:val="21"/>
                      <w:highlight w:val="none"/>
                    </w:rPr>
                    <w:t>%</w:t>
                  </w:r>
                </w:p>
              </w:tc>
            </w:tr>
            <w:tr w14:paraId="2155C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tcBorders>
                    <w:left w:val="single" w:color="auto" w:sz="12" w:space="0"/>
                  </w:tcBorders>
                  <w:shd w:val="clear" w:color="auto" w:fill="auto"/>
                  <w:vAlign w:val="center"/>
                </w:tcPr>
                <w:p w14:paraId="3A6D8616">
                  <w:pPr>
                    <w:jc w:val="center"/>
                    <w:rPr>
                      <w:color w:val="auto"/>
                      <w:szCs w:val="21"/>
                      <w:highlight w:val="none"/>
                    </w:rPr>
                  </w:pPr>
                  <w:r>
                    <w:rPr>
                      <w:color w:val="auto"/>
                      <w:szCs w:val="21"/>
                      <w:highlight w:val="none"/>
                    </w:rPr>
                    <w:t>达标情况</w:t>
                  </w:r>
                </w:p>
              </w:tc>
              <w:tc>
                <w:tcPr>
                  <w:tcW w:w="347" w:type="pct"/>
                  <w:shd w:val="clear" w:color="auto" w:fill="auto"/>
                  <w:vAlign w:val="center"/>
                </w:tcPr>
                <w:p w14:paraId="16BDC320">
                  <w:pPr>
                    <w:jc w:val="center"/>
                    <w:rPr>
                      <w:color w:val="auto"/>
                      <w:szCs w:val="21"/>
                      <w:highlight w:val="none"/>
                    </w:rPr>
                  </w:pPr>
                  <w:r>
                    <w:rPr>
                      <w:color w:val="auto"/>
                      <w:szCs w:val="21"/>
                      <w:highlight w:val="none"/>
                    </w:rPr>
                    <w:t>达标</w:t>
                  </w:r>
                </w:p>
              </w:tc>
              <w:tc>
                <w:tcPr>
                  <w:tcW w:w="453" w:type="pct"/>
                  <w:shd w:val="clear" w:color="auto" w:fill="auto"/>
                  <w:vAlign w:val="center"/>
                </w:tcPr>
                <w:p w14:paraId="08F360E5">
                  <w:pPr>
                    <w:jc w:val="center"/>
                    <w:rPr>
                      <w:color w:val="auto"/>
                      <w:szCs w:val="21"/>
                      <w:highlight w:val="none"/>
                    </w:rPr>
                  </w:pPr>
                  <w:r>
                    <w:rPr>
                      <w:color w:val="auto"/>
                      <w:szCs w:val="21"/>
                      <w:highlight w:val="none"/>
                    </w:rPr>
                    <w:t>达标</w:t>
                  </w:r>
                </w:p>
              </w:tc>
              <w:tc>
                <w:tcPr>
                  <w:tcW w:w="600" w:type="pct"/>
                  <w:shd w:val="clear" w:color="auto" w:fill="auto"/>
                  <w:vAlign w:val="center"/>
                </w:tcPr>
                <w:p w14:paraId="7BD8E27E">
                  <w:pPr>
                    <w:jc w:val="center"/>
                    <w:rPr>
                      <w:color w:val="auto"/>
                      <w:szCs w:val="21"/>
                      <w:highlight w:val="none"/>
                    </w:rPr>
                  </w:pPr>
                  <w:r>
                    <w:rPr>
                      <w:rFonts w:hint="eastAsia"/>
                      <w:color w:val="auto"/>
                      <w:szCs w:val="21"/>
                      <w:highlight w:val="none"/>
                    </w:rPr>
                    <w:t>达标</w:t>
                  </w:r>
                </w:p>
              </w:tc>
              <w:tc>
                <w:tcPr>
                  <w:tcW w:w="540" w:type="pct"/>
                  <w:shd w:val="clear" w:color="auto" w:fill="auto"/>
                  <w:vAlign w:val="center"/>
                </w:tcPr>
                <w:p w14:paraId="4A75E98B">
                  <w:pPr>
                    <w:jc w:val="center"/>
                    <w:rPr>
                      <w:color w:val="auto"/>
                      <w:szCs w:val="21"/>
                      <w:highlight w:val="none"/>
                    </w:rPr>
                  </w:pPr>
                  <w:r>
                    <w:rPr>
                      <w:color w:val="auto"/>
                      <w:szCs w:val="21"/>
                      <w:highlight w:val="none"/>
                    </w:rPr>
                    <w:t>达标</w:t>
                  </w:r>
                </w:p>
              </w:tc>
              <w:tc>
                <w:tcPr>
                  <w:tcW w:w="977" w:type="pct"/>
                  <w:shd w:val="clear" w:color="auto" w:fill="auto"/>
                  <w:vAlign w:val="center"/>
                </w:tcPr>
                <w:p w14:paraId="288D5762">
                  <w:pPr>
                    <w:jc w:val="center"/>
                    <w:rPr>
                      <w:color w:val="auto"/>
                      <w:szCs w:val="21"/>
                      <w:highlight w:val="none"/>
                    </w:rPr>
                  </w:pPr>
                  <w:r>
                    <w:rPr>
                      <w:color w:val="auto"/>
                      <w:szCs w:val="21"/>
                      <w:highlight w:val="none"/>
                    </w:rPr>
                    <w:t>达标</w:t>
                  </w:r>
                </w:p>
              </w:tc>
              <w:tc>
                <w:tcPr>
                  <w:tcW w:w="1396" w:type="pct"/>
                  <w:tcBorders>
                    <w:right w:val="single" w:color="auto" w:sz="12" w:space="0"/>
                  </w:tcBorders>
                  <w:shd w:val="clear" w:color="auto" w:fill="auto"/>
                  <w:vAlign w:val="center"/>
                </w:tcPr>
                <w:p w14:paraId="515E14EE">
                  <w:pPr>
                    <w:jc w:val="center"/>
                    <w:rPr>
                      <w:color w:val="auto"/>
                      <w:szCs w:val="21"/>
                      <w:highlight w:val="none"/>
                    </w:rPr>
                  </w:pPr>
                  <w:r>
                    <w:rPr>
                      <w:rFonts w:hint="eastAsia"/>
                      <w:color w:val="auto"/>
                      <w:szCs w:val="21"/>
                      <w:highlight w:val="none"/>
                    </w:rPr>
                    <w:t>超标</w:t>
                  </w:r>
                </w:p>
              </w:tc>
            </w:tr>
            <w:tr w14:paraId="2705E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tcBorders>
                    <w:left w:val="single" w:color="auto" w:sz="12" w:space="0"/>
                    <w:bottom w:val="single" w:color="auto" w:sz="12" w:space="0"/>
                  </w:tcBorders>
                  <w:shd w:val="clear" w:color="auto" w:fill="auto"/>
                  <w:vAlign w:val="center"/>
                </w:tcPr>
                <w:p w14:paraId="7405F73A">
                  <w:pPr>
                    <w:jc w:val="center"/>
                    <w:rPr>
                      <w:color w:val="auto"/>
                      <w:sz w:val="21"/>
                      <w:szCs w:val="21"/>
                      <w:highlight w:val="none"/>
                    </w:rPr>
                  </w:pPr>
                  <w:r>
                    <w:rPr>
                      <w:color w:val="auto"/>
                      <w:sz w:val="21"/>
                      <w:szCs w:val="21"/>
                      <w:highlight w:val="none"/>
                    </w:rPr>
                    <w:t>备注</w:t>
                  </w:r>
                </w:p>
              </w:tc>
              <w:tc>
                <w:tcPr>
                  <w:tcW w:w="347" w:type="pct"/>
                  <w:tcBorders>
                    <w:bottom w:val="single" w:color="auto" w:sz="12" w:space="0"/>
                  </w:tcBorders>
                  <w:shd w:val="clear" w:color="auto" w:fill="auto"/>
                  <w:vAlign w:val="center"/>
                </w:tcPr>
                <w:p w14:paraId="23EA5FD6">
                  <w:pPr>
                    <w:jc w:val="center"/>
                    <w:rPr>
                      <w:color w:val="auto"/>
                      <w:sz w:val="21"/>
                      <w:szCs w:val="21"/>
                      <w:highlight w:val="none"/>
                    </w:rPr>
                  </w:pPr>
                  <w:r>
                    <w:rPr>
                      <w:color w:val="auto"/>
                      <w:sz w:val="21"/>
                      <w:szCs w:val="21"/>
                      <w:highlight w:val="none"/>
                    </w:rPr>
                    <w:t>年均</w:t>
                  </w:r>
                </w:p>
              </w:tc>
              <w:tc>
                <w:tcPr>
                  <w:tcW w:w="453" w:type="pct"/>
                  <w:tcBorders>
                    <w:bottom w:val="single" w:color="auto" w:sz="12" w:space="0"/>
                  </w:tcBorders>
                  <w:shd w:val="clear" w:color="auto" w:fill="auto"/>
                  <w:vAlign w:val="center"/>
                </w:tcPr>
                <w:p w14:paraId="716B60A4">
                  <w:pPr>
                    <w:jc w:val="center"/>
                    <w:rPr>
                      <w:color w:val="auto"/>
                      <w:sz w:val="21"/>
                      <w:szCs w:val="21"/>
                      <w:highlight w:val="none"/>
                    </w:rPr>
                  </w:pPr>
                  <w:r>
                    <w:rPr>
                      <w:color w:val="auto"/>
                      <w:sz w:val="21"/>
                      <w:szCs w:val="21"/>
                      <w:highlight w:val="none"/>
                    </w:rPr>
                    <w:t>年均</w:t>
                  </w:r>
                </w:p>
              </w:tc>
              <w:tc>
                <w:tcPr>
                  <w:tcW w:w="600" w:type="pct"/>
                  <w:tcBorders>
                    <w:bottom w:val="single" w:color="auto" w:sz="12" w:space="0"/>
                  </w:tcBorders>
                  <w:shd w:val="clear" w:color="auto" w:fill="auto"/>
                  <w:vAlign w:val="center"/>
                </w:tcPr>
                <w:p w14:paraId="3F6773DB">
                  <w:pPr>
                    <w:jc w:val="center"/>
                    <w:rPr>
                      <w:color w:val="auto"/>
                      <w:sz w:val="21"/>
                      <w:szCs w:val="21"/>
                      <w:highlight w:val="none"/>
                    </w:rPr>
                  </w:pPr>
                  <w:r>
                    <w:rPr>
                      <w:color w:val="auto"/>
                      <w:sz w:val="21"/>
                      <w:szCs w:val="21"/>
                      <w:highlight w:val="none"/>
                    </w:rPr>
                    <w:t>年均</w:t>
                  </w:r>
                </w:p>
              </w:tc>
              <w:tc>
                <w:tcPr>
                  <w:tcW w:w="540" w:type="pct"/>
                  <w:tcBorders>
                    <w:bottom w:val="single" w:color="auto" w:sz="12" w:space="0"/>
                  </w:tcBorders>
                  <w:shd w:val="clear" w:color="auto" w:fill="auto"/>
                  <w:vAlign w:val="center"/>
                </w:tcPr>
                <w:p w14:paraId="7ED47132">
                  <w:pPr>
                    <w:jc w:val="center"/>
                    <w:rPr>
                      <w:color w:val="auto"/>
                      <w:sz w:val="21"/>
                      <w:szCs w:val="21"/>
                      <w:highlight w:val="none"/>
                    </w:rPr>
                  </w:pPr>
                  <w:r>
                    <w:rPr>
                      <w:color w:val="auto"/>
                      <w:sz w:val="21"/>
                      <w:szCs w:val="21"/>
                      <w:highlight w:val="none"/>
                    </w:rPr>
                    <w:t>年均</w:t>
                  </w:r>
                </w:p>
              </w:tc>
              <w:tc>
                <w:tcPr>
                  <w:tcW w:w="977" w:type="pct"/>
                  <w:tcBorders>
                    <w:bottom w:val="single" w:color="auto" w:sz="12" w:space="0"/>
                  </w:tcBorders>
                  <w:shd w:val="clear" w:color="auto" w:fill="auto"/>
                  <w:vAlign w:val="center"/>
                </w:tcPr>
                <w:p w14:paraId="370786CC">
                  <w:pPr>
                    <w:jc w:val="center"/>
                    <w:rPr>
                      <w:color w:val="auto"/>
                      <w:sz w:val="18"/>
                      <w:szCs w:val="18"/>
                      <w:highlight w:val="none"/>
                    </w:rPr>
                  </w:pPr>
                  <w:r>
                    <w:rPr>
                      <w:color w:val="auto"/>
                      <w:sz w:val="18"/>
                      <w:szCs w:val="18"/>
                      <w:highlight w:val="none"/>
                    </w:rPr>
                    <w:t>24小时平均第95百分位数</w:t>
                  </w:r>
                </w:p>
              </w:tc>
              <w:tc>
                <w:tcPr>
                  <w:tcW w:w="1396" w:type="pct"/>
                  <w:tcBorders>
                    <w:bottom w:val="single" w:color="auto" w:sz="12" w:space="0"/>
                    <w:right w:val="single" w:color="auto" w:sz="12" w:space="0"/>
                  </w:tcBorders>
                  <w:shd w:val="clear" w:color="auto" w:fill="auto"/>
                  <w:vAlign w:val="center"/>
                </w:tcPr>
                <w:p w14:paraId="36CB0EDC">
                  <w:pPr>
                    <w:jc w:val="center"/>
                    <w:rPr>
                      <w:color w:val="auto"/>
                      <w:sz w:val="18"/>
                      <w:szCs w:val="18"/>
                      <w:highlight w:val="none"/>
                    </w:rPr>
                  </w:pPr>
                  <w:r>
                    <w:rPr>
                      <w:color w:val="auto"/>
                      <w:sz w:val="18"/>
                      <w:szCs w:val="18"/>
                      <w:highlight w:val="none"/>
                    </w:rPr>
                    <w:t>日最大8h滑动平均值第90百分位数</w:t>
                  </w:r>
                </w:p>
              </w:tc>
            </w:tr>
          </w:tbl>
          <w:p w14:paraId="23E9CBE1">
            <w:pPr>
              <w:spacing w:line="480" w:lineRule="exact"/>
              <w:ind w:firstLine="480" w:firstLineChars="200"/>
              <w:rPr>
                <w:color w:val="auto"/>
                <w:sz w:val="24"/>
                <w:highlight w:val="none"/>
              </w:rPr>
            </w:pPr>
            <w:r>
              <w:rPr>
                <w:color w:val="auto"/>
                <w:sz w:val="24"/>
                <w:highlight w:val="none"/>
              </w:rPr>
              <w:t>由上表可知，</w:t>
            </w:r>
            <w:r>
              <w:rPr>
                <w:rFonts w:hint="eastAsia" w:eastAsia="宋体"/>
                <w:color w:val="auto"/>
                <w:sz w:val="24"/>
                <w:highlight w:val="none"/>
                <w:lang w:eastAsia="zh-CN"/>
              </w:rPr>
              <w:t>壶关县</w:t>
            </w:r>
            <w:r>
              <w:rPr>
                <w:rFonts w:hint="eastAsia"/>
                <w:color w:val="auto"/>
                <w:sz w:val="24"/>
                <w:highlight w:val="none"/>
              </w:rPr>
              <w:t>2</w:t>
            </w:r>
            <w:r>
              <w:rPr>
                <w:color w:val="auto"/>
                <w:sz w:val="24"/>
                <w:highlight w:val="none"/>
              </w:rPr>
              <w:t>02</w:t>
            </w:r>
            <w:r>
              <w:rPr>
                <w:rFonts w:hint="eastAsia" w:ascii="Times New Roman" w:eastAsia="宋体"/>
                <w:color w:val="auto"/>
                <w:sz w:val="24"/>
                <w:highlight w:val="none"/>
                <w:lang w:val="en-US" w:eastAsia="zh-CN"/>
              </w:rPr>
              <w:t>4</w:t>
            </w:r>
            <w:r>
              <w:rPr>
                <w:rFonts w:hint="eastAsia"/>
                <w:color w:val="auto"/>
                <w:sz w:val="24"/>
                <w:highlight w:val="none"/>
              </w:rPr>
              <w:t>年SO</w:t>
            </w:r>
            <w:r>
              <w:rPr>
                <w:rFonts w:hint="eastAsia"/>
                <w:color w:val="auto"/>
                <w:sz w:val="24"/>
                <w:highlight w:val="none"/>
                <w:vertAlign w:val="subscript"/>
              </w:rPr>
              <w:t>2</w:t>
            </w:r>
            <w:r>
              <w:rPr>
                <w:rFonts w:hint="eastAsia"/>
                <w:color w:val="auto"/>
                <w:sz w:val="24"/>
                <w:highlight w:val="none"/>
              </w:rPr>
              <w:t>、NO</w:t>
            </w:r>
            <w:r>
              <w:rPr>
                <w:rFonts w:hint="eastAsia"/>
                <w:color w:val="auto"/>
                <w:sz w:val="24"/>
                <w:highlight w:val="none"/>
                <w:vertAlign w:val="subscript"/>
              </w:rPr>
              <w:t>2</w:t>
            </w:r>
            <w:r>
              <w:rPr>
                <w:rFonts w:hint="eastAsia"/>
                <w:color w:val="auto"/>
                <w:sz w:val="24"/>
                <w:highlight w:val="none"/>
              </w:rPr>
              <w:t>、PM</w:t>
            </w:r>
            <w:r>
              <w:rPr>
                <w:rFonts w:hint="eastAsia"/>
                <w:color w:val="auto"/>
                <w:sz w:val="24"/>
                <w:highlight w:val="none"/>
                <w:vertAlign w:val="subscript"/>
              </w:rPr>
              <w:t>2.5</w:t>
            </w:r>
            <w:r>
              <w:rPr>
                <w:rFonts w:hint="eastAsia"/>
                <w:color w:val="auto"/>
                <w:sz w:val="24"/>
                <w:highlight w:val="none"/>
              </w:rPr>
              <w:t>、CO和PM</w:t>
            </w:r>
            <w:r>
              <w:rPr>
                <w:rFonts w:hint="eastAsia"/>
                <w:color w:val="auto"/>
                <w:sz w:val="24"/>
                <w:highlight w:val="none"/>
                <w:vertAlign w:val="subscript"/>
              </w:rPr>
              <w:t>10</w:t>
            </w:r>
            <w:r>
              <w:rPr>
                <w:rFonts w:hint="eastAsia"/>
                <w:color w:val="auto"/>
                <w:sz w:val="24"/>
                <w:highlight w:val="none"/>
              </w:rPr>
              <w:t>年评价指标可达到《环境空气质量标准》（GB3095-2012）中二级标准，O</w:t>
            </w:r>
            <w:r>
              <w:rPr>
                <w:rFonts w:hint="eastAsia"/>
                <w:color w:val="auto"/>
                <w:sz w:val="24"/>
                <w:highlight w:val="none"/>
                <w:vertAlign w:val="subscript"/>
              </w:rPr>
              <w:t>3</w:t>
            </w:r>
            <w:r>
              <w:rPr>
                <w:rFonts w:hint="eastAsia"/>
                <w:color w:val="auto"/>
                <w:sz w:val="24"/>
                <w:highlight w:val="none"/>
              </w:rPr>
              <w:t>评价指标超标，为不达标区。</w:t>
            </w:r>
          </w:p>
        </w:tc>
      </w:tr>
      <w:tr w14:paraId="4A71C4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83" w:hRule="atLeast"/>
          <w:jc w:val="center"/>
        </w:trPr>
        <w:tc>
          <w:tcPr>
            <w:tcW w:w="741" w:type="dxa"/>
            <w:vAlign w:val="center"/>
          </w:tcPr>
          <w:p w14:paraId="267355E8">
            <w:pPr>
              <w:adjustRightInd w:val="0"/>
              <w:snapToGrid w:val="0"/>
              <w:jc w:val="center"/>
              <w:rPr>
                <w:color w:val="auto"/>
                <w:kern w:val="0"/>
                <w:sz w:val="24"/>
                <w:highlight w:val="none"/>
              </w:rPr>
            </w:pPr>
            <w:r>
              <w:rPr>
                <w:bCs/>
                <w:color w:val="auto"/>
                <w:sz w:val="24"/>
                <w:highlight w:val="none"/>
              </w:rPr>
              <w:t>与项目有关的原有环境污染和生态破坏问题</w:t>
            </w:r>
          </w:p>
        </w:tc>
        <w:tc>
          <w:tcPr>
            <w:tcW w:w="8416" w:type="dxa"/>
            <w:vAlign w:val="center"/>
          </w:tcPr>
          <w:p w14:paraId="31B3668C">
            <w:pPr>
              <w:adjustRightInd w:val="0"/>
              <w:snapToGrid w:val="0"/>
              <w:spacing w:line="480" w:lineRule="exact"/>
              <w:jc w:val="left"/>
              <w:rPr>
                <w:rFonts w:hint="eastAsia"/>
                <w:color w:val="auto"/>
                <w:sz w:val="24"/>
                <w:highlight w:val="none"/>
                <w:lang w:eastAsia="zh-CN"/>
              </w:rPr>
            </w:pPr>
            <w:r>
              <w:rPr>
                <w:rFonts w:hint="eastAsia"/>
                <w:color w:val="auto"/>
                <w:sz w:val="24"/>
                <w:highlight w:val="none"/>
              </w:rPr>
              <w:t>中节能壶关县树掌风电场220kV升压站</w:t>
            </w:r>
            <w:r>
              <w:rPr>
                <w:rFonts w:hint="eastAsia" w:eastAsia="宋体"/>
                <w:color w:val="auto"/>
                <w:sz w:val="24"/>
                <w:highlight w:val="none"/>
                <w:lang w:eastAsia="zh-CN"/>
              </w:rPr>
              <w:t>：</w:t>
            </w:r>
          </w:p>
          <w:p w14:paraId="7894F4CD">
            <w:pPr>
              <w:adjustRightInd w:val="0"/>
              <w:snapToGrid w:val="0"/>
              <w:spacing w:line="480" w:lineRule="exact"/>
              <w:ind w:firstLine="480" w:firstLineChars="200"/>
              <w:jc w:val="left"/>
              <w:rPr>
                <w:rFonts w:hint="eastAsia"/>
                <w:color w:val="auto"/>
                <w:sz w:val="24"/>
                <w:highlight w:val="none"/>
                <w:lang w:eastAsia="zh-CN"/>
              </w:rPr>
            </w:pPr>
            <w:r>
              <w:rPr>
                <w:rFonts w:hint="eastAsia" w:eastAsia="宋体"/>
                <w:color w:val="auto"/>
                <w:sz w:val="24"/>
                <w:highlight w:val="none"/>
                <w:lang w:eastAsia="zh-CN"/>
              </w:rPr>
              <w:t>2019年11月4日，山西省生态环境厅以晋环审批函﹝2019﹞391号文对《中节能壶关县树掌风电场220kV升压站工程环境影响报告表》进行了批复；2024年6月，中节能壶关县树掌风电场 220kV 升压站工程</w:t>
            </w:r>
            <w:r>
              <w:rPr>
                <w:rFonts w:hint="eastAsia" w:ascii="Times New Roman" w:eastAsia="宋体"/>
                <w:color w:val="auto"/>
                <w:sz w:val="24"/>
                <w:highlight w:val="none"/>
                <w:lang w:val="en-US" w:eastAsia="zh-CN"/>
              </w:rPr>
              <w:t>完成了</w:t>
            </w:r>
            <w:r>
              <w:rPr>
                <w:rFonts w:hint="eastAsia" w:eastAsia="宋体"/>
                <w:color w:val="auto"/>
                <w:sz w:val="24"/>
                <w:highlight w:val="none"/>
                <w:lang w:eastAsia="zh-CN"/>
              </w:rPr>
              <w:t>竣工环境保护验收。</w:t>
            </w:r>
          </w:p>
          <w:p w14:paraId="42BDDE49">
            <w:pPr>
              <w:adjustRightInd w:val="0"/>
              <w:snapToGrid w:val="0"/>
              <w:spacing w:line="480" w:lineRule="exact"/>
              <w:ind w:firstLine="480" w:firstLineChars="200"/>
              <w:jc w:val="left"/>
              <w:rPr>
                <w:rFonts w:hint="eastAsia" w:ascii="Times New Roman" w:eastAsia="宋体"/>
                <w:color w:val="auto"/>
                <w:sz w:val="24"/>
                <w:highlight w:val="none"/>
                <w:lang w:val="en-US" w:eastAsia="zh-CN"/>
              </w:rPr>
            </w:pPr>
            <w:r>
              <w:rPr>
                <w:rFonts w:hint="eastAsia" w:ascii="Times New Roman" w:eastAsia="宋体"/>
                <w:color w:val="auto"/>
                <w:sz w:val="24"/>
                <w:highlight w:val="none"/>
                <w:lang w:val="en-US" w:eastAsia="zh-CN"/>
              </w:rPr>
              <w:t>根据调查及查阅相关资料，树掌风电场220kV 升压站采取了必要的环境保护设施、措施。在站区</w:t>
            </w:r>
            <w:r>
              <w:rPr>
                <w:rFonts w:hint="eastAsia"/>
                <w:color w:val="auto"/>
                <w:sz w:val="24"/>
                <w:highlight w:val="none"/>
                <w:lang w:val="en-US" w:eastAsia="zh-CN"/>
              </w:rPr>
              <w:t>西南角</w:t>
            </w:r>
            <w:r>
              <w:rPr>
                <w:rFonts w:hint="eastAsia" w:ascii="Times New Roman" w:eastAsia="宋体"/>
                <w:color w:val="auto"/>
                <w:sz w:val="24"/>
                <w:highlight w:val="none"/>
                <w:lang w:val="en-US" w:eastAsia="zh-CN"/>
              </w:rPr>
              <w:t>设置了1座容积为</w:t>
            </w:r>
            <w:r>
              <w:rPr>
                <w:rFonts w:hint="eastAsia"/>
                <w:color w:val="auto"/>
                <w:sz w:val="24"/>
                <w:highlight w:val="none"/>
                <w:lang w:val="en-US" w:eastAsia="zh-CN"/>
              </w:rPr>
              <w:t>4</w:t>
            </w:r>
            <w:r>
              <w:rPr>
                <w:rFonts w:hint="eastAsia" w:ascii="Times New Roman" w:eastAsia="宋体"/>
                <w:color w:val="auto"/>
                <w:sz w:val="24"/>
                <w:highlight w:val="none"/>
                <w:lang w:val="en-US" w:eastAsia="zh-CN"/>
              </w:rPr>
              <w:t>0m</w:t>
            </w:r>
            <w:r>
              <w:rPr>
                <w:rFonts w:hint="eastAsia" w:ascii="Times New Roman" w:eastAsia="宋体"/>
                <w:color w:val="auto"/>
                <w:sz w:val="24"/>
                <w:highlight w:val="none"/>
                <w:vertAlign w:val="superscript"/>
                <w:lang w:val="en-US" w:eastAsia="zh-CN"/>
              </w:rPr>
              <w:t>3</w:t>
            </w:r>
            <w:r>
              <w:rPr>
                <w:rFonts w:hint="eastAsia" w:ascii="Times New Roman" w:eastAsia="宋体"/>
                <w:color w:val="auto"/>
                <w:sz w:val="24"/>
                <w:highlight w:val="none"/>
                <w:lang w:val="en-US" w:eastAsia="zh-CN"/>
              </w:rPr>
              <w:t>的事故油池，升压站自运行以来，未发生变压器漏油事故；在站区东南角设置了1座占地面积为</w:t>
            </w:r>
            <w:r>
              <w:rPr>
                <w:rFonts w:hint="eastAsia"/>
                <w:color w:val="auto"/>
                <w:sz w:val="24"/>
                <w:highlight w:val="none"/>
                <w:lang w:val="en-US" w:eastAsia="zh-CN"/>
              </w:rPr>
              <w:t>2</w:t>
            </w:r>
            <w:r>
              <w:rPr>
                <w:rFonts w:hint="eastAsia" w:ascii="Times New Roman" w:eastAsia="宋体"/>
                <w:color w:val="auto"/>
                <w:sz w:val="24"/>
                <w:highlight w:val="none"/>
                <w:lang w:val="en-US" w:eastAsia="zh-CN"/>
              </w:rPr>
              <w:t>0m</w:t>
            </w:r>
            <w:r>
              <w:rPr>
                <w:rFonts w:hint="eastAsia" w:ascii="Times New Roman" w:eastAsia="宋体"/>
                <w:color w:val="auto"/>
                <w:sz w:val="24"/>
                <w:highlight w:val="none"/>
                <w:vertAlign w:val="superscript"/>
                <w:lang w:val="en-US" w:eastAsia="zh-CN"/>
              </w:rPr>
              <w:t>2</w:t>
            </w:r>
            <w:r>
              <w:rPr>
                <w:rFonts w:hint="eastAsia" w:ascii="Times New Roman" w:eastAsia="宋体"/>
                <w:color w:val="auto"/>
                <w:sz w:val="24"/>
                <w:highlight w:val="none"/>
                <w:lang w:val="en-US" w:eastAsia="zh-CN"/>
              </w:rPr>
              <w:t>的危废</w:t>
            </w:r>
            <w:r>
              <w:rPr>
                <w:rFonts w:hint="eastAsia"/>
                <w:color w:val="auto"/>
                <w:sz w:val="24"/>
                <w:highlight w:val="none"/>
                <w:lang w:val="en-US" w:eastAsia="zh-CN"/>
              </w:rPr>
              <w:t>贮存点</w:t>
            </w:r>
            <w:r>
              <w:rPr>
                <w:rFonts w:hint="eastAsia" w:ascii="Times New Roman" w:eastAsia="宋体"/>
                <w:color w:val="auto"/>
                <w:sz w:val="24"/>
                <w:highlight w:val="none"/>
                <w:lang w:val="en-US" w:eastAsia="zh-CN"/>
              </w:rPr>
              <w:t>，变电站自运行以来，站内直流系统正常运行，未产生废铅酸蓄电池；生活垃圾集中收集后送往当地环卫部门指定地点</w:t>
            </w:r>
            <w:r>
              <w:rPr>
                <w:rFonts w:hint="eastAsia"/>
                <w:color w:val="auto"/>
                <w:sz w:val="24"/>
                <w:highlight w:val="none"/>
                <w:lang w:val="en-US" w:eastAsia="zh-CN"/>
              </w:rPr>
              <w:t>；</w:t>
            </w:r>
            <w:r>
              <w:rPr>
                <w:rFonts w:hint="eastAsia" w:ascii="Times New Roman" w:eastAsia="宋体"/>
                <w:color w:val="auto"/>
                <w:sz w:val="24"/>
                <w:highlight w:val="none"/>
                <w:lang w:val="en-US" w:eastAsia="zh-CN"/>
              </w:rPr>
              <w:t>在升压站</w:t>
            </w:r>
            <w:r>
              <w:rPr>
                <w:rFonts w:hint="eastAsia"/>
                <w:color w:val="auto"/>
                <w:sz w:val="24"/>
                <w:highlight w:val="none"/>
                <w:lang w:val="en-US" w:eastAsia="zh-CN"/>
              </w:rPr>
              <w:t>内</w:t>
            </w:r>
            <w:r>
              <w:rPr>
                <w:rFonts w:hint="eastAsia" w:ascii="Times New Roman" w:eastAsia="宋体"/>
                <w:color w:val="auto"/>
                <w:sz w:val="24"/>
                <w:highlight w:val="none"/>
                <w:lang w:val="en-US" w:eastAsia="zh-CN"/>
              </w:rPr>
              <w:t>建设</w:t>
            </w:r>
            <w:r>
              <w:rPr>
                <w:rFonts w:hint="eastAsia"/>
                <w:color w:val="auto"/>
                <w:sz w:val="24"/>
                <w:highlight w:val="none"/>
                <w:lang w:val="en-US" w:eastAsia="zh-CN"/>
              </w:rPr>
              <w:t>了</w:t>
            </w:r>
            <w:r>
              <w:rPr>
                <w:rFonts w:hint="eastAsia" w:ascii="Times New Roman" w:eastAsia="宋体"/>
                <w:color w:val="auto"/>
                <w:sz w:val="24"/>
                <w:highlight w:val="none"/>
                <w:lang w:val="en-US" w:eastAsia="zh-CN"/>
              </w:rPr>
              <w:t>地埋式生活污水一体化处理设施（处理能力为0.5m</w:t>
            </w:r>
            <w:r>
              <w:rPr>
                <w:rFonts w:hint="eastAsia" w:ascii="Times New Roman" w:eastAsia="宋体"/>
                <w:color w:val="auto"/>
                <w:sz w:val="24"/>
                <w:highlight w:val="none"/>
                <w:vertAlign w:val="superscript"/>
                <w:lang w:val="en-US" w:eastAsia="zh-CN"/>
              </w:rPr>
              <w:t>3</w:t>
            </w:r>
            <w:r>
              <w:rPr>
                <w:rFonts w:hint="eastAsia" w:ascii="Times New Roman" w:eastAsia="宋体"/>
                <w:color w:val="auto"/>
                <w:sz w:val="24"/>
                <w:highlight w:val="none"/>
                <w:lang w:val="en-US" w:eastAsia="zh-CN"/>
              </w:rPr>
              <w:t xml:space="preserve"> /h）和1 座容积为200m</w:t>
            </w:r>
            <w:r>
              <w:rPr>
                <w:rFonts w:hint="eastAsia" w:ascii="Times New Roman" w:eastAsia="宋体"/>
                <w:color w:val="auto"/>
                <w:sz w:val="24"/>
                <w:highlight w:val="none"/>
                <w:vertAlign w:val="superscript"/>
                <w:lang w:val="en-US" w:eastAsia="zh-CN"/>
              </w:rPr>
              <w:t>3</w:t>
            </w:r>
            <w:r>
              <w:rPr>
                <w:rFonts w:hint="eastAsia" w:ascii="Times New Roman" w:eastAsia="宋体"/>
                <w:color w:val="auto"/>
                <w:sz w:val="24"/>
                <w:highlight w:val="none"/>
                <w:lang w:val="en-US" w:eastAsia="zh-CN"/>
              </w:rPr>
              <w:t>集水池</w:t>
            </w:r>
            <w:r>
              <w:rPr>
                <w:rFonts w:hint="eastAsia"/>
                <w:color w:val="auto"/>
                <w:sz w:val="24"/>
                <w:highlight w:val="none"/>
                <w:lang w:val="en-US" w:eastAsia="zh-CN"/>
              </w:rPr>
              <w:t>，</w:t>
            </w:r>
            <w:r>
              <w:rPr>
                <w:rFonts w:hint="eastAsia" w:ascii="Times New Roman" w:eastAsia="宋体"/>
                <w:color w:val="auto"/>
                <w:sz w:val="24"/>
                <w:highlight w:val="none"/>
                <w:lang w:val="en-US" w:eastAsia="zh-CN"/>
              </w:rPr>
              <w:t>能够满足升压站规划使用要求。</w:t>
            </w:r>
          </w:p>
          <w:p w14:paraId="5E2F30C5">
            <w:pPr>
              <w:adjustRightInd w:val="0"/>
              <w:snapToGrid w:val="0"/>
              <w:spacing w:line="480" w:lineRule="exact"/>
              <w:ind w:firstLine="480" w:firstLineChars="200"/>
              <w:jc w:val="left"/>
              <w:rPr>
                <w:rFonts w:hint="eastAsia"/>
                <w:color w:val="auto"/>
                <w:sz w:val="24"/>
                <w:highlight w:val="none"/>
                <w:lang w:eastAsia="zh-CN"/>
              </w:rPr>
            </w:pPr>
            <w:r>
              <w:rPr>
                <w:rFonts w:hint="eastAsia" w:ascii="Times New Roman" w:eastAsia="宋体"/>
                <w:color w:val="auto"/>
                <w:sz w:val="24"/>
                <w:highlight w:val="none"/>
                <w:lang w:val="en-US" w:eastAsia="zh-CN"/>
              </w:rPr>
              <w:t>综上，</w:t>
            </w:r>
            <w:r>
              <w:rPr>
                <w:rFonts w:hint="eastAsia" w:eastAsia="宋体"/>
                <w:color w:val="auto"/>
                <w:sz w:val="24"/>
                <w:highlight w:val="none"/>
                <w:lang w:eastAsia="zh-CN"/>
              </w:rPr>
              <w:t xml:space="preserve">壶关县树掌风电场220kV升压站环保手续齐全，环保设施完善，无遗留环保问题。 </w:t>
            </w:r>
          </w:p>
        </w:tc>
      </w:tr>
      <w:tr w14:paraId="6309E2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741" w:type="dxa"/>
            <w:vAlign w:val="center"/>
          </w:tcPr>
          <w:p w14:paraId="09869314">
            <w:pPr>
              <w:adjustRightInd w:val="0"/>
              <w:snapToGrid w:val="0"/>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生态环境保护目标</w:t>
            </w:r>
          </w:p>
        </w:tc>
        <w:tc>
          <w:tcPr>
            <w:tcW w:w="8416" w:type="dxa"/>
            <w:vAlign w:val="center"/>
          </w:tcPr>
          <w:p w14:paraId="0AC52CB4">
            <w:pPr>
              <w:spacing w:line="480" w:lineRule="exact"/>
              <w:ind w:firstLine="504" w:firstLineChars="200"/>
              <w:rPr>
                <w:color w:val="auto"/>
                <w:spacing w:val="6"/>
                <w:sz w:val="24"/>
                <w:highlight w:val="none"/>
              </w:rPr>
            </w:pPr>
            <w:r>
              <w:rPr>
                <w:rFonts w:hint="eastAsia"/>
                <w:color w:val="auto"/>
                <w:spacing w:val="6"/>
                <w:sz w:val="24"/>
                <w:highlight w:val="none"/>
              </w:rPr>
              <w:t>1、声环境</w:t>
            </w:r>
          </w:p>
          <w:p w14:paraId="0E676F7E">
            <w:pPr>
              <w:spacing w:line="480" w:lineRule="exact"/>
              <w:ind w:firstLine="504" w:firstLineChars="200"/>
              <w:rPr>
                <w:rFonts w:hint="eastAsia"/>
                <w:color w:val="auto"/>
                <w:spacing w:val="6"/>
                <w:sz w:val="24"/>
                <w:highlight w:val="none"/>
                <w:lang w:eastAsia="zh-CN"/>
              </w:rPr>
            </w:pPr>
            <w:r>
              <w:rPr>
                <w:rFonts w:hint="eastAsia"/>
                <w:color w:val="auto"/>
                <w:spacing w:val="6"/>
                <w:sz w:val="24"/>
                <w:highlight w:val="none"/>
              </w:rPr>
              <w:t>本项目风电机组四周500m范围内</w:t>
            </w:r>
            <w:r>
              <w:rPr>
                <w:rFonts w:hint="eastAsia" w:ascii="Times New Roman" w:eastAsia="宋体"/>
                <w:color w:val="auto"/>
                <w:spacing w:val="6"/>
                <w:sz w:val="24"/>
                <w:highlight w:val="none"/>
                <w:lang w:val="en-US" w:eastAsia="zh-CN"/>
              </w:rPr>
              <w:t>无</w:t>
            </w:r>
            <w:r>
              <w:rPr>
                <w:rFonts w:hint="eastAsia"/>
                <w:color w:val="auto"/>
                <w:spacing w:val="6"/>
                <w:sz w:val="24"/>
                <w:highlight w:val="none"/>
              </w:rPr>
              <w:t>声环境保护目标</w:t>
            </w:r>
            <w:r>
              <w:rPr>
                <w:rFonts w:hint="eastAsia" w:eastAsia="宋体"/>
                <w:color w:val="auto"/>
                <w:spacing w:val="6"/>
                <w:sz w:val="24"/>
                <w:highlight w:val="none"/>
                <w:lang w:eastAsia="zh-CN"/>
              </w:rPr>
              <w:t>。</w:t>
            </w:r>
          </w:p>
          <w:p w14:paraId="34EFAF64">
            <w:pPr>
              <w:spacing w:line="480" w:lineRule="exact"/>
              <w:ind w:firstLine="504" w:firstLineChars="200"/>
              <w:rPr>
                <w:color w:val="auto"/>
                <w:spacing w:val="6"/>
                <w:sz w:val="24"/>
                <w:highlight w:val="none"/>
              </w:rPr>
            </w:pPr>
            <w:r>
              <w:rPr>
                <w:rFonts w:hint="eastAsia"/>
                <w:color w:val="auto"/>
                <w:spacing w:val="6"/>
                <w:sz w:val="24"/>
                <w:highlight w:val="none"/>
              </w:rPr>
              <w:t>2、生态环境</w:t>
            </w:r>
          </w:p>
          <w:p w14:paraId="0887030E">
            <w:pPr>
              <w:spacing w:line="480" w:lineRule="exact"/>
              <w:ind w:firstLine="504" w:firstLineChars="200"/>
              <w:rPr>
                <w:rFonts w:hint="eastAsia"/>
                <w:color w:val="auto"/>
                <w:spacing w:val="6"/>
                <w:sz w:val="24"/>
                <w:highlight w:val="none"/>
                <w:lang w:eastAsia="zh-CN"/>
              </w:rPr>
            </w:pPr>
            <w:r>
              <w:rPr>
                <w:rFonts w:hint="eastAsia"/>
                <w:color w:val="auto"/>
                <w:spacing w:val="6"/>
                <w:sz w:val="24"/>
                <w:highlight w:val="none"/>
              </w:rPr>
              <w:t>根据《建设项目环境影响评价分类管理名录》环境敏感因素的界定原则，经现场踏勘调查，本项目选址范围及周边无自然保护区、风景名胜区、世界文化和自然遗产地、饮用水源保护区等环境敏感区</w:t>
            </w:r>
            <w:r>
              <w:rPr>
                <w:rFonts w:hint="eastAsia"/>
                <w:color w:val="auto"/>
                <w:spacing w:val="6"/>
                <w:sz w:val="24"/>
                <w:highlight w:val="none"/>
                <w:lang w:eastAsia="zh-CN"/>
              </w:rPr>
              <w:t>；无以居住、</w:t>
            </w:r>
            <w:r>
              <w:rPr>
                <w:rFonts w:hint="eastAsia"/>
                <w:color w:val="auto"/>
                <w:spacing w:val="6"/>
                <w:sz w:val="24"/>
                <w:highlight w:val="none"/>
                <w:lang w:val="en-US" w:eastAsia="zh-CN"/>
              </w:rPr>
              <w:t>科学研究</w:t>
            </w:r>
            <w:r>
              <w:rPr>
                <w:rFonts w:hint="eastAsia"/>
                <w:color w:val="auto"/>
                <w:spacing w:val="6"/>
                <w:sz w:val="24"/>
                <w:highlight w:val="none"/>
                <w:lang w:eastAsia="zh-CN"/>
              </w:rPr>
              <w:t>、</w:t>
            </w:r>
            <w:r>
              <w:rPr>
                <w:rFonts w:hint="eastAsia"/>
                <w:color w:val="auto"/>
                <w:spacing w:val="6"/>
                <w:sz w:val="24"/>
                <w:highlight w:val="none"/>
                <w:lang w:val="en-US" w:eastAsia="zh-CN"/>
              </w:rPr>
              <w:t>医疗卫生、</w:t>
            </w:r>
            <w:r>
              <w:rPr>
                <w:rFonts w:hint="eastAsia"/>
                <w:color w:val="auto"/>
                <w:spacing w:val="6"/>
                <w:sz w:val="24"/>
                <w:highlight w:val="none"/>
                <w:lang w:eastAsia="zh-CN"/>
              </w:rPr>
              <w:t>文化教育、</w:t>
            </w:r>
            <w:r>
              <w:rPr>
                <w:rFonts w:hint="eastAsia"/>
                <w:color w:val="auto"/>
                <w:spacing w:val="6"/>
                <w:sz w:val="24"/>
                <w:highlight w:val="none"/>
                <w:lang w:val="en-US" w:eastAsia="zh-CN"/>
              </w:rPr>
              <w:t>机关团体</w:t>
            </w:r>
            <w:r>
              <w:rPr>
                <w:rFonts w:hint="eastAsia"/>
                <w:color w:val="auto"/>
                <w:spacing w:val="6"/>
                <w:sz w:val="24"/>
                <w:highlight w:val="none"/>
                <w:lang w:eastAsia="zh-CN"/>
              </w:rPr>
              <w:t>办公、</w:t>
            </w:r>
            <w:r>
              <w:rPr>
                <w:rFonts w:hint="eastAsia"/>
                <w:color w:val="auto"/>
                <w:spacing w:val="6"/>
                <w:sz w:val="24"/>
                <w:highlight w:val="none"/>
                <w:lang w:val="en-US" w:eastAsia="zh-CN"/>
              </w:rPr>
              <w:t>社会福利</w:t>
            </w:r>
            <w:r>
              <w:rPr>
                <w:rFonts w:hint="eastAsia"/>
                <w:color w:val="auto"/>
                <w:spacing w:val="6"/>
                <w:sz w:val="24"/>
                <w:highlight w:val="none"/>
                <w:lang w:eastAsia="zh-CN"/>
              </w:rPr>
              <w:t>为主要功能的区域，以及文物保护单位。</w:t>
            </w:r>
          </w:p>
          <w:p w14:paraId="5FA0F45C">
            <w:pPr>
              <w:spacing w:line="480" w:lineRule="exact"/>
              <w:ind w:firstLine="504" w:firstLineChars="200"/>
              <w:rPr>
                <w:rFonts w:hint="eastAsia" w:eastAsia="宋体"/>
                <w:color w:val="auto"/>
                <w:spacing w:val="6"/>
                <w:sz w:val="24"/>
                <w:highlight w:val="none"/>
                <w:lang w:eastAsia="zh-CN"/>
              </w:rPr>
            </w:pPr>
            <w:r>
              <w:rPr>
                <w:rFonts w:hint="eastAsia" w:eastAsia="宋体"/>
                <w:color w:val="auto"/>
                <w:spacing w:val="6"/>
                <w:sz w:val="24"/>
                <w:highlight w:val="none"/>
                <w:lang w:val="en-US" w:eastAsia="zh-CN"/>
              </w:rPr>
              <w:t>本项目不占用永久基本农田、基本草原、自然公园、重要湿地、天然林，重点保护野生动物栖息地，重点保护野生植物生长繁殖地，重要水生生物的自然产卵场、索饵场、越冬场和洄游通道，天然渔场，沙化土地封禁保护区、封闭及半封闭海域</w:t>
            </w:r>
            <w:r>
              <w:rPr>
                <w:rFonts w:hint="eastAsia"/>
                <w:color w:val="auto"/>
                <w:spacing w:val="6"/>
                <w:sz w:val="24"/>
                <w:highlight w:val="none"/>
                <w:lang w:val="en-US" w:eastAsia="zh-CN"/>
              </w:rPr>
              <w:t>；</w:t>
            </w:r>
            <w:r>
              <w:rPr>
                <w:rFonts w:hint="eastAsia" w:eastAsia="宋体"/>
                <w:color w:val="auto"/>
                <w:spacing w:val="6"/>
                <w:sz w:val="24"/>
                <w:highlight w:val="none"/>
                <w:lang w:val="en-US" w:eastAsia="zh-CN"/>
              </w:rPr>
              <w:t>本项目风机</w:t>
            </w:r>
            <w:r>
              <w:rPr>
                <w:rFonts w:hint="eastAsia"/>
                <w:color w:val="auto"/>
                <w:spacing w:val="6"/>
                <w:sz w:val="24"/>
                <w:highlight w:val="none"/>
                <w:lang w:val="en-US" w:eastAsia="zh-CN"/>
              </w:rPr>
              <w:t>选址</w:t>
            </w:r>
            <w:r>
              <w:rPr>
                <w:rFonts w:hint="eastAsia" w:eastAsia="宋体"/>
                <w:color w:val="auto"/>
                <w:spacing w:val="6"/>
                <w:sz w:val="24"/>
                <w:highlight w:val="none"/>
                <w:lang w:val="en-US" w:eastAsia="zh-CN"/>
              </w:rPr>
              <w:t>不占用生态保护红线</w:t>
            </w:r>
            <w:r>
              <w:rPr>
                <w:rFonts w:hint="eastAsia"/>
                <w:color w:val="auto"/>
                <w:spacing w:val="6"/>
                <w:sz w:val="24"/>
                <w:highlight w:val="none"/>
                <w:lang w:val="en-US" w:eastAsia="zh-CN"/>
              </w:rPr>
              <w:t>；本项目共建设8台风机吊装平台，其中6台风机吊装平台涉及占用生态保护红线，共涉及占用生态保护红线1.5703hm</w:t>
            </w:r>
            <w:r>
              <w:rPr>
                <w:rFonts w:hint="eastAsia"/>
                <w:color w:val="auto"/>
                <w:spacing w:val="6"/>
                <w:sz w:val="24"/>
                <w:highlight w:val="none"/>
                <w:vertAlign w:val="superscript"/>
                <w:lang w:val="en-US" w:eastAsia="zh-CN"/>
              </w:rPr>
              <w:t>2</w:t>
            </w:r>
            <w:r>
              <w:rPr>
                <w:rFonts w:hint="eastAsia"/>
                <w:color w:val="auto"/>
                <w:spacing w:val="6"/>
                <w:sz w:val="24"/>
                <w:highlight w:val="none"/>
                <w:lang w:val="en-US" w:eastAsia="zh-CN"/>
              </w:rPr>
              <w:t>，占用生态保护红线属太行山水源涵养生态保护红线，生态功能为水源涵养，红线类型属于一般控制区，不涉及自然保护地，目前《中节能壶关县乡村振兴50MW风电项目临时用地必须且不可避让生态保护红线和减缓生态环境影响措施论证报告》已出具专家论证意见；本项目集电线路位于生态保护红线内路径长约13.2436km，涉及生态红线内的塔基占地面积0.4000hm</w:t>
            </w:r>
            <w:r>
              <w:rPr>
                <w:rFonts w:hint="eastAsia"/>
                <w:color w:val="auto"/>
                <w:spacing w:val="6"/>
                <w:sz w:val="24"/>
                <w:highlight w:val="none"/>
                <w:vertAlign w:val="superscript"/>
                <w:lang w:val="en-US" w:eastAsia="zh-CN"/>
              </w:rPr>
              <w:t>2</w:t>
            </w:r>
            <w:r>
              <w:rPr>
                <w:rFonts w:hint="eastAsia"/>
                <w:color w:val="auto"/>
                <w:spacing w:val="6"/>
                <w:sz w:val="24"/>
                <w:highlight w:val="none"/>
                <w:lang w:val="en-US" w:eastAsia="zh-CN"/>
              </w:rPr>
              <w:t>，涉及的生态保护红线为太行山水源涵养生态保护红线，生态功能为水源涵养，红线类型属于一般控制区，不涉及自然保护地，2025年12月16日，壶关县自然资源局出具了《关于中节能壶关县乡村振兴50MW风电项目符合生态保护红线内允许开展的有限人为活动有关规定的认定意见》。</w:t>
            </w:r>
          </w:p>
          <w:p w14:paraId="25EB867F">
            <w:pPr>
              <w:spacing w:line="480" w:lineRule="exact"/>
              <w:ind w:firstLine="504" w:firstLineChars="200"/>
              <w:rPr>
                <w:rFonts w:hint="default" w:ascii="Times New Roman" w:hAnsi="Times New Roman" w:eastAsia="宋体" w:cs="Times New Roman"/>
                <w:color w:val="auto"/>
                <w:spacing w:val="6"/>
                <w:sz w:val="24"/>
                <w:highlight w:val="none"/>
                <w:lang w:val="en-US" w:eastAsia="zh-CN"/>
              </w:rPr>
            </w:pPr>
            <w:r>
              <w:rPr>
                <w:rFonts w:hint="eastAsia" w:ascii="Times New Roman" w:hAnsi="Times New Roman" w:eastAsia="宋体" w:cs="Times New Roman"/>
                <w:color w:val="auto"/>
                <w:spacing w:val="6"/>
                <w:sz w:val="24"/>
                <w:highlight w:val="none"/>
                <w:lang w:val="en-US" w:eastAsia="zh-CN"/>
              </w:rPr>
              <w:t>本项目永久占用国家二级公益林面积为0.0902hm</w:t>
            </w:r>
            <w:r>
              <w:rPr>
                <w:rFonts w:hint="eastAsia" w:ascii="Times New Roman" w:hAnsi="Times New Roman" w:eastAsia="宋体" w:cs="Times New Roman"/>
                <w:color w:val="auto"/>
                <w:spacing w:val="6"/>
                <w:sz w:val="24"/>
                <w:highlight w:val="none"/>
                <w:vertAlign w:val="superscript"/>
                <w:lang w:val="en-US" w:eastAsia="zh-CN"/>
              </w:rPr>
              <w:t>2</w:t>
            </w:r>
            <w:r>
              <w:rPr>
                <w:rFonts w:hint="eastAsia" w:ascii="Times New Roman" w:hAnsi="Times New Roman" w:eastAsia="宋体" w:cs="Times New Roman"/>
                <w:color w:val="auto"/>
                <w:spacing w:val="6"/>
                <w:sz w:val="24"/>
                <w:highlight w:val="none"/>
                <w:vertAlign w:val="baseline"/>
                <w:lang w:val="en-US" w:eastAsia="zh-CN"/>
              </w:rPr>
              <w:t>，临时</w:t>
            </w:r>
            <w:r>
              <w:rPr>
                <w:rFonts w:hint="eastAsia" w:ascii="Times New Roman" w:hAnsi="Times New Roman" w:eastAsia="宋体" w:cs="Times New Roman"/>
                <w:color w:val="auto"/>
                <w:spacing w:val="6"/>
                <w:sz w:val="24"/>
                <w:highlight w:val="none"/>
                <w:lang w:val="en-US" w:eastAsia="zh-CN"/>
              </w:rPr>
              <w:t>占用国家二级公益林面积为0.4597hm</w:t>
            </w:r>
            <w:r>
              <w:rPr>
                <w:rFonts w:hint="eastAsia" w:ascii="Times New Roman" w:hAnsi="Times New Roman" w:eastAsia="宋体" w:cs="Times New Roman"/>
                <w:color w:val="auto"/>
                <w:spacing w:val="6"/>
                <w:sz w:val="24"/>
                <w:highlight w:val="none"/>
                <w:vertAlign w:val="superscript"/>
                <w:lang w:val="en-US" w:eastAsia="zh-CN"/>
              </w:rPr>
              <w:t>2</w:t>
            </w:r>
            <w:r>
              <w:rPr>
                <w:rFonts w:hint="eastAsia" w:ascii="Times New Roman" w:hAnsi="Times New Roman" w:eastAsia="宋体" w:cs="Times New Roman"/>
                <w:color w:val="auto"/>
                <w:spacing w:val="6"/>
                <w:sz w:val="24"/>
                <w:highlight w:val="none"/>
                <w:vertAlign w:val="baseline"/>
                <w:lang w:val="en-US" w:eastAsia="zh-CN"/>
              </w:rPr>
              <w:t>，国家二级公益林面积总占地面积为0.5499hm</w:t>
            </w:r>
            <w:r>
              <w:rPr>
                <w:rFonts w:hint="eastAsia" w:ascii="Times New Roman" w:hAnsi="Times New Roman" w:eastAsia="宋体" w:cs="Times New Roman"/>
                <w:color w:val="auto"/>
                <w:spacing w:val="6"/>
                <w:sz w:val="24"/>
                <w:highlight w:val="none"/>
                <w:vertAlign w:val="superscript"/>
                <w:lang w:val="en-US" w:eastAsia="zh-CN"/>
              </w:rPr>
              <w:t>2</w:t>
            </w:r>
            <w:r>
              <w:rPr>
                <w:rFonts w:hint="eastAsia" w:ascii="Times New Roman" w:hAnsi="Times New Roman" w:eastAsia="宋体" w:cs="Times New Roman"/>
                <w:color w:val="auto"/>
                <w:spacing w:val="6"/>
                <w:sz w:val="24"/>
                <w:highlight w:val="none"/>
                <w:vertAlign w:val="baseline"/>
                <w:lang w:val="en-US" w:eastAsia="zh-CN"/>
              </w:rPr>
              <w:t>。</w:t>
            </w:r>
          </w:p>
          <w:p w14:paraId="39F95982">
            <w:pPr>
              <w:spacing w:line="480" w:lineRule="exact"/>
              <w:ind w:firstLine="504" w:firstLineChars="200"/>
              <w:rPr>
                <w:rFonts w:hint="eastAsia" w:ascii="Times New Roman" w:hAnsi="Times New Roman" w:eastAsia="宋体" w:cs="Times New Roman"/>
                <w:color w:val="auto"/>
                <w:spacing w:val="6"/>
                <w:sz w:val="24"/>
                <w:highlight w:val="none"/>
              </w:rPr>
            </w:pPr>
            <w:r>
              <w:rPr>
                <w:rFonts w:hint="eastAsia" w:ascii="Times New Roman" w:hAnsi="Times New Roman" w:eastAsia="宋体" w:cs="Times New Roman"/>
                <w:color w:val="auto"/>
                <w:spacing w:val="6"/>
                <w:sz w:val="24"/>
                <w:highlight w:val="none"/>
              </w:rPr>
              <w:t>本项目生态环境保护目标主要为评价范围内的植被和土壤</w:t>
            </w:r>
            <w:r>
              <w:rPr>
                <w:rFonts w:hint="eastAsia" w:ascii="Times New Roman" w:hAnsi="Times New Roman" w:eastAsia="宋体" w:cs="Times New Roman"/>
                <w:color w:val="auto"/>
                <w:spacing w:val="6"/>
                <w:sz w:val="24"/>
                <w:highlight w:val="none"/>
                <w:lang w:eastAsia="zh-CN"/>
              </w:rPr>
              <w:t>、</w:t>
            </w:r>
            <w:r>
              <w:rPr>
                <w:rFonts w:hint="eastAsia" w:ascii="Times New Roman" w:hAnsi="Times New Roman" w:eastAsia="宋体" w:cs="Times New Roman"/>
                <w:color w:val="auto"/>
                <w:spacing w:val="6"/>
                <w:sz w:val="24"/>
                <w:highlight w:val="none"/>
                <w:lang w:val="en-US" w:eastAsia="zh-CN"/>
              </w:rPr>
              <w:t>生态保护红线及国家二级公益林</w:t>
            </w:r>
            <w:r>
              <w:rPr>
                <w:rFonts w:hint="eastAsia" w:ascii="Times New Roman" w:hAnsi="Times New Roman" w:eastAsia="宋体" w:cs="Times New Roman"/>
                <w:color w:val="auto"/>
                <w:spacing w:val="6"/>
                <w:sz w:val="24"/>
                <w:highlight w:val="none"/>
              </w:rPr>
              <w:t>。</w:t>
            </w:r>
          </w:p>
          <w:p w14:paraId="0A8AD18A">
            <w:pPr>
              <w:spacing w:line="480" w:lineRule="exact"/>
              <w:ind w:firstLine="504" w:firstLineChars="200"/>
              <w:rPr>
                <w:color w:val="auto"/>
                <w:spacing w:val="6"/>
                <w:sz w:val="24"/>
                <w:highlight w:val="none"/>
              </w:rPr>
            </w:pPr>
            <w:r>
              <w:rPr>
                <w:rFonts w:hint="eastAsia" w:ascii="Times New Roman" w:eastAsia="宋体"/>
                <w:color w:val="auto"/>
                <w:spacing w:val="6"/>
                <w:sz w:val="24"/>
                <w:highlight w:val="none"/>
                <w:lang w:val="en-US" w:eastAsia="zh-CN"/>
              </w:rPr>
              <w:t>3</w:t>
            </w:r>
            <w:r>
              <w:rPr>
                <w:rFonts w:hint="eastAsia"/>
                <w:color w:val="auto"/>
                <w:spacing w:val="6"/>
                <w:sz w:val="24"/>
                <w:highlight w:val="none"/>
              </w:rPr>
              <w:t>、地下水</w:t>
            </w:r>
          </w:p>
          <w:p w14:paraId="0A955FC5">
            <w:pPr>
              <w:spacing w:line="480" w:lineRule="exact"/>
              <w:ind w:firstLine="504" w:firstLineChars="200"/>
              <w:rPr>
                <w:color w:val="auto"/>
                <w:spacing w:val="6"/>
                <w:sz w:val="24"/>
                <w:highlight w:val="none"/>
              </w:rPr>
            </w:pPr>
            <w:r>
              <w:rPr>
                <w:rFonts w:hint="eastAsia"/>
                <w:color w:val="auto"/>
                <w:spacing w:val="6"/>
                <w:sz w:val="24"/>
                <w:highlight w:val="none"/>
              </w:rPr>
              <w:t>风电机组500m范围内无集中式饮用水水源</w:t>
            </w:r>
            <w:r>
              <w:rPr>
                <w:rFonts w:hint="eastAsia" w:eastAsia="宋体"/>
                <w:color w:val="auto"/>
                <w:spacing w:val="6"/>
                <w:sz w:val="24"/>
                <w:highlight w:val="none"/>
                <w:lang w:eastAsia="zh-CN"/>
              </w:rPr>
              <w:t>。</w:t>
            </w:r>
            <w:r>
              <w:rPr>
                <w:rFonts w:hint="eastAsia"/>
                <w:color w:val="auto"/>
                <w:spacing w:val="6"/>
                <w:sz w:val="24"/>
                <w:highlight w:val="none"/>
              </w:rPr>
              <w:t>距离本项目最近的水源地为韩庄集中供水水源地</w:t>
            </w:r>
            <w:r>
              <w:rPr>
                <w:rFonts w:hint="eastAsia" w:eastAsia="宋体"/>
                <w:color w:val="auto"/>
                <w:spacing w:val="6"/>
                <w:sz w:val="24"/>
                <w:highlight w:val="none"/>
                <w:lang w:eastAsia="zh-CN"/>
              </w:rPr>
              <w:t>，</w:t>
            </w:r>
            <w:r>
              <w:rPr>
                <w:rFonts w:hint="eastAsia"/>
                <w:color w:val="auto"/>
                <w:spacing w:val="6"/>
                <w:sz w:val="24"/>
                <w:highlight w:val="none"/>
              </w:rPr>
              <w:t>该水源地距离本项目</w:t>
            </w:r>
            <w:r>
              <w:rPr>
                <w:rFonts w:hint="eastAsia" w:ascii="Times New Roman" w:eastAsia="宋体"/>
                <w:color w:val="auto"/>
                <w:spacing w:val="6"/>
                <w:sz w:val="24"/>
                <w:highlight w:val="none"/>
                <w:lang w:val="en-US" w:eastAsia="zh-CN"/>
              </w:rPr>
              <w:t>最近的风机为WTG01，距离为5.6km。</w:t>
            </w:r>
            <w:r>
              <w:rPr>
                <w:rFonts w:hint="eastAsia"/>
                <w:color w:val="auto"/>
                <w:spacing w:val="6"/>
                <w:sz w:val="24"/>
                <w:highlight w:val="none"/>
              </w:rPr>
              <w:t>评价范围内无地下水环境保护目标。</w:t>
            </w:r>
          </w:p>
          <w:p w14:paraId="3E596315">
            <w:pPr>
              <w:spacing w:line="480" w:lineRule="exact"/>
              <w:ind w:firstLine="480" w:firstLineChars="200"/>
              <w:rPr>
                <w:color w:val="auto"/>
                <w:sz w:val="24"/>
                <w:highlight w:val="none"/>
              </w:rPr>
            </w:pPr>
            <w:r>
              <w:rPr>
                <w:rFonts w:hint="eastAsia"/>
                <w:color w:val="auto"/>
                <w:sz w:val="24"/>
                <w:highlight w:val="none"/>
              </w:rPr>
              <w:t>各工程的具体环境保护目标见表3-1</w:t>
            </w:r>
            <w:r>
              <w:rPr>
                <w:rFonts w:hint="eastAsia" w:ascii="Times New Roman" w:eastAsia="宋体"/>
                <w:color w:val="auto"/>
                <w:sz w:val="24"/>
                <w:highlight w:val="none"/>
                <w:lang w:val="en-US" w:eastAsia="zh-CN"/>
              </w:rPr>
              <w:t>0</w:t>
            </w:r>
            <w:r>
              <w:rPr>
                <w:rFonts w:hint="eastAsia"/>
                <w:color w:val="auto"/>
                <w:sz w:val="24"/>
                <w:highlight w:val="none"/>
              </w:rPr>
              <w:t>。</w:t>
            </w:r>
          </w:p>
          <w:p w14:paraId="4791E9D4">
            <w:pPr>
              <w:jc w:val="center"/>
              <w:rPr>
                <w:bCs/>
                <w:color w:val="auto"/>
                <w:szCs w:val="21"/>
                <w:highlight w:val="none"/>
              </w:rPr>
            </w:pPr>
          </w:p>
          <w:p w14:paraId="0CF4581A">
            <w:pPr>
              <w:jc w:val="center"/>
              <w:rPr>
                <w:bCs/>
                <w:color w:val="auto"/>
                <w:szCs w:val="21"/>
                <w:highlight w:val="none"/>
              </w:rPr>
            </w:pPr>
          </w:p>
          <w:p w14:paraId="063AE790">
            <w:pPr>
              <w:jc w:val="center"/>
              <w:rPr>
                <w:rFonts w:hint="eastAsia" w:ascii="黑体" w:hAnsi="黑体" w:eastAsia="黑体" w:cs="黑体"/>
                <w:bCs/>
                <w:color w:val="auto"/>
                <w:szCs w:val="21"/>
                <w:highlight w:val="none"/>
              </w:rPr>
            </w:pPr>
            <w:r>
              <w:rPr>
                <w:bCs/>
                <w:color w:val="auto"/>
                <w:szCs w:val="21"/>
                <w:highlight w:val="none"/>
              </w:rPr>
              <w:t>表</w:t>
            </w:r>
            <w:r>
              <w:rPr>
                <w:rFonts w:hint="eastAsia" w:ascii="黑体" w:hAnsi="黑体" w:eastAsia="黑体" w:cs="黑体"/>
                <w:bCs/>
                <w:color w:val="auto"/>
                <w:szCs w:val="21"/>
                <w:highlight w:val="none"/>
              </w:rPr>
              <w:t>3-1</w:t>
            </w:r>
            <w:r>
              <w:rPr>
                <w:rFonts w:hint="eastAsia" w:ascii="黑体" w:hAnsi="黑体" w:eastAsia="黑体" w:cs="黑体"/>
                <w:bCs/>
                <w:color w:val="auto"/>
                <w:szCs w:val="21"/>
                <w:highlight w:val="none"/>
                <w:lang w:val="en-US" w:eastAsia="zh-CN"/>
              </w:rPr>
              <w:t>0</w:t>
            </w:r>
            <w:r>
              <w:rPr>
                <w:bCs/>
                <w:color w:val="auto"/>
                <w:szCs w:val="21"/>
                <w:highlight w:val="none"/>
              </w:rPr>
              <w:t xml:space="preserve">   </w:t>
            </w:r>
            <w:r>
              <w:rPr>
                <w:rFonts w:hint="eastAsia" w:ascii="黑体" w:hAnsi="黑体" w:eastAsia="黑体" w:cs="黑体"/>
                <w:bCs/>
                <w:color w:val="auto"/>
                <w:szCs w:val="21"/>
                <w:highlight w:val="none"/>
              </w:rPr>
              <w:t>主要环境保护目标一览表</w:t>
            </w:r>
          </w:p>
          <w:tbl>
            <w:tblPr>
              <w:tblStyle w:val="10"/>
              <w:tblW w:w="5000" w:type="pct"/>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137"/>
              <w:gridCol w:w="613"/>
              <w:gridCol w:w="742"/>
              <w:gridCol w:w="1592"/>
              <w:gridCol w:w="1364"/>
              <w:gridCol w:w="2722"/>
            </w:tblGrid>
            <w:tr w14:paraId="08CAC70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751" w:type="pct"/>
                  <w:shd w:val="clear" w:color="auto" w:fill="auto"/>
                  <w:vAlign w:val="center"/>
                </w:tcPr>
                <w:p w14:paraId="741121BE">
                  <w:pPr>
                    <w:pStyle w:val="7"/>
                    <w:adjustRightInd w:val="0"/>
                    <w:snapToGrid w:val="0"/>
                    <w:spacing w:line="240" w:lineRule="auto"/>
                    <w:ind w:firstLine="0" w:firstLineChars="0"/>
                    <w:jc w:val="center"/>
                    <w:rPr>
                      <w:rFonts w:ascii="Times New Roman" w:hAnsi="Times New Roman" w:cs="Times New Roman"/>
                      <w:color w:val="auto"/>
                      <w:highlight w:val="none"/>
                    </w:rPr>
                  </w:pPr>
                  <w:r>
                    <w:rPr>
                      <w:rFonts w:ascii="Times New Roman" w:hAnsi="Times New Roman" w:cs="Times New Roman"/>
                      <w:color w:val="auto"/>
                      <w:highlight w:val="none"/>
                    </w:rPr>
                    <w:t>工程分区</w:t>
                  </w:r>
                </w:p>
              </w:tc>
              <w:tc>
                <w:tcPr>
                  <w:tcW w:w="430" w:type="pct"/>
                  <w:shd w:val="clear" w:color="auto" w:fill="auto"/>
                  <w:vAlign w:val="center"/>
                </w:tcPr>
                <w:p w14:paraId="577DB055">
                  <w:pPr>
                    <w:pStyle w:val="7"/>
                    <w:adjustRightInd w:val="0"/>
                    <w:snapToGrid w:val="0"/>
                    <w:spacing w:line="240" w:lineRule="auto"/>
                    <w:ind w:firstLine="0" w:firstLineChars="0"/>
                    <w:jc w:val="center"/>
                    <w:rPr>
                      <w:rFonts w:ascii="Times New Roman" w:hAnsi="Times New Roman" w:cs="Times New Roman"/>
                      <w:color w:val="auto"/>
                      <w:highlight w:val="none"/>
                    </w:rPr>
                  </w:pPr>
                  <w:r>
                    <w:rPr>
                      <w:rFonts w:ascii="Times New Roman" w:hAnsi="Times New Roman" w:cs="Times New Roman"/>
                      <w:color w:val="auto"/>
                      <w:highlight w:val="none"/>
                    </w:rPr>
                    <w:t>环境因素</w:t>
                  </w:r>
                </w:p>
              </w:tc>
              <w:tc>
                <w:tcPr>
                  <w:tcW w:w="509" w:type="pct"/>
                  <w:shd w:val="clear" w:color="auto" w:fill="auto"/>
                  <w:vAlign w:val="center"/>
                </w:tcPr>
                <w:p w14:paraId="63607D31">
                  <w:pPr>
                    <w:pStyle w:val="7"/>
                    <w:adjustRightInd w:val="0"/>
                    <w:snapToGrid w:val="0"/>
                    <w:spacing w:line="240" w:lineRule="auto"/>
                    <w:ind w:firstLine="0" w:firstLineChars="0"/>
                    <w:jc w:val="center"/>
                    <w:rPr>
                      <w:rFonts w:ascii="Times New Roman" w:hAnsi="Times New Roman" w:cs="Times New Roman"/>
                      <w:color w:val="auto"/>
                      <w:highlight w:val="none"/>
                    </w:rPr>
                  </w:pPr>
                  <w:r>
                    <w:rPr>
                      <w:rFonts w:ascii="Times New Roman" w:hAnsi="Times New Roman" w:cs="Times New Roman"/>
                      <w:color w:val="auto"/>
                      <w:highlight w:val="none"/>
                    </w:rPr>
                    <w:t>保护目标名称</w:t>
                  </w:r>
                </w:p>
              </w:tc>
              <w:tc>
                <w:tcPr>
                  <w:tcW w:w="698" w:type="pct"/>
                  <w:shd w:val="clear" w:color="auto" w:fill="auto"/>
                  <w:vAlign w:val="center"/>
                </w:tcPr>
                <w:p w14:paraId="3AA1821D">
                  <w:pPr>
                    <w:pStyle w:val="7"/>
                    <w:adjustRightInd w:val="0"/>
                    <w:snapToGrid w:val="0"/>
                    <w:spacing w:line="240" w:lineRule="auto"/>
                    <w:ind w:firstLine="0" w:firstLineChars="0"/>
                    <w:jc w:val="center"/>
                    <w:rPr>
                      <w:rFonts w:ascii="Times New Roman" w:hAnsi="Times New Roman" w:cs="Times New Roman"/>
                      <w:color w:val="auto"/>
                      <w:highlight w:val="none"/>
                    </w:rPr>
                  </w:pPr>
                  <w:r>
                    <w:rPr>
                      <w:rFonts w:ascii="Times New Roman" w:hAnsi="Times New Roman" w:cs="Times New Roman"/>
                      <w:color w:val="auto"/>
                      <w:highlight w:val="none"/>
                    </w:rPr>
                    <w:t>位置关系</w:t>
                  </w:r>
                </w:p>
              </w:tc>
              <w:tc>
                <w:tcPr>
                  <w:tcW w:w="889" w:type="pct"/>
                  <w:vAlign w:val="center"/>
                </w:tcPr>
                <w:p w14:paraId="37E3265D">
                  <w:pPr>
                    <w:pStyle w:val="7"/>
                    <w:adjustRightInd w:val="0"/>
                    <w:snapToGrid w:val="0"/>
                    <w:spacing w:line="240" w:lineRule="auto"/>
                    <w:ind w:firstLine="0" w:firstLineChars="0"/>
                    <w:jc w:val="center"/>
                    <w:rPr>
                      <w:rFonts w:ascii="Times New Roman" w:hAnsi="Times New Roman" w:cs="Times New Roman"/>
                      <w:color w:val="auto"/>
                      <w:highlight w:val="none"/>
                    </w:rPr>
                  </w:pPr>
                  <w:r>
                    <w:rPr>
                      <w:rFonts w:ascii="Times New Roman" w:hAnsi="Times New Roman" w:cs="Times New Roman"/>
                      <w:color w:val="auto"/>
                      <w:highlight w:val="none"/>
                    </w:rPr>
                    <w:t>保护对象</w:t>
                  </w:r>
                </w:p>
              </w:tc>
              <w:tc>
                <w:tcPr>
                  <w:tcW w:w="1720" w:type="pct"/>
                  <w:vAlign w:val="center"/>
                </w:tcPr>
                <w:p w14:paraId="43888B84">
                  <w:pPr>
                    <w:pStyle w:val="7"/>
                    <w:adjustRightInd w:val="0"/>
                    <w:snapToGrid w:val="0"/>
                    <w:spacing w:line="240" w:lineRule="auto"/>
                    <w:ind w:firstLine="0" w:firstLineChars="0"/>
                    <w:jc w:val="center"/>
                    <w:rPr>
                      <w:rFonts w:ascii="Times New Roman" w:hAnsi="Times New Roman" w:cs="Times New Roman"/>
                      <w:color w:val="auto"/>
                      <w:highlight w:val="none"/>
                    </w:rPr>
                  </w:pPr>
                  <w:r>
                    <w:rPr>
                      <w:rFonts w:ascii="Times New Roman" w:hAnsi="Times New Roman" w:cs="Times New Roman"/>
                      <w:color w:val="auto"/>
                      <w:highlight w:val="none"/>
                    </w:rPr>
                    <w:t>保护要求或功能分区</w:t>
                  </w:r>
                </w:p>
              </w:tc>
            </w:tr>
            <w:tr w14:paraId="5386CBC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trHeight w:val="398" w:hRule="atLeast"/>
              </w:trPr>
              <w:tc>
                <w:tcPr>
                  <w:tcW w:w="751" w:type="pct"/>
                  <w:vMerge w:val="restart"/>
                  <w:shd w:val="clear" w:color="auto" w:fill="auto"/>
                  <w:vAlign w:val="center"/>
                </w:tcPr>
                <w:p w14:paraId="7EF1D969">
                  <w:pPr>
                    <w:pStyle w:val="7"/>
                    <w:adjustRightInd w:val="0"/>
                    <w:snapToGrid w:val="0"/>
                    <w:spacing w:line="240" w:lineRule="auto"/>
                    <w:ind w:firstLine="33" w:firstLineChars="16"/>
                    <w:jc w:val="center"/>
                    <w:rPr>
                      <w:rFonts w:ascii="Times New Roman" w:hAnsi="Times New Roman" w:cs="Times New Roman"/>
                      <w:color w:val="auto"/>
                      <w:highlight w:val="none"/>
                    </w:rPr>
                  </w:pPr>
                  <w:r>
                    <w:rPr>
                      <w:rFonts w:hint="eastAsia" w:ascii="Times New Roman" w:hAnsi="Times New Roman" w:cs="Times New Roman"/>
                      <w:color w:val="auto"/>
                      <w:highlight w:val="none"/>
                    </w:rPr>
                    <w:t>风机机组</w:t>
                  </w:r>
                </w:p>
              </w:tc>
              <w:tc>
                <w:tcPr>
                  <w:tcW w:w="430" w:type="pct"/>
                  <w:vMerge w:val="restart"/>
                  <w:shd w:val="clear" w:color="auto" w:fill="auto"/>
                  <w:vAlign w:val="center"/>
                </w:tcPr>
                <w:p w14:paraId="32E23124">
                  <w:pPr>
                    <w:pStyle w:val="7"/>
                    <w:adjustRightInd w:val="0"/>
                    <w:snapToGrid w:val="0"/>
                    <w:spacing w:line="240" w:lineRule="auto"/>
                    <w:ind w:firstLine="33" w:firstLineChars="16"/>
                    <w:jc w:val="center"/>
                    <w:rPr>
                      <w:rFonts w:ascii="Times New Roman" w:hAnsi="Times New Roman" w:cs="Times New Roman"/>
                      <w:color w:val="auto"/>
                      <w:highlight w:val="none"/>
                    </w:rPr>
                  </w:pPr>
                  <w:r>
                    <w:rPr>
                      <w:rFonts w:ascii="Times New Roman" w:hAnsi="Times New Roman" w:cs="Times New Roman"/>
                      <w:color w:val="auto"/>
                      <w:highlight w:val="none"/>
                    </w:rPr>
                    <w:t>生态</w:t>
                  </w:r>
                </w:p>
              </w:tc>
              <w:tc>
                <w:tcPr>
                  <w:tcW w:w="509" w:type="pct"/>
                  <w:shd w:val="clear" w:color="auto" w:fill="auto"/>
                  <w:vAlign w:val="center"/>
                </w:tcPr>
                <w:p w14:paraId="1A61E0EB">
                  <w:pPr>
                    <w:pStyle w:val="7"/>
                    <w:adjustRightInd w:val="0"/>
                    <w:snapToGrid w:val="0"/>
                    <w:spacing w:line="240" w:lineRule="auto"/>
                    <w:ind w:firstLine="31" w:firstLineChars="15"/>
                    <w:jc w:val="center"/>
                    <w:rPr>
                      <w:rFonts w:ascii="Times New Roman" w:hAnsi="Times New Roman" w:cs="Times New Roman"/>
                      <w:color w:val="auto"/>
                      <w:highlight w:val="none"/>
                    </w:rPr>
                  </w:pPr>
                  <w:r>
                    <w:rPr>
                      <w:rFonts w:hint="eastAsia" w:ascii="Times New Roman" w:hAnsi="Times New Roman" w:cs="Times New Roman"/>
                      <w:color w:val="auto"/>
                      <w:highlight w:val="none"/>
                    </w:rPr>
                    <w:t>植被和土壤</w:t>
                  </w:r>
                </w:p>
              </w:tc>
              <w:tc>
                <w:tcPr>
                  <w:tcW w:w="698" w:type="pct"/>
                  <w:shd w:val="clear" w:color="auto" w:fill="auto"/>
                  <w:vAlign w:val="center"/>
                </w:tcPr>
                <w:p w14:paraId="5C9E9B63">
                  <w:pPr>
                    <w:pStyle w:val="7"/>
                    <w:adjustRightInd w:val="0"/>
                    <w:snapToGrid w:val="0"/>
                    <w:spacing w:line="240" w:lineRule="auto"/>
                    <w:ind w:firstLine="0" w:firstLineChars="0"/>
                    <w:jc w:val="center"/>
                    <w:rPr>
                      <w:rFonts w:ascii="Times New Roman" w:hAnsi="Times New Roman" w:cs="Times New Roman"/>
                      <w:color w:val="auto"/>
                      <w:highlight w:val="none"/>
                    </w:rPr>
                  </w:pPr>
                  <w:r>
                    <w:rPr>
                      <w:bCs/>
                      <w:color w:val="auto"/>
                      <w:highlight w:val="none"/>
                    </w:rPr>
                    <w:t>临时占地</w:t>
                  </w:r>
                </w:p>
              </w:tc>
              <w:tc>
                <w:tcPr>
                  <w:tcW w:w="889" w:type="pct"/>
                  <w:vAlign w:val="center"/>
                </w:tcPr>
                <w:p w14:paraId="65988F1B">
                  <w:pPr>
                    <w:pStyle w:val="7"/>
                    <w:adjustRightInd w:val="0"/>
                    <w:snapToGrid w:val="0"/>
                    <w:spacing w:line="240" w:lineRule="auto"/>
                    <w:ind w:firstLine="0" w:firstLineChars="0"/>
                    <w:jc w:val="center"/>
                    <w:rPr>
                      <w:rFonts w:ascii="Times New Roman" w:hAnsi="Times New Roman" w:cs="Times New Roman"/>
                      <w:color w:val="auto"/>
                      <w:highlight w:val="none"/>
                    </w:rPr>
                  </w:pPr>
                  <w:r>
                    <w:rPr>
                      <w:rFonts w:hint="eastAsia" w:ascii="Times New Roman" w:hAnsi="Times New Roman" w:cs="Times New Roman"/>
                      <w:color w:val="auto"/>
                      <w:highlight w:val="none"/>
                    </w:rPr>
                    <w:t>乔灌木、草本植被、土壤</w:t>
                  </w:r>
                </w:p>
              </w:tc>
              <w:tc>
                <w:tcPr>
                  <w:tcW w:w="1720" w:type="pct"/>
                  <w:vAlign w:val="center"/>
                </w:tcPr>
                <w:p w14:paraId="785E9585">
                  <w:pPr>
                    <w:pStyle w:val="7"/>
                    <w:adjustRightInd w:val="0"/>
                    <w:snapToGrid w:val="0"/>
                    <w:spacing w:line="240" w:lineRule="auto"/>
                    <w:ind w:firstLine="0" w:firstLineChars="0"/>
                    <w:jc w:val="center"/>
                    <w:rPr>
                      <w:rFonts w:ascii="Times New Roman" w:hAnsi="Times New Roman" w:cs="Times New Roman"/>
                      <w:color w:val="auto"/>
                      <w:highlight w:val="none"/>
                    </w:rPr>
                  </w:pPr>
                  <w:r>
                    <w:rPr>
                      <w:rFonts w:hint="eastAsia" w:ascii="Times New Roman" w:hAnsi="Times New Roman" w:cs="Times New Roman"/>
                      <w:color w:val="auto"/>
                      <w:highlight w:val="none"/>
                    </w:rPr>
                    <w:t>临时占地进行生态恢复，减少和防治水土流失</w:t>
                  </w:r>
                </w:p>
              </w:tc>
            </w:tr>
            <w:tr w14:paraId="47D0BBF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43" w:hRule="atLeast"/>
              </w:trPr>
              <w:tc>
                <w:tcPr>
                  <w:tcW w:w="751" w:type="pct"/>
                  <w:vMerge w:val="continue"/>
                  <w:shd w:val="clear" w:color="auto" w:fill="auto"/>
                  <w:vAlign w:val="center"/>
                </w:tcPr>
                <w:p w14:paraId="7FB367FD">
                  <w:pPr>
                    <w:pStyle w:val="7"/>
                    <w:adjustRightInd w:val="0"/>
                    <w:snapToGrid w:val="0"/>
                    <w:spacing w:line="240" w:lineRule="auto"/>
                    <w:ind w:firstLine="0" w:firstLineChars="0"/>
                    <w:jc w:val="center"/>
                    <w:rPr>
                      <w:color w:val="auto"/>
                      <w:highlight w:val="none"/>
                    </w:rPr>
                  </w:pPr>
                </w:p>
              </w:tc>
              <w:tc>
                <w:tcPr>
                  <w:tcW w:w="430" w:type="pct"/>
                  <w:vMerge w:val="continue"/>
                  <w:shd w:val="clear" w:color="auto" w:fill="auto"/>
                  <w:vAlign w:val="center"/>
                </w:tcPr>
                <w:p w14:paraId="7F63D2FB">
                  <w:pPr>
                    <w:pStyle w:val="7"/>
                    <w:adjustRightInd w:val="0"/>
                    <w:snapToGrid w:val="0"/>
                    <w:spacing w:line="240" w:lineRule="auto"/>
                    <w:ind w:firstLine="0" w:firstLineChars="0"/>
                    <w:jc w:val="center"/>
                    <w:rPr>
                      <w:rFonts w:ascii="Times New Roman" w:hAnsi="Times New Roman" w:cs="Times New Roman"/>
                      <w:color w:val="auto"/>
                      <w:highlight w:val="none"/>
                    </w:rPr>
                  </w:pPr>
                </w:p>
              </w:tc>
              <w:tc>
                <w:tcPr>
                  <w:tcW w:w="509" w:type="pct"/>
                  <w:shd w:val="clear" w:color="auto" w:fill="auto"/>
                  <w:vAlign w:val="center"/>
                </w:tcPr>
                <w:p w14:paraId="6D00C4E2">
                  <w:pPr>
                    <w:pStyle w:val="7"/>
                    <w:adjustRightInd w:val="0"/>
                    <w:snapToGrid w:val="0"/>
                    <w:spacing w:line="240" w:lineRule="auto"/>
                    <w:ind w:firstLine="0" w:firstLineChars="0"/>
                    <w:jc w:val="center"/>
                    <w:rPr>
                      <w:rFonts w:ascii="Times New Roman" w:hAnsi="Times New Roman" w:cs="Times New Roman"/>
                      <w:color w:val="auto"/>
                      <w:highlight w:val="none"/>
                    </w:rPr>
                  </w:pPr>
                  <w:r>
                    <w:rPr>
                      <w:rFonts w:hint="eastAsia" w:ascii="Times New Roman" w:hAnsi="Times New Roman" w:cs="Times New Roman"/>
                      <w:color w:val="auto"/>
                      <w:highlight w:val="none"/>
                      <w:lang w:val="en-US" w:eastAsia="zh-CN"/>
                    </w:rPr>
                    <w:t>太行山水源涵养生态保护红线</w:t>
                  </w:r>
                </w:p>
              </w:tc>
              <w:tc>
                <w:tcPr>
                  <w:tcW w:w="698" w:type="pct"/>
                  <w:shd w:val="clear" w:color="auto" w:fill="auto"/>
                  <w:vAlign w:val="center"/>
                </w:tcPr>
                <w:p w14:paraId="600BB08C">
                  <w:pPr>
                    <w:pStyle w:val="7"/>
                    <w:adjustRightInd w:val="0"/>
                    <w:snapToGrid w:val="0"/>
                    <w:spacing w:line="240" w:lineRule="auto"/>
                    <w:ind w:firstLine="0"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临时占地</w:t>
                  </w:r>
                </w:p>
              </w:tc>
              <w:tc>
                <w:tcPr>
                  <w:tcW w:w="889" w:type="pct"/>
                  <w:vAlign w:val="center"/>
                </w:tcPr>
                <w:p w14:paraId="1112AE93">
                  <w:pPr>
                    <w:pStyle w:val="7"/>
                    <w:adjustRightInd w:val="0"/>
                    <w:snapToGrid w:val="0"/>
                    <w:spacing w:line="240" w:lineRule="auto"/>
                    <w:ind w:firstLine="0" w:firstLineChars="0"/>
                    <w:jc w:val="center"/>
                    <w:rPr>
                      <w:rFonts w:ascii="Times New Roman" w:hAnsi="Times New Roman" w:cs="Times New Roman"/>
                      <w:color w:val="auto"/>
                      <w:highlight w:val="none"/>
                    </w:rPr>
                  </w:pPr>
                  <w:r>
                    <w:rPr>
                      <w:rFonts w:hint="eastAsia" w:ascii="Times New Roman" w:hAnsi="Times New Roman" w:cs="Times New Roman"/>
                      <w:color w:val="auto"/>
                      <w:highlight w:val="none"/>
                      <w:lang w:val="en-US" w:eastAsia="zh-CN"/>
                    </w:rPr>
                    <w:t>针叶林、落叶阔叶林、草丛、野生动物、森林生态系统</w:t>
                  </w:r>
                </w:p>
              </w:tc>
              <w:tc>
                <w:tcPr>
                  <w:tcW w:w="1720" w:type="pct"/>
                  <w:vAlign w:val="center"/>
                </w:tcPr>
                <w:p w14:paraId="48571289">
                  <w:pPr>
                    <w:pStyle w:val="7"/>
                    <w:adjustRightInd w:val="0"/>
                    <w:snapToGrid w:val="0"/>
                    <w:spacing w:line="240" w:lineRule="auto"/>
                    <w:ind w:firstLine="0" w:firstLineChars="0"/>
                    <w:jc w:val="center"/>
                    <w:rPr>
                      <w:rFonts w:ascii="Times New Roman" w:hAnsi="Times New Roman" w:cs="Times New Roman"/>
                      <w:color w:val="auto"/>
                      <w:highlight w:val="none"/>
                    </w:rPr>
                  </w:pPr>
                  <w:r>
                    <w:rPr>
                      <w:rFonts w:hint="default" w:ascii="Times New Roman" w:hAnsi="Times New Roman" w:cs="Times New Roman"/>
                      <w:color w:val="auto"/>
                      <w:highlight w:val="none"/>
                      <w:lang w:val="en-US" w:eastAsia="zh-CN"/>
                    </w:rPr>
                    <w:t>施工活动不得超出用地范围，禁止随意扩大临时占地，避免对周边植被和土壤造成扰动；施工期实施边坡防护、排水沟、沉沙池等措施，雨季前完成裸露地表覆盖；施工结束后立即进行生态修复，采用本地物种恢复植被，确保水源涵养功能不降低</w:t>
                  </w:r>
                </w:p>
              </w:tc>
            </w:tr>
            <w:tr w14:paraId="46E5FE6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43" w:hRule="atLeast"/>
              </w:trPr>
              <w:tc>
                <w:tcPr>
                  <w:tcW w:w="751" w:type="pct"/>
                  <w:vMerge w:val="continue"/>
                  <w:shd w:val="clear" w:color="auto" w:fill="auto"/>
                  <w:vAlign w:val="center"/>
                </w:tcPr>
                <w:p w14:paraId="4A19194B">
                  <w:pPr>
                    <w:pStyle w:val="7"/>
                    <w:adjustRightInd w:val="0"/>
                    <w:snapToGrid w:val="0"/>
                    <w:spacing w:line="240" w:lineRule="auto"/>
                    <w:ind w:firstLine="0" w:firstLineChars="0"/>
                    <w:jc w:val="center"/>
                    <w:rPr>
                      <w:color w:val="auto"/>
                      <w:highlight w:val="none"/>
                    </w:rPr>
                  </w:pPr>
                </w:p>
              </w:tc>
              <w:tc>
                <w:tcPr>
                  <w:tcW w:w="430" w:type="pct"/>
                  <w:vMerge w:val="continue"/>
                  <w:shd w:val="clear" w:color="auto" w:fill="auto"/>
                  <w:vAlign w:val="center"/>
                </w:tcPr>
                <w:p w14:paraId="04FEBA74">
                  <w:pPr>
                    <w:pStyle w:val="7"/>
                    <w:adjustRightInd w:val="0"/>
                    <w:snapToGrid w:val="0"/>
                    <w:spacing w:line="240" w:lineRule="auto"/>
                    <w:ind w:firstLine="0" w:firstLineChars="0"/>
                    <w:jc w:val="center"/>
                    <w:rPr>
                      <w:color w:val="auto"/>
                      <w:highlight w:val="none"/>
                    </w:rPr>
                  </w:pPr>
                </w:p>
              </w:tc>
              <w:tc>
                <w:tcPr>
                  <w:tcW w:w="509" w:type="pct"/>
                  <w:shd w:val="clear" w:color="auto" w:fill="auto"/>
                  <w:vAlign w:val="center"/>
                </w:tcPr>
                <w:p w14:paraId="4307A7D1">
                  <w:pPr>
                    <w:pStyle w:val="7"/>
                    <w:adjustRightInd w:val="0"/>
                    <w:snapToGrid w:val="0"/>
                    <w:spacing w:line="240" w:lineRule="auto"/>
                    <w:ind w:firstLine="0" w:firstLineChars="0"/>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国家二级公益林</w:t>
                  </w:r>
                </w:p>
              </w:tc>
              <w:tc>
                <w:tcPr>
                  <w:tcW w:w="698" w:type="pct"/>
                  <w:shd w:val="clear" w:color="auto" w:fill="auto"/>
                  <w:vAlign w:val="center"/>
                </w:tcPr>
                <w:p w14:paraId="3AD2E3B8">
                  <w:pPr>
                    <w:pStyle w:val="7"/>
                    <w:adjustRightInd w:val="0"/>
                    <w:snapToGrid w:val="0"/>
                    <w:spacing w:line="240" w:lineRule="auto"/>
                    <w:ind w:firstLine="0" w:firstLineChars="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永久占用国家二级公益林面积为0.0402hm</w:t>
                  </w:r>
                  <w:r>
                    <w:rPr>
                      <w:rFonts w:hint="eastAsia" w:ascii="Times New Roman" w:hAnsi="Times New Roman" w:cs="Times New Roman"/>
                      <w:color w:val="auto"/>
                      <w:highlight w:val="none"/>
                      <w:vertAlign w:val="superscript"/>
                      <w:lang w:val="en-US" w:eastAsia="zh-CN"/>
                    </w:rPr>
                    <w:t>2</w:t>
                  </w:r>
                  <w:r>
                    <w:rPr>
                      <w:rFonts w:hint="eastAsia" w:ascii="Times New Roman" w:hAnsi="Times New Roman" w:cs="Times New Roman"/>
                      <w:color w:val="auto"/>
                      <w:highlight w:val="none"/>
                      <w:vertAlign w:val="baseline"/>
                      <w:lang w:val="en-US" w:eastAsia="zh-CN"/>
                    </w:rPr>
                    <w:t>，临时占用国家二级公益林面积为0.4597hm</w:t>
                  </w:r>
                  <w:r>
                    <w:rPr>
                      <w:rFonts w:hint="eastAsia" w:ascii="Times New Roman" w:hAnsi="Times New Roman" w:cs="Times New Roman"/>
                      <w:color w:val="auto"/>
                      <w:highlight w:val="none"/>
                      <w:vertAlign w:val="superscript"/>
                      <w:lang w:val="en-US" w:eastAsia="zh-CN"/>
                    </w:rPr>
                    <w:t>2</w:t>
                  </w:r>
                </w:p>
              </w:tc>
              <w:tc>
                <w:tcPr>
                  <w:tcW w:w="889" w:type="pct"/>
                  <w:vAlign w:val="center"/>
                </w:tcPr>
                <w:p w14:paraId="506F3B71">
                  <w:pPr>
                    <w:pStyle w:val="7"/>
                    <w:adjustRightInd w:val="0"/>
                    <w:snapToGrid w:val="0"/>
                    <w:spacing w:line="240" w:lineRule="auto"/>
                    <w:ind w:firstLine="0" w:firstLineChars="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疏林地、一般灌木林地</w:t>
                  </w:r>
                </w:p>
              </w:tc>
              <w:tc>
                <w:tcPr>
                  <w:tcW w:w="1720" w:type="pct"/>
                  <w:vAlign w:val="center"/>
                </w:tcPr>
                <w:p w14:paraId="13228836">
                  <w:pPr>
                    <w:pStyle w:val="7"/>
                    <w:adjustRightInd w:val="0"/>
                    <w:snapToGrid w:val="0"/>
                    <w:spacing w:line="240" w:lineRule="auto"/>
                    <w:ind w:firstLine="0" w:firstLineChars="0"/>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2025年12月1日，山西省林业和草原局以晋林资许准〔2025〕39号文出具了本项目的永久性使用林地草原审核同意书，永久占地进行补偿；临时占用林地需在开工前办理完成林地审批手续，临时占地及时进行恢复</w:t>
                  </w:r>
                </w:p>
              </w:tc>
            </w:tr>
            <w:tr w14:paraId="28D6151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08" w:hRule="atLeast"/>
              </w:trPr>
              <w:tc>
                <w:tcPr>
                  <w:tcW w:w="751" w:type="pct"/>
                  <w:vMerge w:val="restart"/>
                  <w:shd w:val="clear" w:color="auto" w:fill="auto"/>
                  <w:vAlign w:val="center"/>
                </w:tcPr>
                <w:p w14:paraId="5AD07004">
                  <w:pPr>
                    <w:pStyle w:val="7"/>
                    <w:adjustRightInd w:val="0"/>
                    <w:snapToGrid w:val="0"/>
                    <w:spacing w:line="240" w:lineRule="auto"/>
                    <w:ind w:firstLine="33" w:firstLineChars="16"/>
                    <w:jc w:val="center"/>
                    <w:rPr>
                      <w:rFonts w:ascii="Times New Roman" w:hAnsi="Times New Roman" w:cs="Times New Roman"/>
                      <w:color w:val="auto"/>
                      <w:highlight w:val="none"/>
                    </w:rPr>
                  </w:pPr>
                  <w:r>
                    <w:rPr>
                      <w:rFonts w:ascii="Times New Roman" w:hAnsi="Times New Roman" w:cs="Times New Roman"/>
                      <w:color w:val="auto"/>
                      <w:highlight w:val="none"/>
                    </w:rPr>
                    <w:t>集电线路</w:t>
                  </w:r>
                </w:p>
              </w:tc>
              <w:tc>
                <w:tcPr>
                  <w:tcW w:w="430" w:type="pct"/>
                  <w:vMerge w:val="restart"/>
                  <w:shd w:val="clear" w:color="auto" w:fill="auto"/>
                  <w:vAlign w:val="center"/>
                </w:tcPr>
                <w:p w14:paraId="6C6F367C">
                  <w:pPr>
                    <w:pStyle w:val="7"/>
                    <w:adjustRightInd w:val="0"/>
                    <w:snapToGrid w:val="0"/>
                    <w:spacing w:line="240" w:lineRule="auto"/>
                    <w:ind w:firstLine="33" w:firstLineChars="16"/>
                    <w:jc w:val="center"/>
                    <w:rPr>
                      <w:rFonts w:ascii="Times New Roman" w:hAnsi="Times New Roman" w:cs="Times New Roman"/>
                      <w:color w:val="auto"/>
                      <w:highlight w:val="none"/>
                    </w:rPr>
                  </w:pPr>
                  <w:r>
                    <w:rPr>
                      <w:rFonts w:ascii="Times New Roman" w:hAnsi="Times New Roman" w:cs="Times New Roman"/>
                      <w:color w:val="auto"/>
                      <w:highlight w:val="none"/>
                    </w:rPr>
                    <w:t>生态</w:t>
                  </w:r>
                </w:p>
              </w:tc>
              <w:tc>
                <w:tcPr>
                  <w:tcW w:w="509" w:type="pct"/>
                  <w:shd w:val="clear" w:color="auto" w:fill="auto"/>
                  <w:vAlign w:val="center"/>
                </w:tcPr>
                <w:p w14:paraId="7019B1E7">
                  <w:pPr>
                    <w:pStyle w:val="7"/>
                    <w:adjustRightInd w:val="0"/>
                    <w:snapToGrid w:val="0"/>
                    <w:spacing w:line="240" w:lineRule="auto"/>
                    <w:ind w:firstLine="31" w:firstLineChars="15"/>
                    <w:jc w:val="center"/>
                    <w:rPr>
                      <w:rFonts w:ascii="Times New Roman" w:hAnsi="Times New Roman" w:cs="Times New Roman"/>
                      <w:color w:val="auto"/>
                      <w:highlight w:val="none"/>
                    </w:rPr>
                  </w:pPr>
                  <w:r>
                    <w:rPr>
                      <w:rFonts w:hint="eastAsia" w:ascii="Times New Roman" w:hAnsi="Times New Roman" w:cs="Times New Roman"/>
                      <w:color w:val="auto"/>
                      <w:highlight w:val="none"/>
                    </w:rPr>
                    <w:t>植被和土壤</w:t>
                  </w:r>
                </w:p>
              </w:tc>
              <w:tc>
                <w:tcPr>
                  <w:tcW w:w="698" w:type="pct"/>
                  <w:shd w:val="clear" w:color="auto" w:fill="auto"/>
                  <w:vAlign w:val="center"/>
                </w:tcPr>
                <w:p w14:paraId="3FCE778B">
                  <w:pPr>
                    <w:pStyle w:val="7"/>
                    <w:adjustRightInd w:val="0"/>
                    <w:snapToGrid w:val="0"/>
                    <w:spacing w:line="240" w:lineRule="auto"/>
                    <w:ind w:firstLine="0" w:firstLineChars="0"/>
                    <w:jc w:val="center"/>
                    <w:rPr>
                      <w:rFonts w:ascii="Times New Roman" w:hAnsi="Times New Roman" w:cs="Times New Roman"/>
                      <w:color w:val="auto"/>
                      <w:highlight w:val="none"/>
                    </w:rPr>
                  </w:pPr>
                  <w:r>
                    <w:rPr>
                      <w:bCs/>
                      <w:color w:val="auto"/>
                      <w:highlight w:val="none"/>
                    </w:rPr>
                    <w:t>永久占地</w:t>
                  </w:r>
                </w:p>
              </w:tc>
              <w:tc>
                <w:tcPr>
                  <w:tcW w:w="889" w:type="pct"/>
                  <w:vAlign w:val="center"/>
                </w:tcPr>
                <w:p w14:paraId="1D019E38">
                  <w:pPr>
                    <w:pStyle w:val="7"/>
                    <w:adjustRightInd w:val="0"/>
                    <w:snapToGrid w:val="0"/>
                    <w:spacing w:line="240" w:lineRule="auto"/>
                    <w:ind w:firstLine="0" w:firstLineChars="0"/>
                    <w:jc w:val="center"/>
                    <w:rPr>
                      <w:rFonts w:ascii="Times New Roman" w:hAnsi="Times New Roman" w:cs="Times New Roman"/>
                      <w:color w:val="auto"/>
                      <w:highlight w:val="none"/>
                    </w:rPr>
                  </w:pPr>
                  <w:r>
                    <w:rPr>
                      <w:rFonts w:hint="eastAsia" w:ascii="Times New Roman" w:hAnsi="Times New Roman" w:cs="Times New Roman"/>
                      <w:color w:val="auto"/>
                      <w:highlight w:val="none"/>
                    </w:rPr>
                    <w:t>乔灌木、草本植被、土壤</w:t>
                  </w:r>
                </w:p>
              </w:tc>
              <w:tc>
                <w:tcPr>
                  <w:tcW w:w="1720" w:type="pct"/>
                  <w:vAlign w:val="center"/>
                </w:tcPr>
                <w:p w14:paraId="0049B7E3">
                  <w:pPr>
                    <w:pStyle w:val="7"/>
                    <w:adjustRightInd w:val="0"/>
                    <w:snapToGrid w:val="0"/>
                    <w:spacing w:line="240" w:lineRule="auto"/>
                    <w:ind w:firstLine="0" w:firstLineChars="0"/>
                    <w:jc w:val="center"/>
                    <w:rPr>
                      <w:rFonts w:ascii="Times New Roman" w:hAnsi="Times New Roman" w:cs="Times New Roman"/>
                      <w:color w:val="auto"/>
                      <w:highlight w:val="none"/>
                    </w:rPr>
                  </w:pPr>
                  <w:r>
                    <w:rPr>
                      <w:rFonts w:hint="eastAsia" w:ascii="Times New Roman" w:hAnsi="Times New Roman" w:cs="Times New Roman"/>
                      <w:color w:val="auto"/>
                      <w:highlight w:val="none"/>
                    </w:rPr>
                    <w:t>进行生态恢复，减少和防治水土流失</w:t>
                  </w:r>
                </w:p>
              </w:tc>
            </w:tr>
            <w:tr w14:paraId="73982A9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trHeight w:val="953" w:hRule="atLeast"/>
              </w:trPr>
              <w:tc>
                <w:tcPr>
                  <w:tcW w:w="751" w:type="pct"/>
                  <w:vMerge w:val="continue"/>
                  <w:shd w:val="clear" w:color="auto" w:fill="auto"/>
                  <w:vAlign w:val="center"/>
                </w:tcPr>
                <w:p w14:paraId="6B2E7118">
                  <w:pPr>
                    <w:pStyle w:val="7"/>
                    <w:adjustRightInd w:val="0"/>
                    <w:snapToGrid w:val="0"/>
                    <w:spacing w:line="240" w:lineRule="auto"/>
                    <w:ind w:firstLine="0" w:firstLineChars="0"/>
                    <w:jc w:val="center"/>
                    <w:rPr>
                      <w:color w:val="auto"/>
                      <w:highlight w:val="none"/>
                    </w:rPr>
                  </w:pPr>
                </w:p>
              </w:tc>
              <w:tc>
                <w:tcPr>
                  <w:tcW w:w="430" w:type="pct"/>
                  <w:vMerge w:val="continue"/>
                  <w:shd w:val="clear" w:color="auto" w:fill="auto"/>
                  <w:vAlign w:val="center"/>
                </w:tcPr>
                <w:p w14:paraId="341F4376">
                  <w:pPr>
                    <w:pStyle w:val="7"/>
                    <w:adjustRightInd w:val="0"/>
                    <w:snapToGrid w:val="0"/>
                    <w:spacing w:line="240" w:lineRule="auto"/>
                    <w:ind w:firstLine="0" w:firstLineChars="0"/>
                    <w:jc w:val="center"/>
                    <w:rPr>
                      <w:rFonts w:ascii="Times New Roman" w:hAnsi="Times New Roman" w:cs="Times New Roman"/>
                      <w:color w:val="auto"/>
                      <w:highlight w:val="none"/>
                    </w:rPr>
                  </w:pPr>
                </w:p>
              </w:tc>
              <w:tc>
                <w:tcPr>
                  <w:tcW w:w="509" w:type="pct"/>
                  <w:shd w:val="clear" w:color="auto" w:fill="auto"/>
                  <w:vAlign w:val="center"/>
                </w:tcPr>
                <w:p w14:paraId="01BF43C6">
                  <w:pPr>
                    <w:pStyle w:val="7"/>
                    <w:adjustRightInd w:val="0"/>
                    <w:snapToGrid w:val="0"/>
                    <w:spacing w:line="240" w:lineRule="auto"/>
                    <w:ind w:firstLine="0" w:firstLineChars="0"/>
                    <w:jc w:val="center"/>
                    <w:rPr>
                      <w:rFonts w:ascii="Times New Roman" w:hAnsi="Times New Roman" w:cs="Times New Roman"/>
                      <w:color w:val="auto"/>
                      <w:highlight w:val="none"/>
                    </w:rPr>
                  </w:pPr>
                  <w:r>
                    <w:rPr>
                      <w:rFonts w:hint="eastAsia" w:ascii="Times New Roman" w:hAnsi="Times New Roman" w:cs="Times New Roman"/>
                      <w:color w:val="auto"/>
                      <w:highlight w:val="none"/>
                      <w:lang w:val="en-US" w:eastAsia="zh-CN"/>
                    </w:rPr>
                    <w:t>太行山水源涵养生态保护红线</w:t>
                  </w:r>
                </w:p>
              </w:tc>
              <w:tc>
                <w:tcPr>
                  <w:tcW w:w="698" w:type="pct"/>
                  <w:shd w:val="clear" w:color="auto" w:fill="auto"/>
                  <w:vAlign w:val="center"/>
                </w:tcPr>
                <w:p w14:paraId="769F9329">
                  <w:pPr>
                    <w:pStyle w:val="7"/>
                    <w:adjustRightInd w:val="0"/>
                    <w:snapToGrid w:val="0"/>
                    <w:spacing w:line="240" w:lineRule="auto"/>
                    <w:ind w:firstLine="0" w:firstLineChars="0"/>
                    <w:jc w:val="center"/>
                    <w:rPr>
                      <w:rFonts w:ascii="Times New Roman" w:hAnsi="Times New Roman" w:cs="Times New Roman"/>
                      <w:color w:val="auto"/>
                      <w:highlight w:val="none"/>
                    </w:rPr>
                  </w:pPr>
                  <w:r>
                    <w:rPr>
                      <w:rFonts w:ascii="Times New Roman" w:hAnsi="Times New Roman" w:cs="Times New Roman"/>
                      <w:color w:val="auto"/>
                      <w:highlight w:val="none"/>
                    </w:rPr>
                    <w:t>永久占地</w:t>
                  </w:r>
                </w:p>
              </w:tc>
              <w:tc>
                <w:tcPr>
                  <w:tcW w:w="889" w:type="pct"/>
                  <w:vAlign w:val="center"/>
                </w:tcPr>
                <w:p w14:paraId="0E55BCBC">
                  <w:pPr>
                    <w:pStyle w:val="7"/>
                    <w:adjustRightInd w:val="0"/>
                    <w:snapToGrid w:val="0"/>
                    <w:spacing w:line="240" w:lineRule="auto"/>
                    <w:ind w:firstLine="0" w:firstLineChars="0"/>
                    <w:jc w:val="center"/>
                    <w:rPr>
                      <w:rFonts w:ascii="Times New Roman" w:hAnsi="Times New Roman" w:cs="Times New Roman"/>
                      <w:color w:val="auto"/>
                      <w:highlight w:val="none"/>
                    </w:rPr>
                  </w:pPr>
                  <w:r>
                    <w:rPr>
                      <w:rFonts w:hint="eastAsia" w:ascii="Times New Roman" w:hAnsi="Times New Roman" w:cs="Times New Roman"/>
                      <w:color w:val="auto"/>
                      <w:highlight w:val="none"/>
                      <w:lang w:val="en-US" w:eastAsia="zh-CN"/>
                    </w:rPr>
                    <w:t>针叶林、落叶阔叶林、草丛、野生动物、森林生态系统</w:t>
                  </w:r>
                </w:p>
              </w:tc>
              <w:tc>
                <w:tcPr>
                  <w:tcW w:w="1720" w:type="pct"/>
                  <w:vAlign w:val="center"/>
                </w:tcPr>
                <w:p w14:paraId="5EEAF812">
                  <w:pPr>
                    <w:pStyle w:val="7"/>
                    <w:adjustRightInd w:val="0"/>
                    <w:snapToGrid w:val="0"/>
                    <w:spacing w:line="240" w:lineRule="auto"/>
                    <w:ind w:firstLine="0" w:firstLineChars="0"/>
                    <w:jc w:val="center"/>
                    <w:rPr>
                      <w:rFonts w:ascii="Times New Roman" w:hAnsi="Times New Roman" w:cs="Times New Roman"/>
                      <w:color w:val="auto"/>
                      <w:highlight w:val="none"/>
                    </w:rPr>
                  </w:pPr>
                  <w:r>
                    <w:rPr>
                      <w:rFonts w:hint="default" w:ascii="Times New Roman" w:hAnsi="Times New Roman" w:cs="Times New Roman"/>
                      <w:color w:val="auto"/>
                      <w:highlight w:val="none"/>
                      <w:lang w:val="en-US" w:eastAsia="zh-CN"/>
                    </w:rPr>
                    <w:t>施工活动不得超出用地范围，禁止随意扩大临时占地，避免对周边植被和土壤造成扰动；施工期实施边坡防护、排水沟、沉沙池等措施，雨季前完成裸露地表覆盖；施工结束后立即进行生态修复，采用本地物种恢复植被，确保水源涵养功能不降低</w:t>
                  </w:r>
                </w:p>
              </w:tc>
            </w:tr>
            <w:tr w14:paraId="029ACBF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53" w:hRule="atLeast"/>
              </w:trPr>
              <w:tc>
                <w:tcPr>
                  <w:tcW w:w="751" w:type="pct"/>
                  <w:vMerge w:val="continue"/>
                  <w:shd w:val="clear" w:color="auto" w:fill="auto"/>
                  <w:vAlign w:val="center"/>
                </w:tcPr>
                <w:p w14:paraId="11D53751">
                  <w:pPr>
                    <w:pStyle w:val="7"/>
                    <w:adjustRightInd w:val="0"/>
                    <w:snapToGrid w:val="0"/>
                    <w:spacing w:line="240" w:lineRule="auto"/>
                    <w:ind w:firstLine="0" w:firstLineChars="0"/>
                    <w:jc w:val="center"/>
                    <w:rPr>
                      <w:color w:val="auto"/>
                      <w:highlight w:val="none"/>
                    </w:rPr>
                  </w:pPr>
                </w:p>
              </w:tc>
              <w:tc>
                <w:tcPr>
                  <w:tcW w:w="430" w:type="pct"/>
                  <w:vMerge w:val="continue"/>
                  <w:shd w:val="clear" w:color="auto" w:fill="auto"/>
                  <w:vAlign w:val="center"/>
                </w:tcPr>
                <w:p w14:paraId="37A3097A">
                  <w:pPr>
                    <w:pStyle w:val="7"/>
                    <w:adjustRightInd w:val="0"/>
                    <w:snapToGrid w:val="0"/>
                    <w:spacing w:line="240" w:lineRule="auto"/>
                    <w:ind w:firstLine="0" w:firstLineChars="0"/>
                    <w:jc w:val="center"/>
                    <w:rPr>
                      <w:color w:val="auto"/>
                      <w:highlight w:val="none"/>
                    </w:rPr>
                  </w:pPr>
                </w:p>
              </w:tc>
              <w:tc>
                <w:tcPr>
                  <w:tcW w:w="509" w:type="pct"/>
                  <w:shd w:val="clear" w:color="auto" w:fill="auto"/>
                  <w:vAlign w:val="center"/>
                </w:tcPr>
                <w:p w14:paraId="23C0C3E8">
                  <w:pPr>
                    <w:pStyle w:val="7"/>
                    <w:adjustRightInd w:val="0"/>
                    <w:snapToGrid w:val="0"/>
                    <w:spacing w:line="240" w:lineRule="auto"/>
                    <w:ind w:firstLine="0" w:firstLineChars="0"/>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国家二级公益林</w:t>
                  </w:r>
                </w:p>
              </w:tc>
              <w:tc>
                <w:tcPr>
                  <w:tcW w:w="698" w:type="pct"/>
                  <w:shd w:val="clear" w:color="auto" w:fill="auto"/>
                  <w:vAlign w:val="center"/>
                </w:tcPr>
                <w:p w14:paraId="28E34604">
                  <w:pPr>
                    <w:pStyle w:val="7"/>
                    <w:adjustRightInd w:val="0"/>
                    <w:snapToGrid w:val="0"/>
                    <w:spacing w:line="240" w:lineRule="auto"/>
                    <w:ind w:firstLine="0" w:firstLineChars="0"/>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永久占用国家二级公益林面积为0.05hm</w:t>
                  </w:r>
                  <w:r>
                    <w:rPr>
                      <w:rFonts w:hint="eastAsia" w:ascii="Times New Roman" w:hAnsi="Times New Roman" w:cs="Times New Roman"/>
                      <w:color w:val="auto"/>
                      <w:highlight w:val="none"/>
                      <w:vertAlign w:val="superscript"/>
                      <w:lang w:val="en-US" w:eastAsia="zh-CN"/>
                    </w:rPr>
                    <w:t>2</w:t>
                  </w:r>
                </w:p>
              </w:tc>
              <w:tc>
                <w:tcPr>
                  <w:tcW w:w="889" w:type="pct"/>
                  <w:vAlign w:val="center"/>
                </w:tcPr>
                <w:p w14:paraId="4E319F83">
                  <w:pPr>
                    <w:pStyle w:val="7"/>
                    <w:adjustRightInd w:val="0"/>
                    <w:snapToGrid w:val="0"/>
                    <w:spacing w:line="240" w:lineRule="auto"/>
                    <w:ind w:firstLine="0" w:firstLineChars="0"/>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疏林地</w:t>
                  </w:r>
                </w:p>
              </w:tc>
              <w:tc>
                <w:tcPr>
                  <w:tcW w:w="1720" w:type="pct"/>
                  <w:vAlign w:val="center"/>
                </w:tcPr>
                <w:p w14:paraId="07D28A97">
                  <w:pPr>
                    <w:pStyle w:val="7"/>
                    <w:adjustRightInd w:val="0"/>
                    <w:snapToGrid w:val="0"/>
                    <w:spacing w:line="240" w:lineRule="auto"/>
                    <w:ind w:firstLine="0" w:firstLineChars="0"/>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2025年12月1日，山西省林业和草原局以晋林资许准〔2025〕39号文出具了本项目的永久性使用林地草原审核同意书</w:t>
                  </w:r>
                </w:p>
              </w:tc>
            </w:tr>
          </w:tbl>
          <w:p w14:paraId="3F2B9CB2">
            <w:pPr>
              <w:adjustRightInd w:val="0"/>
              <w:snapToGrid w:val="0"/>
              <w:rPr>
                <w:rFonts w:hint="eastAsia" w:ascii="宋体" w:hAnsi="宋体" w:cs="宋体"/>
                <w:color w:val="auto"/>
                <w:kern w:val="0"/>
                <w:sz w:val="24"/>
                <w:highlight w:val="none"/>
              </w:rPr>
            </w:pPr>
          </w:p>
        </w:tc>
      </w:tr>
      <w:tr w14:paraId="18761E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1" w:type="dxa"/>
            <w:vAlign w:val="center"/>
          </w:tcPr>
          <w:p w14:paraId="0D4C8F08">
            <w:pPr>
              <w:adjustRightInd w:val="0"/>
              <w:snapToGrid w:val="0"/>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评价</w:t>
            </w:r>
          </w:p>
          <w:p w14:paraId="4D17F0FC">
            <w:pPr>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 w:val="24"/>
                <w:highlight w:val="none"/>
              </w:rPr>
              <w:t>标准</w:t>
            </w:r>
          </w:p>
        </w:tc>
        <w:tc>
          <w:tcPr>
            <w:tcW w:w="8416" w:type="dxa"/>
            <w:vAlign w:val="center"/>
          </w:tcPr>
          <w:p w14:paraId="2A84CD8A">
            <w:pPr>
              <w:spacing w:line="480" w:lineRule="exact"/>
              <w:ind w:firstLine="480" w:firstLineChars="200"/>
              <w:rPr>
                <w:color w:val="auto"/>
                <w:kern w:val="0"/>
                <w:sz w:val="24"/>
                <w:highlight w:val="none"/>
              </w:rPr>
            </w:pPr>
            <w:r>
              <w:rPr>
                <w:color w:val="auto"/>
                <w:kern w:val="0"/>
                <w:sz w:val="24"/>
                <w:highlight w:val="none"/>
              </w:rPr>
              <w:t>1、环境质量标准</w:t>
            </w:r>
          </w:p>
          <w:p w14:paraId="43CDE061">
            <w:pPr>
              <w:spacing w:line="480" w:lineRule="exact"/>
              <w:ind w:firstLine="480" w:firstLineChars="200"/>
              <w:rPr>
                <w:color w:val="auto"/>
                <w:kern w:val="0"/>
                <w:sz w:val="24"/>
                <w:highlight w:val="none"/>
              </w:rPr>
            </w:pPr>
            <w:r>
              <w:rPr>
                <w:color w:val="auto"/>
                <w:kern w:val="0"/>
                <w:sz w:val="24"/>
                <w:highlight w:val="none"/>
              </w:rPr>
              <w:t>（1）声环境</w:t>
            </w:r>
          </w:p>
          <w:p w14:paraId="4C25BA63">
            <w:pPr>
              <w:spacing w:line="480" w:lineRule="exact"/>
              <w:ind w:firstLine="496" w:firstLineChars="200"/>
              <w:rPr>
                <w:color w:val="auto"/>
                <w:sz w:val="24"/>
                <w:highlight w:val="none"/>
              </w:rPr>
            </w:pPr>
            <w:r>
              <w:rPr>
                <w:rFonts w:hint="eastAsia" w:ascii="Times New Roman" w:eastAsia="宋体"/>
                <w:color w:val="auto"/>
                <w:spacing w:val="4"/>
                <w:sz w:val="24"/>
                <w:highlight w:val="none"/>
                <w:lang w:val="en-US" w:eastAsia="zh-CN"/>
              </w:rPr>
              <w:t>风电场区</w:t>
            </w:r>
            <w:r>
              <w:rPr>
                <w:rFonts w:hint="eastAsia"/>
                <w:color w:val="auto"/>
                <w:spacing w:val="4"/>
                <w:sz w:val="24"/>
                <w:highlight w:val="none"/>
              </w:rPr>
              <w:t>执行《声环境质量标准》（GB3096-2008）1类标准。</w:t>
            </w:r>
            <w:r>
              <w:rPr>
                <w:color w:val="auto"/>
                <w:sz w:val="24"/>
                <w:highlight w:val="none"/>
              </w:rPr>
              <w:t>具体标准限值见表3-1</w:t>
            </w:r>
            <w:r>
              <w:rPr>
                <w:rFonts w:hint="eastAsia" w:ascii="Times New Roman" w:eastAsia="宋体"/>
                <w:color w:val="auto"/>
                <w:sz w:val="24"/>
                <w:highlight w:val="none"/>
                <w:lang w:val="en-US" w:eastAsia="zh-CN"/>
              </w:rPr>
              <w:t>1</w:t>
            </w:r>
            <w:r>
              <w:rPr>
                <w:color w:val="auto"/>
                <w:sz w:val="24"/>
                <w:highlight w:val="none"/>
              </w:rPr>
              <w:t>。</w:t>
            </w:r>
          </w:p>
          <w:p w14:paraId="5E6C36F0">
            <w:pPr>
              <w:jc w:val="center"/>
              <w:rPr>
                <w:bCs/>
                <w:color w:val="auto"/>
                <w:szCs w:val="21"/>
                <w:highlight w:val="none"/>
              </w:rPr>
            </w:pPr>
          </w:p>
          <w:p w14:paraId="263A5B08">
            <w:pPr>
              <w:jc w:val="center"/>
              <w:rPr>
                <w:bCs/>
                <w:color w:val="auto"/>
                <w:szCs w:val="21"/>
                <w:highlight w:val="none"/>
              </w:rPr>
            </w:pPr>
          </w:p>
          <w:p w14:paraId="0E395379">
            <w:pPr>
              <w:jc w:val="center"/>
              <w:rPr>
                <w:bCs/>
                <w:color w:val="auto"/>
                <w:szCs w:val="21"/>
                <w:highlight w:val="none"/>
              </w:rPr>
            </w:pPr>
            <w:r>
              <w:rPr>
                <w:bCs/>
                <w:color w:val="auto"/>
                <w:szCs w:val="21"/>
                <w:highlight w:val="none"/>
              </w:rPr>
              <w:t>表</w:t>
            </w:r>
            <w:r>
              <w:rPr>
                <w:rFonts w:hint="eastAsia" w:ascii="黑体" w:hAnsi="黑体" w:eastAsia="黑体" w:cs="黑体"/>
                <w:bCs/>
                <w:color w:val="auto"/>
                <w:szCs w:val="21"/>
                <w:highlight w:val="none"/>
              </w:rPr>
              <w:t>3-1</w:t>
            </w:r>
            <w:r>
              <w:rPr>
                <w:rFonts w:hint="eastAsia" w:ascii="黑体" w:hAnsi="黑体" w:eastAsia="黑体" w:cs="黑体"/>
                <w:bCs/>
                <w:color w:val="auto"/>
                <w:szCs w:val="21"/>
                <w:highlight w:val="none"/>
                <w:lang w:val="en-US" w:eastAsia="zh-CN"/>
              </w:rPr>
              <w:t>1</w:t>
            </w:r>
            <w:r>
              <w:rPr>
                <w:bCs/>
                <w:color w:val="auto"/>
                <w:szCs w:val="21"/>
                <w:highlight w:val="none"/>
              </w:rPr>
              <w:t xml:space="preserve"> </w:t>
            </w:r>
            <w:r>
              <w:rPr>
                <w:rFonts w:hint="eastAsia" w:ascii="黑体" w:hAnsi="黑体" w:eastAsia="黑体" w:cs="黑体"/>
                <w:bCs/>
                <w:color w:val="auto"/>
                <w:szCs w:val="21"/>
                <w:highlight w:val="none"/>
              </w:rPr>
              <w:t xml:space="preserve"> 声环境质量标准</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519"/>
              <w:gridCol w:w="3547"/>
              <w:gridCol w:w="3104"/>
            </w:tblGrid>
            <w:tr w14:paraId="7B21FF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0" w:type="pct"/>
                  <w:vAlign w:val="center"/>
                </w:tcPr>
                <w:p w14:paraId="48440739">
                  <w:pPr>
                    <w:pStyle w:val="24"/>
                    <w:spacing w:before="24" w:after="24"/>
                    <w:rPr>
                      <w:b w:val="0"/>
                      <w:color w:val="auto"/>
                      <w:highlight w:val="none"/>
                    </w:rPr>
                  </w:pPr>
                  <w:r>
                    <w:rPr>
                      <w:b w:val="0"/>
                      <w:color w:val="auto"/>
                      <w:highlight w:val="none"/>
                    </w:rPr>
                    <w:t>类  别</w:t>
                  </w:r>
                </w:p>
              </w:tc>
              <w:tc>
                <w:tcPr>
                  <w:tcW w:w="2170" w:type="pct"/>
                  <w:vAlign w:val="center"/>
                </w:tcPr>
                <w:p w14:paraId="74D5ED5F">
                  <w:pPr>
                    <w:pStyle w:val="24"/>
                    <w:spacing w:before="24" w:after="24" w:line="240" w:lineRule="auto"/>
                    <w:rPr>
                      <w:b w:val="0"/>
                      <w:color w:val="auto"/>
                      <w:highlight w:val="none"/>
                    </w:rPr>
                  </w:pPr>
                  <w:r>
                    <w:rPr>
                      <w:b w:val="0"/>
                      <w:color w:val="auto"/>
                      <w:highlight w:val="none"/>
                    </w:rPr>
                    <w:t>昼 间dB（A）</w:t>
                  </w:r>
                </w:p>
              </w:tc>
              <w:tc>
                <w:tcPr>
                  <w:tcW w:w="1899" w:type="pct"/>
                  <w:vAlign w:val="center"/>
                </w:tcPr>
                <w:p w14:paraId="4E004348">
                  <w:pPr>
                    <w:pStyle w:val="24"/>
                    <w:spacing w:before="24" w:after="24" w:line="240" w:lineRule="auto"/>
                    <w:rPr>
                      <w:b w:val="0"/>
                      <w:color w:val="auto"/>
                      <w:highlight w:val="none"/>
                    </w:rPr>
                  </w:pPr>
                  <w:r>
                    <w:rPr>
                      <w:b w:val="0"/>
                      <w:color w:val="auto"/>
                      <w:highlight w:val="none"/>
                    </w:rPr>
                    <w:t>夜 间dB（A）</w:t>
                  </w:r>
                </w:p>
              </w:tc>
            </w:tr>
            <w:tr w14:paraId="005C3F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0" w:type="pct"/>
                  <w:vAlign w:val="center"/>
                </w:tcPr>
                <w:p w14:paraId="62421353">
                  <w:pPr>
                    <w:pStyle w:val="24"/>
                    <w:spacing w:before="24" w:after="24"/>
                    <w:rPr>
                      <w:b w:val="0"/>
                      <w:color w:val="auto"/>
                      <w:highlight w:val="none"/>
                    </w:rPr>
                  </w:pPr>
                  <w:r>
                    <w:rPr>
                      <w:rFonts w:hint="eastAsia"/>
                      <w:b w:val="0"/>
                      <w:color w:val="auto"/>
                      <w:highlight w:val="none"/>
                    </w:rPr>
                    <w:t>1</w:t>
                  </w:r>
                </w:p>
              </w:tc>
              <w:tc>
                <w:tcPr>
                  <w:tcW w:w="2170" w:type="pct"/>
                  <w:vAlign w:val="center"/>
                </w:tcPr>
                <w:p w14:paraId="1BEC3830">
                  <w:pPr>
                    <w:pStyle w:val="24"/>
                    <w:spacing w:before="24" w:after="24" w:line="240" w:lineRule="auto"/>
                    <w:rPr>
                      <w:b w:val="0"/>
                      <w:color w:val="auto"/>
                      <w:highlight w:val="none"/>
                    </w:rPr>
                  </w:pPr>
                  <w:r>
                    <w:rPr>
                      <w:rFonts w:hint="eastAsia"/>
                      <w:b w:val="0"/>
                      <w:color w:val="auto"/>
                      <w:highlight w:val="none"/>
                    </w:rPr>
                    <w:t>55</w:t>
                  </w:r>
                </w:p>
              </w:tc>
              <w:tc>
                <w:tcPr>
                  <w:tcW w:w="1899" w:type="pct"/>
                  <w:vAlign w:val="center"/>
                </w:tcPr>
                <w:p w14:paraId="50344588">
                  <w:pPr>
                    <w:pStyle w:val="24"/>
                    <w:spacing w:before="24" w:after="24" w:line="240" w:lineRule="auto"/>
                    <w:rPr>
                      <w:b w:val="0"/>
                      <w:color w:val="auto"/>
                      <w:highlight w:val="none"/>
                    </w:rPr>
                  </w:pPr>
                  <w:r>
                    <w:rPr>
                      <w:rFonts w:hint="eastAsia"/>
                      <w:b w:val="0"/>
                      <w:color w:val="auto"/>
                      <w:highlight w:val="none"/>
                    </w:rPr>
                    <w:t>45</w:t>
                  </w:r>
                </w:p>
              </w:tc>
            </w:tr>
          </w:tbl>
          <w:p w14:paraId="6E08B406">
            <w:pPr>
              <w:spacing w:line="480" w:lineRule="exact"/>
              <w:ind w:firstLine="496" w:firstLineChars="200"/>
              <w:rPr>
                <w:color w:val="auto"/>
                <w:spacing w:val="4"/>
                <w:sz w:val="24"/>
                <w:highlight w:val="none"/>
              </w:rPr>
            </w:pPr>
            <w:r>
              <w:rPr>
                <w:color w:val="auto"/>
                <w:spacing w:val="4"/>
                <w:sz w:val="24"/>
                <w:highlight w:val="none"/>
              </w:rPr>
              <w:t>（2）环境空气</w:t>
            </w:r>
          </w:p>
          <w:p w14:paraId="5EEF437D">
            <w:pPr>
              <w:spacing w:line="480" w:lineRule="exact"/>
              <w:ind w:firstLine="480" w:firstLineChars="200"/>
              <w:rPr>
                <w:bCs/>
                <w:color w:val="auto"/>
                <w:sz w:val="24"/>
                <w:highlight w:val="none"/>
              </w:rPr>
            </w:pPr>
            <w:r>
              <w:rPr>
                <w:bCs/>
                <w:color w:val="auto"/>
                <w:sz w:val="24"/>
                <w:highlight w:val="none"/>
              </w:rPr>
              <w:t>本项目所处区域属环境空气质量功能区中的二类区，环境空气评价执行《环境空气质量标准》（GB3095-2012）（2018修改单）二级标准。</w:t>
            </w:r>
          </w:p>
          <w:p w14:paraId="1BFCFDA3">
            <w:pPr>
              <w:jc w:val="center"/>
              <w:rPr>
                <w:rFonts w:hint="eastAsia" w:ascii="黑体" w:hAnsi="黑体" w:eastAsia="黑体" w:cs="黑体"/>
                <w:bCs/>
                <w:color w:val="auto"/>
                <w:szCs w:val="21"/>
                <w:highlight w:val="none"/>
              </w:rPr>
            </w:pPr>
            <w:r>
              <w:rPr>
                <w:rFonts w:hint="eastAsia" w:ascii="黑体" w:hAnsi="黑体" w:eastAsia="黑体" w:cs="黑体"/>
                <w:bCs/>
                <w:color w:val="auto"/>
                <w:szCs w:val="21"/>
                <w:highlight w:val="none"/>
              </w:rPr>
              <w:t>表3-1</w:t>
            </w:r>
            <w:r>
              <w:rPr>
                <w:rFonts w:hint="eastAsia" w:ascii="黑体" w:hAnsi="黑体" w:eastAsia="黑体" w:cs="黑体"/>
                <w:bCs/>
                <w:color w:val="auto"/>
                <w:szCs w:val="21"/>
                <w:highlight w:val="none"/>
                <w:lang w:val="en-US" w:eastAsia="zh-CN"/>
              </w:rPr>
              <w:t>2</w:t>
            </w:r>
            <w:r>
              <w:rPr>
                <w:bCs/>
                <w:color w:val="auto"/>
                <w:szCs w:val="21"/>
                <w:highlight w:val="none"/>
              </w:rPr>
              <w:t xml:space="preserve">   </w:t>
            </w:r>
            <w:r>
              <w:rPr>
                <w:rFonts w:hint="eastAsia" w:ascii="黑体" w:hAnsi="黑体" w:eastAsia="黑体" w:cs="黑体"/>
                <w:bCs/>
                <w:color w:val="auto"/>
                <w:szCs w:val="21"/>
                <w:highlight w:val="none"/>
              </w:rPr>
              <w:t>环境空气质量标准  μg/m</w:t>
            </w:r>
            <w:r>
              <w:rPr>
                <w:rFonts w:hint="eastAsia" w:ascii="黑体" w:hAnsi="黑体" w:eastAsia="黑体" w:cs="黑体"/>
                <w:bCs/>
                <w:color w:val="auto"/>
                <w:szCs w:val="21"/>
                <w:highlight w:val="none"/>
                <w:vertAlign w:val="superscript"/>
              </w:rPr>
              <w:t>3</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157"/>
              <w:gridCol w:w="1979"/>
              <w:gridCol w:w="2012"/>
              <w:gridCol w:w="2022"/>
            </w:tblGrid>
            <w:tr w14:paraId="2F883E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320" w:type="pct"/>
                  <w:tcBorders>
                    <w:tl2br w:val="single" w:color="auto" w:sz="4" w:space="0"/>
                  </w:tcBorders>
                  <w:vAlign w:val="center"/>
                </w:tcPr>
                <w:p w14:paraId="539B06EB">
                  <w:pPr>
                    <w:pStyle w:val="22"/>
                    <w:adjustRightInd/>
                    <w:snapToGrid/>
                    <w:spacing w:before="24" w:after="24" w:line="240" w:lineRule="auto"/>
                    <w:rPr>
                      <w:rFonts w:ascii="Times New Roman"/>
                      <w:color w:val="auto"/>
                      <w:sz w:val="21"/>
                      <w:highlight w:val="none"/>
                    </w:rPr>
                  </w:pPr>
                  <w:r>
                    <w:rPr>
                      <w:rFonts w:ascii="Times New Roman"/>
                      <w:color w:val="auto"/>
                      <w:sz w:val="21"/>
                      <w:highlight w:val="none"/>
                    </w:rPr>
                    <w:t xml:space="preserve">          标准值</w:t>
                  </w:r>
                </w:p>
                <w:p w14:paraId="7D6541C1">
                  <w:pPr>
                    <w:pStyle w:val="22"/>
                    <w:adjustRightInd/>
                    <w:snapToGrid/>
                    <w:spacing w:before="24" w:after="24" w:line="240" w:lineRule="auto"/>
                    <w:jc w:val="both"/>
                    <w:rPr>
                      <w:rFonts w:ascii="Times New Roman"/>
                      <w:color w:val="auto"/>
                      <w:sz w:val="21"/>
                      <w:highlight w:val="none"/>
                    </w:rPr>
                  </w:pPr>
                  <w:r>
                    <w:rPr>
                      <w:rFonts w:ascii="Times New Roman"/>
                      <w:color w:val="auto"/>
                      <w:sz w:val="21"/>
                      <w:highlight w:val="none"/>
                    </w:rPr>
                    <w:t>项目</w:t>
                  </w:r>
                </w:p>
              </w:tc>
              <w:tc>
                <w:tcPr>
                  <w:tcW w:w="1211" w:type="pct"/>
                  <w:vAlign w:val="center"/>
                </w:tcPr>
                <w:p w14:paraId="309887E5">
                  <w:pPr>
                    <w:pStyle w:val="22"/>
                    <w:adjustRightInd/>
                    <w:snapToGrid/>
                    <w:spacing w:before="24" w:after="24" w:line="240" w:lineRule="auto"/>
                    <w:rPr>
                      <w:rFonts w:ascii="Times New Roman"/>
                      <w:color w:val="auto"/>
                      <w:sz w:val="21"/>
                      <w:highlight w:val="none"/>
                    </w:rPr>
                  </w:pPr>
                  <w:r>
                    <w:rPr>
                      <w:rFonts w:ascii="Times New Roman"/>
                      <w:color w:val="auto"/>
                      <w:sz w:val="21"/>
                      <w:highlight w:val="none"/>
                    </w:rPr>
                    <w:t>平均时间</w:t>
                  </w:r>
                </w:p>
              </w:tc>
              <w:tc>
                <w:tcPr>
                  <w:tcW w:w="1231" w:type="pct"/>
                  <w:vAlign w:val="center"/>
                </w:tcPr>
                <w:p w14:paraId="66A21C8E">
                  <w:pPr>
                    <w:pStyle w:val="22"/>
                    <w:adjustRightInd/>
                    <w:snapToGrid/>
                    <w:spacing w:before="24" w:after="24" w:line="240" w:lineRule="auto"/>
                    <w:rPr>
                      <w:rFonts w:ascii="Times New Roman"/>
                      <w:color w:val="auto"/>
                      <w:sz w:val="21"/>
                      <w:highlight w:val="none"/>
                    </w:rPr>
                  </w:pPr>
                  <w:r>
                    <w:rPr>
                      <w:rFonts w:ascii="Times New Roman"/>
                      <w:color w:val="auto"/>
                      <w:sz w:val="21"/>
                      <w:highlight w:val="none"/>
                    </w:rPr>
                    <w:t>浓度限值</w:t>
                  </w:r>
                </w:p>
              </w:tc>
              <w:tc>
                <w:tcPr>
                  <w:tcW w:w="1237" w:type="pct"/>
                  <w:vAlign w:val="center"/>
                </w:tcPr>
                <w:p w14:paraId="742E4E8C">
                  <w:pPr>
                    <w:pStyle w:val="22"/>
                    <w:adjustRightInd/>
                    <w:snapToGrid/>
                    <w:spacing w:before="24" w:after="24" w:line="240" w:lineRule="auto"/>
                    <w:rPr>
                      <w:rFonts w:ascii="Times New Roman"/>
                      <w:color w:val="auto"/>
                      <w:sz w:val="21"/>
                      <w:highlight w:val="none"/>
                    </w:rPr>
                  </w:pPr>
                  <w:r>
                    <w:rPr>
                      <w:rFonts w:ascii="Times New Roman"/>
                      <w:color w:val="auto"/>
                      <w:sz w:val="21"/>
                      <w:highlight w:val="none"/>
                    </w:rPr>
                    <w:t>单位</w:t>
                  </w:r>
                </w:p>
              </w:tc>
            </w:tr>
            <w:tr w14:paraId="75BA41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320" w:type="pct"/>
                  <w:vMerge w:val="restart"/>
                  <w:vAlign w:val="center"/>
                </w:tcPr>
                <w:p w14:paraId="18CC04E5">
                  <w:pPr>
                    <w:pStyle w:val="22"/>
                    <w:adjustRightInd/>
                    <w:snapToGrid/>
                    <w:spacing w:before="24" w:after="24" w:line="240" w:lineRule="auto"/>
                    <w:rPr>
                      <w:rFonts w:ascii="Times New Roman"/>
                      <w:color w:val="auto"/>
                      <w:sz w:val="21"/>
                      <w:highlight w:val="none"/>
                    </w:rPr>
                  </w:pPr>
                  <w:r>
                    <w:rPr>
                      <w:rFonts w:ascii="Times New Roman"/>
                      <w:color w:val="auto"/>
                      <w:sz w:val="21"/>
                      <w:highlight w:val="none"/>
                    </w:rPr>
                    <w:t>SO</w:t>
                  </w:r>
                  <w:r>
                    <w:rPr>
                      <w:rFonts w:ascii="Times New Roman"/>
                      <w:color w:val="auto"/>
                      <w:sz w:val="21"/>
                      <w:highlight w:val="none"/>
                      <w:vertAlign w:val="subscript"/>
                    </w:rPr>
                    <w:t>2</w:t>
                  </w:r>
                </w:p>
              </w:tc>
              <w:tc>
                <w:tcPr>
                  <w:tcW w:w="1211" w:type="pct"/>
                  <w:vAlign w:val="center"/>
                </w:tcPr>
                <w:p w14:paraId="65E479A4">
                  <w:pPr>
                    <w:pStyle w:val="22"/>
                    <w:adjustRightInd/>
                    <w:snapToGrid/>
                    <w:spacing w:before="24" w:after="24" w:line="240" w:lineRule="auto"/>
                    <w:rPr>
                      <w:rFonts w:ascii="Times New Roman"/>
                      <w:color w:val="auto"/>
                      <w:sz w:val="21"/>
                      <w:highlight w:val="none"/>
                    </w:rPr>
                  </w:pPr>
                  <w:r>
                    <w:rPr>
                      <w:rFonts w:ascii="Times New Roman"/>
                      <w:color w:val="auto"/>
                      <w:sz w:val="21"/>
                      <w:highlight w:val="none"/>
                    </w:rPr>
                    <w:t>年平均</w:t>
                  </w:r>
                </w:p>
              </w:tc>
              <w:tc>
                <w:tcPr>
                  <w:tcW w:w="1231" w:type="pct"/>
                  <w:vAlign w:val="center"/>
                </w:tcPr>
                <w:p w14:paraId="091B681E">
                  <w:pPr>
                    <w:pStyle w:val="22"/>
                    <w:adjustRightInd/>
                    <w:snapToGrid/>
                    <w:spacing w:before="24" w:after="24" w:line="240" w:lineRule="auto"/>
                    <w:rPr>
                      <w:rFonts w:ascii="Times New Roman"/>
                      <w:color w:val="auto"/>
                      <w:sz w:val="21"/>
                      <w:highlight w:val="none"/>
                    </w:rPr>
                  </w:pPr>
                  <w:r>
                    <w:rPr>
                      <w:rFonts w:ascii="Times New Roman"/>
                      <w:color w:val="auto"/>
                      <w:sz w:val="21"/>
                      <w:highlight w:val="none"/>
                    </w:rPr>
                    <w:t>60</w:t>
                  </w:r>
                </w:p>
              </w:tc>
              <w:tc>
                <w:tcPr>
                  <w:tcW w:w="1237" w:type="pct"/>
                  <w:vMerge w:val="restart"/>
                  <w:vAlign w:val="center"/>
                </w:tcPr>
                <w:p w14:paraId="7B75EAB6">
                  <w:pPr>
                    <w:pStyle w:val="22"/>
                    <w:adjustRightInd/>
                    <w:snapToGrid/>
                    <w:spacing w:before="24" w:after="24" w:line="240" w:lineRule="auto"/>
                    <w:rPr>
                      <w:rFonts w:ascii="Times New Roman"/>
                      <w:color w:val="auto"/>
                      <w:sz w:val="21"/>
                      <w:highlight w:val="none"/>
                    </w:rPr>
                  </w:pPr>
                  <w:r>
                    <w:rPr>
                      <w:rFonts w:ascii="Times New Roman" w:eastAsia="黑体"/>
                      <w:color w:val="auto"/>
                      <w:sz w:val="21"/>
                      <w:highlight w:val="none"/>
                    </w:rPr>
                    <w:t>μg/m</w:t>
                  </w:r>
                  <w:r>
                    <w:rPr>
                      <w:rFonts w:ascii="Times New Roman" w:eastAsia="黑体"/>
                      <w:color w:val="auto"/>
                      <w:sz w:val="21"/>
                      <w:highlight w:val="none"/>
                      <w:vertAlign w:val="superscript"/>
                    </w:rPr>
                    <w:t>3</w:t>
                  </w:r>
                </w:p>
              </w:tc>
            </w:tr>
            <w:tr w14:paraId="37A2C2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320" w:type="pct"/>
                  <w:vMerge w:val="continue"/>
                  <w:vAlign w:val="center"/>
                </w:tcPr>
                <w:p w14:paraId="05728F2E">
                  <w:pPr>
                    <w:pStyle w:val="22"/>
                    <w:adjustRightInd/>
                    <w:snapToGrid/>
                    <w:spacing w:before="24" w:after="24" w:line="240" w:lineRule="auto"/>
                    <w:rPr>
                      <w:rFonts w:ascii="Times New Roman"/>
                      <w:color w:val="auto"/>
                      <w:sz w:val="21"/>
                      <w:highlight w:val="none"/>
                    </w:rPr>
                  </w:pPr>
                </w:p>
              </w:tc>
              <w:tc>
                <w:tcPr>
                  <w:tcW w:w="1211" w:type="pct"/>
                  <w:vAlign w:val="center"/>
                </w:tcPr>
                <w:p w14:paraId="16EB850C">
                  <w:pPr>
                    <w:pStyle w:val="22"/>
                    <w:adjustRightInd/>
                    <w:snapToGrid/>
                    <w:spacing w:before="24" w:after="24" w:line="240" w:lineRule="auto"/>
                    <w:rPr>
                      <w:rFonts w:ascii="Times New Roman"/>
                      <w:color w:val="auto"/>
                      <w:sz w:val="21"/>
                      <w:highlight w:val="none"/>
                    </w:rPr>
                  </w:pPr>
                  <w:r>
                    <w:rPr>
                      <w:rFonts w:ascii="Times New Roman"/>
                      <w:color w:val="auto"/>
                      <w:sz w:val="21"/>
                      <w:highlight w:val="none"/>
                    </w:rPr>
                    <w:t>24h平均</w:t>
                  </w:r>
                </w:p>
              </w:tc>
              <w:tc>
                <w:tcPr>
                  <w:tcW w:w="1231" w:type="pct"/>
                  <w:vAlign w:val="center"/>
                </w:tcPr>
                <w:p w14:paraId="645BCCB6">
                  <w:pPr>
                    <w:pStyle w:val="22"/>
                    <w:adjustRightInd/>
                    <w:snapToGrid/>
                    <w:spacing w:before="24" w:after="24" w:line="240" w:lineRule="auto"/>
                    <w:rPr>
                      <w:rFonts w:ascii="Times New Roman"/>
                      <w:color w:val="auto"/>
                      <w:sz w:val="21"/>
                      <w:highlight w:val="none"/>
                    </w:rPr>
                  </w:pPr>
                  <w:r>
                    <w:rPr>
                      <w:rFonts w:ascii="Times New Roman"/>
                      <w:color w:val="auto"/>
                      <w:sz w:val="21"/>
                      <w:highlight w:val="none"/>
                    </w:rPr>
                    <w:t>150</w:t>
                  </w:r>
                </w:p>
              </w:tc>
              <w:tc>
                <w:tcPr>
                  <w:tcW w:w="1237" w:type="pct"/>
                  <w:vMerge w:val="continue"/>
                  <w:vAlign w:val="center"/>
                </w:tcPr>
                <w:p w14:paraId="30C95A87">
                  <w:pPr>
                    <w:pStyle w:val="22"/>
                    <w:adjustRightInd/>
                    <w:snapToGrid/>
                    <w:spacing w:before="24" w:after="24" w:line="240" w:lineRule="auto"/>
                    <w:rPr>
                      <w:rFonts w:ascii="Times New Roman"/>
                      <w:color w:val="auto"/>
                      <w:sz w:val="21"/>
                      <w:highlight w:val="none"/>
                    </w:rPr>
                  </w:pPr>
                </w:p>
              </w:tc>
            </w:tr>
            <w:tr w14:paraId="7B8C32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320" w:type="pct"/>
                  <w:vMerge w:val="continue"/>
                  <w:vAlign w:val="center"/>
                </w:tcPr>
                <w:p w14:paraId="7A1C44A0">
                  <w:pPr>
                    <w:pStyle w:val="22"/>
                    <w:adjustRightInd/>
                    <w:snapToGrid/>
                    <w:spacing w:before="24" w:after="24" w:line="240" w:lineRule="auto"/>
                    <w:rPr>
                      <w:rFonts w:ascii="Times New Roman"/>
                      <w:color w:val="auto"/>
                      <w:sz w:val="21"/>
                      <w:highlight w:val="none"/>
                    </w:rPr>
                  </w:pPr>
                </w:p>
              </w:tc>
              <w:tc>
                <w:tcPr>
                  <w:tcW w:w="1211" w:type="pct"/>
                  <w:vAlign w:val="center"/>
                </w:tcPr>
                <w:p w14:paraId="2981A21E">
                  <w:pPr>
                    <w:pStyle w:val="22"/>
                    <w:adjustRightInd/>
                    <w:snapToGrid/>
                    <w:spacing w:before="24" w:after="24" w:line="240" w:lineRule="auto"/>
                    <w:rPr>
                      <w:rFonts w:ascii="Times New Roman"/>
                      <w:color w:val="auto"/>
                      <w:sz w:val="21"/>
                      <w:highlight w:val="none"/>
                    </w:rPr>
                  </w:pPr>
                  <w:r>
                    <w:rPr>
                      <w:rFonts w:ascii="Times New Roman"/>
                      <w:color w:val="auto"/>
                      <w:sz w:val="21"/>
                      <w:highlight w:val="none"/>
                    </w:rPr>
                    <w:t>1h平均</w:t>
                  </w:r>
                </w:p>
              </w:tc>
              <w:tc>
                <w:tcPr>
                  <w:tcW w:w="1231" w:type="pct"/>
                  <w:vAlign w:val="center"/>
                </w:tcPr>
                <w:p w14:paraId="6D351344">
                  <w:pPr>
                    <w:pStyle w:val="22"/>
                    <w:adjustRightInd/>
                    <w:snapToGrid/>
                    <w:spacing w:before="24" w:after="24" w:line="240" w:lineRule="auto"/>
                    <w:rPr>
                      <w:rFonts w:ascii="Times New Roman"/>
                      <w:color w:val="auto"/>
                      <w:sz w:val="21"/>
                      <w:highlight w:val="none"/>
                    </w:rPr>
                  </w:pPr>
                  <w:r>
                    <w:rPr>
                      <w:rFonts w:ascii="Times New Roman"/>
                      <w:color w:val="auto"/>
                      <w:sz w:val="21"/>
                      <w:highlight w:val="none"/>
                    </w:rPr>
                    <w:t>500</w:t>
                  </w:r>
                </w:p>
              </w:tc>
              <w:tc>
                <w:tcPr>
                  <w:tcW w:w="1237" w:type="pct"/>
                  <w:vMerge w:val="continue"/>
                  <w:vAlign w:val="center"/>
                </w:tcPr>
                <w:p w14:paraId="283104A7">
                  <w:pPr>
                    <w:pStyle w:val="22"/>
                    <w:adjustRightInd/>
                    <w:snapToGrid/>
                    <w:spacing w:before="24" w:after="24" w:line="240" w:lineRule="auto"/>
                    <w:rPr>
                      <w:rFonts w:ascii="Times New Roman"/>
                      <w:color w:val="auto"/>
                      <w:sz w:val="21"/>
                      <w:highlight w:val="none"/>
                    </w:rPr>
                  </w:pPr>
                </w:p>
              </w:tc>
            </w:tr>
            <w:tr w14:paraId="4F231C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320" w:type="pct"/>
                  <w:vMerge w:val="restart"/>
                  <w:vAlign w:val="center"/>
                </w:tcPr>
                <w:p w14:paraId="4C740BDF">
                  <w:pPr>
                    <w:pStyle w:val="22"/>
                    <w:adjustRightInd/>
                    <w:snapToGrid/>
                    <w:spacing w:before="24" w:after="24" w:line="240" w:lineRule="auto"/>
                    <w:rPr>
                      <w:rFonts w:ascii="Times New Roman"/>
                      <w:color w:val="auto"/>
                      <w:sz w:val="21"/>
                      <w:highlight w:val="none"/>
                    </w:rPr>
                  </w:pPr>
                  <w:r>
                    <w:rPr>
                      <w:rFonts w:ascii="Times New Roman"/>
                      <w:color w:val="auto"/>
                      <w:sz w:val="21"/>
                      <w:highlight w:val="none"/>
                    </w:rPr>
                    <w:t>NO</w:t>
                  </w:r>
                  <w:r>
                    <w:rPr>
                      <w:rFonts w:ascii="Times New Roman"/>
                      <w:color w:val="auto"/>
                      <w:sz w:val="21"/>
                      <w:highlight w:val="none"/>
                      <w:vertAlign w:val="subscript"/>
                    </w:rPr>
                    <w:t>2</w:t>
                  </w:r>
                </w:p>
              </w:tc>
              <w:tc>
                <w:tcPr>
                  <w:tcW w:w="1211" w:type="pct"/>
                  <w:vAlign w:val="center"/>
                </w:tcPr>
                <w:p w14:paraId="1AF842F4">
                  <w:pPr>
                    <w:pStyle w:val="22"/>
                    <w:adjustRightInd/>
                    <w:snapToGrid/>
                    <w:spacing w:before="24" w:after="24" w:line="240" w:lineRule="auto"/>
                    <w:rPr>
                      <w:rFonts w:ascii="Times New Roman"/>
                      <w:color w:val="auto"/>
                      <w:sz w:val="21"/>
                      <w:highlight w:val="none"/>
                    </w:rPr>
                  </w:pPr>
                  <w:r>
                    <w:rPr>
                      <w:rFonts w:ascii="Times New Roman"/>
                      <w:color w:val="auto"/>
                      <w:sz w:val="21"/>
                      <w:highlight w:val="none"/>
                    </w:rPr>
                    <w:t>年平均</w:t>
                  </w:r>
                </w:p>
              </w:tc>
              <w:tc>
                <w:tcPr>
                  <w:tcW w:w="1231" w:type="pct"/>
                  <w:vAlign w:val="center"/>
                </w:tcPr>
                <w:p w14:paraId="412D556B">
                  <w:pPr>
                    <w:pStyle w:val="22"/>
                    <w:adjustRightInd/>
                    <w:snapToGrid/>
                    <w:spacing w:before="24" w:after="24" w:line="240" w:lineRule="auto"/>
                    <w:rPr>
                      <w:rFonts w:ascii="Times New Roman"/>
                      <w:color w:val="auto"/>
                      <w:sz w:val="21"/>
                      <w:highlight w:val="none"/>
                    </w:rPr>
                  </w:pPr>
                  <w:r>
                    <w:rPr>
                      <w:rFonts w:ascii="Times New Roman"/>
                      <w:color w:val="auto"/>
                      <w:sz w:val="21"/>
                      <w:highlight w:val="none"/>
                    </w:rPr>
                    <w:t>40</w:t>
                  </w:r>
                </w:p>
              </w:tc>
              <w:tc>
                <w:tcPr>
                  <w:tcW w:w="1237" w:type="pct"/>
                  <w:vMerge w:val="continue"/>
                  <w:vAlign w:val="center"/>
                </w:tcPr>
                <w:p w14:paraId="0332CE5B">
                  <w:pPr>
                    <w:pStyle w:val="22"/>
                    <w:adjustRightInd/>
                    <w:snapToGrid/>
                    <w:spacing w:before="24" w:after="24" w:line="240" w:lineRule="auto"/>
                    <w:rPr>
                      <w:rFonts w:ascii="Times New Roman"/>
                      <w:color w:val="auto"/>
                      <w:sz w:val="21"/>
                      <w:highlight w:val="none"/>
                    </w:rPr>
                  </w:pPr>
                </w:p>
              </w:tc>
            </w:tr>
            <w:tr w14:paraId="2A60C9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320" w:type="pct"/>
                  <w:vMerge w:val="continue"/>
                  <w:vAlign w:val="center"/>
                </w:tcPr>
                <w:p w14:paraId="11065141">
                  <w:pPr>
                    <w:pStyle w:val="22"/>
                    <w:adjustRightInd/>
                    <w:snapToGrid/>
                    <w:spacing w:before="24" w:after="24" w:line="240" w:lineRule="auto"/>
                    <w:rPr>
                      <w:rFonts w:ascii="Times New Roman"/>
                      <w:color w:val="auto"/>
                      <w:sz w:val="21"/>
                      <w:highlight w:val="none"/>
                    </w:rPr>
                  </w:pPr>
                </w:p>
              </w:tc>
              <w:tc>
                <w:tcPr>
                  <w:tcW w:w="1211" w:type="pct"/>
                  <w:vAlign w:val="center"/>
                </w:tcPr>
                <w:p w14:paraId="3A67D1F4">
                  <w:pPr>
                    <w:pStyle w:val="22"/>
                    <w:adjustRightInd/>
                    <w:snapToGrid/>
                    <w:spacing w:before="24" w:after="24" w:line="240" w:lineRule="auto"/>
                    <w:rPr>
                      <w:rFonts w:ascii="Times New Roman"/>
                      <w:color w:val="auto"/>
                      <w:sz w:val="21"/>
                      <w:highlight w:val="none"/>
                    </w:rPr>
                  </w:pPr>
                  <w:r>
                    <w:rPr>
                      <w:rFonts w:ascii="Times New Roman"/>
                      <w:color w:val="auto"/>
                      <w:sz w:val="21"/>
                      <w:highlight w:val="none"/>
                    </w:rPr>
                    <w:t>24h平均</w:t>
                  </w:r>
                </w:p>
              </w:tc>
              <w:tc>
                <w:tcPr>
                  <w:tcW w:w="1231" w:type="pct"/>
                  <w:vAlign w:val="center"/>
                </w:tcPr>
                <w:p w14:paraId="3BEE3EFB">
                  <w:pPr>
                    <w:pStyle w:val="22"/>
                    <w:adjustRightInd/>
                    <w:snapToGrid/>
                    <w:spacing w:before="24" w:after="24" w:line="240" w:lineRule="auto"/>
                    <w:rPr>
                      <w:rFonts w:ascii="Times New Roman"/>
                      <w:color w:val="auto"/>
                      <w:sz w:val="21"/>
                      <w:highlight w:val="none"/>
                    </w:rPr>
                  </w:pPr>
                  <w:r>
                    <w:rPr>
                      <w:rFonts w:ascii="Times New Roman"/>
                      <w:color w:val="auto"/>
                      <w:sz w:val="21"/>
                      <w:highlight w:val="none"/>
                    </w:rPr>
                    <w:t>80</w:t>
                  </w:r>
                </w:p>
              </w:tc>
              <w:tc>
                <w:tcPr>
                  <w:tcW w:w="1237" w:type="pct"/>
                  <w:vMerge w:val="continue"/>
                  <w:vAlign w:val="center"/>
                </w:tcPr>
                <w:p w14:paraId="3DF2E5A5">
                  <w:pPr>
                    <w:pStyle w:val="22"/>
                    <w:adjustRightInd/>
                    <w:snapToGrid/>
                    <w:spacing w:before="24" w:after="24" w:line="240" w:lineRule="auto"/>
                    <w:rPr>
                      <w:rFonts w:ascii="Times New Roman"/>
                      <w:color w:val="auto"/>
                      <w:sz w:val="21"/>
                      <w:highlight w:val="none"/>
                    </w:rPr>
                  </w:pPr>
                </w:p>
              </w:tc>
            </w:tr>
            <w:tr w14:paraId="60F66D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320" w:type="pct"/>
                  <w:vMerge w:val="continue"/>
                  <w:vAlign w:val="center"/>
                </w:tcPr>
                <w:p w14:paraId="5E1396B2">
                  <w:pPr>
                    <w:pStyle w:val="22"/>
                    <w:adjustRightInd/>
                    <w:snapToGrid/>
                    <w:spacing w:before="24" w:after="24" w:line="240" w:lineRule="auto"/>
                    <w:rPr>
                      <w:rFonts w:ascii="Times New Roman"/>
                      <w:color w:val="auto"/>
                      <w:sz w:val="21"/>
                      <w:highlight w:val="none"/>
                    </w:rPr>
                  </w:pPr>
                </w:p>
              </w:tc>
              <w:tc>
                <w:tcPr>
                  <w:tcW w:w="1211" w:type="pct"/>
                  <w:vAlign w:val="center"/>
                </w:tcPr>
                <w:p w14:paraId="30891D75">
                  <w:pPr>
                    <w:pStyle w:val="22"/>
                    <w:adjustRightInd/>
                    <w:snapToGrid/>
                    <w:spacing w:before="24" w:after="24" w:line="240" w:lineRule="auto"/>
                    <w:rPr>
                      <w:rFonts w:ascii="Times New Roman"/>
                      <w:color w:val="auto"/>
                      <w:sz w:val="21"/>
                      <w:highlight w:val="none"/>
                    </w:rPr>
                  </w:pPr>
                  <w:r>
                    <w:rPr>
                      <w:rFonts w:ascii="Times New Roman"/>
                      <w:color w:val="auto"/>
                      <w:sz w:val="21"/>
                      <w:highlight w:val="none"/>
                    </w:rPr>
                    <w:t>1h平均</w:t>
                  </w:r>
                </w:p>
              </w:tc>
              <w:tc>
                <w:tcPr>
                  <w:tcW w:w="1231" w:type="pct"/>
                  <w:vAlign w:val="center"/>
                </w:tcPr>
                <w:p w14:paraId="173BCF79">
                  <w:pPr>
                    <w:pStyle w:val="22"/>
                    <w:adjustRightInd/>
                    <w:snapToGrid/>
                    <w:spacing w:before="24" w:after="24" w:line="240" w:lineRule="auto"/>
                    <w:rPr>
                      <w:rFonts w:ascii="Times New Roman"/>
                      <w:color w:val="auto"/>
                      <w:sz w:val="21"/>
                      <w:highlight w:val="none"/>
                    </w:rPr>
                  </w:pPr>
                  <w:r>
                    <w:rPr>
                      <w:rFonts w:ascii="Times New Roman"/>
                      <w:color w:val="auto"/>
                      <w:sz w:val="21"/>
                      <w:highlight w:val="none"/>
                    </w:rPr>
                    <w:t>200</w:t>
                  </w:r>
                </w:p>
              </w:tc>
              <w:tc>
                <w:tcPr>
                  <w:tcW w:w="1237" w:type="pct"/>
                  <w:vMerge w:val="continue"/>
                  <w:vAlign w:val="center"/>
                </w:tcPr>
                <w:p w14:paraId="6C9310BF">
                  <w:pPr>
                    <w:pStyle w:val="22"/>
                    <w:adjustRightInd/>
                    <w:snapToGrid/>
                    <w:spacing w:before="24" w:after="24" w:line="240" w:lineRule="auto"/>
                    <w:rPr>
                      <w:rFonts w:ascii="Times New Roman"/>
                      <w:color w:val="auto"/>
                      <w:sz w:val="21"/>
                      <w:highlight w:val="none"/>
                    </w:rPr>
                  </w:pPr>
                </w:p>
              </w:tc>
            </w:tr>
            <w:tr w14:paraId="775433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320" w:type="pct"/>
                  <w:vMerge w:val="restart"/>
                  <w:vAlign w:val="center"/>
                </w:tcPr>
                <w:p w14:paraId="68D908F6">
                  <w:pPr>
                    <w:pStyle w:val="22"/>
                    <w:adjustRightInd/>
                    <w:snapToGrid/>
                    <w:spacing w:before="24" w:after="24" w:line="240" w:lineRule="auto"/>
                    <w:rPr>
                      <w:rFonts w:ascii="Times New Roman"/>
                      <w:color w:val="auto"/>
                      <w:sz w:val="21"/>
                      <w:highlight w:val="none"/>
                    </w:rPr>
                  </w:pPr>
                  <w:r>
                    <w:rPr>
                      <w:rFonts w:ascii="Times New Roman"/>
                      <w:color w:val="auto"/>
                      <w:sz w:val="21"/>
                      <w:highlight w:val="none"/>
                    </w:rPr>
                    <w:t>PM</w:t>
                  </w:r>
                  <w:r>
                    <w:rPr>
                      <w:rFonts w:ascii="Times New Roman"/>
                      <w:color w:val="auto"/>
                      <w:sz w:val="21"/>
                      <w:highlight w:val="none"/>
                      <w:vertAlign w:val="subscript"/>
                    </w:rPr>
                    <w:t>10</w:t>
                  </w:r>
                </w:p>
              </w:tc>
              <w:tc>
                <w:tcPr>
                  <w:tcW w:w="1211" w:type="pct"/>
                  <w:vAlign w:val="center"/>
                </w:tcPr>
                <w:p w14:paraId="6939C425">
                  <w:pPr>
                    <w:pStyle w:val="22"/>
                    <w:adjustRightInd/>
                    <w:snapToGrid/>
                    <w:spacing w:before="24" w:after="24" w:line="240" w:lineRule="auto"/>
                    <w:rPr>
                      <w:rFonts w:ascii="Times New Roman"/>
                      <w:color w:val="auto"/>
                      <w:sz w:val="21"/>
                      <w:highlight w:val="none"/>
                    </w:rPr>
                  </w:pPr>
                  <w:r>
                    <w:rPr>
                      <w:rFonts w:ascii="Times New Roman"/>
                      <w:color w:val="auto"/>
                      <w:sz w:val="21"/>
                      <w:highlight w:val="none"/>
                    </w:rPr>
                    <w:t>年平均</w:t>
                  </w:r>
                </w:p>
              </w:tc>
              <w:tc>
                <w:tcPr>
                  <w:tcW w:w="1231" w:type="pct"/>
                  <w:vAlign w:val="center"/>
                </w:tcPr>
                <w:p w14:paraId="6826A62A">
                  <w:pPr>
                    <w:pStyle w:val="22"/>
                    <w:adjustRightInd/>
                    <w:snapToGrid/>
                    <w:spacing w:before="24" w:after="24" w:line="240" w:lineRule="auto"/>
                    <w:rPr>
                      <w:rFonts w:ascii="Times New Roman"/>
                      <w:color w:val="auto"/>
                      <w:sz w:val="21"/>
                      <w:highlight w:val="none"/>
                    </w:rPr>
                  </w:pPr>
                  <w:r>
                    <w:rPr>
                      <w:rFonts w:ascii="Times New Roman"/>
                      <w:color w:val="auto"/>
                      <w:sz w:val="21"/>
                      <w:highlight w:val="none"/>
                    </w:rPr>
                    <w:t>70</w:t>
                  </w:r>
                </w:p>
              </w:tc>
              <w:tc>
                <w:tcPr>
                  <w:tcW w:w="1237" w:type="pct"/>
                  <w:vMerge w:val="continue"/>
                  <w:vAlign w:val="center"/>
                </w:tcPr>
                <w:p w14:paraId="2DC19A96">
                  <w:pPr>
                    <w:pStyle w:val="22"/>
                    <w:adjustRightInd/>
                    <w:snapToGrid/>
                    <w:spacing w:before="24" w:after="24" w:line="240" w:lineRule="auto"/>
                    <w:rPr>
                      <w:rFonts w:ascii="Times New Roman"/>
                      <w:color w:val="auto"/>
                      <w:sz w:val="21"/>
                      <w:highlight w:val="none"/>
                    </w:rPr>
                  </w:pPr>
                </w:p>
              </w:tc>
            </w:tr>
            <w:tr w14:paraId="573690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320" w:type="pct"/>
                  <w:vMerge w:val="continue"/>
                  <w:vAlign w:val="center"/>
                </w:tcPr>
                <w:p w14:paraId="744C5CE1">
                  <w:pPr>
                    <w:pStyle w:val="22"/>
                    <w:adjustRightInd/>
                    <w:snapToGrid/>
                    <w:spacing w:before="24" w:after="24" w:line="240" w:lineRule="auto"/>
                    <w:rPr>
                      <w:rFonts w:ascii="Times New Roman"/>
                      <w:color w:val="auto"/>
                      <w:sz w:val="21"/>
                      <w:highlight w:val="none"/>
                    </w:rPr>
                  </w:pPr>
                </w:p>
              </w:tc>
              <w:tc>
                <w:tcPr>
                  <w:tcW w:w="1211" w:type="pct"/>
                  <w:vAlign w:val="center"/>
                </w:tcPr>
                <w:p w14:paraId="30941DF3">
                  <w:pPr>
                    <w:pStyle w:val="22"/>
                    <w:adjustRightInd/>
                    <w:snapToGrid/>
                    <w:spacing w:before="24" w:after="24" w:line="240" w:lineRule="auto"/>
                    <w:rPr>
                      <w:rFonts w:ascii="Times New Roman"/>
                      <w:color w:val="auto"/>
                      <w:sz w:val="21"/>
                      <w:highlight w:val="none"/>
                    </w:rPr>
                  </w:pPr>
                  <w:r>
                    <w:rPr>
                      <w:rFonts w:ascii="Times New Roman"/>
                      <w:color w:val="auto"/>
                      <w:sz w:val="21"/>
                      <w:highlight w:val="none"/>
                    </w:rPr>
                    <w:t>24h平均</w:t>
                  </w:r>
                </w:p>
              </w:tc>
              <w:tc>
                <w:tcPr>
                  <w:tcW w:w="1231" w:type="pct"/>
                  <w:vAlign w:val="center"/>
                </w:tcPr>
                <w:p w14:paraId="3D4DB0A5">
                  <w:pPr>
                    <w:pStyle w:val="22"/>
                    <w:adjustRightInd/>
                    <w:snapToGrid/>
                    <w:spacing w:before="24" w:after="24" w:line="240" w:lineRule="auto"/>
                    <w:rPr>
                      <w:rFonts w:ascii="Times New Roman"/>
                      <w:color w:val="auto"/>
                      <w:sz w:val="21"/>
                      <w:highlight w:val="none"/>
                    </w:rPr>
                  </w:pPr>
                  <w:r>
                    <w:rPr>
                      <w:rFonts w:ascii="Times New Roman"/>
                      <w:color w:val="auto"/>
                      <w:sz w:val="21"/>
                      <w:highlight w:val="none"/>
                    </w:rPr>
                    <w:t>150</w:t>
                  </w:r>
                </w:p>
              </w:tc>
              <w:tc>
                <w:tcPr>
                  <w:tcW w:w="1237" w:type="pct"/>
                  <w:vMerge w:val="continue"/>
                  <w:vAlign w:val="center"/>
                </w:tcPr>
                <w:p w14:paraId="687E7AB6">
                  <w:pPr>
                    <w:pStyle w:val="22"/>
                    <w:adjustRightInd/>
                    <w:snapToGrid/>
                    <w:spacing w:before="24" w:after="24" w:line="240" w:lineRule="auto"/>
                    <w:rPr>
                      <w:rFonts w:ascii="Times New Roman"/>
                      <w:color w:val="auto"/>
                      <w:sz w:val="21"/>
                      <w:highlight w:val="none"/>
                    </w:rPr>
                  </w:pPr>
                </w:p>
              </w:tc>
            </w:tr>
            <w:tr w14:paraId="555994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320" w:type="pct"/>
                  <w:vMerge w:val="restart"/>
                  <w:vAlign w:val="center"/>
                </w:tcPr>
                <w:p w14:paraId="6364A022">
                  <w:pPr>
                    <w:pStyle w:val="22"/>
                    <w:adjustRightInd/>
                    <w:snapToGrid/>
                    <w:spacing w:before="24" w:after="24" w:line="240" w:lineRule="auto"/>
                    <w:rPr>
                      <w:rFonts w:ascii="Times New Roman"/>
                      <w:color w:val="auto"/>
                      <w:sz w:val="21"/>
                      <w:highlight w:val="none"/>
                    </w:rPr>
                  </w:pPr>
                  <w:r>
                    <w:rPr>
                      <w:rFonts w:ascii="Times New Roman"/>
                      <w:color w:val="auto"/>
                      <w:sz w:val="21"/>
                      <w:highlight w:val="none"/>
                    </w:rPr>
                    <w:t>PM</w:t>
                  </w:r>
                  <w:r>
                    <w:rPr>
                      <w:rFonts w:ascii="Times New Roman"/>
                      <w:color w:val="auto"/>
                      <w:sz w:val="21"/>
                      <w:highlight w:val="none"/>
                      <w:vertAlign w:val="subscript"/>
                    </w:rPr>
                    <w:t>2.5</w:t>
                  </w:r>
                </w:p>
              </w:tc>
              <w:tc>
                <w:tcPr>
                  <w:tcW w:w="1211" w:type="pct"/>
                  <w:vAlign w:val="center"/>
                </w:tcPr>
                <w:p w14:paraId="266025F9">
                  <w:pPr>
                    <w:pStyle w:val="22"/>
                    <w:adjustRightInd/>
                    <w:snapToGrid/>
                    <w:spacing w:before="24" w:after="24" w:line="240" w:lineRule="auto"/>
                    <w:rPr>
                      <w:rFonts w:ascii="Times New Roman"/>
                      <w:color w:val="auto"/>
                      <w:sz w:val="21"/>
                      <w:highlight w:val="none"/>
                    </w:rPr>
                  </w:pPr>
                  <w:r>
                    <w:rPr>
                      <w:rFonts w:ascii="Times New Roman"/>
                      <w:color w:val="auto"/>
                      <w:sz w:val="21"/>
                      <w:highlight w:val="none"/>
                    </w:rPr>
                    <w:t>年平均</w:t>
                  </w:r>
                </w:p>
              </w:tc>
              <w:tc>
                <w:tcPr>
                  <w:tcW w:w="1231" w:type="pct"/>
                  <w:vAlign w:val="center"/>
                </w:tcPr>
                <w:p w14:paraId="519D9154">
                  <w:pPr>
                    <w:pStyle w:val="22"/>
                    <w:adjustRightInd/>
                    <w:snapToGrid/>
                    <w:spacing w:before="24" w:after="24" w:line="240" w:lineRule="auto"/>
                    <w:rPr>
                      <w:rFonts w:ascii="Times New Roman"/>
                      <w:color w:val="auto"/>
                      <w:sz w:val="21"/>
                      <w:highlight w:val="none"/>
                    </w:rPr>
                  </w:pPr>
                  <w:r>
                    <w:rPr>
                      <w:rFonts w:ascii="Times New Roman"/>
                      <w:color w:val="auto"/>
                      <w:sz w:val="21"/>
                      <w:highlight w:val="none"/>
                    </w:rPr>
                    <w:t>35</w:t>
                  </w:r>
                </w:p>
              </w:tc>
              <w:tc>
                <w:tcPr>
                  <w:tcW w:w="1237" w:type="pct"/>
                  <w:vMerge w:val="continue"/>
                  <w:vAlign w:val="center"/>
                </w:tcPr>
                <w:p w14:paraId="24DD357C">
                  <w:pPr>
                    <w:pStyle w:val="22"/>
                    <w:adjustRightInd/>
                    <w:snapToGrid/>
                    <w:spacing w:before="24" w:after="24" w:line="240" w:lineRule="auto"/>
                    <w:rPr>
                      <w:rFonts w:ascii="Times New Roman"/>
                      <w:color w:val="auto"/>
                      <w:sz w:val="21"/>
                      <w:highlight w:val="none"/>
                    </w:rPr>
                  </w:pPr>
                </w:p>
              </w:tc>
            </w:tr>
            <w:tr w14:paraId="01A587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320" w:type="pct"/>
                  <w:vMerge w:val="continue"/>
                  <w:vAlign w:val="center"/>
                </w:tcPr>
                <w:p w14:paraId="6892F91D">
                  <w:pPr>
                    <w:pStyle w:val="22"/>
                    <w:adjustRightInd/>
                    <w:snapToGrid/>
                    <w:spacing w:before="24" w:after="24" w:line="240" w:lineRule="auto"/>
                    <w:rPr>
                      <w:rFonts w:ascii="Times New Roman"/>
                      <w:color w:val="auto"/>
                      <w:sz w:val="21"/>
                      <w:highlight w:val="none"/>
                    </w:rPr>
                  </w:pPr>
                </w:p>
              </w:tc>
              <w:tc>
                <w:tcPr>
                  <w:tcW w:w="1211" w:type="pct"/>
                  <w:vAlign w:val="center"/>
                </w:tcPr>
                <w:p w14:paraId="696BC7AB">
                  <w:pPr>
                    <w:pStyle w:val="22"/>
                    <w:adjustRightInd/>
                    <w:snapToGrid/>
                    <w:spacing w:before="24" w:after="24" w:line="240" w:lineRule="auto"/>
                    <w:rPr>
                      <w:rFonts w:ascii="Times New Roman"/>
                      <w:color w:val="auto"/>
                      <w:sz w:val="21"/>
                      <w:highlight w:val="none"/>
                    </w:rPr>
                  </w:pPr>
                  <w:r>
                    <w:rPr>
                      <w:rFonts w:ascii="Times New Roman"/>
                      <w:color w:val="auto"/>
                      <w:sz w:val="21"/>
                      <w:highlight w:val="none"/>
                    </w:rPr>
                    <w:t>24h平均</w:t>
                  </w:r>
                </w:p>
              </w:tc>
              <w:tc>
                <w:tcPr>
                  <w:tcW w:w="1231" w:type="pct"/>
                  <w:vAlign w:val="center"/>
                </w:tcPr>
                <w:p w14:paraId="66D7C7CE">
                  <w:pPr>
                    <w:pStyle w:val="22"/>
                    <w:adjustRightInd/>
                    <w:snapToGrid/>
                    <w:spacing w:before="24" w:after="24" w:line="240" w:lineRule="auto"/>
                    <w:rPr>
                      <w:rFonts w:ascii="Times New Roman"/>
                      <w:color w:val="auto"/>
                      <w:sz w:val="21"/>
                      <w:highlight w:val="none"/>
                    </w:rPr>
                  </w:pPr>
                  <w:r>
                    <w:rPr>
                      <w:rFonts w:ascii="Times New Roman"/>
                      <w:color w:val="auto"/>
                      <w:sz w:val="21"/>
                      <w:highlight w:val="none"/>
                    </w:rPr>
                    <w:t>75</w:t>
                  </w:r>
                </w:p>
              </w:tc>
              <w:tc>
                <w:tcPr>
                  <w:tcW w:w="1237" w:type="pct"/>
                  <w:vMerge w:val="continue"/>
                  <w:vAlign w:val="center"/>
                </w:tcPr>
                <w:p w14:paraId="7F191E1F">
                  <w:pPr>
                    <w:pStyle w:val="22"/>
                    <w:adjustRightInd/>
                    <w:snapToGrid/>
                    <w:spacing w:before="24" w:after="24" w:line="240" w:lineRule="auto"/>
                    <w:rPr>
                      <w:rFonts w:ascii="Times New Roman"/>
                      <w:color w:val="auto"/>
                      <w:sz w:val="21"/>
                      <w:highlight w:val="none"/>
                    </w:rPr>
                  </w:pPr>
                </w:p>
              </w:tc>
            </w:tr>
            <w:tr w14:paraId="53750B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320" w:type="pct"/>
                  <w:vMerge w:val="restart"/>
                  <w:vAlign w:val="center"/>
                </w:tcPr>
                <w:p w14:paraId="465A2C2F">
                  <w:pPr>
                    <w:pStyle w:val="22"/>
                    <w:adjustRightInd/>
                    <w:snapToGrid/>
                    <w:spacing w:before="24" w:after="24" w:line="240" w:lineRule="auto"/>
                    <w:rPr>
                      <w:rFonts w:ascii="Times New Roman"/>
                      <w:color w:val="auto"/>
                      <w:sz w:val="21"/>
                      <w:highlight w:val="none"/>
                    </w:rPr>
                  </w:pPr>
                  <w:r>
                    <w:rPr>
                      <w:rFonts w:ascii="Times New Roman"/>
                      <w:color w:val="auto"/>
                      <w:sz w:val="21"/>
                      <w:highlight w:val="none"/>
                    </w:rPr>
                    <w:t>CO</w:t>
                  </w:r>
                </w:p>
              </w:tc>
              <w:tc>
                <w:tcPr>
                  <w:tcW w:w="1211" w:type="pct"/>
                  <w:vAlign w:val="center"/>
                </w:tcPr>
                <w:p w14:paraId="0C5DED6E">
                  <w:pPr>
                    <w:pStyle w:val="22"/>
                    <w:adjustRightInd/>
                    <w:snapToGrid/>
                    <w:spacing w:before="24" w:after="24" w:line="240" w:lineRule="auto"/>
                    <w:rPr>
                      <w:rFonts w:ascii="Times New Roman"/>
                      <w:color w:val="auto"/>
                      <w:sz w:val="21"/>
                      <w:highlight w:val="none"/>
                    </w:rPr>
                  </w:pPr>
                  <w:r>
                    <w:rPr>
                      <w:rFonts w:ascii="Times New Roman"/>
                      <w:color w:val="auto"/>
                      <w:sz w:val="21"/>
                      <w:highlight w:val="none"/>
                    </w:rPr>
                    <w:t>24h平均</w:t>
                  </w:r>
                </w:p>
              </w:tc>
              <w:tc>
                <w:tcPr>
                  <w:tcW w:w="1231" w:type="pct"/>
                  <w:vAlign w:val="center"/>
                </w:tcPr>
                <w:p w14:paraId="0A6A588D">
                  <w:pPr>
                    <w:pStyle w:val="22"/>
                    <w:adjustRightInd/>
                    <w:snapToGrid/>
                    <w:spacing w:before="24" w:after="24" w:line="240" w:lineRule="auto"/>
                    <w:rPr>
                      <w:rFonts w:ascii="Times New Roman"/>
                      <w:color w:val="auto"/>
                      <w:sz w:val="21"/>
                      <w:highlight w:val="none"/>
                    </w:rPr>
                  </w:pPr>
                  <w:r>
                    <w:rPr>
                      <w:rFonts w:ascii="Times New Roman"/>
                      <w:color w:val="auto"/>
                      <w:sz w:val="21"/>
                      <w:highlight w:val="none"/>
                    </w:rPr>
                    <w:t>4</w:t>
                  </w:r>
                </w:p>
              </w:tc>
              <w:tc>
                <w:tcPr>
                  <w:tcW w:w="1237" w:type="pct"/>
                  <w:vMerge w:val="restart"/>
                  <w:vAlign w:val="center"/>
                </w:tcPr>
                <w:p w14:paraId="2CD3C68E">
                  <w:pPr>
                    <w:pStyle w:val="22"/>
                    <w:adjustRightInd/>
                    <w:snapToGrid/>
                    <w:spacing w:before="24" w:after="24" w:line="240" w:lineRule="auto"/>
                    <w:rPr>
                      <w:rFonts w:ascii="Times New Roman"/>
                      <w:color w:val="auto"/>
                      <w:sz w:val="21"/>
                      <w:highlight w:val="none"/>
                    </w:rPr>
                  </w:pPr>
                  <w:r>
                    <w:rPr>
                      <w:rFonts w:ascii="Times New Roman" w:eastAsia="黑体"/>
                      <w:color w:val="auto"/>
                      <w:sz w:val="21"/>
                      <w:highlight w:val="none"/>
                    </w:rPr>
                    <w:t>mg/m</w:t>
                  </w:r>
                  <w:r>
                    <w:rPr>
                      <w:rFonts w:ascii="Times New Roman" w:eastAsia="黑体"/>
                      <w:color w:val="auto"/>
                      <w:sz w:val="21"/>
                      <w:highlight w:val="none"/>
                      <w:vertAlign w:val="superscript"/>
                    </w:rPr>
                    <w:t>3</w:t>
                  </w:r>
                </w:p>
              </w:tc>
            </w:tr>
            <w:tr w14:paraId="332CE9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320" w:type="pct"/>
                  <w:vMerge w:val="continue"/>
                  <w:vAlign w:val="center"/>
                </w:tcPr>
                <w:p w14:paraId="4C3F8162">
                  <w:pPr>
                    <w:pStyle w:val="22"/>
                    <w:adjustRightInd/>
                    <w:snapToGrid/>
                    <w:spacing w:before="24" w:after="24" w:line="240" w:lineRule="auto"/>
                    <w:rPr>
                      <w:rFonts w:ascii="Times New Roman"/>
                      <w:color w:val="auto"/>
                      <w:sz w:val="21"/>
                      <w:highlight w:val="none"/>
                    </w:rPr>
                  </w:pPr>
                </w:p>
              </w:tc>
              <w:tc>
                <w:tcPr>
                  <w:tcW w:w="1211" w:type="pct"/>
                  <w:vAlign w:val="center"/>
                </w:tcPr>
                <w:p w14:paraId="3B536278">
                  <w:pPr>
                    <w:pStyle w:val="22"/>
                    <w:adjustRightInd/>
                    <w:snapToGrid/>
                    <w:spacing w:before="24" w:after="24" w:line="240" w:lineRule="auto"/>
                    <w:rPr>
                      <w:rFonts w:ascii="Times New Roman"/>
                      <w:color w:val="auto"/>
                      <w:sz w:val="21"/>
                      <w:highlight w:val="none"/>
                    </w:rPr>
                  </w:pPr>
                  <w:r>
                    <w:rPr>
                      <w:rFonts w:ascii="Times New Roman"/>
                      <w:color w:val="auto"/>
                      <w:sz w:val="21"/>
                      <w:highlight w:val="none"/>
                    </w:rPr>
                    <w:t>1h平均</w:t>
                  </w:r>
                </w:p>
              </w:tc>
              <w:tc>
                <w:tcPr>
                  <w:tcW w:w="1231" w:type="pct"/>
                  <w:vAlign w:val="center"/>
                </w:tcPr>
                <w:p w14:paraId="08F57595">
                  <w:pPr>
                    <w:pStyle w:val="22"/>
                    <w:adjustRightInd/>
                    <w:snapToGrid/>
                    <w:spacing w:before="24" w:after="24" w:line="240" w:lineRule="auto"/>
                    <w:rPr>
                      <w:rFonts w:ascii="Times New Roman"/>
                      <w:color w:val="auto"/>
                      <w:sz w:val="21"/>
                      <w:highlight w:val="none"/>
                    </w:rPr>
                  </w:pPr>
                  <w:r>
                    <w:rPr>
                      <w:rFonts w:ascii="Times New Roman"/>
                      <w:color w:val="auto"/>
                      <w:sz w:val="21"/>
                      <w:highlight w:val="none"/>
                    </w:rPr>
                    <w:t>10</w:t>
                  </w:r>
                </w:p>
              </w:tc>
              <w:tc>
                <w:tcPr>
                  <w:tcW w:w="1237" w:type="pct"/>
                  <w:vMerge w:val="continue"/>
                  <w:vAlign w:val="center"/>
                </w:tcPr>
                <w:p w14:paraId="4BAC7C64">
                  <w:pPr>
                    <w:pStyle w:val="22"/>
                    <w:adjustRightInd/>
                    <w:snapToGrid/>
                    <w:spacing w:before="24" w:after="24" w:line="240" w:lineRule="auto"/>
                    <w:rPr>
                      <w:rFonts w:ascii="Times New Roman"/>
                      <w:color w:val="auto"/>
                      <w:sz w:val="21"/>
                      <w:highlight w:val="none"/>
                    </w:rPr>
                  </w:pPr>
                </w:p>
              </w:tc>
            </w:tr>
            <w:tr w14:paraId="5CFAF6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320" w:type="pct"/>
                  <w:vMerge w:val="restart"/>
                  <w:vAlign w:val="center"/>
                </w:tcPr>
                <w:p w14:paraId="5CF5D165">
                  <w:pPr>
                    <w:pStyle w:val="22"/>
                    <w:adjustRightInd/>
                    <w:snapToGrid/>
                    <w:spacing w:before="24" w:after="24" w:line="240" w:lineRule="auto"/>
                    <w:rPr>
                      <w:rFonts w:ascii="Times New Roman"/>
                      <w:color w:val="auto"/>
                      <w:sz w:val="21"/>
                      <w:highlight w:val="none"/>
                    </w:rPr>
                  </w:pPr>
                  <w:r>
                    <w:rPr>
                      <w:rFonts w:ascii="Times New Roman"/>
                      <w:color w:val="auto"/>
                      <w:sz w:val="21"/>
                      <w:highlight w:val="none"/>
                    </w:rPr>
                    <w:t>O</w:t>
                  </w:r>
                  <w:r>
                    <w:rPr>
                      <w:rFonts w:ascii="Times New Roman"/>
                      <w:color w:val="auto"/>
                      <w:sz w:val="21"/>
                      <w:highlight w:val="none"/>
                      <w:vertAlign w:val="subscript"/>
                    </w:rPr>
                    <w:t>3</w:t>
                  </w:r>
                </w:p>
              </w:tc>
              <w:tc>
                <w:tcPr>
                  <w:tcW w:w="1211" w:type="pct"/>
                  <w:vAlign w:val="center"/>
                </w:tcPr>
                <w:p w14:paraId="5D6EED93">
                  <w:pPr>
                    <w:pStyle w:val="22"/>
                    <w:adjustRightInd/>
                    <w:snapToGrid/>
                    <w:spacing w:before="24" w:after="24" w:line="240" w:lineRule="auto"/>
                    <w:rPr>
                      <w:rFonts w:ascii="Times New Roman"/>
                      <w:color w:val="auto"/>
                      <w:sz w:val="21"/>
                      <w:highlight w:val="none"/>
                    </w:rPr>
                  </w:pPr>
                  <w:r>
                    <w:rPr>
                      <w:rFonts w:hint="eastAsia" w:ascii="Times New Roman"/>
                      <w:color w:val="auto"/>
                      <w:sz w:val="21"/>
                      <w:highlight w:val="none"/>
                    </w:rPr>
                    <w:t>日最大</w:t>
                  </w:r>
                  <w:r>
                    <w:rPr>
                      <w:rFonts w:ascii="Times New Roman"/>
                      <w:color w:val="auto"/>
                      <w:sz w:val="21"/>
                      <w:highlight w:val="none"/>
                    </w:rPr>
                    <w:t>8h平均</w:t>
                  </w:r>
                </w:p>
              </w:tc>
              <w:tc>
                <w:tcPr>
                  <w:tcW w:w="1231" w:type="pct"/>
                  <w:vAlign w:val="center"/>
                </w:tcPr>
                <w:p w14:paraId="039D1119">
                  <w:pPr>
                    <w:pStyle w:val="22"/>
                    <w:adjustRightInd/>
                    <w:snapToGrid/>
                    <w:spacing w:before="24" w:after="24" w:line="240" w:lineRule="auto"/>
                    <w:rPr>
                      <w:rFonts w:ascii="Times New Roman"/>
                      <w:color w:val="auto"/>
                      <w:sz w:val="21"/>
                      <w:highlight w:val="none"/>
                    </w:rPr>
                  </w:pPr>
                  <w:r>
                    <w:rPr>
                      <w:rFonts w:ascii="Times New Roman"/>
                      <w:color w:val="auto"/>
                      <w:sz w:val="21"/>
                      <w:highlight w:val="none"/>
                    </w:rPr>
                    <w:t>160</w:t>
                  </w:r>
                </w:p>
              </w:tc>
              <w:tc>
                <w:tcPr>
                  <w:tcW w:w="1237" w:type="pct"/>
                  <w:vMerge w:val="restart"/>
                  <w:vAlign w:val="center"/>
                </w:tcPr>
                <w:p w14:paraId="3BA5A6C0">
                  <w:pPr>
                    <w:pStyle w:val="22"/>
                    <w:adjustRightInd/>
                    <w:snapToGrid/>
                    <w:spacing w:before="24" w:after="24" w:line="240" w:lineRule="auto"/>
                    <w:rPr>
                      <w:rFonts w:ascii="Times New Roman"/>
                      <w:color w:val="auto"/>
                      <w:sz w:val="21"/>
                      <w:highlight w:val="none"/>
                    </w:rPr>
                  </w:pPr>
                  <w:r>
                    <w:rPr>
                      <w:rFonts w:ascii="Times New Roman" w:eastAsia="黑体"/>
                      <w:color w:val="auto"/>
                      <w:sz w:val="21"/>
                      <w:highlight w:val="none"/>
                    </w:rPr>
                    <w:t>μg/m</w:t>
                  </w:r>
                  <w:r>
                    <w:rPr>
                      <w:rFonts w:ascii="Times New Roman" w:eastAsia="黑体"/>
                      <w:color w:val="auto"/>
                      <w:sz w:val="21"/>
                      <w:highlight w:val="none"/>
                      <w:vertAlign w:val="superscript"/>
                    </w:rPr>
                    <w:t>3</w:t>
                  </w:r>
                </w:p>
              </w:tc>
            </w:tr>
            <w:tr w14:paraId="11B6DC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320" w:type="pct"/>
                  <w:vMerge w:val="continue"/>
                  <w:vAlign w:val="center"/>
                </w:tcPr>
                <w:p w14:paraId="22C41CA8">
                  <w:pPr>
                    <w:pStyle w:val="22"/>
                    <w:adjustRightInd/>
                    <w:snapToGrid/>
                    <w:spacing w:before="24" w:after="24" w:line="240" w:lineRule="auto"/>
                    <w:rPr>
                      <w:rFonts w:ascii="Times New Roman"/>
                      <w:color w:val="auto"/>
                      <w:sz w:val="21"/>
                      <w:highlight w:val="none"/>
                    </w:rPr>
                  </w:pPr>
                </w:p>
              </w:tc>
              <w:tc>
                <w:tcPr>
                  <w:tcW w:w="1211" w:type="pct"/>
                  <w:vAlign w:val="center"/>
                </w:tcPr>
                <w:p w14:paraId="588C24DC">
                  <w:pPr>
                    <w:pStyle w:val="22"/>
                    <w:adjustRightInd/>
                    <w:snapToGrid/>
                    <w:spacing w:before="24" w:after="24" w:line="240" w:lineRule="auto"/>
                    <w:rPr>
                      <w:rFonts w:ascii="Times New Roman"/>
                      <w:color w:val="auto"/>
                      <w:sz w:val="21"/>
                      <w:highlight w:val="none"/>
                    </w:rPr>
                  </w:pPr>
                  <w:r>
                    <w:rPr>
                      <w:rFonts w:ascii="Times New Roman"/>
                      <w:color w:val="auto"/>
                      <w:sz w:val="21"/>
                      <w:highlight w:val="none"/>
                    </w:rPr>
                    <w:t>1h平均</w:t>
                  </w:r>
                </w:p>
              </w:tc>
              <w:tc>
                <w:tcPr>
                  <w:tcW w:w="1231" w:type="pct"/>
                  <w:vAlign w:val="center"/>
                </w:tcPr>
                <w:p w14:paraId="136EDEDF">
                  <w:pPr>
                    <w:pStyle w:val="22"/>
                    <w:adjustRightInd/>
                    <w:snapToGrid/>
                    <w:spacing w:before="24" w:after="24" w:line="240" w:lineRule="auto"/>
                    <w:rPr>
                      <w:rFonts w:ascii="Times New Roman"/>
                      <w:color w:val="auto"/>
                      <w:sz w:val="21"/>
                      <w:highlight w:val="none"/>
                    </w:rPr>
                  </w:pPr>
                  <w:r>
                    <w:rPr>
                      <w:rFonts w:ascii="Times New Roman"/>
                      <w:color w:val="auto"/>
                      <w:sz w:val="21"/>
                      <w:highlight w:val="none"/>
                    </w:rPr>
                    <w:t>200</w:t>
                  </w:r>
                </w:p>
              </w:tc>
              <w:tc>
                <w:tcPr>
                  <w:tcW w:w="1237" w:type="pct"/>
                  <w:vMerge w:val="continue"/>
                  <w:vAlign w:val="center"/>
                </w:tcPr>
                <w:p w14:paraId="1F68C769">
                  <w:pPr>
                    <w:pStyle w:val="22"/>
                    <w:adjustRightInd/>
                    <w:snapToGrid/>
                    <w:spacing w:before="24" w:after="24" w:line="240" w:lineRule="auto"/>
                    <w:rPr>
                      <w:rFonts w:ascii="Times New Roman"/>
                      <w:color w:val="auto"/>
                      <w:sz w:val="21"/>
                      <w:highlight w:val="none"/>
                    </w:rPr>
                  </w:pPr>
                </w:p>
              </w:tc>
            </w:tr>
          </w:tbl>
          <w:p w14:paraId="7BB47CFA">
            <w:pPr>
              <w:adjustRightInd w:val="0"/>
              <w:snapToGrid w:val="0"/>
              <w:spacing w:line="480" w:lineRule="exact"/>
              <w:ind w:firstLine="496" w:firstLineChars="200"/>
              <w:rPr>
                <w:color w:val="auto"/>
                <w:spacing w:val="4"/>
                <w:sz w:val="24"/>
                <w:highlight w:val="none"/>
              </w:rPr>
            </w:pPr>
            <w:r>
              <w:rPr>
                <w:color w:val="auto"/>
                <w:spacing w:val="4"/>
                <w:sz w:val="24"/>
                <w:highlight w:val="none"/>
              </w:rPr>
              <w:t>2、污染物排放标准</w:t>
            </w:r>
          </w:p>
          <w:p w14:paraId="562B8D5D">
            <w:pPr>
              <w:adjustRightInd w:val="0"/>
              <w:snapToGrid w:val="0"/>
              <w:spacing w:line="480" w:lineRule="exact"/>
              <w:ind w:firstLine="496" w:firstLineChars="200"/>
              <w:rPr>
                <w:color w:val="auto"/>
                <w:spacing w:val="4"/>
                <w:sz w:val="24"/>
                <w:highlight w:val="none"/>
              </w:rPr>
            </w:pPr>
            <w:r>
              <w:rPr>
                <w:color w:val="auto"/>
                <w:spacing w:val="4"/>
                <w:sz w:val="24"/>
                <w:highlight w:val="none"/>
              </w:rPr>
              <w:t>（1）噪声</w:t>
            </w:r>
          </w:p>
          <w:p w14:paraId="5FDAFD14">
            <w:pPr>
              <w:adjustRightInd w:val="0"/>
              <w:snapToGrid w:val="0"/>
              <w:spacing w:line="480" w:lineRule="exact"/>
              <w:ind w:firstLine="480" w:firstLineChars="200"/>
              <w:rPr>
                <w:bCs/>
                <w:color w:val="auto"/>
                <w:sz w:val="24"/>
                <w:highlight w:val="none"/>
              </w:rPr>
            </w:pPr>
            <w:r>
              <w:rPr>
                <w:bCs/>
                <w:color w:val="auto"/>
                <w:sz w:val="24"/>
                <w:highlight w:val="none"/>
              </w:rPr>
              <w:t>施工期噪声执行《建筑施工场界环境噪声排放标准》（GB12523-20</w:t>
            </w:r>
            <w:r>
              <w:rPr>
                <w:rFonts w:hint="eastAsia" w:ascii="Times New Roman" w:eastAsia="宋体"/>
                <w:bCs/>
                <w:color w:val="auto"/>
                <w:sz w:val="24"/>
                <w:highlight w:val="none"/>
                <w:lang w:val="en-US" w:eastAsia="zh-CN"/>
              </w:rPr>
              <w:t>25</w:t>
            </w:r>
            <w:r>
              <w:rPr>
                <w:bCs/>
                <w:color w:val="auto"/>
                <w:sz w:val="24"/>
                <w:highlight w:val="none"/>
              </w:rPr>
              <w:t>）。具体标准值见表3-1</w:t>
            </w:r>
            <w:r>
              <w:rPr>
                <w:rFonts w:hint="eastAsia"/>
                <w:bCs/>
                <w:color w:val="auto"/>
                <w:sz w:val="24"/>
                <w:highlight w:val="none"/>
                <w:lang w:val="en-US" w:eastAsia="zh-CN"/>
              </w:rPr>
              <w:t>3</w:t>
            </w:r>
            <w:r>
              <w:rPr>
                <w:bCs/>
                <w:color w:val="auto"/>
                <w:sz w:val="24"/>
                <w:highlight w:val="none"/>
              </w:rPr>
              <w:t>。</w:t>
            </w:r>
          </w:p>
          <w:p w14:paraId="6F2BCF5D">
            <w:pPr>
              <w:jc w:val="center"/>
              <w:rPr>
                <w:rFonts w:hint="eastAsia" w:ascii="黑体" w:hAnsi="黑体" w:eastAsia="黑体" w:cs="黑体"/>
                <w:bCs/>
                <w:color w:val="auto"/>
                <w:szCs w:val="21"/>
                <w:highlight w:val="none"/>
              </w:rPr>
            </w:pPr>
            <w:r>
              <w:rPr>
                <w:bCs/>
                <w:color w:val="auto"/>
                <w:szCs w:val="21"/>
                <w:highlight w:val="none"/>
              </w:rPr>
              <w:t>表</w:t>
            </w:r>
            <w:r>
              <w:rPr>
                <w:rFonts w:hint="eastAsia" w:ascii="黑体" w:hAnsi="黑体" w:eastAsia="黑体" w:cs="黑体"/>
                <w:bCs/>
                <w:color w:val="auto"/>
                <w:szCs w:val="21"/>
                <w:highlight w:val="none"/>
              </w:rPr>
              <w:t>3-1</w:t>
            </w:r>
            <w:r>
              <w:rPr>
                <w:rFonts w:hint="eastAsia" w:ascii="黑体" w:hAnsi="黑体" w:eastAsia="黑体" w:cs="黑体"/>
                <w:bCs/>
                <w:color w:val="auto"/>
                <w:szCs w:val="21"/>
                <w:highlight w:val="none"/>
                <w:lang w:val="en-US" w:eastAsia="zh-CN"/>
              </w:rPr>
              <w:t>3</w:t>
            </w:r>
            <w:r>
              <w:rPr>
                <w:bCs/>
                <w:color w:val="auto"/>
                <w:szCs w:val="21"/>
                <w:highlight w:val="none"/>
              </w:rPr>
              <w:t xml:space="preserve"> </w:t>
            </w:r>
            <w:r>
              <w:rPr>
                <w:rFonts w:hint="eastAsia" w:ascii="黑体" w:hAnsi="黑体" w:eastAsia="黑体" w:cs="黑体"/>
                <w:bCs/>
                <w:color w:val="auto"/>
                <w:szCs w:val="21"/>
                <w:highlight w:val="none"/>
              </w:rPr>
              <w:t xml:space="preserve"> 噪声排放标准   单位：dB(A)</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424"/>
              <w:gridCol w:w="1449"/>
              <w:gridCol w:w="1591"/>
              <w:gridCol w:w="2706"/>
            </w:tblGrid>
            <w:tr w14:paraId="350B78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483" w:type="pct"/>
                  <w:vAlign w:val="center"/>
                </w:tcPr>
                <w:p w14:paraId="7EBF2096">
                  <w:pPr>
                    <w:jc w:val="center"/>
                    <w:rPr>
                      <w:color w:val="auto"/>
                      <w:szCs w:val="21"/>
                      <w:highlight w:val="none"/>
                    </w:rPr>
                  </w:pPr>
                  <w:r>
                    <w:rPr>
                      <w:color w:val="auto"/>
                      <w:szCs w:val="21"/>
                      <w:highlight w:val="none"/>
                    </w:rPr>
                    <w:t>类别</w:t>
                  </w:r>
                </w:p>
              </w:tc>
              <w:tc>
                <w:tcPr>
                  <w:tcW w:w="886" w:type="pct"/>
                  <w:vAlign w:val="center"/>
                </w:tcPr>
                <w:p w14:paraId="055219CD">
                  <w:pPr>
                    <w:jc w:val="center"/>
                    <w:rPr>
                      <w:color w:val="auto"/>
                      <w:szCs w:val="21"/>
                      <w:highlight w:val="none"/>
                    </w:rPr>
                  </w:pPr>
                  <w:r>
                    <w:rPr>
                      <w:color w:val="auto"/>
                      <w:szCs w:val="21"/>
                      <w:highlight w:val="none"/>
                    </w:rPr>
                    <w:t>昼间</w:t>
                  </w:r>
                </w:p>
              </w:tc>
              <w:tc>
                <w:tcPr>
                  <w:tcW w:w="973" w:type="pct"/>
                  <w:vAlign w:val="center"/>
                </w:tcPr>
                <w:p w14:paraId="39B471F7">
                  <w:pPr>
                    <w:jc w:val="center"/>
                    <w:rPr>
                      <w:color w:val="auto"/>
                      <w:szCs w:val="21"/>
                      <w:highlight w:val="none"/>
                    </w:rPr>
                  </w:pPr>
                  <w:r>
                    <w:rPr>
                      <w:color w:val="auto"/>
                      <w:szCs w:val="21"/>
                      <w:highlight w:val="none"/>
                    </w:rPr>
                    <w:t>夜间</w:t>
                  </w:r>
                </w:p>
              </w:tc>
              <w:tc>
                <w:tcPr>
                  <w:tcW w:w="1655" w:type="pct"/>
                  <w:vAlign w:val="center"/>
                </w:tcPr>
                <w:p w14:paraId="5A84D5D0">
                  <w:pPr>
                    <w:pStyle w:val="24"/>
                    <w:spacing w:before="24" w:after="24" w:line="240" w:lineRule="auto"/>
                    <w:ind w:firstLine="0"/>
                    <w:rPr>
                      <w:b w:val="0"/>
                      <w:color w:val="auto"/>
                      <w:highlight w:val="none"/>
                    </w:rPr>
                  </w:pPr>
                  <w:r>
                    <w:rPr>
                      <w:b w:val="0"/>
                      <w:color w:val="auto"/>
                      <w:highlight w:val="none"/>
                    </w:rPr>
                    <w:t>备注</w:t>
                  </w:r>
                </w:p>
              </w:tc>
            </w:tr>
            <w:tr w14:paraId="6D3633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483" w:type="pct"/>
                  <w:vAlign w:val="center"/>
                </w:tcPr>
                <w:p w14:paraId="3E445DAF">
                  <w:pPr>
                    <w:jc w:val="center"/>
                    <w:rPr>
                      <w:rFonts w:hint="default" w:eastAsia="宋体"/>
                      <w:color w:val="auto"/>
                      <w:szCs w:val="21"/>
                      <w:highlight w:val="none"/>
                      <w:lang w:val="en-US" w:eastAsia="zh-CN"/>
                    </w:rPr>
                  </w:pPr>
                  <w:r>
                    <w:rPr>
                      <w:bCs/>
                      <w:color w:val="auto"/>
                      <w:szCs w:val="21"/>
                      <w:highlight w:val="none"/>
                    </w:rPr>
                    <w:t>GB12523-20</w:t>
                  </w:r>
                  <w:r>
                    <w:rPr>
                      <w:rFonts w:hint="eastAsia" w:ascii="Times New Roman" w:eastAsia="宋体"/>
                      <w:bCs/>
                      <w:color w:val="auto"/>
                      <w:szCs w:val="21"/>
                      <w:highlight w:val="none"/>
                      <w:lang w:val="en-US" w:eastAsia="zh-CN"/>
                    </w:rPr>
                    <w:t>25</w:t>
                  </w:r>
                </w:p>
              </w:tc>
              <w:tc>
                <w:tcPr>
                  <w:tcW w:w="886" w:type="pct"/>
                  <w:vAlign w:val="center"/>
                </w:tcPr>
                <w:p w14:paraId="5FCAD43F">
                  <w:pPr>
                    <w:jc w:val="center"/>
                    <w:rPr>
                      <w:color w:val="auto"/>
                      <w:szCs w:val="21"/>
                      <w:highlight w:val="none"/>
                    </w:rPr>
                  </w:pPr>
                  <w:r>
                    <w:rPr>
                      <w:color w:val="auto"/>
                      <w:szCs w:val="21"/>
                      <w:highlight w:val="none"/>
                    </w:rPr>
                    <w:t>70</w:t>
                  </w:r>
                </w:p>
              </w:tc>
              <w:tc>
                <w:tcPr>
                  <w:tcW w:w="973" w:type="pct"/>
                  <w:vAlign w:val="center"/>
                </w:tcPr>
                <w:p w14:paraId="033D4E48">
                  <w:pPr>
                    <w:jc w:val="center"/>
                    <w:rPr>
                      <w:color w:val="auto"/>
                      <w:szCs w:val="21"/>
                      <w:highlight w:val="none"/>
                    </w:rPr>
                  </w:pPr>
                  <w:r>
                    <w:rPr>
                      <w:color w:val="auto"/>
                      <w:szCs w:val="21"/>
                      <w:highlight w:val="none"/>
                    </w:rPr>
                    <w:t>55</w:t>
                  </w:r>
                </w:p>
              </w:tc>
              <w:tc>
                <w:tcPr>
                  <w:tcW w:w="1655" w:type="pct"/>
                  <w:vAlign w:val="center"/>
                </w:tcPr>
                <w:p w14:paraId="61F0C804">
                  <w:pPr>
                    <w:pStyle w:val="24"/>
                    <w:spacing w:before="24" w:after="24" w:line="240" w:lineRule="auto"/>
                    <w:ind w:firstLine="0"/>
                    <w:rPr>
                      <w:b w:val="0"/>
                      <w:color w:val="auto"/>
                      <w:highlight w:val="none"/>
                    </w:rPr>
                  </w:pPr>
                  <w:r>
                    <w:rPr>
                      <w:b w:val="0"/>
                      <w:bCs/>
                      <w:color w:val="auto"/>
                      <w:highlight w:val="none"/>
                    </w:rPr>
                    <w:t>建筑施工场界</w:t>
                  </w:r>
                </w:p>
              </w:tc>
            </w:tr>
          </w:tbl>
          <w:p w14:paraId="53654B05">
            <w:pPr>
              <w:spacing w:line="480" w:lineRule="exact"/>
              <w:ind w:firstLine="496" w:firstLineChars="200"/>
              <w:rPr>
                <w:color w:val="auto"/>
                <w:spacing w:val="4"/>
                <w:sz w:val="24"/>
                <w:highlight w:val="none"/>
              </w:rPr>
            </w:pPr>
            <w:r>
              <w:rPr>
                <w:color w:val="auto"/>
                <w:spacing w:val="4"/>
                <w:sz w:val="24"/>
                <w:highlight w:val="none"/>
              </w:rPr>
              <w:t>（2）固体废物</w:t>
            </w:r>
          </w:p>
          <w:p w14:paraId="6FFBD6B4">
            <w:pPr>
              <w:spacing w:line="480" w:lineRule="exact"/>
              <w:ind w:firstLine="480" w:firstLineChars="200"/>
              <w:rPr>
                <w:color w:val="auto"/>
                <w:sz w:val="24"/>
                <w:highlight w:val="none"/>
              </w:rPr>
            </w:pPr>
            <w:r>
              <w:rPr>
                <w:rFonts w:hint="eastAsia"/>
                <w:color w:val="auto"/>
                <w:sz w:val="24"/>
                <w:highlight w:val="none"/>
              </w:rPr>
              <w:t>一般固体废物执行《一般工业固体废物贮存和填埋污染控制标准》（GB18599-2020）</w:t>
            </w:r>
            <w:r>
              <w:rPr>
                <w:color w:val="auto"/>
                <w:sz w:val="24"/>
                <w:highlight w:val="none"/>
              </w:rPr>
              <w:t>。</w:t>
            </w:r>
          </w:p>
          <w:p w14:paraId="2B68BA11">
            <w:pPr>
              <w:spacing w:line="480" w:lineRule="exact"/>
              <w:ind w:firstLine="496" w:firstLineChars="200"/>
              <w:rPr>
                <w:color w:val="auto"/>
                <w:sz w:val="24"/>
                <w:highlight w:val="none"/>
              </w:rPr>
            </w:pPr>
            <w:r>
              <w:rPr>
                <w:rFonts w:hint="eastAsia"/>
                <w:color w:val="auto"/>
                <w:spacing w:val="4"/>
                <w:sz w:val="24"/>
                <w:highlight w:val="none"/>
              </w:rPr>
              <w:t>检修、事故废油及废旧铅蓄电池等危险废物的临时贮存执行《危险废物贮存污染控制标准》（GB18597-2023）。</w:t>
            </w:r>
          </w:p>
          <w:p w14:paraId="5DC5E869">
            <w:pPr>
              <w:spacing w:line="480" w:lineRule="exact"/>
              <w:ind w:firstLine="496" w:firstLineChars="200"/>
              <w:rPr>
                <w:color w:val="auto"/>
                <w:spacing w:val="4"/>
                <w:sz w:val="24"/>
                <w:highlight w:val="none"/>
              </w:rPr>
            </w:pPr>
            <w:r>
              <w:rPr>
                <w:rFonts w:hint="eastAsia"/>
                <w:color w:val="auto"/>
                <w:spacing w:val="4"/>
                <w:sz w:val="24"/>
                <w:highlight w:val="none"/>
              </w:rPr>
              <w:t>（</w:t>
            </w:r>
            <w:r>
              <w:rPr>
                <w:rFonts w:hint="eastAsia" w:ascii="Times New Roman" w:eastAsia="宋体"/>
                <w:color w:val="auto"/>
                <w:spacing w:val="4"/>
                <w:sz w:val="24"/>
                <w:highlight w:val="none"/>
                <w:lang w:val="en-US" w:eastAsia="zh-CN"/>
              </w:rPr>
              <w:t>3</w:t>
            </w:r>
            <w:r>
              <w:rPr>
                <w:rFonts w:hint="eastAsia"/>
                <w:color w:val="auto"/>
                <w:spacing w:val="4"/>
                <w:sz w:val="24"/>
                <w:highlight w:val="none"/>
              </w:rPr>
              <w:t>）废气</w:t>
            </w:r>
          </w:p>
          <w:p w14:paraId="6475DB97">
            <w:pPr>
              <w:spacing w:line="480" w:lineRule="exact"/>
              <w:ind w:firstLine="496" w:firstLineChars="200"/>
              <w:rPr>
                <w:color w:val="auto"/>
                <w:sz w:val="24"/>
                <w:highlight w:val="none"/>
              </w:rPr>
            </w:pPr>
            <w:r>
              <w:rPr>
                <w:rFonts w:hint="eastAsia"/>
                <w:color w:val="auto"/>
                <w:spacing w:val="4"/>
                <w:sz w:val="24"/>
                <w:highlight w:val="none"/>
              </w:rPr>
              <w:t>施工期柴油发电机废气排放执行《非道路移动机械用柴油机排气污染物排放限值及测量方法(中国第三、四阶段）》（GB 20891-2014）中表2标准限值要求和《非道路柴油移动机械排气烟度限值及测量方法》（GB36886-2018）。</w:t>
            </w:r>
          </w:p>
        </w:tc>
      </w:tr>
      <w:tr w14:paraId="6444A2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866" w:hRule="atLeast"/>
          <w:jc w:val="center"/>
        </w:trPr>
        <w:tc>
          <w:tcPr>
            <w:tcW w:w="741" w:type="dxa"/>
            <w:vAlign w:val="center"/>
          </w:tcPr>
          <w:p w14:paraId="066CA02A">
            <w:pPr>
              <w:adjustRightInd w:val="0"/>
              <w:snapToGrid w:val="0"/>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其他</w:t>
            </w:r>
          </w:p>
        </w:tc>
        <w:tc>
          <w:tcPr>
            <w:tcW w:w="8416" w:type="dxa"/>
            <w:vAlign w:val="center"/>
          </w:tcPr>
          <w:p w14:paraId="3519B884">
            <w:pPr>
              <w:spacing w:line="480" w:lineRule="exact"/>
              <w:ind w:firstLine="480" w:firstLineChars="200"/>
              <w:rPr>
                <w:rFonts w:hint="eastAsia"/>
                <w:color w:val="auto"/>
                <w:sz w:val="24"/>
                <w:highlight w:val="none"/>
              </w:rPr>
            </w:pPr>
          </w:p>
          <w:p w14:paraId="60BDAB62">
            <w:pPr>
              <w:spacing w:line="480" w:lineRule="exact"/>
              <w:ind w:firstLine="480" w:firstLineChars="200"/>
              <w:rPr>
                <w:color w:val="auto"/>
                <w:sz w:val="24"/>
                <w:highlight w:val="none"/>
              </w:rPr>
            </w:pPr>
            <w:r>
              <w:rPr>
                <w:rFonts w:hint="eastAsia"/>
                <w:color w:val="auto"/>
                <w:sz w:val="24"/>
                <w:highlight w:val="none"/>
              </w:rPr>
              <w:t>根据山西省生态环境厅“关于印发《建设项目主要污染物排放总量指标核定办法》的通知”（晋环规〔2023〕1号），本项目运营期无国家和山西省实施排污总量控制的主要污染物排放，本项目不涉及排污总量控制。</w:t>
            </w:r>
          </w:p>
          <w:p w14:paraId="7A90F791">
            <w:pPr>
              <w:pStyle w:val="5"/>
              <w:rPr>
                <w:color w:val="auto"/>
                <w:highlight w:val="none"/>
              </w:rPr>
            </w:pPr>
          </w:p>
        </w:tc>
      </w:tr>
    </w:tbl>
    <w:p w14:paraId="552D1205">
      <w:pPr>
        <w:rPr>
          <w:color w:val="auto"/>
          <w:highlight w:val="none"/>
        </w:rPr>
        <w:sectPr>
          <w:pgSz w:w="11906" w:h="16838"/>
          <w:pgMar w:top="1440" w:right="1800" w:bottom="1440" w:left="1800" w:header="851" w:footer="1077" w:gutter="0"/>
          <w:pgBorders>
            <w:top w:val="none" w:sz="0" w:space="0"/>
            <w:left w:val="none" w:sz="0" w:space="0"/>
            <w:bottom w:val="none" w:sz="0" w:space="0"/>
            <w:right w:val="none" w:sz="0" w:space="0"/>
          </w:pgBorders>
          <w:cols w:space="425" w:num="1"/>
          <w:docGrid w:linePitch="312" w:charSpace="0"/>
        </w:sectPr>
      </w:pPr>
    </w:p>
    <w:p w14:paraId="213201E7">
      <w:pPr>
        <w:pStyle w:val="9"/>
        <w:jc w:val="center"/>
        <w:outlineLvl w:val="0"/>
        <w:rPr>
          <w:rFonts w:hint="eastAsia"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t>四、生态环境影响分析</w:t>
      </w:r>
    </w:p>
    <w:tbl>
      <w:tblPr>
        <w:tblStyle w:val="10"/>
        <w:tblW w:w="924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860"/>
      </w:tblGrid>
      <w:tr w14:paraId="6DA3D6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12" w:hRule="atLeast"/>
          <w:jc w:val="center"/>
        </w:trPr>
        <w:tc>
          <w:tcPr>
            <w:tcW w:w="879" w:type="dxa"/>
            <w:tcMar>
              <w:left w:w="28" w:type="dxa"/>
              <w:right w:w="28" w:type="dxa"/>
            </w:tcMar>
            <w:vAlign w:val="center"/>
          </w:tcPr>
          <w:p w14:paraId="167FCC85">
            <w:pPr>
              <w:pStyle w:val="9"/>
              <w:adjustRightInd w:val="0"/>
              <w:snapToGrid w:val="0"/>
              <w:spacing w:before="0" w:beforeAutospacing="0" w:after="0" w:afterAutospacing="0"/>
              <w:jc w:val="center"/>
              <w:rPr>
                <w:rFonts w:hint="eastAsia" w:cs="宋体"/>
                <w:bCs/>
                <w:color w:val="auto"/>
                <w:kern w:val="2"/>
                <w:highlight w:val="none"/>
              </w:rPr>
            </w:pPr>
            <w:bookmarkStart w:id="5" w:name="_Hlk49796138"/>
            <w:r>
              <w:rPr>
                <w:rFonts w:hint="eastAsia" w:cs="宋体"/>
                <w:bCs/>
                <w:color w:val="auto"/>
                <w:spacing w:val="10"/>
                <w:kern w:val="2"/>
                <w:highlight w:val="none"/>
              </w:rPr>
              <w:t>施工期生态环境影响分析</w:t>
            </w:r>
            <w:bookmarkEnd w:id="5"/>
          </w:p>
        </w:tc>
        <w:tc>
          <w:tcPr>
            <w:tcW w:w="8363" w:type="dxa"/>
          </w:tcPr>
          <w:p w14:paraId="3FD5B660">
            <w:pPr>
              <w:spacing w:line="480" w:lineRule="exact"/>
              <w:ind w:firstLine="480" w:firstLineChars="200"/>
              <w:rPr>
                <w:color w:val="auto"/>
                <w:sz w:val="24"/>
                <w:highlight w:val="none"/>
              </w:rPr>
            </w:pPr>
            <w:r>
              <w:rPr>
                <w:color w:val="auto"/>
                <w:sz w:val="24"/>
                <w:highlight w:val="none"/>
              </w:rPr>
              <w:t>本项目施工期的污染因子主要为施工噪声、施工扬尘、施工废水、施工固废及生态。随着施工期的结束，这部分影响也随之消失，施工期的影响是可恢复的。</w:t>
            </w:r>
          </w:p>
          <w:p w14:paraId="04C2533A">
            <w:pPr>
              <w:spacing w:line="480" w:lineRule="exact"/>
              <w:ind w:firstLine="480" w:firstLineChars="200"/>
              <w:rPr>
                <w:bCs/>
                <w:color w:val="auto"/>
                <w:sz w:val="24"/>
                <w:highlight w:val="none"/>
              </w:rPr>
            </w:pPr>
            <w:r>
              <w:rPr>
                <w:bCs/>
                <w:color w:val="auto"/>
                <w:sz w:val="24"/>
                <w:highlight w:val="none"/>
              </w:rPr>
              <w:t>1、施工期大气环境影响分析</w:t>
            </w:r>
          </w:p>
          <w:p w14:paraId="2DFF7D16">
            <w:pPr>
              <w:spacing w:line="480" w:lineRule="exact"/>
              <w:ind w:firstLine="480" w:firstLineChars="200"/>
              <w:rPr>
                <w:color w:val="auto"/>
                <w:sz w:val="24"/>
                <w:highlight w:val="none"/>
              </w:rPr>
            </w:pPr>
            <w:r>
              <w:rPr>
                <w:color w:val="auto"/>
                <w:sz w:val="24"/>
                <w:highlight w:val="none"/>
              </w:rPr>
              <w:t>（1）污染源</w:t>
            </w:r>
          </w:p>
          <w:p w14:paraId="3D6E847E">
            <w:pPr>
              <w:spacing w:line="480" w:lineRule="exact"/>
              <w:ind w:firstLine="480" w:firstLineChars="200"/>
              <w:rPr>
                <w:color w:val="auto"/>
                <w:sz w:val="24"/>
                <w:highlight w:val="none"/>
              </w:rPr>
            </w:pPr>
            <w:r>
              <w:rPr>
                <w:rFonts w:hint="eastAsia"/>
                <w:color w:val="auto"/>
                <w:sz w:val="24"/>
                <w:highlight w:val="none"/>
              </w:rPr>
              <w:t>建设施工期，环境空气污染源主要表现为施工扬尘，施工扬尘来自土方的挖掘扬尘及现场堆放扬尘；建筑材料（水泥、沙子、石子、砖）的现场搬运及堆放扬尘；施工垃圾和现有垃圾的清理及堆放扬尘；人来车往造成的现场道路扬尘；机动车和非道路移动机械产生的废气</w:t>
            </w:r>
            <w:r>
              <w:rPr>
                <w:color w:val="auto"/>
                <w:sz w:val="24"/>
                <w:highlight w:val="none"/>
              </w:rPr>
              <w:t>。</w:t>
            </w:r>
          </w:p>
          <w:p w14:paraId="53DDA4E6">
            <w:pPr>
              <w:spacing w:line="480" w:lineRule="exact"/>
              <w:ind w:firstLine="480" w:firstLineChars="200"/>
              <w:rPr>
                <w:color w:val="auto"/>
                <w:sz w:val="24"/>
                <w:highlight w:val="none"/>
              </w:rPr>
            </w:pPr>
            <w:r>
              <w:rPr>
                <w:color w:val="auto"/>
                <w:sz w:val="24"/>
                <w:highlight w:val="none"/>
              </w:rPr>
              <w:t>（2）影响分析</w:t>
            </w:r>
          </w:p>
          <w:p w14:paraId="790BDE33">
            <w:pPr>
              <w:spacing w:line="480" w:lineRule="exact"/>
              <w:ind w:firstLine="480" w:firstLineChars="200"/>
              <w:rPr>
                <w:color w:val="auto"/>
                <w:sz w:val="24"/>
                <w:highlight w:val="none"/>
              </w:rPr>
            </w:pPr>
            <w:r>
              <w:rPr>
                <w:rFonts w:hint="eastAsia"/>
                <w:color w:val="auto"/>
                <w:sz w:val="24"/>
                <w:highlight w:val="none"/>
              </w:rPr>
              <w:t>本项目在施工过程中应遵循《山西省深入推进扬尘污染防治工作方案》（晋环委办函〔2022〕4号）文和住建部关于施工场地“六个100%”，认真做好施工期环境保护工作。采取以下抑尘措施后，本项目施工期对大气环境的影响可接受。</w:t>
            </w:r>
          </w:p>
          <w:p w14:paraId="575831C7">
            <w:pPr>
              <w:spacing w:line="480" w:lineRule="exact"/>
              <w:ind w:firstLine="480" w:firstLineChars="200"/>
              <w:rPr>
                <w:color w:val="auto"/>
                <w:sz w:val="24"/>
                <w:highlight w:val="none"/>
              </w:rPr>
            </w:pPr>
            <w:r>
              <w:rPr>
                <w:rFonts w:hint="eastAsia"/>
                <w:color w:val="auto"/>
                <w:sz w:val="24"/>
                <w:highlight w:val="none"/>
              </w:rPr>
              <w:t>①工地周边100%围挡</w:t>
            </w:r>
          </w:p>
          <w:p w14:paraId="6D7A84D1">
            <w:pPr>
              <w:spacing w:line="480" w:lineRule="exact"/>
              <w:ind w:firstLine="480" w:firstLineChars="200"/>
              <w:rPr>
                <w:color w:val="auto"/>
                <w:sz w:val="24"/>
                <w:highlight w:val="none"/>
              </w:rPr>
            </w:pPr>
            <w:r>
              <w:rPr>
                <w:rFonts w:hint="eastAsia"/>
                <w:color w:val="auto"/>
                <w:sz w:val="24"/>
                <w:highlight w:val="none"/>
              </w:rPr>
              <w:t>施工现场实行封闭管理，连续设置硬质围挡，做到坚固、平整、整洁、美观，在建工程的外立面应用安全网，实现全封闭围护。</w:t>
            </w:r>
          </w:p>
          <w:p w14:paraId="10464ADA">
            <w:pPr>
              <w:spacing w:line="480" w:lineRule="exact"/>
              <w:ind w:firstLine="480" w:firstLineChars="200"/>
              <w:rPr>
                <w:color w:val="auto"/>
                <w:sz w:val="24"/>
                <w:highlight w:val="none"/>
              </w:rPr>
            </w:pPr>
            <w:r>
              <w:rPr>
                <w:rFonts w:hint="eastAsia"/>
                <w:color w:val="auto"/>
                <w:sz w:val="24"/>
                <w:highlight w:val="none"/>
              </w:rPr>
              <w:t>②路面100%硬化</w:t>
            </w:r>
          </w:p>
          <w:p w14:paraId="73B249A9">
            <w:pPr>
              <w:spacing w:line="480" w:lineRule="exact"/>
              <w:ind w:firstLine="480" w:firstLineChars="200"/>
              <w:rPr>
                <w:color w:val="auto"/>
                <w:sz w:val="24"/>
                <w:highlight w:val="none"/>
              </w:rPr>
            </w:pPr>
            <w:r>
              <w:rPr>
                <w:rFonts w:hint="eastAsia"/>
                <w:color w:val="auto"/>
                <w:sz w:val="24"/>
                <w:highlight w:val="none"/>
              </w:rPr>
              <w:t>对施工场地的主要通道、进出道路、材料加工区及办公生活区地面进行硬化处理，场地硬化强度、厚度、宽度，应满足安全通行、卫生保洁需求，并且工地出入口与城市道路连接区域在全部硬化的同时，按要求敷设钢板，防止路面破损。</w:t>
            </w:r>
          </w:p>
          <w:p w14:paraId="19C0C8A4">
            <w:pPr>
              <w:spacing w:line="480" w:lineRule="exact"/>
              <w:ind w:firstLine="480" w:firstLineChars="200"/>
              <w:rPr>
                <w:color w:val="auto"/>
                <w:sz w:val="24"/>
                <w:highlight w:val="none"/>
              </w:rPr>
            </w:pPr>
            <w:r>
              <w:rPr>
                <w:rFonts w:hint="eastAsia"/>
                <w:color w:val="auto"/>
                <w:sz w:val="24"/>
                <w:highlight w:val="none"/>
              </w:rPr>
              <w:t>③出入车辆100%清洗</w:t>
            </w:r>
          </w:p>
          <w:p w14:paraId="13DDF2F4">
            <w:pPr>
              <w:spacing w:line="480" w:lineRule="exact"/>
              <w:ind w:firstLine="480" w:firstLineChars="200"/>
              <w:rPr>
                <w:color w:val="auto"/>
                <w:sz w:val="24"/>
                <w:highlight w:val="none"/>
              </w:rPr>
            </w:pPr>
            <w:r>
              <w:rPr>
                <w:rFonts w:hint="eastAsia"/>
                <w:color w:val="auto"/>
                <w:sz w:val="24"/>
                <w:highlight w:val="none"/>
              </w:rPr>
              <w:t>在施工现场出入口设置自动车辆冲洗装置和沉淀池，运输车辆底盘和车轮冲洗干净后，方可驶离施工现场。</w:t>
            </w:r>
          </w:p>
          <w:p w14:paraId="44BE3708">
            <w:pPr>
              <w:spacing w:line="480" w:lineRule="exact"/>
              <w:ind w:firstLine="480" w:firstLineChars="200"/>
              <w:rPr>
                <w:color w:val="auto"/>
                <w:sz w:val="24"/>
                <w:highlight w:val="none"/>
              </w:rPr>
            </w:pPr>
            <w:r>
              <w:rPr>
                <w:rFonts w:hint="eastAsia"/>
                <w:color w:val="auto"/>
                <w:sz w:val="24"/>
                <w:highlight w:val="none"/>
              </w:rPr>
              <w:t>④物料堆放100%覆盖</w:t>
            </w:r>
          </w:p>
          <w:p w14:paraId="5052172E">
            <w:pPr>
              <w:spacing w:line="480" w:lineRule="exact"/>
              <w:ind w:firstLine="480" w:firstLineChars="200"/>
              <w:rPr>
                <w:color w:val="auto"/>
                <w:sz w:val="24"/>
                <w:highlight w:val="none"/>
              </w:rPr>
            </w:pPr>
            <w:r>
              <w:rPr>
                <w:rFonts w:hint="eastAsia"/>
                <w:color w:val="auto"/>
                <w:sz w:val="24"/>
                <w:highlight w:val="none"/>
              </w:rPr>
              <w:t>工程渣土、建筑垃圾和生活垃圾做到集中分类堆放、严密覆盖、及时清理；在施工现场裸露的场地和集中堆放的土方，采取覆盖、固化或绿化等防尘措施；易产生扬尘的物料，用防尘布或六针以上的防尘网苫盖，并定期洒水抑尘。</w:t>
            </w:r>
          </w:p>
          <w:p w14:paraId="7850216A">
            <w:pPr>
              <w:spacing w:line="480" w:lineRule="exact"/>
              <w:ind w:firstLine="480" w:firstLineChars="200"/>
              <w:rPr>
                <w:color w:val="auto"/>
                <w:sz w:val="24"/>
                <w:highlight w:val="none"/>
              </w:rPr>
            </w:pPr>
            <w:r>
              <w:rPr>
                <w:rFonts w:hint="eastAsia"/>
                <w:color w:val="auto"/>
                <w:sz w:val="24"/>
                <w:highlight w:val="none"/>
              </w:rPr>
              <w:t>⑤工地100%湿法作业</w:t>
            </w:r>
          </w:p>
          <w:p w14:paraId="351EDA51">
            <w:pPr>
              <w:spacing w:line="480" w:lineRule="exact"/>
              <w:ind w:firstLine="480" w:firstLineChars="200"/>
              <w:rPr>
                <w:color w:val="auto"/>
                <w:sz w:val="24"/>
                <w:highlight w:val="none"/>
              </w:rPr>
            </w:pPr>
            <w:r>
              <w:rPr>
                <w:rFonts w:hint="eastAsia"/>
                <w:color w:val="auto"/>
                <w:sz w:val="24"/>
                <w:highlight w:val="none"/>
              </w:rPr>
              <w:t>施工现场安排专人负责卫生保洁工作，遇到干旱和大风天气时，增加洒水降尘次数，确保无浮土扬尘。在进行开挖、回填等土方作业时，要辅以洒水压尘等措施。工程竣工后，施工现场的临设、围挡、垃圾等，必须及时清理完毕，清理时必须采取有效的降尘措施。</w:t>
            </w:r>
          </w:p>
          <w:p w14:paraId="7BAA242C">
            <w:pPr>
              <w:spacing w:line="480" w:lineRule="exact"/>
              <w:ind w:firstLine="480" w:firstLineChars="200"/>
              <w:rPr>
                <w:color w:val="auto"/>
                <w:sz w:val="24"/>
                <w:highlight w:val="none"/>
              </w:rPr>
            </w:pPr>
            <w:r>
              <w:rPr>
                <w:rFonts w:hint="eastAsia"/>
                <w:color w:val="auto"/>
                <w:sz w:val="24"/>
                <w:highlight w:val="none"/>
              </w:rPr>
              <w:t>⑥渣土车辆100%苫盖</w:t>
            </w:r>
          </w:p>
          <w:p w14:paraId="493AA884">
            <w:pPr>
              <w:spacing w:line="480" w:lineRule="exact"/>
              <w:ind w:firstLine="480" w:firstLineChars="200"/>
              <w:rPr>
                <w:color w:val="auto"/>
                <w:sz w:val="24"/>
                <w:highlight w:val="none"/>
              </w:rPr>
            </w:pPr>
            <w:r>
              <w:rPr>
                <w:rFonts w:hint="eastAsia"/>
                <w:color w:val="auto"/>
                <w:sz w:val="24"/>
                <w:highlight w:val="none"/>
              </w:rPr>
              <w:t>车辆在运输过程中，必须采取密闭或其他措施，做到车辆密封、装载均衡，不得沿途洒落，造成二次道路扬尘污染。</w:t>
            </w:r>
          </w:p>
          <w:p w14:paraId="6A5FA598">
            <w:pPr>
              <w:spacing w:line="480" w:lineRule="exact"/>
              <w:ind w:firstLine="480" w:firstLineChars="200"/>
              <w:rPr>
                <w:color w:val="auto"/>
                <w:sz w:val="24"/>
                <w:highlight w:val="none"/>
              </w:rPr>
            </w:pPr>
            <w:r>
              <w:rPr>
                <w:rFonts w:hint="eastAsia"/>
                <w:color w:val="auto"/>
                <w:sz w:val="24"/>
                <w:highlight w:val="none"/>
              </w:rPr>
              <w:t>机动车和非道路移动机械产生的废气，均属于非连续性排放，且排放量不大，评价要求施工机械严格执行</w:t>
            </w:r>
            <w:r>
              <w:rPr>
                <w:rFonts w:hint="eastAsia"/>
                <w:color w:val="auto"/>
                <w:spacing w:val="4"/>
                <w:sz w:val="24"/>
                <w:highlight w:val="none"/>
              </w:rPr>
              <w:t>《非道路移动机械用柴油机排气污染物排放限值及测量方法(中国第三、四阶段）》（GB 20891-2014）中表2标准限值要求和《非道路柴油移动机械排气烟度限值及测量方法》（GB36886-2018）</w:t>
            </w:r>
            <w:r>
              <w:rPr>
                <w:rFonts w:hint="eastAsia"/>
                <w:color w:val="auto"/>
                <w:sz w:val="24"/>
                <w:highlight w:val="none"/>
              </w:rPr>
              <w:t>，定期对施工机械进行保养，燃用符合标准的油品，严禁使用报废车辆和柴油发电机，以减少施工对周围环境空气的影响。采取相关措施后，本项目施工期对大气环境的影响可接受。</w:t>
            </w:r>
          </w:p>
          <w:p w14:paraId="7260A9A8">
            <w:pPr>
              <w:spacing w:line="480" w:lineRule="exact"/>
              <w:ind w:firstLine="480" w:firstLineChars="200"/>
              <w:rPr>
                <w:color w:val="auto"/>
                <w:sz w:val="24"/>
                <w:highlight w:val="none"/>
              </w:rPr>
            </w:pPr>
            <w:r>
              <w:rPr>
                <w:color w:val="auto"/>
                <w:sz w:val="24"/>
                <w:highlight w:val="none"/>
              </w:rPr>
              <w:t>2、施工期水环境影响分析</w:t>
            </w:r>
          </w:p>
          <w:p w14:paraId="01599263">
            <w:pPr>
              <w:spacing w:line="480" w:lineRule="exact"/>
              <w:ind w:firstLine="480" w:firstLineChars="200"/>
              <w:rPr>
                <w:color w:val="auto"/>
                <w:sz w:val="24"/>
                <w:highlight w:val="none"/>
              </w:rPr>
            </w:pPr>
            <w:r>
              <w:rPr>
                <w:rFonts w:hint="eastAsia"/>
                <w:color w:val="auto"/>
                <w:sz w:val="24"/>
                <w:highlight w:val="none"/>
              </w:rPr>
              <w:t>施工期生产废水主要为设备冲洗废水，生活污水主要是施工人员日常洗涮等杂用废水。</w:t>
            </w:r>
          </w:p>
          <w:p w14:paraId="64519948">
            <w:pPr>
              <w:spacing w:line="480" w:lineRule="exact"/>
              <w:ind w:firstLine="480" w:firstLineChars="200"/>
              <w:rPr>
                <w:color w:val="auto"/>
                <w:sz w:val="24"/>
                <w:highlight w:val="none"/>
              </w:rPr>
            </w:pPr>
            <w:r>
              <w:rPr>
                <w:rFonts w:hint="eastAsia"/>
                <w:color w:val="auto"/>
                <w:sz w:val="24"/>
                <w:highlight w:val="none"/>
              </w:rPr>
              <w:t>（1）生产废水</w:t>
            </w:r>
          </w:p>
          <w:p w14:paraId="29725DA3">
            <w:pPr>
              <w:spacing w:line="480" w:lineRule="exact"/>
              <w:ind w:firstLine="480" w:firstLineChars="200"/>
              <w:rPr>
                <w:color w:val="auto"/>
                <w:sz w:val="24"/>
                <w:highlight w:val="none"/>
              </w:rPr>
            </w:pPr>
            <w:r>
              <w:rPr>
                <w:rFonts w:hint="eastAsia"/>
                <w:color w:val="auto"/>
                <w:sz w:val="24"/>
                <w:highlight w:val="none"/>
              </w:rPr>
              <w:t>生产废水包括设备和车辆冲洗废水，水量较小，评价要求施工临建区内设置隔油池和沉淀池，废水经隔油、沉淀处理后可回用于抑尘洒水。</w:t>
            </w:r>
          </w:p>
          <w:p w14:paraId="237F0C89">
            <w:pPr>
              <w:spacing w:line="480" w:lineRule="exact"/>
              <w:ind w:firstLine="480" w:firstLineChars="200"/>
              <w:rPr>
                <w:color w:val="auto"/>
                <w:sz w:val="24"/>
                <w:highlight w:val="none"/>
              </w:rPr>
            </w:pPr>
            <w:r>
              <w:rPr>
                <w:rFonts w:hint="eastAsia"/>
                <w:color w:val="auto"/>
                <w:sz w:val="24"/>
                <w:highlight w:val="none"/>
              </w:rPr>
              <w:t>（2）生活污水</w:t>
            </w:r>
          </w:p>
          <w:p w14:paraId="5C10A0D6">
            <w:pPr>
              <w:spacing w:line="480" w:lineRule="exact"/>
              <w:ind w:firstLine="480" w:firstLineChars="200"/>
              <w:rPr>
                <w:color w:val="auto"/>
                <w:sz w:val="24"/>
                <w:highlight w:val="none"/>
              </w:rPr>
            </w:pPr>
            <w:r>
              <w:rPr>
                <w:rFonts w:hint="eastAsia"/>
                <w:color w:val="auto"/>
                <w:sz w:val="24"/>
                <w:highlight w:val="none"/>
              </w:rPr>
              <w:t>施工人员生活租赁附近村庄闲置民房，生活污水依托村庄排水系统，施工期不会对周围地表水环境造成影响。</w:t>
            </w:r>
          </w:p>
          <w:p w14:paraId="04F70D02">
            <w:pPr>
              <w:spacing w:line="480" w:lineRule="exact"/>
              <w:ind w:firstLine="480" w:firstLineChars="200"/>
              <w:rPr>
                <w:color w:val="auto"/>
                <w:sz w:val="24"/>
                <w:highlight w:val="none"/>
              </w:rPr>
            </w:pPr>
            <w:r>
              <w:rPr>
                <w:color w:val="auto"/>
                <w:sz w:val="24"/>
                <w:highlight w:val="none"/>
              </w:rPr>
              <w:t>3、施工期声环境影响分析</w:t>
            </w:r>
          </w:p>
          <w:p w14:paraId="14BAC259">
            <w:pPr>
              <w:spacing w:line="480" w:lineRule="exact"/>
              <w:ind w:firstLine="480" w:firstLineChars="200"/>
              <w:rPr>
                <w:color w:val="auto"/>
                <w:sz w:val="24"/>
                <w:highlight w:val="none"/>
              </w:rPr>
            </w:pPr>
            <w:r>
              <w:rPr>
                <w:color w:val="auto"/>
                <w:sz w:val="24"/>
                <w:highlight w:val="none"/>
              </w:rPr>
              <w:t>（1）施工期噪声源强</w:t>
            </w:r>
          </w:p>
          <w:p w14:paraId="5BBE81C9">
            <w:pPr>
              <w:spacing w:line="480" w:lineRule="exact"/>
              <w:ind w:firstLine="480" w:firstLineChars="200"/>
              <w:textAlignment w:val="baseline"/>
              <w:rPr>
                <w:color w:val="auto"/>
                <w:sz w:val="24"/>
                <w:highlight w:val="none"/>
              </w:rPr>
            </w:pPr>
            <w:r>
              <w:rPr>
                <w:rFonts w:hint="eastAsia"/>
                <w:color w:val="auto"/>
                <w:sz w:val="24"/>
                <w:highlight w:val="none"/>
              </w:rPr>
              <w:t>风电机组施工期噪声主要源自施工机械和运输车辆。主要产生噪声的施工机械有起重机、挖掘机、推土机、装载机、压实机、振捣棒和振捣器、砂轮锯、空气压缩机等。这些噪声源的声功率级为95dB（A）~105dB（A）。施工噪声源可近似为点源，根据点声源衰减模式，可预测出各施工机械满足《建筑施工场界噪声排放标准》（GB12523-2011）中限值的边界距离，即达标距离。经预测可知，施工边界噪声昼间达标的最大距离为23m，夜间达标的最大距离为127m。主要施工机械设备的声功率级及各种施工机械达标距离见下表。代表性声源的噪声值及各种施工机械达标距离见表4-1。</w:t>
            </w:r>
          </w:p>
          <w:p w14:paraId="3685D15D">
            <w:pPr>
              <w:pStyle w:val="23"/>
              <w:spacing w:line="480" w:lineRule="exact"/>
              <w:rPr>
                <w:color w:val="auto"/>
                <w:spacing w:val="6"/>
                <w:highlight w:val="none"/>
              </w:rPr>
            </w:pPr>
            <w:r>
              <w:rPr>
                <w:color w:val="auto"/>
                <w:highlight w:val="none"/>
              </w:rPr>
              <w:drawing>
                <wp:inline distT="0" distB="0" distL="114300" distR="114300">
                  <wp:extent cx="1375410" cy="222885"/>
                  <wp:effectExtent l="0" t="0" r="0" b="5715"/>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11"/>
                          <a:stretch>
                            <a:fillRect/>
                          </a:stretch>
                        </pic:blipFill>
                        <pic:spPr>
                          <a:xfrm>
                            <a:off x="0" y="0"/>
                            <a:ext cx="1375410" cy="222885"/>
                          </a:xfrm>
                          <a:prstGeom prst="rect">
                            <a:avLst/>
                          </a:prstGeom>
                          <a:noFill/>
                          <a:ln>
                            <a:noFill/>
                          </a:ln>
                        </pic:spPr>
                      </pic:pic>
                    </a:graphicData>
                  </a:graphic>
                </wp:inline>
              </w:drawing>
            </w:r>
          </w:p>
          <w:p w14:paraId="46BDB25A">
            <w:pPr>
              <w:pStyle w:val="23"/>
              <w:spacing w:line="480" w:lineRule="exact"/>
              <w:rPr>
                <w:color w:val="auto"/>
                <w:highlight w:val="none"/>
              </w:rPr>
            </w:pPr>
            <w:r>
              <w:rPr>
                <w:color w:val="auto"/>
                <w:highlight w:val="none"/>
              </w:rPr>
              <w:t>式中：L</w:t>
            </w:r>
            <w:r>
              <w:rPr>
                <w:color w:val="auto"/>
                <w:highlight w:val="none"/>
                <w:vertAlign w:val="subscript"/>
              </w:rPr>
              <w:t xml:space="preserve">r </w:t>
            </w:r>
            <w:r>
              <w:rPr>
                <w:color w:val="auto"/>
                <w:highlight w:val="none"/>
              </w:rPr>
              <w:t>——距声源r处的声压级，dB（A）</w:t>
            </w:r>
          </w:p>
          <w:p w14:paraId="7670112A">
            <w:pPr>
              <w:pStyle w:val="23"/>
              <w:spacing w:line="480" w:lineRule="exact"/>
              <w:rPr>
                <w:color w:val="auto"/>
                <w:highlight w:val="none"/>
              </w:rPr>
            </w:pPr>
            <w:r>
              <w:rPr>
                <w:color w:val="auto"/>
                <w:highlight w:val="none"/>
              </w:rPr>
              <w:t>L</w:t>
            </w:r>
            <w:r>
              <w:rPr>
                <w:color w:val="auto"/>
                <w:highlight w:val="none"/>
                <w:vertAlign w:val="subscript"/>
              </w:rPr>
              <w:t xml:space="preserve">w </w:t>
            </w:r>
            <w:r>
              <w:rPr>
                <w:color w:val="auto"/>
                <w:highlight w:val="none"/>
              </w:rPr>
              <w:t>——声源的声功率级，dB（A）</w:t>
            </w:r>
          </w:p>
          <w:p w14:paraId="444F7CBB">
            <w:pPr>
              <w:pStyle w:val="23"/>
              <w:spacing w:line="480" w:lineRule="exact"/>
              <w:rPr>
                <w:color w:val="auto"/>
                <w:highlight w:val="none"/>
              </w:rPr>
            </w:pPr>
            <w:r>
              <w:rPr>
                <w:iCs/>
                <w:color w:val="auto"/>
                <w:highlight w:val="none"/>
              </w:rPr>
              <w:t xml:space="preserve">r </w:t>
            </w:r>
            <w:r>
              <w:rPr>
                <w:color w:val="auto"/>
                <w:highlight w:val="none"/>
              </w:rPr>
              <w:t>——预测点距声源的距离，m；</w:t>
            </w:r>
          </w:p>
          <w:p w14:paraId="3870F12B">
            <w:pPr>
              <w:jc w:val="center"/>
              <w:rPr>
                <w:rFonts w:hint="eastAsia" w:ascii="黑体" w:hAnsi="黑体" w:eastAsia="黑体"/>
                <w:color w:val="auto"/>
                <w:szCs w:val="21"/>
                <w:highlight w:val="none"/>
              </w:rPr>
            </w:pPr>
            <w:r>
              <w:rPr>
                <w:rFonts w:ascii="黑体" w:hAnsi="黑体" w:eastAsia="黑体"/>
                <w:color w:val="auto"/>
                <w:szCs w:val="21"/>
                <w:highlight w:val="none"/>
              </w:rPr>
              <w:t>表4-1  距声源不同距离处的噪声值</w:t>
            </w:r>
          </w:p>
          <w:tbl>
            <w:tblPr>
              <w:tblStyle w:val="10"/>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75"/>
              <w:gridCol w:w="1022"/>
              <w:gridCol w:w="822"/>
              <w:gridCol w:w="822"/>
              <w:gridCol w:w="822"/>
              <w:gridCol w:w="822"/>
              <w:gridCol w:w="822"/>
              <w:gridCol w:w="1152"/>
              <w:gridCol w:w="1152"/>
            </w:tblGrid>
            <w:tr w14:paraId="6E6274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8" w:type="pct"/>
                  <w:vMerge w:val="restart"/>
                  <w:vAlign w:val="center"/>
                </w:tcPr>
                <w:p w14:paraId="5FE0D34A">
                  <w:pPr>
                    <w:widowControl/>
                    <w:adjustRightInd w:val="0"/>
                    <w:snapToGrid w:val="0"/>
                    <w:spacing w:line="240" w:lineRule="atLeast"/>
                    <w:jc w:val="center"/>
                    <w:rPr>
                      <w:color w:val="auto"/>
                      <w:kern w:val="0"/>
                      <w:highlight w:val="none"/>
                    </w:rPr>
                  </w:pPr>
                  <w:r>
                    <w:rPr>
                      <w:color w:val="auto"/>
                      <w:kern w:val="0"/>
                      <w:highlight w:val="none"/>
                    </w:rPr>
                    <w:t>声源</w:t>
                  </w:r>
                </w:p>
              </w:tc>
              <w:tc>
                <w:tcPr>
                  <w:tcW w:w="669" w:type="pct"/>
                  <w:vMerge w:val="restart"/>
                  <w:vAlign w:val="center"/>
                </w:tcPr>
                <w:p w14:paraId="4F16A176">
                  <w:pPr>
                    <w:widowControl/>
                    <w:adjustRightInd w:val="0"/>
                    <w:snapToGrid w:val="0"/>
                    <w:spacing w:line="240" w:lineRule="atLeast"/>
                    <w:jc w:val="center"/>
                    <w:rPr>
                      <w:color w:val="auto"/>
                      <w:kern w:val="0"/>
                      <w:highlight w:val="none"/>
                    </w:rPr>
                  </w:pPr>
                  <w:r>
                    <w:rPr>
                      <w:color w:val="auto"/>
                      <w:kern w:val="0"/>
                      <w:highlight w:val="none"/>
                    </w:rPr>
                    <w:t>声功率级dB（A）</w:t>
                  </w:r>
                </w:p>
              </w:tc>
              <w:tc>
                <w:tcPr>
                  <w:tcW w:w="2084" w:type="pct"/>
                  <w:gridSpan w:val="5"/>
                  <w:vAlign w:val="center"/>
                </w:tcPr>
                <w:p w14:paraId="323D1511">
                  <w:pPr>
                    <w:widowControl/>
                    <w:adjustRightInd w:val="0"/>
                    <w:snapToGrid w:val="0"/>
                    <w:spacing w:line="240" w:lineRule="atLeast"/>
                    <w:jc w:val="center"/>
                    <w:rPr>
                      <w:color w:val="auto"/>
                      <w:kern w:val="0"/>
                      <w:highlight w:val="none"/>
                    </w:rPr>
                  </w:pPr>
                  <w:r>
                    <w:rPr>
                      <w:color w:val="auto"/>
                      <w:kern w:val="0"/>
                      <w:highlight w:val="none"/>
                    </w:rPr>
                    <w:t>各声源衰减预测值（dB（A））</w:t>
                  </w:r>
                </w:p>
              </w:tc>
              <w:tc>
                <w:tcPr>
                  <w:tcW w:w="1489" w:type="pct"/>
                  <w:gridSpan w:val="2"/>
                  <w:vAlign w:val="center"/>
                </w:tcPr>
                <w:p w14:paraId="6C5E07E9">
                  <w:pPr>
                    <w:adjustRightInd w:val="0"/>
                    <w:snapToGrid w:val="0"/>
                    <w:spacing w:line="240" w:lineRule="atLeast"/>
                    <w:jc w:val="center"/>
                    <w:rPr>
                      <w:color w:val="auto"/>
                      <w:kern w:val="0"/>
                      <w:highlight w:val="none"/>
                    </w:rPr>
                  </w:pPr>
                  <w:r>
                    <w:rPr>
                      <w:color w:val="auto"/>
                      <w:kern w:val="0"/>
                      <w:highlight w:val="none"/>
                    </w:rPr>
                    <w:t>达标距离</w:t>
                  </w:r>
                </w:p>
              </w:tc>
            </w:tr>
            <w:tr w14:paraId="17C760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8" w:type="pct"/>
                  <w:vMerge w:val="continue"/>
                  <w:vAlign w:val="center"/>
                </w:tcPr>
                <w:p w14:paraId="521EF9DA">
                  <w:pPr>
                    <w:widowControl/>
                    <w:adjustRightInd w:val="0"/>
                    <w:snapToGrid w:val="0"/>
                    <w:spacing w:line="240" w:lineRule="atLeast"/>
                    <w:jc w:val="center"/>
                    <w:rPr>
                      <w:color w:val="auto"/>
                      <w:kern w:val="0"/>
                      <w:highlight w:val="none"/>
                    </w:rPr>
                  </w:pPr>
                </w:p>
              </w:tc>
              <w:tc>
                <w:tcPr>
                  <w:tcW w:w="669" w:type="pct"/>
                  <w:vMerge w:val="continue"/>
                  <w:vAlign w:val="center"/>
                </w:tcPr>
                <w:p w14:paraId="096400EE">
                  <w:pPr>
                    <w:widowControl/>
                    <w:adjustRightInd w:val="0"/>
                    <w:snapToGrid w:val="0"/>
                    <w:spacing w:line="240" w:lineRule="atLeast"/>
                    <w:jc w:val="center"/>
                    <w:rPr>
                      <w:color w:val="auto"/>
                      <w:kern w:val="0"/>
                      <w:highlight w:val="none"/>
                    </w:rPr>
                  </w:pPr>
                </w:p>
              </w:tc>
              <w:tc>
                <w:tcPr>
                  <w:tcW w:w="416" w:type="pct"/>
                  <w:vAlign w:val="center"/>
                </w:tcPr>
                <w:p w14:paraId="5C84710B">
                  <w:pPr>
                    <w:adjustRightInd w:val="0"/>
                    <w:snapToGrid w:val="0"/>
                    <w:spacing w:before="24" w:beforeLines="10" w:after="24" w:afterLines="10" w:line="240" w:lineRule="atLeast"/>
                    <w:jc w:val="center"/>
                    <w:rPr>
                      <w:color w:val="auto"/>
                      <w:kern w:val="0"/>
                      <w:highlight w:val="none"/>
                    </w:rPr>
                  </w:pPr>
                  <w:r>
                    <w:rPr>
                      <w:color w:val="auto"/>
                      <w:kern w:val="0"/>
                      <w:highlight w:val="none"/>
                    </w:rPr>
                    <w:t>100m</w:t>
                  </w:r>
                </w:p>
              </w:tc>
              <w:tc>
                <w:tcPr>
                  <w:tcW w:w="416" w:type="pct"/>
                  <w:vAlign w:val="center"/>
                </w:tcPr>
                <w:p w14:paraId="5FF190E1">
                  <w:pPr>
                    <w:adjustRightInd w:val="0"/>
                    <w:snapToGrid w:val="0"/>
                    <w:spacing w:before="24" w:beforeLines="10" w:after="24" w:afterLines="10" w:line="240" w:lineRule="atLeast"/>
                    <w:jc w:val="center"/>
                    <w:rPr>
                      <w:color w:val="auto"/>
                      <w:kern w:val="0"/>
                      <w:highlight w:val="none"/>
                    </w:rPr>
                  </w:pPr>
                  <w:r>
                    <w:rPr>
                      <w:color w:val="auto"/>
                      <w:kern w:val="0"/>
                      <w:highlight w:val="none"/>
                    </w:rPr>
                    <w:t>200m</w:t>
                  </w:r>
                </w:p>
              </w:tc>
              <w:tc>
                <w:tcPr>
                  <w:tcW w:w="416" w:type="pct"/>
                  <w:vAlign w:val="center"/>
                </w:tcPr>
                <w:p w14:paraId="514FF86E">
                  <w:pPr>
                    <w:adjustRightInd w:val="0"/>
                    <w:snapToGrid w:val="0"/>
                    <w:spacing w:before="24" w:beforeLines="10" w:after="24" w:afterLines="10" w:line="240" w:lineRule="atLeast"/>
                    <w:jc w:val="center"/>
                    <w:rPr>
                      <w:color w:val="auto"/>
                      <w:kern w:val="0"/>
                      <w:highlight w:val="none"/>
                    </w:rPr>
                  </w:pPr>
                  <w:r>
                    <w:rPr>
                      <w:color w:val="auto"/>
                      <w:kern w:val="0"/>
                      <w:highlight w:val="none"/>
                    </w:rPr>
                    <w:t>300m</w:t>
                  </w:r>
                </w:p>
              </w:tc>
              <w:tc>
                <w:tcPr>
                  <w:tcW w:w="415" w:type="pct"/>
                  <w:vAlign w:val="center"/>
                </w:tcPr>
                <w:p w14:paraId="03FA74FF">
                  <w:pPr>
                    <w:adjustRightInd w:val="0"/>
                    <w:snapToGrid w:val="0"/>
                    <w:spacing w:before="24" w:beforeLines="10" w:after="24" w:afterLines="10" w:line="240" w:lineRule="atLeast"/>
                    <w:jc w:val="center"/>
                    <w:rPr>
                      <w:color w:val="auto"/>
                      <w:kern w:val="0"/>
                      <w:highlight w:val="none"/>
                    </w:rPr>
                  </w:pPr>
                  <w:r>
                    <w:rPr>
                      <w:color w:val="auto"/>
                      <w:kern w:val="0"/>
                      <w:highlight w:val="none"/>
                    </w:rPr>
                    <w:t>400m</w:t>
                  </w:r>
                </w:p>
              </w:tc>
              <w:tc>
                <w:tcPr>
                  <w:tcW w:w="422" w:type="pct"/>
                  <w:vAlign w:val="center"/>
                </w:tcPr>
                <w:p w14:paraId="3A6716BB">
                  <w:pPr>
                    <w:adjustRightInd w:val="0"/>
                    <w:snapToGrid w:val="0"/>
                    <w:spacing w:before="24" w:beforeLines="10" w:after="24" w:afterLines="10" w:line="240" w:lineRule="atLeast"/>
                    <w:jc w:val="center"/>
                    <w:rPr>
                      <w:color w:val="auto"/>
                      <w:kern w:val="0"/>
                      <w:highlight w:val="none"/>
                    </w:rPr>
                  </w:pPr>
                  <w:r>
                    <w:rPr>
                      <w:color w:val="auto"/>
                      <w:kern w:val="0"/>
                      <w:highlight w:val="none"/>
                    </w:rPr>
                    <w:t>500m</w:t>
                  </w:r>
                </w:p>
              </w:tc>
              <w:tc>
                <w:tcPr>
                  <w:tcW w:w="744" w:type="pct"/>
                  <w:vAlign w:val="center"/>
                </w:tcPr>
                <w:p w14:paraId="1FDFD156">
                  <w:pPr>
                    <w:adjustRightInd w:val="0"/>
                    <w:snapToGrid w:val="0"/>
                    <w:spacing w:line="240" w:lineRule="atLeast"/>
                    <w:jc w:val="center"/>
                    <w:rPr>
                      <w:color w:val="auto"/>
                      <w:kern w:val="0"/>
                      <w:highlight w:val="none"/>
                    </w:rPr>
                  </w:pPr>
                  <w:r>
                    <w:rPr>
                      <w:color w:val="auto"/>
                      <w:kern w:val="0"/>
                      <w:highlight w:val="none"/>
                    </w:rPr>
                    <w:t>昼间标准</w:t>
                  </w:r>
                </w:p>
                <w:p w14:paraId="686E9C11">
                  <w:pPr>
                    <w:adjustRightInd w:val="0"/>
                    <w:snapToGrid w:val="0"/>
                    <w:spacing w:line="240" w:lineRule="atLeast"/>
                    <w:jc w:val="center"/>
                    <w:rPr>
                      <w:color w:val="auto"/>
                      <w:kern w:val="0"/>
                      <w:highlight w:val="none"/>
                    </w:rPr>
                  </w:pPr>
                  <w:r>
                    <w:rPr>
                      <w:color w:val="auto"/>
                      <w:kern w:val="0"/>
                      <w:highlight w:val="none"/>
                    </w:rPr>
                    <w:t>70dB（A）</w:t>
                  </w:r>
                </w:p>
              </w:tc>
              <w:tc>
                <w:tcPr>
                  <w:tcW w:w="745" w:type="pct"/>
                  <w:vAlign w:val="center"/>
                </w:tcPr>
                <w:p w14:paraId="7666317B">
                  <w:pPr>
                    <w:adjustRightInd w:val="0"/>
                    <w:snapToGrid w:val="0"/>
                    <w:spacing w:line="240" w:lineRule="atLeast"/>
                    <w:jc w:val="center"/>
                    <w:rPr>
                      <w:color w:val="auto"/>
                      <w:kern w:val="0"/>
                      <w:highlight w:val="none"/>
                    </w:rPr>
                  </w:pPr>
                  <w:r>
                    <w:rPr>
                      <w:color w:val="auto"/>
                      <w:kern w:val="0"/>
                      <w:highlight w:val="none"/>
                    </w:rPr>
                    <w:t>夜间标准</w:t>
                  </w:r>
                </w:p>
                <w:p w14:paraId="49853ECF">
                  <w:pPr>
                    <w:adjustRightInd w:val="0"/>
                    <w:snapToGrid w:val="0"/>
                    <w:spacing w:line="240" w:lineRule="atLeast"/>
                    <w:jc w:val="center"/>
                    <w:rPr>
                      <w:color w:val="auto"/>
                      <w:kern w:val="0"/>
                      <w:highlight w:val="none"/>
                    </w:rPr>
                  </w:pPr>
                  <w:r>
                    <w:rPr>
                      <w:color w:val="auto"/>
                      <w:kern w:val="0"/>
                      <w:highlight w:val="none"/>
                    </w:rPr>
                    <w:t>55dB（A）</w:t>
                  </w:r>
                </w:p>
              </w:tc>
            </w:tr>
            <w:tr w14:paraId="355BD0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8" w:type="pct"/>
                  <w:vAlign w:val="center"/>
                </w:tcPr>
                <w:p w14:paraId="56C40A95">
                  <w:pPr>
                    <w:adjustRightInd w:val="0"/>
                    <w:snapToGrid w:val="0"/>
                    <w:spacing w:before="24" w:beforeLines="10" w:after="24" w:afterLines="10" w:line="240" w:lineRule="atLeast"/>
                    <w:jc w:val="center"/>
                    <w:rPr>
                      <w:color w:val="auto"/>
                      <w:kern w:val="0"/>
                      <w:highlight w:val="none"/>
                    </w:rPr>
                  </w:pPr>
                  <w:r>
                    <w:rPr>
                      <w:color w:val="auto"/>
                      <w:kern w:val="0"/>
                      <w:highlight w:val="none"/>
                    </w:rPr>
                    <w:t>起重机</w:t>
                  </w:r>
                </w:p>
              </w:tc>
              <w:tc>
                <w:tcPr>
                  <w:tcW w:w="669" w:type="pct"/>
                  <w:vAlign w:val="center"/>
                </w:tcPr>
                <w:p w14:paraId="39D6CAB9">
                  <w:pPr>
                    <w:adjustRightInd w:val="0"/>
                    <w:snapToGrid w:val="0"/>
                    <w:spacing w:before="24" w:beforeLines="10" w:after="24" w:afterLines="10" w:line="240" w:lineRule="atLeast"/>
                    <w:jc w:val="center"/>
                    <w:rPr>
                      <w:color w:val="auto"/>
                      <w:kern w:val="0"/>
                      <w:highlight w:val="none"/>
                    </w:rPr>
                  </w:pPr>
                  <w:r>
                    <w:rPr>
                      <w:color w:val="auto"/>
                      <w:kern w:val="0"/>
                      <w:highlight w:val="none"/>
                    </w:rPr>
                    <w:t>105</w:t>
                  </w:r>
                </w:p>
              </w:tc>
              <w:tc>
                <w:tcPr>
                  <w:tcW w:w="416" w:type="pct"/>
                  <w:vAlign w:val="center"/>
                </w:tcPr>
                <w:p w14:paraId="002BF7D3">
                  <w:pPr>
                    <w:adjustRightInd w:val="0"/>
                    <w:snapToGrid w:val="0"/>
                    <w:spacing w:before="24" w:beforeLines="10" w:after="24" w:afterLines="10" w:line="240" w:lineRule="atLeast"/>
                    <w:jc w:val="center"/>
                    <w:rPr>
                      <w:color w:val="auto"/>
                      <w:kern w:val="0"/>
                      <w:highlight w:val="none"/>
                    </w:rPr>
                  </w:pPr>
                  <w:r>
                    <w:rPr>
                      <w:color w:val="auto"/>
                      <w:kern w:val="0"/>
                      <w:highlight w:val="none"/>
                    </w:rPr>
                    <w:t>57.0</w:t>
                  </w:r>
                </w:p>
              </w:tc>
              <w:tc>
                <w:tcPr>
                  <w:tcW w:w="416" w:type="pct"/>
                  <w:vAlign w:val="center"/>
                </w:tcPr>
                <w:p w14:paraId="31CEFA3F">
                  <w:pPr>
                    <w:adjustRightInd w:val="0"/>
                    <w:snapToGrid w:val="0"/>
                    <w:spacing w:before="24" w:beforeLines="10" w:after="24" w:afterLines="10" w:line="240" w:lineRule="atLeast"/>
                    <w:jc w:val="center"/>
                    <w:rPr>
                      <w:color w:val="auto"/>
                      <w:kern w:val="0"/>
                      <w:highlight w:val="none"/>
                    </w:rPr>
                  </w:pPr>
                  <w:r>
                    <w:rPr>
                      <w:color w:val="auto"/>
                      <w:kern w:val="0"/>
                      <w:highlight w:val="none"/>
                    </w:rPr>
                    <w:t>51.0</w:t>
                  </w:r>
                </w:p>
              </w:tc>
              <w:tc>
                <w:tcPr>
                  <w:tcW w:w="416" w:type="pct"/>
                  <w:vAlign w:val="center"/>
                </w:tcPr>
                <w:p w14:paraId="6C631D40">
                  <w:pPr>
                    <w:adjustRightInd w:val="0"/>
                    <w:snapToGrid w:val="0"/>
                    <w:spacing w:before="24" w:beforeLines="10" w:after="24" w:afterLines="10" w:line="240" w:lineRule="atLeast"/>
                    <w:jc w:val="center"/>
                    <w:rPr>
                      <w:color w:val="auto"/>
                      <w:kern w:val="0"/>
                      <w:highlight w:val="none"/>
                    </w:rPr>
                  </w:pPr>
                  <w:r>
                    <w:rPr>
                      <w:color w:val="auto"/>
                      <w:kern w:val="0"/>
                      <w:highlight w:val="none"/>
                    </w:rPr>
                    <w:t>47.5</w:t>
                  </w:r>
                </w:p>
              </w:tc>
              <w:tc>
                <w:tcPr>
                  <w:tcW w:w="415" w:type="pct"/>
                  <w:vAlign w:val="center"/>
                </w:tcPr>
                <w:p w14:paraId="31660AB9">
                  <w:pPr>
                    <w:adjustRightInd w:val="0"/>
                    <w:snapToGrid w:val="0"/>
                    <w:spacing w:before="24" w:beforeLines="10" w:after="24" w:afterLines="10" w:line="240" w:lineRule="atLeast"/>
                    <w:jc w:val="center"/>
                    <w:rPr>
                      <w:color w:val="auto"/>
                      <w:kern w:val="0"/>
                      <w:highlight w:val="none"/>
                    </w:rPr>
                  </w:pPr>
                  <w:r>
                    <w:rPr>
                      <w:color w:val="auto"/>
                      <w:kern w:val="0"/>
                      <w:highlight w:val="none"/>
                    </w:rPr>
                    <w:t>45.0</w:t>
                  </w:r>
                </w:p>
              </w:tc>
              <w:tc>
                <w:tcPr>
                  <w:tcW w:w="422" w:type="pct"/>
                  <w:vAlign w:val="center"/>
                </w:tcPr>
                <w:p w14:paraId="32B63965">
                  <w:pPr>
                    <w:adjustRightInd w:val="0"/>
                    <w:snapToGrid w:val="0"/>
                    <w:spacing w:before="24" w:beforeLines="10" w:after="24" w:afterLines="10" w:line="240" w:lineRule="atLeast"/>
                    <w:jc w:val="center"/>
                    <w:rPr>
                      <w:color w:val="auto"/>
                      <w:kern w:val="0"/>
                      <w:highlight w:val="none"/>
                    </w:rPr>
                  </w:pPr>
                  <w:r>
                    <w:rPr>
                      <w:color w:val="auto"/>
                      <w:kern w:val="0"/>
                      <w:highlight w:val="none"/>
                    </w:rPr>
                    <w:t>43.0</w:t>
                  </w:r>
                </w:p>
              </w:tc>
              <w:tc>
                <w:tcPr>
                  <w:tcW w:w="744" w:type="pct"/>
                  <w:vAlign w:val="center"/>
                </w:tcPr>
                <w:p w14:paraId="13C49789">
                  <w:pPr>
                    <w:adjustRightInd w:val="0"/>
                    <w:snapToGrid w:val="0"/>
                    <w:spacing w:line="240" w:lineRule="atLeast"/>
                    <w:jc w:val="center"/>
                    <w:rPr>
                      <w:color w:val="auto"/>
                      <w:kern w:val="0"/>
                      <w:highlight w:val="none"/>
                    </w:rPr>
                  </w:pPr>
                  <w:r>
                    <w:rPr>
                      <w:color w:val="auto"/>
                      <w:kern w:val="0"/>
                      <w:highlight w:val="none"/>
                    </w:rPr>
                    <w:t>23m</w:t>
                  </w:r>
                </w:p>
              </w:tc>
              <w:tc>
                <w:tcPr>
                  <w:tcW w:w="745" w:type="pct"/>
                  <w:vAlign w:val="center"/>
                </w:tcPr>
                <w:p w14:paraId="77F60CF3">
                  <w:pPr>
                    <w:adjustRightInd w:val="0"/>
                    <w:snapToGrid w:val="0"/>
                    <w:spacing w:line="240" w:lineRule="atLeast"/>
                    <w:jc w:val="center"/>
                    <w:rPr>
                      <w:color w:val="auto"/>
                      <w:kern w:val="0"/>
                      <w:highlight w:val="none"/>
                    </w:rPr>
                  </w:pPr>
                  <w:r>
                    <w:rPr>
                      <w:color w:val="auto"/>
                      <w:kern w:val="0"/>
                      <w:highlight w:val="none"/>
                    </w:rPr>
                    <w:t>127m</w:t>
                  </w:r>
                </w:p>
              </w:tc>
            </w:tr>
            <w:tr w14:paraId="1681FD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58" w:type="pct"/>
                  <w:vAlign w:val="center"/>
                </w:tcPr>
                <w:p w14:paraId="1E5E3D0C">
                  <w:pPr>
                    <w:adjustRightInd w:val="0"/>
                    <w:snapToGrid w:val="0"/>
                    <w:spacing w:before="24" w:beforeLines="10" w:after="24" w:afterLines="10" w:line="240" w:lineRule="atLeast"/>
                    <w:jc w:val="center"/>
                    <w:rPr>
                      <w:color w:val="auto"/>
                      <w:kern w:val="0"/>
                      <w:highlight w:val="none"/>
                    </w:rPr>
                  </w:pPr>
                  <w:r>
                    <w:rPr>
                      <w:color w:val="auto"/>
                      <w:kern w:val="0"/>
                      <w:highlight w:val="none"/>
                    </w:rPr>
                    <w:t>挖土机</w:t>
                  </w:r>
                </w:p>
              </w:tc>
              <w:tc>
                <w:tcPr>
                  <w:tcW w:w="669" w:type="pct"/>
                  <w:vAlign w:val="center"/>
                </w:tcPr>
                <w:p w14:paraId="2058C96E">
                  <w:pPr>
                    <w:adjustRightInd w:val="0"/>
                    <w:snapToGrid w:val="0"/>
                    <w:spacing w:before="24" w:beforeLines="10" w:after="24" w:afterLines="10" w:line="240" w:lineRule="atLeast"/>
                    <w:jc w:val="center"/>
                    <w:rPr>
                      <w:color w:val="auto"/>
                      <w:kern w:val="0"/>
                      <w:highlight w:val="none"/>
                    </w:rPr>
                  </w:pPr>
                  <w:r>
                    <w:rPr>
                      <w:color w:val="auto"/>
                      <w:kern w:val="0"/>
                      <w:highlight w:val="none"/>
                    </w:rPr>
                    <w:t>105</w:t>
                  </w:r>
                </w:p>
              </w:tc>
              <w:tc>
                <w:tcPr>
                  <w:tcW w:w="416" w:type="pct"/>
                  <w:vAlign w:val="center"/>
                </w:tcPr>
                <w:p w14:paraId="09345329">
                  <w:pPr>
                    <w:adjustRightInd w:val="0"/>
                    <w:snapToGrid w:val="0"/>
                    <w:spacing w:before="24" w:beforeLines="10" w:after="24" w:afterLines="10" w:line="240" w:lineRule="atLeast"/>
                    <w:jc w:val="center"/>
                    <w:rPr>
                      <w:color w:val="auto"/>
                      <w:kern w:val="0"/>
                      <w:highlight w:val="none"/>
                    </w:rPr>
                  </w:pPr>
                  <w:r>
                    <w:rPr>
                      <w:color w:val="auto"/>
                      <w:kern w:val="0"/>
                      <w:highlight w:val="none"/>
                    </w:rPr>
                    <w:t>57.0</w:t>
                  </w:r>
                </w:p>
              </w:tc>
              <w:tc>
                <w:tcPr>
                  <w:tcW w:w="416" w:type="pct"/>
                  <w:vAlign w:val="center"/>
                </w:tcPr>
                <w:p w14:paraId="37670956">
                  <w:pPr>
                    <w:adjustRightInd w:val="0"/>
                    <w:snapToGrid w:val="0"/>
                    <w:spacing w:before="24" w:beforeLines="10" w:after="24" w:afterLines="10" w:line="240" w:lineRule="atLeast"/>
                    <w:jc w:val="center"/>
                    <w:rPr>
                      <w:color w:val="auto"/>
                      <w:kern w:val="0"/>
                      <w:highlight w:val="none"/>
                    </w:rPr>
                  </w:pPr>
                  <w:r>
                    <w:rPr>
                      <w:color w:val="auto"/>
                      <w:kern w:val="0"/>
                      <w:highlight w:val="none"/>
                    </w:rPr>
                    <w:t>51.0</w:t>
                  </w:r>
                </w:p>
              </w:tc>
              <w:tc>
                <w:tcPr>
                  <w:tcW w:w="416" w:type="pct"/>
                  <w:vAlign w:val="center"/>
                </w:tcPr>
                <w:p w14:paraId="06DDFFFD">
                  <w:pPr>
                    <w:adjustRightInd w:val="0"/>
                    <w:snapToGrid w:val="0"/>
                    <w:spacing w:before="24" w:beforeLines="10" w:after="24" w:afterLines="10" w:line="240" w:lineRule="atLeast"/>
                    <w:jc w:val="center"/>
                    <w:rPr>
                      <w:color w:val="auto"/>
                      <w:kern w:val="0"/>
                      <w:highlight w:val="none"/>
                    </w:rPr>
                  </w:pPr>
                  <w:r>
                    <w:rPr>
                      <w:color w:val="auto"/>
                      <w:kern w:val="0"/>
                      <w:highlight w:val="none"/>
                    </w:rPr>
                    <w:t>47.5</w:t>
                  </w:r>
                </w:p>
              </w:tc>
              <w:tc>
                <w:tcPr>
                  <w:tcW w:w="415" w:type="pct"/>
                  <w:vAlign w:val="center"/>
                </w:tcPr>
                <w:p w14:paraId="0DB234ED">
                  <w:pPr>
                    <w:adjustRightInd w:val="0"/>
                    <w:snapToGrid w:val="0"/>
                    <w:spacing w:before="24" w:beforeLines="10" w:after="24" w:afterLines="10" w:line="240" w:lineRule="atLeast"/>
                    <w:jc w:val="center"/>
                    <w:rPr>
                      <w:color w:val="auto"/>
                      <w:kern w:val="0"/>
                      <w:highlight w:val="none"/>
                    </w:rPr>
                  </w:pPr>
                  <w:r>
                    <w:rPr>
                      <w:color w:val="auto"/>
                      <w:kern w:val="0"/>
                      <w:highlight w:val="none"/>
                    </w:rPr>
                    <w:t>45.0</w:t>
                  </w:r>
                </w:p>
              </w:tc>
              <w:tc>
                <w:tcPr>
                  <w:tcW w:w="422" w:type="pct"/>
                  <w:vAlign w:val="center"/>
                </w:tcPr>
                <w:p w14:paraId="08A51B6D">
                  <w:pPr>
                    <w:adjustRightInd w:val="0"/>
                    <w:snapToGrid w:val="0"/>
                    <w:spacing w:before="24" w:beforeLines="10" w:after="24" w:afterLines="10" w:line="240" w:lineRule="atLeast"/>
                    <w:jc w:val="center"/>
                    <w:rPr>
                      <w:color w:val="auto"/>
                      <w:kern w:val="0"/>
                      <w:highlight w:val="none"/>
                    </w:rPr>
                  </w:pPr>
                  <w:r>
                    <w:rPr>
                      <w:color w:val="auto"/>
                      <w:kern w:val="0"/>
                      <w:highlight w:val="none"/>
                    </w:rPr>
                    <w:t>43.0</w:t>
                  </w:r>
                </w:p>
              </w:tc>
              <w:tc>
                <w:tcPr>
                  <w:tcW w:w="744" w:type="pct"/>
                  <w:vAlign w:val="center"/>
                </w:tcPr>
                <w:p w14:paraId="4119E855">
                  <w:pPr>
                    <w:adjustRightInd w:val="0"/>
                    <w:snapToGrid w:val="0"/>
                    <w:spacing w:line="240" w:lineRule="atLeast"/>
                    <w:jc w:val="center"/>
                    <w:rPr>
                      <w:color w:val="auto"/>
                      <w:kern w:val="0"/>
                      <w:highlight w:val="none"/>
                    </w:rPr>
                  </w:pPr>
                  <w:r>
                    <w:rPr>
                      <w:color w:val="auto"/>
                      <w:kern w:val="0"/>
                      <w:highlight w:val="none"/>
                    </w:rPr>
                    <w:t>23m</w:t>
                  </w:r>
                </w:p>
              </w:tc>
              <w:tc>
                <w:tcPr>
                  <w:tcW w:w="745" w:type="pct"/>
                  <w:vAlign w:val="center"/>
                </w:tcPr>
                <w:p w14:paraId="19F2E683">
                  <w:pPr>
                    <w:adjustRightInd w:val="0"/>
                    <w:snapToGrid w:val="0"/>
                    <w:spacing w:line="240" w:lineRule="atLeast"/>
                    <w:jc w:val="center"/>
                    <w:rPr>
                      <w:color w:val="auto"/>
                      <w:kern w:val="0"/>
                      <w:highlight w:val="none"/>
                    </w:rPr>
                  </w:pPr>
                  <w:r>
                    <w:rPr>
                      <w:color w:val="auto"/>
                      <w:kern w:val="0"/>
                      <w:highlight w:val="none"/>
                    </w:rPr>
                    <w:t>127m</w:t>
                  </w:r>
                </w:p>
              </w:tc>
            </w:tr>
            <w:tr w14:paraId="7E2434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8" w:type="pct"/>
                  <w:vAlign w:val="center"/>
                </w:tcPr>
                <w:p w14:paraId="13D647F9">
                  <w:pPr>
                    <w:adjustRightInd w:val="0"/>
                    <w:snapToGrid w:val="0"/>
                    <w:spacing w:before="24" w:beforeLines="10" w:after="24" w:afterLines="10" w:line="240" w:lineRule="atLeast"/>
                    <w:jc w:val="center"/>
                    <w:rPr>
                      <w:color w:val="auto"/>
                      <w:kern w:val="0"/>
                      <w:highlight w:val="none"/>
                    </w:rPr>
                  </w:pPr>
                  <w:r>
                    <w:rPr>
                      <w:color w:val="auto"/>
                      <w:kern w:val="0"/>
                      <w:highlight w:val="none"/>
                    </w:rPr>
                    <w:t>推土机</w:t>
                  </w:r>
                </w:p>
              </w:tc>
              <w:tc>
                <w:tcPr>
                  <w:tcW w:w="669" w:type="pct"/>
                  <w:vAlign w:val="center"/>
                </w:tcPr>
                <w:p w14:paraId="1E93EA49">
                  <w:pPr>
                    <w:adjustRightInd w:val="0"/>
                    <w:snapToGrid w:val="0"/>
                    <w:spacing w:before="24" w:beforeLines="10" w:after="24" w:afterLines="10" w:line="240" w:lineRule="atLeast"/>
                    <w:jc w:val="center"/>
                    <w:rPr>
                      <w:color w:val="auto"/>
                      <w:kern w:val="0"/>
                      <w:highlight w:val="none"/>
                    </w:rPr>
                  </w:pPr>
                  <w:r>
                    <w:rPr>
                      <w:color w:val="auto"/>
                      <w:kern w:val="0"/>
                      <w:highlight w:val="none"/>
                    </w:rPr>
                    <w:t>100</w:t>
                  </w:r>
                </w:p>
              </w:tc>
              <w:tc>
                <w:tcPr>
                  <w:tcW w:w="416" w:type="pct"/>
                  <w:vAlign w:val="center"/>
                </w:tcPr>
                <w:p w14:paraId="2B8FA94B">
                  <w:pPr>
                    <w:adjustRightInd w:val="0"/>
                    <w:snapToGrid w:val="0"/>
                    <w:spacing w:before="24" w:beforeLines="10" w:after="24" w:afterLines="10" w:line="240" w:lineRule="atLeast"/>
                    <w:jc w:val="center"/>
                    <w:rPr>
                      <w:color w:val="auto"/>
                      <w:kern w:val="0"/>
                      <w:highlight w:val="none"/>
                    </w:rPr>
                  </w:pPr>
                  <w:r>
                    <w:rPr>
                      <w:color w:val="auto"/>
                      <w:kern w:val="0"/>
                      <w:highlight w:val="none"/>
                    </w:rPr>
                    <w:t>52.0</w:t>
                  </w:r>
                </w:p>
              </w:tc>
              <w:tc>
                <w:tcPr>
                  <w:tcW w:w="416" w:type="pct"/>
                  <w:vAlign w:val="center"/>
                </w:tcPr>
                <w:p w14:paraId="415E739E">
                  <w:pPr>
                    <w:adjustRightInd w:val="0"/>
                    <w:snapToGrid w:val="0"/>
                    <w:spacing w:before="24" w:beforeLines="10" w:after="24" w:afterLines="10" w:line="240" w:lineRule="atLeast"/>
                    <w:jc w:val="center"/>
                    <w:rPr>
                      <w:color w:val="auto"/>
                      <w:kern w:val="0"/>
                      <w:highlight w:val="none"/>
                    </w:rPr>
                  </w:pPr>
                  <w:r>
                    <w:rPr>
                      <w:color w:val="auto"/>
                      <w:kern w:val="0"/>
                      <w:highlight w:val="none"/>
                    </w:rPr>
                    <w:t>46.0</w:t>
                  </w:r>
                </w:p>
              </w:tc>
              <w:tc>
                <w:tcPr>
                  <w:tcW w:w="416" w:type="pct"/>
                  <w:vAlign w:val="center"/>
                </w:tcPr>
                <w:p w14:paraId="5F865847">
                  <w:pPr>
                    <w:adjustRightInd w:val="0"/>
                    <w:snapToGrid w:val="0"/>
                    <w:spacing w:before="24" w:beforeLines="10" w:after="24" w:afterLines="10" w:line="240" w:lineRule="atLeast"/>
                    <w:jc w:val="center"/>
                    <w:rPr>
                      <w:color w:val="auto"/>
                      <w:kern w:val="0"/>
                      <w:highlight w:val="none"/>
                    </w:rPr>
                  </w:pPr>
                  <w:r>
                    <w:rPr>
                      <w:color w:val="auto"/>
                      <w:kern w:val="0"/>
                      <w:highlight w:val="none"/>
                    </w:rPr>
                    <w:t>42.5</w:t>
                  </w:r>
                </w:p>
              </w:tc>
              <w:tc>
                <w:tcPr>
                  <w:tcW w:w="415" w:type="pct"/>
                  <w:vAlign w:val="center"/>
                </w:tcPr>
                <w:p w14:paraId="3FF57A81">
                  <w:pPr>
                    <w:adjustRightInd w:val="0"/>
                    <w:snapToGrid w:val="0"/>
                    <w:spacing w:before="24" w:beforeLines="10" w:after="24" w:afterLines="10" w:line="240" w:lineRule="atLeast"/>
                    <w:jc w:val="center"/>
                    <w:rPr>
                      <w:color w:val="auto"/>
                      <w:kern w:val="0"/>
                      <w:highlight w:val="none"/>
                    </w:rPr>
                  </w:pPr>
                  <w:r>
                    <w:rPr>
                      <w:color w:val="auto"/>
                      <w:kern w:val="0"/>
                      <w:highlight w:val="none"/>
                    </w:rPr>
                    <w:t>40.0</w:t>
                  </w:r>
                </w:p>
              </w:tc>
              <w:tc>
                <w:tcPr>
                  <w:tcW w:w="422" w:type="pct"/>
                  <w:vAlign w:val="center"/>
                </w:tcPr>
                <w:p w14:paraId="4769711E">
                  <w:pPr>
                    <w:adjustRightInd w:val="0"/>
                    <w:snapToGrid w:val="0"/>
                    <w:spacing w:before="24" w:beforeLines="10" w:after="24" w:afterLines="10" w:line="240" w:lineRule="atLeast"/>
                    <w:jc w:val="center"/>
                    <w:rPr>
                      <w:color w:val="auto"/>
                      <w:kern w:val="0"/>
                      <w:highlight w:val="none"/>
                    </w:rPr>
                  </w:pPr>
                  <w:r>
                    <w:rPr>
                      <w:color w:val="auto"/>
                      <w:kern w:val="0"/>
                      <w:highlight w:val="none"/>
                    </w:rPr>
                    <w:t>38.0</w:t>
                  </w:r>
                </w:p>
              </w:tc>
              <w:tc>
                <w:tcPr>
                  <w:tcW w:w="744" w:type="pct"/>
                  <w:vAlign w:val="center"/>
                </w:tcPr>
                <w:p w14:paraId="332565F7">
                  <w:pPr>
                    <w:adjustRightInd w:val="0"/>
                    <w:snapToGrid w:val="0"/>
                    <w:spacing w:line="240" w:lineRule="atLeast"/>
                    <w:jc w:val="center"/>
                    <w:rPr>
                      <w:color w:val="auto"/>
                      <w:kern w:val="0"/>
                      <w:highlight w:val="none"/>
                    </w:rPr>
                  </w:pPr>
                  <w:r>
                    <w:rPr>
                      <w:color w:val="auto"/>
                      <w:kern w:val="0"/>
                      <w:highlight w:val="none"/>
                    </w:rPr>
                    <w:t>13m</w:t>
                  </w:r>
                </w:p>
              </w:tc>
              <w:tc>
                <w:tcPr>
                  <w:tcW w:w="745" w:type="pct"/>
                  <w:vAlign w:val="center"/>
                </w:tcPr>
                <w:p w14:paraId="3CC574F2">
                  <w:pPr>
                    <w:adjustRightInd w:val="0"/>
                    <w:snapToGrid w:val="0"/>
                    <w:spacing w:line="240" w:lineRule="atLeast"/>
                    <w:jc w:val="center"/>
                    <w:rPr>
                      <w:color w:val="auto"/>
                      <w:kern w:val="0"/>
                      <w:highlight w:val="none"/>
                    </w:rPr>
                  </w:pPr>
                  <w:r>
                    <w:rPr>
                      <w:color w:val="auto"/>
                      <w:kern w:val="0"/>
                      <w:highlight w:val="none"/>
                    </w:rPr>
                    <w:t>71m</w:t>
                  </w:r>
                </w:p>
              </w:tc>
            </w:tr>
            <w:tr w14:paraId="6E94E7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8" w:type="pct"/>
                  <w:vAlign w:val="center"/>
                </w:tcPr>
                <w:p w14:paraId="4E0FD0E6">
                  <w:pPr>
                    <w:adjustRightInd w:val="0"/>
                    <w:snapToGrid w:val="0"/>
                    <w:spacing w:before="24" w:beforeLines="10" w:after="24" w:afterLines="10" w:line="240" w:lineRule="atLeast"/>
                    <w:jc w:val="center"/>
                    <w:rPr>
                      <w:color w:val="auto"/>
                      <w:kern w:val="0"/>
                      <w:highlight w:val="none"/>
                    </w:rPr>
                  </w:pPr>
                  <w:r>
                    <w:rPr>
                      <w:color w:val="auto"/>
                      <w:kern w:val="0"/>
                      <w:highlight w:val="none"/>
                    </w:rPr>
                    <w:t>装载机</w:t>
                  </w:r>
                </w:p>
              </w:tc>
              <w:tc>
                <w:tcPr>
                  <w:tcW w:w="669" w:type="pct"/>
                  <w:vAlign w:val="center"/>
                </w:tcPr>
                <w:p w14:paraId="4FCDEF2E">
                  <w:pPr>
                    <w:adjustRightInd w:val="0"/>
                    <w:snapToGrid w:val="0"/>
                    <w:spacing w:before="24" w:beforeLines="10" w:after="24" w:afterLines="10" w:line="240" w:lineRule="atLeast"/>
                    <w:jc w:val="center"/>
                    <w:rPr>
                      <w:color w:val="auto"/>
                      <w:kern w:val="0"/>
                      <w:highlight w:val="none"/>
                    </w:rPr>
                  </w:pPr>
                  <w:r>
                    <w:rPr>
                      <w:color w:val="auto"/>
                      <w:kern w:val="0"/>
                      <w:highlight w:val="none"/>
                    </w:rPr>
                    <w:t>100</w:t>
                  </w:r>
                </w:p>
              </w:tc>
              <w:tc>
                <w:tcPr>
                  <w:tcW w:w="416" w:type="pct"/>
                  <w:vAlign w:val="center"/>
                </w:tcPr>
                <w:p w14:paraId="2A5D9992">
                  <w:pPr>
                    <w:adjustRightInd w:val="0"/>
                    <w:snapToGrid w:val="0"/>
                    <w:spacing w:before="24" w:beforeLines="10" w:after="24" w:afterLines="10" w:line="240" w:lineRule="atLeast"/>
                    <w:jc w:val="center"/>
                    <w:rPr>
                      <w:color w:val="auto"/>
                      <w:kern w:val="0"/>
                      <w:highlight w:val="none"/>
                    </w:rPr>
                  </w:pPr>
                  <w:r>
                    <w:rPr>
                      <w:color w:val="auto"/>
                      <w:kern w:val="0"/>
                      <w:highlight w:val="none"/>
                    </w:rPr>
                    <w:t>52.0</w:t>
                  </w:r>
                </w:p>
              </w:tc>
              <w:tc>
                <w:tcPr>
                  <w:tcW w:w="416" w:type="pct"/>
                  <w:vAlign w:val="center"/>
                </w:tcPr>
                <w:p w14:paraId="63D9320E">
                  <w:pPr>
                    <w:adjustRightInd w:val="0"/>
                    <w:snapToGrid w:val="0"/>
                    <w:spacing w:before="24" w:beforeLines="10" w:after="24" w:afterLines="10" w:line="240" w:lineRule="atLeast"/>
                    <w:jc w:val="center"/>
                    <w:rPr>
                      <w:color w:val="auto"/>
                      <w:kern w:val="0"/>
                      <w:highlight w:val="none"/>
                    </w:rPr>
                  </w:pPr>
                  <w:r>
                    <w:rPr>
                      <w:color w:val="auto"/>
                      <w:kern w:val="0"/>
                      <w:highlight w:val="none"/>
                    </w:rPr>
                    <w:t>46.0</w:t>
                  </w:r>
                </w:p>
              </w:tc>
              <w:tc>
                <w:tcPr>
                  <w:tcW w:w="416" w:type="pct"/>
                  <w:vAlign w:val="center"/>
                </w:tcPr>
                <w:p w14:paraId="1E622FE2">
                  <w:pPr>
                    <w:adjustRightInd w:val="0"/>
                    <w:snapToGrid w:val="0"/>
                    <w:spacing w:before="24" w:beforeLines="10" w:after="24" w:afterLines="10" w:line="240" w:lineRule="atLeast"/>
                    <w:jc w:val="center"/>
                    <w:rPr>
                      <w:color w:val="auto"/>
                      <w:kern w:val="0"/>
                      <w:highlight w:val="none"/>
                    </w:rPr>
                  </w:pPr>
                  <w:r>
                    <w:rPr>
                      <w:color w:val="auto"/>
                      <w:kern w:val="0"/>
                      <w:highlight w:val="none"/>
                    </w:rPr>
                    <w:t>42.5</w:t>
                  </w:r>
                </w:p>
              </w:tc>
              <w:tc>
                <w:tcPr>
                  <w:tcW w:w="415" w:type="pct"/>
                  <w:vAlign w:val="center"/>
                </w:tcPr>
                <w:p w14:paraId="37D3C10D">
                  <w:pPr>
                    <w:adjustRightInd w:val="0"/>
                    <w:snapToGrid w:val="0"/>
                    <w:spacing w:before="24" w:beforeLines="10" w:after="24" w:afterLines="10" w:line="240" w:lineRule="atLeast"/>
                    <w:jc w:val="center"/>
                    <w:rPr>
                      <w:color w:val="auto"/>
                      <w:kern w:val="0"/>
                      <w:highlight w:val="none"/>
                    </w:rPr>
                  </w:pPr>
                  <w:r>
                    <w:rPr>
                      <w:color w:val="auto"/>
                      <w:kern w:val="0"/>
                      <w:highlight w:val="none"/>
                    </w:rPr>
                    <w:t>40.0</w:t>
                  </w:r>
                </w:p>
              </w:tc>
              <w:tc>
                <w:tcPr>
                  <w:tcW w:w="422" w:type="pct"/>
                  <w:vAlign w:val="center"/>
                </w:tcPr>
                <w:p w14:paraId="51A1E24B">
                  <w:pPr>
                    <w:adjustRightInd w:val="0"/>
                    <w:snapToGrid w:val="0"/>
                    <w:spacing w:before="24" w:beforeLines="10" w:after="24" w:afterLines="10" w:line="240" w:lineRule="atLeast"/>
                    <w:jc w:val="center"/>
                    <w:rPr>
                      <w:color w:val="auto"/>
                      <w:kern w:val="0"/>
                      <w:highlight w:val="none"/>
                    </w:rPr>
                  </w:pPr>
                  <w:r>
                    <w:rPr>
                      <w:color w:val="auto"/>
                      <w:kern w:val="0"/>
                      <w:highlight w:val="none"/>
                    </w:rPr>
                    <w:t>38.0</w:t>
                  </w:r>
                </w:p>
              </w:tc>
              <w:tc>
                <w:tcPr>
                  <w:tcW w:w="744" w:type="pct"/>
                  <w:vAlign w:val="center"/>
                </w:tcPr>
                <w:p w14:paraId="4A733787">
                  <w:pPr>
                    <w:adjustRightInd w:val="0"/>
                    <w:snapToGrid w:val="0"/>
                    <w:spacing w:line="240" w:lineRule="atLeast"/>
                    <w:jc w:val="center"/>
                    <w:rPr>
                      <w:color w:val="auto"/>
                      <w:kern w:val="0"/>
                      <w:highlight w:val="none"/>
                    </w:rPr>
                  </w:pPr>
                  <w:r>
                    <w:rPr>
                      <w:color w:val="auto"/>
                      <w:kern w:val="0"/>
                      <w:highlight w:val="none"/>
                    </w:rPr>
                    <w:t>13m</w:t>
                  </w:r>
                </w:p>
              </w:tc>
              <w:tc>
                <w:tcPr>
                  <w:tcW w:w="745" w:type="pct"/>
                  <w:vAlign w:val="center"/>
                </w:tcPr>
                <w:p w14:paraId="41261F8B">
                  <w:pPr>
                    <w:adjustRightInd w:val="0"/>
                    <w:snapToGrid w:val="0"/>
                    <w:spacing w:line="240" w:lineRule="atLeast"/>
                    <w:jc w:val="center"/>
                    <w:rPr>
                      <w:color w:val="auto"/>
                      <w:kern w:val="0"/>
                      <w:highlight w:val="none"/>
                    </w:rPr>
                  </w:pPr>
                  <w:r>
                    <w:rPr>
                      <w:color w:val="auto"/>
                      <w:kern w:val="0"/>
                      <w:highlight w:val="none"/>
                    </w:rPr>
                    <w:t>71m</w:t>
                  </w:r>
                </w:p>
              </w:tc>
            </w:tr>
            <w:tr w14:paraId="74EC33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8" w:type="pct"/>
                  <w:vAlign w:val="center"/>
                </w:tcPr>
                <w:p w14:paraId="618B5277">
                  <w:pPr>
                    <w:adjustRightInd w:val="0"/>
                    <w:snapToGrid w:val="0"/>
                    <w:spacing w:before="24" w:beforeLines="10" w:after="24" w:afterLines="10" w:line="240" w:lineRule="atLeast"/>
                    <w:jc w:val="center"/>
                    <w:rPr>
                      <w:color w:val="auto"/>
                      <w:kern w:val="0"/>
                      <w:highlight w:val="none"/>
                    </w:rPr>
                  </w:pPr>
                  <w:r>
                    <w:rPr>
                      <w:color w:val="auto"/>
                      <w:kern w:val="0"/>
                      <w:highlight w:val="none"/>
                    </w:rPr>
                    <w:t>压实机</w:t>
                  </w:r>
                </w:p>
              </w:tc>
              <w:tc>
                <w:tcPr>
                  <w:tcW w:w="669" w:type="pct"/>
                  <w:vAlign w:val="center"/>
                </w:tcPr>
                <w:p w14:paraId="38E7958B">
                  <w:pPr>
                    <w:adjustRightInd w:val="0"/>
                    <w:snapToGrid w:val="0"/>
                    <w:spacing w:before="24" w:beforeLines="10" w:after="24" w:afterLines="10" w:line="240" w:lineRule="atLeast"/>
                    <w:jc w:val="center"/>
                    <w:rPr>
                      <w:color w:val="auto"/>
                      <w:kern w:val="0"/>
                      <w:highlight w:val="none"/>
                    </w:rPr>
                  </w:pPr>
                  <w:r>
                    <w:rPr>
                      <w:color w:val="auto"/>
                      <w:kern w:val="0"/>
                      <w:highlight w:val="none"/>
                    </w:rPr>
                    <w:t>95</w:t>
                  </w:r>
                </w:p>
              </w:tc>
              <w:tc>
                <w:tcPr>
                  <w:tcW w:w="416" w:type="pct"/>
                  <w:vAlign w:val="center"/>
                </w:tcPr>
                <w:p w14:paraId="2760C812">
                  <w:pPr>
                    <w:adjustRightInd w:val="0"/>
                    <w:snapToGrid w:val="0"/>
                    <w:spacing w:before="24" w:beforeLines="10" w:after="24" w:afterLines="10" w:line="240" w:lineRule="atLeast"/>
                    <w:jc w:val="center"/>
                    <w:rPr>
                      <w:color w:val="auto"/>
                      <w:kern w:val="0"/>
                      <w:highlight w:val="none"/>
                    </w:rPr>
                  </w:pPr>
                  <w:r>
                    <w:rPr>
                      <w:color w:val="auto"/>
                      <w:kern w:val="0"/>
                      <w:highlight w:val="none"/>
                    </w:rPr>
                    <w:t>47.0</w:t>
                  </w:r>
                </w:p>
              </w:tc>
              <w:tc>
                <w:tcPr>
                  <w:tcW w:w="416" w:type="pct"/>
                  <w:vAlign w:val="center"/>
                </w:tcPr>
                <w:p w14:paraId="46E81475">
                  <w:pPr>
                    <w:adjustRightInd w:val="0"/>
                    <w:snapToGrid w:val="0"/>
                    <w:spacing w:before="24" w:beforeLines="10" w:after="24" w:afterLines="10" w:line="240" w:lineRule="atLeast"/>
                    <w:jc w:val="center"/>
                    <w:rPr>
                      <w:color w:val="auto"/>
                      <w:kern w:val="0"/>
                      <w:highlight w:val="none"/>
                    </w:rPr>
                  </w:pPr>
                  <w:r>
                    <w:rPr>
                      <w:color w:val="auto"/>
                      <w:kern w:val="0"/>
                      <w:highlight w:val="none"/>
                    </w:rPr>
                    <w:t>41.0</w:t>
                  </w:r>
                </w:p>
              </w:tc>
              <w:tc>
                <w:tcPr>
                  <w:tcW w:w="416" w:type="pct"/>
                  <w:vAlign w:val="center"/>
                </w:tcPr>
                <w:p w14:paraId="5065B601">
                  <w:pPr>
                    <w:adjustRightInd w:val="0"/>
                    <w:snapToGrid w:val="0"/>
                    <w:spacing w:before="24" w:beforeLines="10" w:after="24" w:afterLines="10" w:line="240" w:lineRule="atLeast"/>
                    <w:jc w:val="center"/>
                    <w:rPr>
                      <w:color w:val="auto"/>
                      <w:kern w:val="0"/>
                      <w:highlight w:val="none"/>
                    </w:rPr>
                  </w:pPr>
                  <w:r>
                    <w:rPr>
                      <w:color w:val="auto"/>
                      <w:kern w:val="0"/>
                      <w:highlight w:val="none"/>
                    </w:rPr>
                    <w:t>37.5</w:t>
                  </w:r>
                </w:p>
              </w:tc>
              <w:tc>
                <w:tcPr>
                  <w:tcW w:w="415" w:type="pct"/>
                  <w:vAlign w:val="center"/>
                </w:tcPr>
                <w:p w14:paraId="6904149C">
                  <w:pPr>
                    <w:adjustRightInd w:val="0"/>
                    <w:snapToGrid w:val="0"/>
                    <w:spacing w:before="24" w:beforeLines="10" w:after="24" w:afterLines="10" w:line="240" w:lineRule="atLeast"/>
                    <w:jc w:val="center"/>
                    <w:rPr>
                      <w:color w:val="auto"/>
                      <w:kern w:val="0"/>
                      <w:highlight w:val="none"/>
                    </w:rPr>
                  </w:pPr>
                  <w:r>
                    <w:rPr>
                      <w:color w:val="auto"/>
                      <w:kern w:val="0"/>
                      <w:highlight w:val="none"/>
                    </w:rPr>
                    <w:t>35.0</w:t>
                  </w:r>
                </w:p>
              </w:tc>
              <w:tc>
                <w:tcPr>
                  <w:tcW w:w="422" w:type="pct"/>
                  <w:vAlign w:val="center"/>
                </w:tcPr>
                <w:p w14:paraId="5C97931D">
                  <w:pPr>
                    <w:adjustRightInd w:val="0"/>
                    <w:snapToGrid w:val="0"/>
                    <w:spacing w:before="24" w:beforeLines="10" w:after="24" w:afterLines="10" w:line="240" w:lineRule="atLeast"/>
                    <w:jc w:val="center"/>
                    <w:rPr>
                      <w:color w:val="auto"/>
                      <w:kern w:val="0"/>
                      <w:highlight w:val="none"/>
                    </w:rPr>
                  </w:pPr>
                  <w:r>
                    <w:rPr>
                      <w:color w:val="auto"/>
                      <w:kern w:val="0"/>
                      <w:highlight w:val="none"/>
                    </w:rPr>
                    <w:t>33.0</w:t>
                  </w:r>
                </w:p>
              </w:tc>
              <w:tc>
                <w:tcPr>
                  <w:tcW w:w="744" w:type="pct"/>
                  <w:vAlign w:val="center"/>
                </w:tcPr>
                <w:p w14:paraId="3DF3B5B3">
                  <w:pPr>
                    <w:adjustRightInd w:val="0"/>
                    <w:snapToGrid w:val="0"/>
                    <w:spacing w:line="240" w:lineRule="atLeast"/>
                    <w:jc w:val="center"/>
                    <w:rPr>
                      <w:color w:val="auto"/>
                      <w:kern w:val="0"/>
                      <w:highlight w:val="none"/>
                    </w:rPr>
                  </w:pPr>
                  <w:r>
                    <w:rPr>
                      <w:color w:val="auto"/>
                      <w:kern w:val="0"/>
                      <w:highlight w:val="none"/>
                    </w:rPr>
                    <w:t>7m</w:t>
                  </w:r>
                </w:p>
              </w:tc>
              <w:tc>
                <w:tcPr>
                  <w:tcW w:w="745" w:type="pct"/>
                  <w:vAlign w:val="center"/>
                </w:tcPr>
                <w:p w14:paraId="498E58A9">
                  <w:pPr>
                    <w:adjustRightInd w:val="0"/>
                    <w:snapToGrid w:val="0"/>
                    <w:spacing w:line="240" w:lineRule="atLeast"/>
                    <w:jc w:val="center"/>
                    <w:rPr>
                      <w:color w:val="auto"/>
                      <w:kern w:val="0"/>
                      <w:highlight w:val="none"/>
                    </w:rPr>
                  </w:pPr>
                  <w:r>
                    <w:rPr>
                      <w:color w:val="auto"/>
                      <w:kern w:val="0"/>
                      <w:highlight w:val="none"/>
                    </w:rPr>
                    <w:t>40m</w:t>
                  </w:r>
                </w:p>
              </w:tc>
            </w:tr>
            <w:tr w14:paraId="2C8075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58" w:type="pct"/>
                  <w:vAlign w:val="center"/>
                </w:tcPr>
                <w:p w14:paraId="2490A71F">
                  <w:pPr>
                    <w:adjustRightInd w:val="0"/>
                    <w:snapToGrid w:val="0"/>
                    <w:spacing w:before="24" w:beforeLines="10" w:after="24" w:afterLines="10" w:line="240" w:lineRule="atLeast"/>
                    <w:jc w:val="center"/>
                    <w:rPr>
                      <w:color w:val="auto"/>
                      <w:kern w:val="0"/>
                      <w:highlight w:val="none"/>
                    </w:rPr>
                  </w:pPr>
                  <w:r>
                    <w:rPr>
                      <w:color w:val="auto"/>
                      <w:kern w:val="0"/>
                      <w:highlight w:val="none"/>
                    </w:rPr>
                    <w:t>振捣棒</w:t>
                  </w:r>
                </w:p>
              </w:tc>
              <w:tc>
                <w:tcPr>
                  <w:tcW w:w="669" w:type="pct"/>
                  <w:vAlign w:val="center"/>
                </w:tcPr>
                <w:p w14:paraId="5C6827B4">
                  <w:pPr>
                    <w:adjustRightInd w:val="0"/>
                    <w:snapToGrid w:val="0"/>
                    <w:spacing w:before="24" w:beforeLines="10" w:after="24" w:afterLines="10" w:line="240" w:lineRule="atLeast"/>
                    <w:jc w:val="center"/>
                    <w:rPr>
                      <w:color w:val="auto"/>
                      <w:kern w:val="0"/>
                      <w:highlight w:val="none"/>
                    </w:rPr>
                  </w:pPr>
                  <w:r>
                    <w:rPr>
                      <w:color w:val="auto"/>
                      <w:kern w:val="0"/>
                      <w:highlight w:val="none"/>
                    </w:rPr>
                    <w:t>95</w:t>
                  </w:r>
                </w:p>
              </w:tc>
              <w:tc>
                <w:tcPr>
                  <w:tcW w:w="416" w:type="pct"/>
                  <w:vAlign w:val="center"/>
                </w:tcPr>
                <w:p w14:paraId="22C7FD42">
                  <w:pPr>
                    <w:adjustRightInd w:val="0"/>
                    <w:snapToGrid w:val="0"/>
                    <w:spacing w:before="24" w:beforeLines="10" w:after="24" w:afterLines="10" w:line="240" w:lineRule="atLeast"/>
                    <w:jc w:val="center"/>
                    <w:rPr>
                      <w:color w:val="auto"/>
                      <w:kern w:val="0"/>
                      <w:highlight w:val="none"/>
                    </w:rPr>
                  </w:pPr>
                  <w:r>
                    <w:rPr>
                      <w:color w:val="auto"/>
                      <w:kern w:val="0"/>
                      <w:highlight w:val="none"/>
                    </w:rPr>
                    <w:t>47.0</w:t>
                  </w:r>
                </w:p>
              </w:tc>
              <w:tc>
                <w:tcPr>
                  <w:tcW w:w="416" w:type="pct"/>
                  <w:vAlign w:val="center"/>
                </w:tcPr>
                <w:p w14:paraId="6D4B90C9">
                  <w:pPr>
                    <w:adjustRightInd w:val="0"/>
                    <w:snapToGrid w:val="0"/>
                    <w:spacing w:before="24" w:beforeLines="10" w:after="24" w:afterLines="10" w:line="240" w:lineRule="atLeast"/>
                    <w:jc w:val="center"/>
                    <w:rPr>
                      <w:color w:val="auto"/>
                      <w:kern w:val="0"/>
                      <w:highlight w:val="none"/>
                    </w:rPr>
                  </w:pPr>
                  <w:r>
                    <w:rPr>
                      <w:color w:val="auto"/>
                      <w:kern w:val="0"/>
                      <w:highlight w:val="none"/>
                    </w:rPr>
                    <w:t>41.0</w:t>
                  </w:r>
                </w:p>
              </w:tc>
              <w:tc>
                <w:tcPr>
                  <w:tcW w:w="416" w:type="pct"/>
                  <w:vAlign w:val="center"/>
                </w:tcPr>
                <w:p w14:paraId="06FE57A0">
                  <w:pPr>
                    <w:adjustRightInd w:val="0"/>
                    <w:snapToGrid w:val="0"/>
                    <w:spacing w:before="24" w:beforeLines="10" w:after="24" w:afterLines="10" w:line="240" w:lineRule="atLeast"/>
                    <w:jc w:val="center"/>
                    <w:rPr>
                      <w:color w:val="auto"/>
                      <w:kern w:val="0"/>
                      <w:highlight w:val="none"/>
                    </w:rPr>
                  </w:pPr>
                  <w:r>
                    <w:rPr>
                      <w:color w:val="auto"/>
                      <w:kern w:val="0"/>
                      <w:highlight w:val="none"/>
                    </w:rPr>
                    <w:t>37.5</w:t>
                  </w:r>
                </w:p>
              </w:tc>
              <w:tc>
                <w:tcPr>
                  <w:tcW w:w="415" w:type="pct"/>
                  <w:vAlign w:val="center"/>
                </w:tcPr>
                <w:p w14:paraId="6674381D">
                  <w:pPr>
                    <w:adjustRightInd w:val="0"/>
                    <w:snapToGrid w:val="0"/>
                    <w:spacing w:before="24" w:beforeLines="10" w:after="24" w:afterLines="10" w:line="240" w:lineRule="atLeast"/>
                    <w:jc w:val="center"/>
                    <w:rPr>
                      <w:color w:val="auto"/>
                      <w:kern w:val="0"/>
                      <w:highlight w:val="none"/>
                    </w:rPr>
                  </w:pPr>
                  <w:r>
                    <w:rPr>
                      <w:color w:val="auto"/>
                      <w:kern w:val="0"/>
                      <w:highlight w:val="none"/>
                    </w:rPr>
                    <w:t>35.0</w:t>
                  </w:r>
                </w:p>
              </w:tc>
              <w:tc>
                <w:tcPr>
                  <w:tcW w:w="422" w:type="pct"/>
                  <w:vAlign w:val="center"/>
                </w:tcPr>
                <w:p w14:paraId="1399AA12">
                  <w:pPr>
                    <w:adjustRightInd w:val="0"/>
                    <w:snapToGrid w:val="0"/>
                    <w:spacing w:before="24" w:beforeLines="10" w:after="24" w:afterLines="10" w:line="240" w:lineRule="atLeast"/>
                    <w:jc w:val="center"/>
                    <w:rPr>
                      <w:color w:val="auto"/>
                      <w:kern w:val="0"/>
                      <w:highlight w:val="none"/>
                    </w:rPr>
                  </w:pPr>
                  <w:r>
                    <w:rPr>
                      <w:color w:val="auto"/>
                      <w:kern w:val="0"/>
                      <w:highlight w:val="none"/>
                    </w:rPr>
                    <w:t>33.0</w:t>
                  </w:r>
                </w:p>
              </w:tc>
              <w:tc>
                <w:tcPr>
                  <w:tcW w:w="744" w:type="pct"/>
                  <w:vAlign w:val="center"/>
                </w:tcPr>
                <w:p w14:paraId="091E3FD8">
                  <w:pPr>
                    <w:adjustRightInd w:val="0"/>
                    <w:snapToGrid w:val="0"/>
                    <w:spacing w:line="240" w:lineRule="atLeast"/>
                    <w:jc w:val="center"/>
                    <w:rPr>
                      <w:color w:val="auto"/>
                      <w:kern w:val="0"/>
                      <w:highlight w:val="none"/>
                    </w:rPr>
                  </w:pPr>
                  <w:r>
                    <w:rPr>
                      <w:color w:val="auto"/>
                      <w:kern w:val="0"/>
                      <w:highlight w:val="none"/>
                    </w:rPr>
                    <w:t>7m</w:t>
                  </w:r>
                </w:p>
              </w:tc>
              <w:tc>
                <w:tcPr>
                  <w:tcW w:w="745" w:type="pct"/>
                  <w:vAlign w:val="center"/>
                </w:tcPr>
                <w:p w14:paraId="688409FF">
                  <w:pPr>
                    <w:adjustRightInd w:val="0"/>
                    <w:snapToGrid w:val="0"/>
                    <w:spacing w:line="240" w:lineRule="atLeast"/>
                    <w:jc w:val="center"/>
                    <w:rPr>
                      <w:color w:val="auto"/>
                      <w:kern w:val="0"/>
                      <w:highlight w:val="none"/>
                    </w:rPr>
                  </w:pPr>
                  <w:r>
                    <w:rPr>
                      <w:color w:val="auto"/>
                      <w:kern w:val="0"/>
                      <w:highlight w:val="none"/>
                    </w:rPr>
                    <w:t>40m</w:t>
                  </w:r>
                </w:p>
              </w:tc>
            </w:tr>
            <w:tr w14:paraId="5F2641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8" w:type="pct"/>
                  <w:vAlign w:val="center"/>
                </w:tcPr>
                <w:p w14:paraId="571EC428">
                  <w:pPr>
                    <w:widowControl/>
                    <w:adjustRightInd w:val="0"/>
                    <w:snapToGrid w:val="0"/>
                    <w:spacing w:line="240" w:lineRule="atLeast"/>
                    <w:jc w:val="center"/>
                    <w:rPr>
                      <w:color w:val="auto"/>
                      <w:kern w:val="0"/>
                      <w:highlight w:val="none"/>
                    </w:rPr>
                  </w:pPr>
                  <w:r>
                    <w:rPr>
                      <w:color w:val="auto"/>
                      <w:kern w:val="0"/>
                      <w:highlight w:val="none"/>
                    </w:rPr>
                    <w:t>砂轮锯</w:t>
                  </w:r>
                </w:p>
              </w:tc>
              <w:tc>
                <w:tcPr>
                  <w:tcW w:w="669" w:type="pct"/>
                  <w:vAlign w:val="center"/>
                </w:tcPr>
                <w:p w14:paraId="52581D4E">
                  <w:pPr>
                    <w:widowControl/>
                    <w:adjustRightInd w:val="0"/>
                    <w:snapToGrid w:val="0"/>
                    <w:spacing w:line="240" w:lineRule="atLeast"/>
                    <w:jc w:val="center"/>
                    <w:rPr>
                      <w:color w:val="auto"/>
                      <w:kern w:val="0"/>
                      <w:highlight w:val="none"/>
                    </w:rPr>
                  </w:pPr>
                  <w:r>
                    <w:rPr>
                      <w:color w:val="auto"/>
                      <w:kern w:val="0"/>
                      <w:highlight w:val="none"/>
                    </w:rPr>
                    <w:t>95</w:t>
                  </w:r>
                </w:p>
              </w:tc>
              <w:tc>
                <w:tcPr>
                  <w:tcW w:w="416" w:type="pct"/>
                  <w:vAlign w:val="center"/>
                </w:tcPr>
                <w:p w14:paraId="19690CF5">
                  <w:pPr>
                    <w:adjustRightInd w:val="0"/>
                    <w:snapToGrid w:val="0"/>
                    <w:spacing w:before="24" w:beforeLines="10" w:after="24" w:afterLines="10" w:line="240" w:lineRule="atLeast"/>
                    <w:jc w:val="center"/>
                    <w:rPr>
                      <w:color w:val="auto"/>
                      <w:kern w:val="0"/>
                      <w:highlight w:val="none"/>
                    </w:rPr>
                  </w:pPr>
                  <w:r>
                    <w:rPr>
                      <w:color w:val="auto"/>
                      <w:kern w:val="0"/>
                      <w:highlight w:val="none"/>
                    </w:rPr>
                    <w:t>47.0</w:t>
                  </w:r>
                </w:p>
              </w:tc>
              <w:tc>
                <w:tcPr>
                  <w:tcW w:w="416" w:type="pct"/>
                  <w:vAlign w:val="center"/>
                </w:tcPr>
                <w:p w14:paraId="6E22E1C0">
                  <w:pPr>
                    <w:adjustRightInd w:val="0"/>
                    <w:snapToGrid w:val="0"/>
                    <w:spacing w:before="24" w:beforeLines="10" w:after="24" w:afterLines="10" w:line="240" w:lineRule="atLeast"/>
                    <w:jc w:val="center"/>
                    <w:rPr>
                      <w:color w:val="auto"/>
                      <w:kern w:val="0"/>
                      <w:highlight w:val="none"/>
                    </w:rPr>
                  </w:pPr>
                  <w:r>
                    <w:rPr>
                      <w:color w:val="auto"/>
                      <w:kern w:val="0"/>
                      <w:highlight w:val="none"/>
                    </w:rPr>
                    <w:t>41.0</w:t>
                  </w:r>
                </w:p>
              </w:tc>
              <w:tc>
                <w:tcPr>
                  <w:tcW w:w="416" w:type="pct"/>
                  <w:vAlign w:val="center"/>
                </w:tcPr>
                <w:p w14:paraId="4B3B7F48">
                  <w:pPr>
                    <w:adjustRightInd w:val="0"/>
                    <w:snapToGrid w:val="0"/>
                    <w:spacing w:before="24" w:beforeLines="10" w:after="24" w:afterLines="10" w:line="240" w:lineRule="atLeast"/>
                    <w:jc w:val="center"/>
                    <w:rPr>
                      <w:color w:val="auto"/>
                      <w:kern w:val="0"/>
                      <w:highlight w:val="none"/>
                    </w:rPr>
                  </w:pPr>
                  <w:r>
                    <w:rPr>
                      <w:color w:val="auto"/>
                      <w:kern w:val="0"/>
                      <w:highlight w:val="none"/>
                    </w:rPr>
                    <w:t>37.5</w:t>
                  </w:r>
                </w:p>
              </w:tc>
              <w:tc>
                <w:tcPr>
                  <w:tcW w:w="415" w:type="pct"/>
                  <w:vAlign w:val="center"/>
                </w:tcPr>
                <w:p w14:paraId="448EC2CD">
                  <w:pPr>
                    <w:adjustRightInd w:val="0"/>
                    <w:snapToGrid w:val="0"/>
                    <w:spacing w:before="24" w:beforeLines="10" w:after="24" w:afterLines="10" w:line="240" w:lineRule="atLeast"/>
                    <w:jc w:val="center"/>
                    <w:rPr>
                      <w:color w:val="auto"/>
                      <w:kern w:val="0"/>
                      <w:highlight w:val="none"/>
                    </w:rPr>
                  </w:pPr>
                  <w:r>
                    <w:rPr>
                      <w:color w:val="auto"/>
                      <w:kern w:val="0"/>
                      <w:highlight w:val="none"/>
                    </w:rPr>
                    <w:t>35.0</w:t>
                  </w:r>
                </w:p>
              </w:tc>
              <w:tc>
                <w:tcPr>
                  <w:tcW w:w="422" w:type="pct"/>
                  <w:vAlign w:val="center"/>
                </w:tcPr>
                <w:p w14:paraId="33D3FD8D">
                  <w:pPr>
                    <w:adjustRightInd w:val="0"/>
                    <w:snapToGrid w:val="0"/>
                    <w:spacing w:before="24" w:beforeLines="10" w:after="24" w:afterLines="10" w:line="240" w:lineRule="atLeast"/>
                    <w:jc w:val="center"/>
                    <w:rPr>
                      <w:color w:val="auto"/>
                      <w:kern w:val="0"/>
                      <w:highlight w:val="none"/>
                    </w:rPr>
                  </w:pPr>
                  <w:r>
                    <w:rPr>
                      <w:color w:val="auto"/>
                      <w:kern w:val="0"/>
                      <w:highlight w:val="none"/>
                    </w:rPr>
                    <w:t>33.0</w:t>
                  </w:r>
                </w:p>
              </w:tc>
              <w:tc>
                <w:tcPr>
                  <w:tcW w:w="744" w:type="pct"/>
                  <w:vAlign w:val="center"/>
                </w:tcPr>
                <w:p w14:paraId="66B2E436">
                  <w:pPr>
                    <w:adjustRightInd w:val="0"/>
                    <w:snapToGrid w:val="0"/>
                    <w:spacing w:line="240" w:lineRule="atLeast"/>
                    <w:jc w:val="center"/>
                    <w:rPr>
                      <w:color w:val="auto"/>
                      <w:kern w:val="0"/>
                      <w:highlight w:val="none"/>
                    </w:rPr>
                  </w:pPr>
                  <w:r>
                    <w:rPr>
                      <w:color w:val="auto"/>
                      <w:kern w:val="0"/>
                      <w:highlight w:val="none"/>
                    </w:rPr>
                    <w:t>7m</w:t>
                  </w:r>
                </w:p>
              </w:tc>
              <w:tc>
                <w:tcPr>
                  <w:tcW w:w="745" w:type="pct"/>
                  <w:vAlign w:val="center"/>
                </w:tcPr>
                <w:p w14:paraId="77E9CB39">
                  <w:pPr>
                    <w:adjustRightInd w:val="0"/>
                    <w:snapToGrid w:val="0"/>
                    <w:spacing w:line="240" w:lineRule="atLeast"/>
                    <w:jc w:val="center"/>
                    <w:rPr>
                      <w:color w:val="auto"/>
                      <w:kern w:val="0"/>
                      <w:highlight w:val="none"/>
                    </w:rPr>
                  </w:pPr>
                  <w:r>
                    <w:rPr>
                      <w:color w:val="auto"/>
                      <w:kern w:val="0"/>
                      <w:highlight w:val="none"/>
                    </w:rPr>
                    <w:t>40m</w:t>
                  </w:r>
                </w:p>
              </w:tc>
            </w:tr>
            <w:tr w14:paraId="0D6F3E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8" w:type="pct"/>
                  <w:vAlign w:val="center"/>
                </w:tcPr>
                <w:p w14:paraId="59A0D064">
                  <w:pPr>
                    <w:widowControl/>
                    <w:adjustRightInd w:val="0"/>
                    <w:snapToGrid w:val="0"/>
                    <w:spacing w:line="240" w:lineRule="atLeast"/>
                    <w:ind w:left="-105" w:leftChars="-50" w:right="-105" w:rightChars="-50"/>
                    <w:jc w:val="center"/>
                    <w:rPr>
                      <w:color w:val="auto"/>
                      <w:kern w:val="0"/>
                      <w:highlight w:val="none"/>
                    </w:rPr>
                  </w:pPr>
                  <w:r>
                    <w:rPr>
                      <w:color w:val="auto"/>
                      <w:kern w:val="0"/>
                      <w:highlight w:val="none"/>
                    </w:rPr>
                    <w:t>空气压缩机</w:t>
                  </w:r>
                </w:p>
              </w:tc>
              <w:tc>
                <w:tcPr>
                  <w:tcW w:w="669" w:type="pct"/>
                  <w:vAlign w:val="center"/>
                </w:tcPr>
                <w:p w14:paraId="09677E5F">
                  <w:pPr>
                    <w:widowControl/>
                    <w:adjustRightInd w:val="0"/>
                    <w:snapToGrid w:val="0"/>
                    <w:spacing w:line="240" w:lineRule="atLeast"/>
                    <w:jc w:val="center"/>
                    <w:rPr>
                      <w:color w:val="auto"/>
                      <w:kern w:val="0"/>
                      <w:highlight w:val="none"/>
                    </w:rPr>
                  </w:pPr>
                  <w:r>
                    <w:rPr>
                      <w:color w:val="auto"/>
                      <w:kern w:val="0"/>
                      <w:highlight w:val="none"/>
                    </w:rPr>
                    <w:t>95</w:t>
                  </w:r>
                </w:p>
              </w:tc>
              <w:tc>
                <w:tcPr>
                  <w:tcW w:w="416" w:type="pct"/>
                  <w:vAlign w:val="center"/>
                </w:tcPr>
                <w:p w14:paraId="6267C785">
                  <w:pPr>
                    <w:adjustRightInd w:val="0"/>
                    <w:snapToGrid w:val="0"/>
                    <w:spacing w:before="24" w:beforeLines="10" w:after="24" w:afterLines="10" w:line="240" w:lineRule="atLeast"/>
                    <w:jc w:val="center"/>
                    <w:rPr>
                      <w:color w:val="auto"/>
                      <w:kern w:val="0"/>
                      <w:highlight w:val="none"/>
                    </w:rPr>
                  </w:pPr>
                  <w:r>
                    <w:rPr>
                      <w:color w:val="auto"/>
                      <w:kern w:val="0"/>
                      <w:highlight w:val="none"/>
                    </w:rPr>
                    <w:t>47.0</w:t>
                  </w:r>
                </w:p>
              </w:tc>
              <w:tc>
                <w:tcPr>
                  <w:tcW w:w="416" w:type="pct"/>
                  <w:vAlign w:val="center"/>
                </w:tcPr>
                <w:p w14:paraId="425E1E52">
                  <w:pPr>
                    <w:adjustRightInd w:val="0"/>
                    <w:snapToGrid w:val="0"/>
                    <w:spacing w:before="24" w:beforeLines="10" w:after="24" w:afterLines="10" w:line="240" w:lineRule="atLeast"/>
                    <w:jc w:val="center"/>
                    <w:rPr>
                      <w:color w:val="auto"/>
                      <w:kern w:val="0"/>
                      <w:highlight w:val="none"/>
                    </w:rPr>
                  </w:pPr>
                  <w:r>
                    <w:rPr>
                      <w:color w:val="auto"/>
                      <w:kern w:val="0"/>
                      <w:highlight w:val="none"/>
                    </w:rPr>
                    <w:t>41.0</w:t>
                  </w:r>
                </w:p>
              </w:tc>
              <w:tc>
                <w:tcPr>
                  <w:tcW w:w="416" w:type="pct"/>
                  <w:vAlign w:val="center"/>
                </w:tcPr>
                <w:p w14:paraId="2FBE03EF">
                  <w:pPr>
                    <w:adjustRightInd w:val="0"/>
                    <w:snapToGrid w:val="0"/>
                    <w:spacing w:before="24" w:beforeLines="10" w:after="24" w:afterLines="10" w:line="240" w:lineRule="atLeast"/>
                    <w:jc w:val="center"/>
                    <w:rPr>
                      <w:color w:val="auto"/>
                      <w:kern w:val="0"/>
                      <w:highlight w:val="none"/>
                    </w:rPr>
                  </w:pPr>
                  <w:r>
                    <w:rPr>
                      <w:color w:val="auto"/>
                      <w:kern w:val="0"/>
                      <w:highlight w:val="none"/>
                    </w:rPr>
                    <w:t>37.5</w:t>
                  </w:r>
                </w:p>
              </w:tc>
              <w:tc>
                <w:tcPr>
                  <w:tcW w:w="415" w:type="pct"/>
                  <w:vAlign w:val="center"/>
                </w:tcPr>
                <w:p w14:paraId="27A9C0FE">
                  <w:pPr>
                    <w:adjustRightInd w:val="0"/>
                    <w:snapToGrid w:val="0"/>
                    <w:spacing w:before="24" w:beforeLines="10" w:after="24" w:afterLines="10" w:line="240" w:lineRule="atLeast"/>
                    <w:jc w:val="center"/>
                    <w:rPr>
                      <w:color w:val="auto"/>
                      <w:kern w:val="0"/>
                      <w:highlight w:val="none"/>
                    </w:rPr>
                  </w:pPr>
                  <w:r>
                    <w:rPr>
                      <w:color w:val="auto"/>
                      <w:kern w:val="0"/>
                      <w:highlight w:val="none"/>
                    </w:rPr>
                    <w:t>35.0</w:t>
                  </w:r>
                </w:p>
              </w:tc>
              <w:tc>
                <w:tcPr>
                  <w:tcW w:w="422" w:type="pct"/>
                  <w:vAlign w:val="center"/>
                </w:tcPr>
                <w:p w14:paraId="365D8998">
                  <w:pPr>
                    <w:adjustRightInd w:val="0"/>
                    <w:snapToGrid w:val="0"/>
                    <w:spacing w:before="24" w:beforeLines="10" w:after="24" w:afterLines="10" w:line="240" w:lineRule="atLeast"/>
                    <w:jc w:val="center"/>
                    <w:rPr>
                      <w:color w:val="auto"/>
                      <w:kern w:val="0"/>
                      <w:highlight w:val="none"/>
                    </w:rPr>
                  </w:pPr>
                  <w:r>
                    <w:rPr>
                      <w:color w:val="auto"/>
                      <w:kern w:val="0"/>
                      <w:highlight w:val="none"/>
                    </w:rPr>
                    <w:t>33.0</w:t>
                  </w:r>
                </w:p>
              </w:tc>
              <w:tc>
                <w:tcPr>
                  <w:tcW w:w="744" w:type="pct"/>
                  <w:vAlign w:val="center"/>
                </w:tcPr>
                <w:p w14:paraId="3D746456">
                  <w:pPr>
                    <w:adjustRightInd w:val="0"/>
                    <w:snapToGrid w:val="0"/>
                    <w:spacing w:line="240" w:lineRule="atLeast"/>
                    <w:jc w:val="center"/>
                    <w:rPr>
                      <w:color w:val="auto"/>
                      <w:kern w:val="0"/>
                      <w:highlight w:val="none"/>
                    </w:rPr>
                  </w:pPr>
                  <w:r>
                    <w:rPr>
                      <w:color w:val="auto"/>
                      <w:kern w:val="0"/>
                      <w:highlight w:val="none"/>
                    </w:rPr>
                    <w:t>7m</w:t>
                  </w:r>
                </w:p>
              </w:tc>
              <w:tc>
                <w:tcPr>
                  <w:tcW w:w="745" w:type="pct"/>
                  <w:vAlign w:val="center"/>
                </w:tcPr>
                <w:p w14:paraId="353A0219">
                  <w:pPr>
                    <w:adjustRightInd w:val="0"/>
                    <w:snapToGrid w:val="0"/>
                    <w:spacing w:line="240" w:lineRule="atLeast"/>
                    <w:jc w:val="center"/>
                    <w:rPr>
                      <w:color w:val="auto"/>
                      <w:kern w:val="0"/>
                      <w:highlight w:val="none"/>
                    </w:rPr>
                  </w:pPr>
                  <w:r>
                    <w:rPr>
                      <w:color w:val="auto"/>
                      <w:kern w:val="0"/>
                      <w:highlight w:val="none"/>
                    </w:rPr>
                    <w:t>40m</w:t>
                  </w:r>
                </w:p>
              </w:tc>
            </w:tr>
          </w:tbl>
          <w:p w14:paraId="7FB0BD3A">
            <w:pPr>
              <w:spacing w:line="360" w:lineRule="auto"/>
              <w:ind w:firstLine="480" w:firstLineChars="200"/>
              <w:rPr>
                <w:color w:val="auto"/>
                <w:sz w:val="24"/>
                <w:highlight w:val="none"/>
              </w:rPr>
            </w:pPr>
            <w:r>
              <w:rPr>
                <w:color w:val="auto"/>
                <w:sz w:val="24"/>
                <w:highlight w:val="none"/>
              </w:rPr>
              <w:t>（2）噪声环境影响分析</w:t>
            </w:r>
          </w:p>
          <w:p w14:paraId="3A585075">
            <w:pPr>
              <w:spacing w:line="360" w:lineRule="auto"/>
              <w:ind w:firstLine="480" w:firstLineChars="200"/>
              <w:rPr>
                <w:color w:val="auto"/>
                <w:sz w:val="24"/>
                <w:highlight w:val="none"/>
              </w:rPr>
            </w:pPr>
            <w:r>
              <w:rPr>
                <w:color w:val="auto"/>
                <w:sz w:val="24"/>
                <w:highlight w:val="none"/>
              </w:rPr>
              <w:t>本项目施工期间噪声的主要来源是高噪声的施工机械设备。</w:t>
            </w:r>
          </w:p>
          <w:p w14:paraId="6913720B">
            <w:pPr>
              <w:spacing w:line="360" w:lineRule="auto"/>
              <w:ind w:firstLine="480" w:firstLineChars="200"/>
              <w:rPr>
                <w:color w:val="auto"/>
                <w:sz w:val="24"/>
                <w:highlight w:val="none"/>
              </w:rPr>
            </w:pPr>
            <w:r>
              <w:rPr>
                <w:rFonts w:hint="eastAsia"/>
                <w:color w:val="auto"/>
                <w:sz w:val="24"/>
                <w:highlight w:val="none"/>
              </w:rPr>
              <w:t>环评要求禁止夜间施工，在昼间施工时间段，将高噪声设备设置在远离村庄侧。项目高噪声设备使用时间是短暂的，随着施工期的结束，其对环境的影响也随之结束。因此，项目施工期对声环境的影响是可接受的。</w:t>
            </w:r>
          </w:p>
          <w:p w14:paraId="2A0AEC29">
            <w:pPr>
              <w:spacing w:line="360" w:lineRule="auto"/>
              <w:ind w:firstLine="480" w:firstLineChars="200"/>
              <w:rPr>
                <w:color w:val="auto"/>
                <w:sz w:val="24"/>
                <w:highlight w:val="none"/>
              </w:rPr>
            </w:pPr>
            <w:r>
              <w:rPr>
                <w:color w:val="auto"/>
                <w:sz w:val="24"/>
                <w:highlight w:val="none"/>
              </w:rPr>
              <w:t>4、施工期固体废物影响分析</w:t>
            </w:r>
          </w:p>
          <w:p w14:paraId="0012A469">
            <w:pPr>
              <w:widowControl/>
              <w:spacing w:line="360" w:lineRule="auto"/>
              <w:ind w:firstLine="480" w:firstLineChars="200"/>
              <w:rPr>
                <w:color w:val="auto"/>
                <w:sz w:val="24"/>
                <w:highlight w:val="none"/>
              </w:rPr>
            </w:pPr>
            <w:r>
              <w:rPr>
                <w:rFonts w:hint="eastAsia"/>
                <w:color w:val="auto"/>
                <w:sz w:val="24"/>
                <w:highlight w:val="none"/>
              </w:rPr>
              <w:t>本项目施工临建区机械维修厂主要承担施工机械的小修，大、中型修理委托相关企业承担，施工临建区无废油等危险废物产生。施工期固体废物主要为废弃土石方和施工人员的生活垃圾。</w:t>
            </w:r>
          </w:p>
          <w:p w14:paraId="6639F681">
            <w:pPr>
              <w:widowControl/>
              <w:spacing w:line="360" w:lineRule="auto"/>
              <w:ind w:firstLine="480" w:firstLineChars="200"/>
              <w:rPr>
                <w:color w:val="auto"/>
                <w:sz w:val="24"/>
                <w:highlight w:val="none"/>
              </w:rPr>
            </w:pPr>
            <w:r>
              <w:rPr>
                <w:rFonts w:hint="eastAsia" w:eastAsia="宋体"/>
                <w:color w:val="auto"/>
                <w:sz w:val="24"/>
                <w:highlight w:val="none"/>
                <w:lang w:eastAsia="zh-CN"/>
              </w:rPr>
              <w:t>（</w:t>
            </w:r>
            <w:r>
              <w:rPr>
                <w:rFonts w:hint="eastAsia" w:ascii="Times New Roman" w:eastAsia="宋体"/>
                <w:color w:val="auto"/>
                <w:sz w:val="24"/>
                <w:highlight w:val="none"/>
                <w:lang w:val="en-US" w:eastAsia="zh-CN"/>
              </w:rPr>
              <w:t>1</w:t>
            </w:r>
            <w:r>
              <w:rPr>
                <w:rFonts w:hint="eastAsia" w:eastAsia="宋体"/>
                <w:color w:val="auto"/>
                <w:sz w:val="24"/>
                <w:highlight w:val="none"/>
                <w:lang w:eastAsia="zh-CN"/>
              </w:rPr>
              <w:t>）</w:t>
            </w:r>
            <w:r>
              <w:rPr>
                <w:rFonts w:hint="eastAsia"/>
                <w:color w:val="auto"/>
                <w:sz w:val="24"/>
                <w:highlight w:val="none"/>
              </w:rPr>
              <w:t>生活垃圾</w:t>
            </w:r>
          </w:p>
          <w:p w14:paraId="58B2B311">
            <w:pPr>
              <w:widowControl/>
              <w:spacing w:line="360" w:lineRule="auto"/>
              <w:ind w:firstLine="480" w:firstLineChars="200"/>
              <w:rPr>
                <w:color w:val="auto"/>
                <w:sz w:val="24"/>
                <w:highlight w:val="none"/>
              </w:rPr>
            </w:pPr>
            <w:r>
              <w:rPr>
                <w:rFonts w:hint="eastAsia"/>
                <w:color w:val="auto"/>
                <w:sz w:val="24"/>
                <w:highlight w:val="none"/>
              </w:rPr>
              <w:t>本项目施工期为</w:t>
            </w:r>
            <w:r>
              <w:rPr>
                <w:rFonts w:hint="eastAsia" w:ascii="Times New Roman" w:eastAsia="宋体"/>
                <w:color w:val="auto"/>
                <w:sz w:val="24"/>
                <w:highlight w:val="none"/>
                <w:lang w:val="en-US" w:eastAsia="zh-CN"/>
              </w:rPr>
              <w:t>12</w:t>
            </w:r>
            <w:r>
              <w:rPr>
                <w:rFonts w:hint="eastAsia"/>
                <w:color w:val="auto"/>
                <w:sz w:val="24"/>
                <w:highlight w:val="none"/>
              </w:rPr>
              <w:t>个月，施工高峰期施工人员为50人，生活垃圾产生量按0.5kg/（人·d）计，则施工期生活垃圾产生量为4.5t。集中收集后送环卫部门指定地点处理。</w:t>
            </w:r>
          </w:p>
          <w:p w14:paraId="5A8C727C">
            <w:pPr>
              <w:widowControl/>
              <w:spacing w:line="360" w:lineRule="auto"/>
              <w:ind w:firstLine="480" w:firstLineChars="200"/>
              <w:rPr>
                <w:rFonts w:hint="eastAsia" w:eastAsia="宋体"/>
                <w:color w:val="auto"/>
                <w:sz w:val="24"/>
                <w:highlight w:val="none"/>
                <w:lang w:val="en-US" w:eastAsia="zh-CN"/>
              </w:rPr>
            </w:pPr>
            <w:r>
              <w:rPr>
                <w:rFonts w:hint="eastAsia" w:eastAsia="宋体"/>
                <w:color w:val="auto"/>
                <w:sz w:val="24"/>
                <w:highlight w:val="none"/>
                <w:lang w:eastAsia="zh-CN"/>
              </w:rPr>
              <w:t>（</w:t>
            </w:r>
            <w:r>
              <w:rPr>
                <w:rFonts w:hint="eastAsia" w:ascii="Times New Roman" w:eastAsia="宋体"/>
                <w:color w:val="auto"/>
                <w:sz w:val="24"/>
                <w:highlight w:val="none"/>
                <w:lang w:val="en-US" w:eastAsia="zh-CN"/>
              </w:rPr>
              <w:t>2</w:t>
            </w:r>
            <w:r>
              <w:rPr>
                <w:rFonts w:hint="eastAsia" w:eastAsia="宋体"/>
                <w:color w:val="auto"/>
                <w:sz w:val="24"/>
                <w:highlight w:val="none"/>
                <w:lang w:eastAsia="zh-CN"/>
              </w:rPr>
              <w:t>）</w:t>
            </w:r>
            <w:r>
              <w:rPr>
                <w:rFonts w:hint="eastAsia"/>
                <w:color w:val="auto"/>
                <w:sz w:val="24"/>
                <w:highlight w:val="none"/>
              </w:rPr>
              <w:t>土石方</w:t>
            </w:r>
          </w:p>
          <w:p w14:paraId="09DF18E4">
            <w:pPr>
              <w:autoSpaceDE w:val="0"/>
              <w:autoSpaceDN w:val="0"/>
              <w:adjustRightInd w:val="0"/>
              <w:snapToGrid w:val="0"/>
              <w:spacing w:line="360" w:lineRule="auto"/>
              <w:ind w:firstLine="512"/>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1）</w:t>
            </w:r>
            <w:r>
              <w:rPr>
                <w:rFonts w:hint="eastAsia" w:eastAsia="宋体" w:cs="Times New Roman"/>
                <w:color w:val="auto"/>
                <w:sz w:val="24"/>
                <w:highlight w:val="none"/>
                <w:lang w:val="en-US" w:eastAsia="zh-CN"/>
              </w:rPr>
              <w:t>风电</w:t>
            </w:r>
            <w:r>
              <w:rPr>
                <w:rFonts w:ascii="Times New Roman" w:hAnsi="Times New Roman" w:eastAsia="宋体" w:cs="Times New Roman"/>
                <w:color w:val="auto"/>
                <w:sz w:val="24"/>
                <w:highlight w:val="none"/>
              </w:rPr>
              <w:t>场区</w:t>
            </w:r>
          </w:p>
          <w:p w14:paraId="42A16314">
            <w:pPr>
              <w:spacing w:line="360" w:lineRule="auto"/>
              <w:ind w:firstLine="504" w:firstLineChars="200"/>
              <w:rPr>
                <w:rFonts w:ascii="Times New Roman" w:hAnsi="Times New Roman" w:eastAsia="宋体" w:cs="Times New Roman"/>
                <w:color w:val="auto"/>
                <w:spacing w:val="6"/>
                <w:sz w:val="24"/>
                <w:szCs w:val="21"/>
                <w:highlight w:val="none"/>
              </w:rPr>
            </w:pPr>
            <w:r>
              <w:rPr>
                <w:rFonts w:hint="eastAsia" w:ascii="Times New Roman" w:hAnsi="Times New Roman" w:eastAsia="宋体" w:cs="Times New Roman"/>
                <w:color w:val="auto"/>
                <w:spacing w:val="6"/>
                <w:sz w:val="24"/>
                <w:szCs w:val="21"/>
                <w:highlight w:val="none"/>
              </w:rPr>
              <w:t>由于风机位于山头，吊装平台平整需要借方，风机基础</w:t>
            </w:r>
            <w:r>
              <w:rPr>
                <w:rFonts w:hint="eastAsia" w:ascii="Times New Roman" w:hAnsi="Times New Roman" w:eastAsia="宋体" w:cs="Times New Roman"/>
                <w:color w:val="auto"/>
                <w:sz w:val="24"/>
                <w:highlight w:val="none"/>
              </w:rPr>
              <w:t>施工总挖方量约</w:t>
            </w:r>
            <w:r>
              <w:rPr>
                <w:rFonts w:hint="eastAsia" w:ascii="Times New Roman" w:hAnsi="Times New Roman" w:eastAsia="宋体" w:cs="Times New Roman"/>
                <w:color w:val="auto"/>
                <w:sz w:val="24"/>
                <w:highlight w:val="none"/>
                <w:lang w:val="en-US" w:eastAsia="zh-CN"/>
              </w:rPr>
              <w:t>4.86万</w:t>
            </w:r>
            <w:r>
              <w:rPr>
                <w:rFonts w:hint="eastAsia" w:ascii="Times New Roman" w:hAnsi="Times New Roman" w:eastAsia="宋体" w:cs="Times New Roman"/>
                <w:color w:val="auto"/>
                <w:sz w:val="24"/>
                <w:highlight w:val="none"/>
              </w:rPr>
              <w:t>m</w:t>
            </w:r>
            <w:r>
              <w:rPr>
                <w:rFonts w:hint="eastAsia" w:ascii="Times New Roman" w:hAnsi="Times New Roman" w:eastAsia="宋体" w:cs="Times New Roman"/>
                <w:color w:val="auto"/>
                <w:sz w:val="24"/>
                <w:highlight w:val="none"/>
                <w:vertAlign w:val="superscript"/>
              </w:rPr>
              <w:t>3</w:t>
            </w:r>
            <w:r>
              <w:rPr>
                <w:rFonts w:hint="eastAsia" w:ascii="Times New Roman" w:hAnsi="Times New Roman" w:eastAsia="宋体" w:cs="Times New Roman"/>
                <w:color w:val="auto"/>
                <w:sz w:val="24"/>
                <w:highlight w:val="none"/>
              </w:rPr>
              <w:t>，填方量</w:t>
            </w:r>
            <w:r>
              <w:rPr>
                <w:rFonts w:hint="eastAsia" w:ascii="Times New Roman" w:hAnsi="Times New Roman" w:eastAsia="宋体" w:cs="Times New Roman"/>
                <w:color w:val="auto"/>
                <w:sz w:val="24"/>
                <w:highlight w:val="none"/>
                <w:lang w:val="en-US" w:eastAsia="zh-CN"/>
              </w:rPr>
              <w:t>4.26万</w:t>
            </w:r>
            <w:r>
              <w:rPr>
                <w:rFonts w:hint="eastAsia" w:ascii="Times New Roman" w:hAnsi="Times New Roman" w:eastAsia="宋体" w:cs="Times New Roman"/>
                <w:color w:val="auto"/>
                <w:sz w:val="24"/>
                <w:highlight w:val="none"/>
              </w:rPr>
              <w:t>m</w:t>
            </w:r>
            <w:r>
              <w:rPr>
                <w:rFonts w:hint="eastAsia" w:ascii="Times New Roman" w:hAnsi="Times New Roman" w:eastAsia="宋体" w:cs="Times New Roman"/>
                <w:color w:val="auto"/>
                <w:sz w:val="24"/>
                <w:highlight w:val="none"/>
                <w:vertAlign w:val="superscript"/>
              </w:rPr>
              <w:t>3</w:t>
            </w:r>
            <w:r>
              <w:rPr>
                <w:rFonts w:hint="eastAsia" w:ascii="Times New Roman" w:hAnsi="Times New Roman" w:eastAsia="宋体" w:cs="Times New Roman"/>
                <w:color w:val="auto"/>
                <w:sz w:val="24"/>
                <w:highlight w:val="none"/>
              </w:rPr>
              <w:t>，</w:t>
            </w:r>
            <w:r>
              <w:rPr>
                <w:rFonts w:hint="eastAsia" w:ascii="Times New Roman" w:hAnsi="Times New Roman" w:eastAsia="宋体" w:cs="Times New Roman"/>
                <w:color w:val="auto"/>
                <w:spacing w:val="6"/>
                <w:sz w:val="24"/>
                <w:szCs w:val="21"/>
                <w:highlight w:val="none"/>
              </w:rPr>
              <w:t>会产生少量多余土方，约</w:t>
            </w:r>
            <w:r>
              <w:rPr>
                <w:rFonts w:hint="eastAsia" w:ascii="Times New Roman" w:hAnsi="Times New Roman" w:eastAsia="宋体" w:cs="Times New Roman"/>
                <w:color w:val="auto"/>
                <w:spacing w:val="6"/>
                <w:sz w:val="24"/>
                <w:szCs w:val="21"/>
                <w:highlight w:val="none"/>
                <w:lang w:val="en-US" w:eastAsia="zh-CN"/>
              </w:rPr>
              <w:t>0.6万</w:t>
            </w:r>
            <w:r>
              <w:rPr>
                <w:rFonts w:hint="eastAsia" w:ascii="Times New Roman" w:hAnsi="Times New Roman" w:eastAsia="宋体" w:cs="Times New Roman"/>
                <w:color w:val="auto"/>
                <w:spacing w:val="6"/>
                <w:sz w:val="24"/>
                <w:szCs w:val="21"/>
                <w:highlight w:val="none"/>
              </w:rPr>
              <w:t>m</w:t>
            </w:r>
            <w:r>
              <w:rPr>
                <w:rFonts w:ascii="Times New Roman" w:hAnsi="Times New Roman" w:eastAsia="宋体" w:cs="Times New Roman"/>
                <w:color w:val="auto"/>
                <w:spacing w:val="6"/>
                <w:sz w:val="24"/>
                <w:szCs w:val="21"/>
                <w:highlight w:val="none"/>
                <w:vertAlign w:val="superscript"/>
              </w:rPr>
              <w:t>3</w:t>
            </w:r>
            <w:r>
              <w:rPr>
                <w:rFonts w:hint="eastAsia" w:ascii="Times New Roman" w:hAnsi="Times New Roman" w:eastAsia="宋体" w:cs="Times New Roman"/>
                <w:color w:val="auto"/>
                <w:spacing w:val="6"/>
                <w:sz w:val="24"/>
                <w:szCs w:val="21"/>
                <w:highlight w:val="none"/>
              </w:rPr>
              <w:t>，产生的余方可以就近用于风机吊装平台土地平整。基础开挖产生的表土单独堆存于一侧，表面拍实并遮盖防尘网，四周设编织袋挡土堰挡护，施工结束后平整场地，表土用于吊装平台植被恢复。</w:t>
            </w:r>
          </w:p>
          <w:p w14:paraId="5C48109B">
            <w:pPr>
              <w:autoSpaceDE w:val="0"/>
              <w:autoSpaceDN w:val="0"/>
              <w:adjustRightInd w:val="0"/>
              <w:snapToGrid w:val="0"/>
              <w:spacing w:line="360" w:lineRule="auto"/>
              <w:ind w:firstLine="512"/>
              <w:rPr>
                <w:rFonts w:hint="default" w:ascii="Times New Roman" w:hAnsi="Times New Roman" w:eastAsia="宋体" w:cs="Times New Roman"/>
                <w:color w:val="auto"/>
                <w:sz w:val="24"/>
                <w:highlight w:val="none"/>
                <w:lang w:val="en-US" w:eastAsia="zh-CN"/>
              </w:rPr>
            </w:pPr>
            <w:r>
              <w:rPr>
                <w:rFonts w:ascii="Times New Roman" w:hAnsi="Times New Roman" w:eastAsia="宋体" w:cs="Times New Roman"/>
                <w:color w:val="auto"/>
                <w:sz w:val="24"/>
                <w:highlight w:val="none"/>
              </w:rPr>
              <w:t>2）</w:t>
            </w:r>
            <w:r>
              <w:rPr>
                <w:rFonts w:hint="eastAsia" w:eastAsia="宋体" w:cs="Times New Roman"/>
                <w:color w:val="auto"/>
                <w:sz w:val="24"/>
                <w:highlight w:val="none"/>
                <w:lang w:val="en-US" w:eastAsia="zh-CN"/>
              </w:rPr>
              <w:t>施工临建区</w:t>
            </w:r>
          </w:p>
          <w:p w14:paraId="02B774AB">
            <w:pPr>
              <w:spacing w:line="360" w:lineRule="auto"/>
              <w:ind w:firstLine="480" w:firstLineChars="200"/>
              <w:rPr>
                <w:rFonts w:ascii="Times New Roman" w:hAnsi="Times New Roman" w:eastAsia="宋体" w:cs="Times New Roman"/>
                <w:color w:val="auto"/>
                <w:spacing w:val="6"/>
                <w:sz w:val="24"/>
                <w:szCs w:val="21"/>
                <w:highlight w:val="none"/>
              </w:rPr>
            </w:pPr>
            <w:r>
              <w:rPr>
                <w:rFonts w:hint="eastAsia" w:ascii="Times New Roman" w:hAnsi="Times New Roman" w:eastAsia="宋体" w:cs="Times New Roman"/>
                <w:color w:val="auto"/>
                <w:sz w:val="24"/>
                <w:highlight w:val="none"/>
              </w:rPr>
              <w:t>本项目施工临建区地形较为平整，施工临建区施工总挖方量约</w:t>
            </w:r>
            <w:r>
              <w:rPr>
                <w:rFonts w:hint="eastAsia" w:ascii="Times New Roman" w:hAnsi="Times New Roman" w:eastAsia="宋体" w:cs="Times New Roman"/>
                <w:color w:val="auto"/>
                <w:sz w:val="24"/>
                <w:highlight w:val="none"/>
                <w:lang w:val="en-US" w:eastAsia="zh-CN"/>
              </w:rPr>
              <w:t>0.2万</w:t>
            </w:r>
            <w:r>
              <w:rPr>
                <w:rFonts w:hint="eastAsia" w:ascii="Times New Roman" w:hAnsi="Times New Roman" w:eastAsia="宋体" w:cs="Times New Roman"/>
                <w:color w:val="auto"/>
                <w:sz w:val="24"/>
                <w:highlight w:val="none"/>
              </w:rPr>
              <w:t>m</w:t>
            </w:r>
            <w:r>
              <w:rPr>
                <w:rFonts w:hint="eastAsia" w:ascii="Times New Roman" w:hAnsi="Times New Roman" w:eastAsia="宋体" w:cs="Times New Roman"/>
                <w:color w:val="auto"/>
                <w:sz w:val="24"/>
                <w:highlight w:val="none"/>
                <w:vertAlign w:val="superscript"/>
              </w:rPr>
              <w:t>3</w:t>
            </w:r>
            <w:r>
              <w:rPr>
                <w:rFonts w:hint="eastAsia" w:ascii="Times New Roman" w:hAnsi="Times New Roman" w:eastAsia="宋体" w:cs="Times New Roman"/>
                <w:color w:val="auto"/>
                <w:sz w:val="24"/>
                <w:highlight w:val="none"/>
              </w:rPr>
              <w:t>，填方量</w:t>
            </w:r>
            <w:r>
              <w:rPr>
                <w:rFonts w:hint="eastAsia" w:ascii="Times New Roman" w:hAnsi="Times New Roman" w:eastAsia="宋体" w:cs="Times New Roman"/>
                <w:color w:val="auto"/>
                <w:sz w:val="24"/>
                <w:highlight w:val="none"/>
                <w:lang w:val="en-US" w:eastAsia="zh-CN"/>
              </w:rPr>
              <w:t>0.2万</w:t>
            </w:r>
            <w:r>
              <w:rPr>
                <w:rFonts w:hint="eastAsia" w:ascii="Times New Roman" w:hAnsi="Times New Roman" w:eastAsia="宋体" w:cs="Times New Roman"/>
                <w:color w:val="auto"/>
                <w:sz w:val="24"/>
                <w:highlight w:val="none"/>
              </w:rPr>
              <w:t>m</w:t>
            </w:r>
            <w:r>
              <w:rPr>
                <w:rFonts w:hint="eastAsia" w:ascii="Times New Roman" w:hAnsi="Times New Roman" w:eastAsia="宋体" w:cs="Times New Roman"/>
                <w:color w:val="auto"/>
                <w:sz w:val="24"/>
                <w:highlight w:val="none"/>
                <w:vertAlign w:val="superscript"/>
              </w:rPr>
              <w:t>3</w:t>
            </w:r>
            <w:r>
              <w:rPr>
                <w:rFonts w:hint="eastAsia" w:ascii="Times New Roman" w:hAnsi="Times New Roman" w:eastAsia="宋体" w:cs="Times New Roman"/>
                <w:color w:val="auto"/>
                <w:sz w:val="24"/>
                <w:highlight w:val="none"/>
              </w:rPr>
              <w:t>，无多余弃方，总体挖填平衡。</w:t>
            </w:r>
            <w:r>
              <w:rPr>
                <w:rFonts w:hint="eastAsia" w:ascii="Times New Roman" w:hAnsi="Times New Roman" w:eastAsia="宋体" w:cs="Times New Roman"/>
                <w:color w:val="auto"/>
                <w:spacing w:val="6"/>
                <w:sz w:val="24"/>
                <w:szCs w:val="21"/>
                <w:highlight w:val="none"/>
              </w:rPr>
              <w:t>开挖产生的表土单独堆存于一侧，表面拍实并遮盖防尘网，四周设编织袋挡土堰挡护，施工结束后平整场地，表土用于施工临建区植被恢复。</w:t>
            </w:r>
          </w:p>
          <w:p w14:paraId="2F75A8D1">
            <w:pPr>
              <w:autoSpaceDE w:val="0"/>
              <w:autoSpaceDN w:val="0"/>
              <w:adjustRightInd w:val="0"/>
              <w:snapToGrid w:val="0"/>
              <w:spacing w:line="360" w:lineRule="auto"/>
              <w:ind w:firstLine="512"/>
              <w:rPr>
                <w:rFonts w:ascii="Times New Roman" w:hAnsi="Times New Roman" w:eastAsia="宋体" w:cs="Times New Roman"/>
                <w:color w:val="auto"/>
                <w:sz w:val="24"/>
                <w:highlight w:val="none"/>
              </w:rPr>
            </w:pPr>
            <w:r>
              <w:rPr>
                <w:rFonts w:hint="eastAsia" w:cs="Times New Roman"/>
                <w:color w:val="auto"/>
                <w:sz w:val="24"/>
                <w:highlight w:val="none"/>
                <w:lang w:val="en-US" w:eastAsia="zh-CN"/>
              </w:rPr>
              <w:t>3</w:t>
            </w:r>
            <w:r>
              <w:rPr>
                <w:rFonts w:ascii="Times New Roman" w:hAnsi="Times New Roman" w:eastAsia="宋体" w:cs="Times New Roman"/>
                <w:color w:val="auto"/>
                <w:sz w:val="24"/>
                <w:highlight w:val="none"/>
              </w:rPr>
              <w:t>）集电线路</w:t>
            </w:r>
          </w:p>
          <w:p w14:paraId="11FACA1E">
            <w:pPr>
              <w:spacing w:line="360" w:lineRule="auto"/>
              <w:ind w:firstLine="504" w:firstLineChars="200"/>
              <w:rPr>
                <w:rFonts w:ascii="Times New Roman" w:hAnsi="Times New Roman" w:eastAsia="宋体" w:cs="Times New Roman"/>
                <w:color w:val="auto"/>
                <w:spacing w:val="6"/>
                <w:sz w:val="24"/>
                <w:szCs w:val="21"/>
                <w:highlight w:val="none"/>
              </w:rPr>
            </w:pPr>
            <w:r>
              <w:rPr>
                <w:rFonts w:hint="eastAsia" w:ascii="Times New Roman" w:hAnsi="Times New Roman" w:eastAsia="宋体" w:cs="Times New Roman"/>
                <w:color w:val="auto"/>
                <w:spacing w:val="6"/>
                <w:sz w:val="24"/>
                <w:szCs w:val="21"/>
                <w:highlight w:val="none"/>
              </w:rPr>
              <w:t>本项目塔基占地仅为四角占地，少量土石方就近平整，塔基施工总挖方量</w:t>
            </w:r>
            <w:r>
              <w:rPr>
                <w:rFonts w:hint="eastAsia" w:ascii="Times New Roman" w:hAnsi="Times New Roman" w:eastAsia="宋体" w:cs="Times New Roman"/>
                <w:color w:val="auto"/>
                <w:sz w:val="24"/>
                <w:highlight w:val="none"/>
              </w:rPr>
              <w:t>约</w:t>
            </w:r>
            <w:r>
              <w:rPr>
                <w:rFonts w:hint="eastAsia" w:ascii="Times New Roman" w:hAnsi="Times New Roman" w:eastAsia="宋体" w:cs="Times New Roman"/>
                <w:color w:val="auto"/>
                <w:sz w:val="24"/>
                <w:highlight w:val="none"/>
                <w:lang w:val="en-US" w:eastAsia="zh-CN"/>
              </w:rPr>
              <w:t>4.3万</w:t>
            </w:r>
            <w:r>
              <w:rPr>
                <w:rFonts w:hint="eastAsia" w:ascii="Times New Roman" w:hAnsi="Times New Roman" w:eastAsia="宋体" w:cs="Times New Roman"/>
                <w:color w:val="auto"/>
                <w:sz w:val="24"/>
                <w:highlight w:val="none"/>
              </w:rPr>
              <w:t>m</w:t>
            </w:r>
            <w:r>
              <w:rPr>
                <w:rFonts w:hint="eastAsia" w:ascii="Times New Roman" w:hAnsi="Times New Roman" w:eastAsia="宋体" w:cs="Times New Roman"/>
                <w:color w:val="auto"/>
                <w:sz w:val="24"/>
                <w:highlight w:val="none"/>
                <w:vertAlign w:val="superscript"/>
              </w:rPr>
              <w:t>3</w:t>
            </w:r>
            <w:r>
              <w:rPr>
                <w:rFonts w:hint="eastAsia" w:ascii="Times New Roman" w:hAnsi="Times New Roman" w:eastAsia="宋体" w:cs="Times New Roman"/>
                <w:color w:val="auto"/>
                <w:sz w:val="24"/>
                <w:highlight w:val="none"/>
              </w:rPr>
              <w:t>，填方量</w:t>
            </w:r>
            <w:r>
              <w:rPr>
                <w:rFonts w:hint="eastAsia" w:ascii="Times New Roman" w:hAnsi="Times New Roman" w:eastAsia="宋体" w:cs="Times New Roman"/>
                <w:color w:val="auto"/>
                <w:sz w:val="24"/>
                <w:highlight w:val="none"/>
                <w:lang w:val="en-US" w:eastAsia="zh-CN"/>
              </w:rPr>
              <w:t>4.</w:t>
            </w:r>
            <w:r>
              <w:rPr>
                <w:rFonts w:hint="eastAsia" w:cs="Times New Roman"/>
                <w:color w:val="auto"/>
                <w:sz w:val="24"/>
                <w:highlight w:val="none"/>
                <w:lang w:val="en-US" w:eastAsia="zh-CN"/>
              </w:rPr>
              <w:t>3</w:t>
            </w:r>
            <w:r>
              <w:rPr>
                <w:rFonts w:hint="eastAsia" w:ascii="Times New Roman" w:hAnsi="Times New Roman" w:eastAsia="宋体" w:cs="Times New Roman"/>
                <w:color w:val="auto"/>
                <w:sz w:val="24"/>
                <w:highlight w:val="none"/>
                <w:lang w:val="en-US" w:eastAsia="zh-CN"/>
              </w:rPr>
              <w:t>万</w:t>
            </w:r>
            <w:r>
              <w:rPr>
                <w:rFonts w:hint="eastAsia" w:ascii="Times New Roman" w:hAnsi="Times New Roman" w:eastAsia="宋体" w:cs="Times New Roman"/>
                <w:color w:val="auto"/>
                <w:sz w:val="24"/>
                <w:highlight w:val="none"/>
              </w:rPr>
              <w:t>m</w:t>
            </w:r>
            <w:r>
              <w:rPr>
                <w:rFonts w:hint="eastAsia" w:ascii="Times New Roman" w:hAnsi="Times New Roman" w:eastAsia="宋体" w:cs="Times New Roman"/>
                <w:color w:val="auto"/>
                <w:sz w:val="24"/>
                <w:highlight w:val="none"/>
                <w:vertAlign w:val="superscript"/>
              </w:rPr>
              <w:t>3</w:t>
            </w:r>
            <w:r>
              <w:rPr>
                <w:rFonts w:hint="eastAsia" w:ascii="Times New Roman" w:hAnsi="Times New Roman" w:eastAsia="宋体" w:cs="Times New Roman"/>
                <w:color w:val="auto"/>
                <w:sz w:val="24"/>
                <w:highlight w:val="none"/>
              </w:rPr>
              <w:t>，</w:t>
            </w:r>
            <w:r>
              <w:rPr>
                <w:rFonts w:hint="eastAsia" w:ascii="Times New Roman" w:hAnsi="Times New Roman" w:eastAsia="宋体" w:cs="Times New Roman"/>
                <w:color w:val="auto"/>
                <w:spacing w:val="6"/>
                <w:sz w:val="24"/>
                <w:szCs w:val="21"/>
                <w:highlight w:val="none"/>
              </w:rPr>
              <w:t>开挖产生的表土单独堆存于一侧，表面拍实并遮盖防尘网，四周设编织袋挡土堰挡护，施工结束后平整场地，表土用于施工临时占地区域植被恢复。</w:t>
            </w:r>
          </w:p>
          <w:p w14:paraId="5112DD1F">
            <w:pPr>
              <w:autoSpaceDE w:val="0"/>
              <w:autoSpaceDN w:val="0"/>
              <w:adjustRightInd w:val="0"/>
              <w:snapToGrid w:val="0"/>
              <w:spacing w:line="360" w:lineRule="auto"/>
              <w:ind w:firstLine="512"/>
              <w:rPr>
                <w:rFonts w:ascii="Times New Roman" w:hAnsi="Times New Roman" w:eastAsia="宋体" w:cs="Times New Roman"/>
                <w:color w:val="auto"/>
                <w:spacing w:val="8"/>
                <w:kern w:val="0"/>
                <w:szCs w:val="21"/>
                <w:highlight w:val="none"/>
              </w:rPr>
            </w:pPr>
            <w:r>
              <w:rPr>
                <w:rFonts w:hint="eastAsia"/>
                <w:color w:val="auto"/>
                <w:spacing w:val="6"/>
                <w:sz w:val="24"/>
                <w:szCs w:val="21"/>
                <w:highlight w:val="none"/>
              </w:rPr>
              <w:t>综上，本项目施工期共动用土石方总量约</w:t>
            </w:r>
            <w:r>
              <w:rPr>
                <w:rFonts w:hint="eastAsia" w:ascii="Times New Roman" w:eastAsia="宋体"/>
                <w:color w:val="auto"/>
                <w:spacing w:val="6"/>
                <w:sz w:val="24"/>
                <w:szCs w:val="21"/>
                <w:highlight w:val="none"/>
                <w:lang w:val="en-US" w:eastAsia="zh-CN"/>
              </w:rPr>
              <w:t>20.</w:t>
            </w:r>
            <w:r>
              <w:rPr>
                <w:rFonts w:hint="eastAsia"/>
                <w:color w:val="auto"/>
                <w:spacing w:val="6"/>
                <w:sz w:val="24"/>
                <w:szCs w:val="21"/>
                <w:highlight w:val="none"/>
                <w:lang w:val="en-US" w:eastAsia="zh-CN"/>
              </w:rPr>
              <w:t>7</w:t>
            </w:r>
            <w:r>
              <w:rPr>
                <w:rFonts w:hint="eastAsia" w:ascii="Times New Roman" w:eastAsia="宋体"/>
                <w:color w:val="auto"/>
                <w:spacing w:val="6"/>
                <w:sz w:val="24"/>
                <w:szCs w:val="21"/>
                <w:highlight w:val="none"/>
                <w:lang w:val="en-US" w:eastAsia="zh-CN"/>
              </w:rPr>
              <w:t>2</w:t>
            </w:r>
            <w:r>
              <w:rPr>
                <w:rFonts w:hint="eastAsia"/>
                <w:color w:val="auto"/>
                <w:spacing w:val="6"/>
                <w:sz w:val="24"/>
                <w:szCs w:val="21"/>
                <w:highlight w:val="none"/>
              </w:rPr>
              <w:t>万m</w:t>
            </w:r>
            <w:r>
              <w:rPr>
                <w:rFonts w:hint="eastAsia"/>
                <w:color w:val="auto"/>
                <w:spacing w:val="6"/>
                <w:sz w:val="24"/>
                <w:szCs w:val="21"/>
                <w:highlight w:val="none"/>
                <w:vertAlign w:val="superscript"/>
              </w:rPr>
              <w:t>3</w:t>
            </w:r>
            <w:r>
              <w:rPr>
                <w:rFonts w:hint="eastAsia"/>
                <w:color w:val="auto"/>
                <w:spacing w:val="6"/>
                <w:sz w:val="24"/>
                <w:szCs w:val="21"/>
                <w:highlight w:val="none"/>
              </w:rPr>
              <w:t>，其中总挖方量约</w:t>
            </w:r>
            <w:r>
              <w:rPr>
                <w:rFonts w:hint="eastAsia" w:ascii="Times New Roman" w:eastAsia="宋体"/>
                <w:color w:val="auto"/>
                <w:spacing w:val="6"/>
                <w:sz w:val="24"/>
                <w:szCs w:val="21"/>
                <w:highlight w:val="none"/>
                <w:lang w:val="en-US" w:eastAsia="zh-CN"/>
              </w:rPr>
              <w:t>10.36</w:t>
            </w:r>
            <w:r>
              <w:rPr>
                <w:rFonts w:hint="eastAsia"/>
                <w:color w:val="auto"/>
                <w:spacing w:val="6"/>
                <w:sz w:val="24"/>
                <w:szCs w:val="21"/>
                <w:highlight w:val="none"/>
              </w:rPr>
              <w:t>万m</w:t>
            </w:r>
            <w:r>
              <w:rPr>
                <w:rFonts w:hint="eastAsia"/>
                <w:color w:val="auto"/>
                <w:spacing w:val="6"/>
                <w:sz w:val="24"/>
                <w:szCs w:val="21"/>
                <w:highlight w:val="none"/>
                <w:vertAlign w:val="superscript"/>
              </w:rPr>
              <w:t>3</w:t>
            </w:r>
            <w:r>
              <w:rPr>
                <w:rFonts w:hint="eastAsia"/>
                <w:color w:val="auto"/>
                <w:spacing w:val="6"/>
                <w:sz w:val="24"/>
                <w:szCs w:val="21"/>
                <w:highlight w:val="none"/>
              </w:rPr>
              <w:t>，总填方量约</w:t>
            </w:r>
            <w:r>
              <w:rPr>
                <w:rFonts w:hint="eastAsia" w:ascii="Times New Roman" w:eastAsia="宋体"/>
                <w:color w:val="auto"/>
                <w:spacing w:val="6"/>
                <w:sz w:val="24"/>
                <w:szCs w:val="21"/>
                <w:highlight w:val="none"/>
                <w:lang w:val="en-US" w:eastAsia="zh-CN"/>
              </w:rPr>
              <w:t>10.</w:t>
            </w:r>
            <w:r>
              <w:rPr>
                <w:rFonts w:hint="eastAsia"/>
                <w:color w:val="auto"/>
                <w:spacing w:val="6"/>
                <w:sz w:val="24"/>
                <w:szCs w:val="21"/>
                <w:highlight w:val="none"/>
                <w:lang w:val="en-US" w:eastAsia="zh-CN"/>
              </w:rPr>
              <w:t>3</w:t>
            </w:r>
            <w:r>
              <w:rPr>
                <w:rFonts w:hint="eastAsia" w:ascii="Times New Roman" w:eastAsia="宋体"/>
                <w:color w:val="auto"/>
                <w:spacing w:val="6"/>
                <w:sz w:val="24"/>
                <w:szCs w:val="21"/>
                <w:highlight w:val="none"/>
                <w:lang w:val="en-US" w:eastAsia="zh-CN"/>
              </w:rPr>
              <w:t>6</w:t>
            </w:r>
            <w:r>
              <w:rPr>
                <w:rFonts w:hint="eastAsia"/>
                <w:color w:val="auto"/>
                <w:spacing w:val="6"/>
                <w:sz w:val="24"/>
                <w:szCs w:val="21"/>
                <w:highlight w:val="none"/>
              </w:rPr>
              <w:t>万m</w:t>
            </w:r>
            <w:r>
              <w:rPr>
                <w:rFonts w:hint="eastAsia"/>
                <w:color w:val="auto"/>
                <w:spacing w:val="6"/>
                <w:sz w:val="24"/>
                <w:szCs w:val="21"/>
                <w:highlight w:val="none"/>
                <w:vertAlign w:val="superscript"/>
              </w:rPr>
              <w:t>3</w:t>
            </w:r>
            <w:r>
              <w:rPr>
                <w:color w:val="auto"/>
                <w:spacing w:val="6"/>
                <w:sz w:val="24"/>
                <w:szCs w:val="21"/>
                <w:highlight w:val="none"/>
              </w:rPr>
              <w:t>，</w:t>
            </w:r>
            <w:r>
              <w:rPr>
                <w:rFonts w:hint="eastAsia"/>
                <w:color w:val="auto"/>
                <w:spacing w:val="6"/>
                <w:sz w:val="24"/>
                <w:szCs w:val="21"/>
                <w:highlight w:val="none"/>
              </w:rPr>
              <w:t>本项目挖填基本平衡，不会产生取弃方，因此本项目不设置取土场和弃土场。</w:t>
            </w:r>
            <w:r>
              <w:rPr>
                <w:color w:val="auto"/>
                <w:spacing w:val="6"/>
                <w:sz w:val="24"/>
                <w:szCs w:val="21"/>
                <w:highlight w:val="none"/>
              </w:rPr>
              <w:t>土石方平衡表详见表</w:t>
            </w:r>
            <w:r>
              <w:rPr>
                <w:rFonts w:hint="eastAsia"/>
                <w:color w:val="auto"/>
                <w:spacing w:val="6"/>
                <w:sz w:val="24"/>
                <w:szCs w:val="21"/>
                <w:highlight w:val="none"/>
              </w:rPr>
              <w:t>4-</w:t>
            </w:r>
            <w:r>
              <w:rPr>
                <w:rFonts w:hint="eastAsia" w:ascii="Times New Roman" w:eastAsia="宋体"/>
                <w:color w:val="auto"/>
                <w:spacing w:val="6"/>
                <w:sz w:val="24"/>
                <w:szCs w:val="21"/>
                <w:highlight w:val="none"/>
                <w:lang w:val="en-US" w:eastAsia="zh-CN"/>
              </w:rPr>
              <w:t>2</w:t>
            </w:r>
            <w:r>
              <w:rPr>
                <w:rFonts w:hint="eastAsia"/>
                <w:color w:val="auto"/>
                <w:spacing w:val="6"/>
                <w:sz w:val="24"/>
                <w:szCs w:val="21"/>
                <w:highlight w:val="none"/>
              </w:rPr>
              <w:t>。</w:t>
            </w:r>
          </w:p>
          <w:p w14:paraId="766222CD">
            <w:pPr>
              <w:pStyle w:val="25"/>
              <w:rPr>
                <w:rFonts w:hint="eastAsia" w:ascii="黑体" w:hAnsi="黑体" w:eastAsia="黑体"/>
                <w:b w:val="0"/>
                <w:bCs/>
                <w:color w:val="auto"/>
                <w:sz w:val="21"/>
                <w:szCs w:val="21"/>
                <w:highlight w:val="none"/>
              </w:rPr>
            </w:pPr>
            <w:r>
              <w:rPr>
                <w:rFonts w:ascii="黑体" w:hAnsi="黑体" w:eastAsia="黑体"/>
                <w:b w:val="0"/>
                <w:bCs/>
                <w:color w:val="auto"/>
                <w:sz w:val="21"/>
                <w:szCs w:val="21"/>
                <w:highlight w:val="none"/>
              </w:rPr>
              <w:t>表</w:t>
            </w:r>
            <w:r>
              <w:rPr>
                <w:rFonts w:hint="eastAsia" w:ascii="黑体" w:hAnsi="黑体" w:eastAsia="黑体"/>
                <w:b w:val="0"/>
                <w:bCs/>
                <w:color w:val="auto"/>
                <w:sz w:val="21"/>
                <w:szCs w:val="21"/>
                <w:highlight w:val="none"/>
              </w:rPr>
              <w:t>4</w:t>
            </w:r>
            <w:r>
              <w:rPr>
                <w:rFonts w:ascii="黑体" w:hAnsi="黑体" w:eastAsia="黑体"/>
                <w:b w:val="0"/>
                <w:bCs/>
                <w:color w:val="auto"/>
                <w:sz w:val="21"/>
                <w:szCs w:val="21"/>
                <w:highlight w:val="none"/>
              </w:rPr>
              <w:t>-</w:t>
            </w:r>
            <w:r>
              <w:rPr>
                <w:rFonts w:hint="eastAsia" w:ascii="黑体" w:hAnsi="黑体" w:eastAsia="黑体"/>
                <w:b w:val="0"/>
                <w:bCs/>
                <w:color w:val="auto"/>
                <w:sz w:val="21"/>
                <w:szCs w:val="21"/>
                <w:highlight w:val="none"/>
              </w:rPr>
              <w:t xml:space="preserve">2 </w:t>
            </w:r>
            <w:r>
              <w:rPr>
                <w:rFonts w:ascii="黑体" w:hAnsi="黑体" w:eastAsia="黑体"/>
                <w:b w:val="0"/>
                <w:bCs/>
                <w:color w:val="auto"/>
                <w:sz w:val="21"/>
                <w:szCs w:val="21"/>
                <w:highlight w:val="none"/>
              </w:rPr>
              <w:t>土石方平衡表</w:t>
            </w:r>
            <w:r>
              <w:rPr>
                <w:rFonts w:hint="eastAsia" w:ascii="黑体" w:hAnsi="黑体" w:eastAsia="黑体"/>
                <w:b w:val="0"/>
                <w:bCs/>
                <w:color w:val="auto"/>
                <w:sz w:val="21"/>
                <w:szCs w:val="21"/>
                <w:highlight w:val="none"/>
                <w:lang w:val="en-US" w:eastAsia="zh-CN"/>
              </w:rPr>
              <w:t xml:space="preserve">   </w:t>
            </w:r>
            <w:r>
              <w:rPr>
                <w:rFonts w:ascii="黑体" w:hAnsi="黑体" w:eastAsia="黑体"/>
                <w:b w:val="0"/>
                <w:bCs/>
                <w:color w:val="auto"/>
                <w:sz w:val="21"/>
                <w:szCs w:val="21"/>
                <w:highlight w:val="none"/>
              </w:rPr>
              <w:t>单位：万m</w:t>
            </w:r>
            <w:r>
              <w:rPr>
                <w:rFonts w:ascii="Calibri" w:hAnsi="Calibri" w:eastAsia="黑体" w:cs="Calibri"/>
                <w:b w:val="0"/>
                <w:bCs/>
                <w:color w:val="auto"/>
                <w:sz w:val="21"/>
                <w:szCs w:val="21"/>
                <w:highlight w:val="none"/>
              </w:rPr>
              <w:t>³</w:t>
            </w:r>
          </w:p>
          <w:tbl>
            <w:tblPr>
              <w:tblStyle w:val="10"/>
              <w:tblW w:w="4998"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551"/>
              <w:gridCol w:w="1604"/>
              <w:gridCol w:w="1547"/>
              <w:gridCol w:w="1559"/>
              <w:gridCol w:w="1679"/>
              <w:gridCol w:w="671"/>
            </w:tblGrid>
            <w:tr w14:paraId="1A1308A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58" w:hRule="atLeast"/>
                <w:jc w:val="center"/>
              </w:trPr>
              <w:tc>
                <w:tcPr>
                  <w:tcW w:w="900" w:type="pct"/>
                  <w:tcBorders>
                    <w:tl2br w:val="nil"/>
                    <w:tr2bl w:val="nil"/>
                  </w:tcBorders>
                  <w:vAlign w:val="center"/>
                </w:tcPr>
                <w:p w14:paraId="2A6EEE5D">
                  <w:pPr>
                    <w:jc w:val="center"/>
                    <w:rPr>
                      <w:color w:val="auto"/>
                      <w:kern w:val="0"/>
                      <w:szCs w:val="21"/>
                      <w:highlight w:val="none"/>
                    </w:rPr>
                  </w:pPr>
                  <w:r>
                    <w:rPr>
                      <w:color w:val="auto"/>
                      <w:kern w:val="0"/>
                      <w:szCs w:val="21"/>
                      <w:highlight w:val="none"/>
                    </w:rPr>
                    <w:t>建设项目</w:t>
                  </w:r>
                </w:p>
              </w:tc>
              <w:tc>
                <w:tcPr>
                  <w:tcW w:w="931" w:type="pct"/>
                  <w:tcBorders>
                    <w:tl2br w:val="nil"/>
                    <w:tr2bl w:val="nil"/>
                  </w:tcBorders>
                  <w:vAlign w:val="center"/>
                </w:tcPr>
                <w:p w14:paraId="7CBB32BC">
                  <w:pPr>
                    <w:widowControl/>
                    <w:jc w:val="center"/>
                    <w:rPr>
                      <w:color w:val="auto"/>
                      <w:kern w:val="0"/>
                      <w:szCs w:val="21"/>
                      <w:highlight w:val="none"/>
                    </w:rPr>
                  </w:pPr>
                  <w:r>
                    <w:rPr>
                      <w:color w:val="auto"/>
                      <w:kern w:val="0"/>
                      <w:szCs w:val="21"/>
                      <w:highlight w:val="none"/>
                    </w:rPr>
                    <w:t>挖方（m</w:t>
                  </w:r>
                  <w:r>
                    <w:rPr>
                      <w:color w:val="auto"/>
                      <w:kern w:val="0"/>
                      <w:szCs w:val="21"/>
                      <w:highlight w:val="none"/>
                      <w:vertAlign w:val="superscript"/>
                    </w:rPr>
                    <w:t>3</w:t>
                  </w:r>
                  <w:r>
                    <w:rPr>
                      <w:color w:val="auto"/>
                      <w:kern w:val="0"/>
                      <w:szCs w:val="21"/>
                      <w:highlight w:val="none"/>
                    </w:rPr>
                    <w:t>）</w:t>
                  </w:r>
                </w:p>
              </w:tc>
              <w:tc>
                <w:tcPr>
                  <w:tcW w:w="898" w:type="pct"/>
                  <w:tcBorders>
                    <w:tl2br w:val="nil"/>
                    <w:tr2bl w:val="nil"/>
                  </w:tcBorders>
                  <w:vAlign w:val="center"/>
                </w:tcPr>
                <w:p w14:paraId="3496450B">
                  <w:pPr>
                    <w:widowControl/>
                    <w:jc w:val="center"/>
                    <w:rPr>
                      <w:color w:val="auto"/>
                      <w:kern w:val="0"/>
                      <w:szCs w:val="21"/>
                      <w:highlight w:val="none"/>
                    </w:rPr>
                  </w:pPr>
                  <w:r>
                    <w:rPr>
                      <w:color w:val="auto"/>
                      <w:kern w:val="0"/>
                      <w:szCs w:val="21"/>
                      <w:highlight w:val="none"/>
                    </w:rPr>
                    <w:t>填方（m</w:t>
                  </w:r>
                  <w:r>
                    <w:rPr>
                      <w:color w:val="auto"/>
                      <w:kern w:val="0"/>
                      <w:szCs w:val="21"/>
                      <w:highlight w:val="none"/>
                      <w:vertAlign w:val="superscript"/>
                    </w:rPr>
                    <w:t>3</w:t>
                  </w:r>
                  <w:r>
                    <w:rPr>
                      <w:color w:val="auto"/>
                      <w:kern w:val="0"/>
                      <w:szCs w:val="21"/>
                      <w:highlight w:val="none"/>
                    </w:rPr>
                    <w:t>）</w:t>
                  </w:r>
                </w:p>
              </w:tc>
              <w:tc>
                <w:tcPr>
                  <w:tcW w:w="905" w:type="pct"/>
                  <w:tcBorders>
                    <w:tl2br w:val="nil"/>
                    <w:tr2bl w:val="nil"/>
                  </w:tcBorders>
                  <w:vAlign w:val="center"/>
                </w:tcPr>
                <w:p w14:paraId="03E37C75">
                  <w:pPr>
                    <w:widowControl/>
                    <w:jc w:val="center"/>
                    <w:rPr>
                      <w:color w:val="auto"/>
                      <w:kern w:val="0"/>
                      <w:szCs w:val="21"/>
                      <w:highlight w:val="none"/>
                    </w:rPr>
                  </w:pPr>
                  <w:r>
                    <w:rPr>
                      <w:rFonts w:hint="eastAsia"/>
                      <w:color w:val="auto"/>
                      <w:kern w:val="0"/>
                      <w:szCs w:val="21"/>
                      <w:highlight w:val="none"/>
                    </w:rPr>
                    <w:t>调出</w:t>
                  </w:r>
                  <w:r>
                    <w:rPr>
                      <w:color w:val="auto"/>
                      <w:kern w:val="0"/>
                      <w:szCs w:val="21"/>
                      <w:highlight w:val="none"/>
                    </w:rPr>
                    <w:t>（m</w:t>
                  </w:r>
                  <w:r>
                    <w:rPr>
                      <w:color w:val="auto"/>
                      <w:kern w:val="0"/>
                      <w:szCs w:val="21"/>
                      <w:highlight w:val="none"/>
                      <w:vertAlign w:val="superscript"/>
                    </w:rPr>
                    <w:t>3</w:t>
                  </w:r>
                  <w:r>
                    <w:rPr>
                      <w:color w:val="auto"/>
                      <w:kern w:val="0"/>
                      <w:szCs w:val="21"/>
                      <w:highlight w:val="none"/>
                    </w:rPr>
                    <w:t>）</w:t>
                  </w:r>
                </w:p>
              </w:tc>
              <w:tc>
                <w:tcPr>
                  <w:tcW w:w="974" w:type="pct"/>
                  <w:tcBorders>
                    <w:tl2br w:val="nil"/>
                    <w:tr2bl w:val="nil"/>
                  </w:tcBorders>
                  <w:vAlign w:val="center"/>
                </w:tcPr>
                <w:p w14:paraId="492A5697">
                  <w:pPr>
                    <w:widowControl/>
                    <w:jc w:val="center"/>
                    <w:rPr>
                      <w:color w:val="auto"/>
                      <w:kern w:val="0"/>
                      <w:szCs w:val="21"/>
                      <w:highlight w:val="none"/>
                    </w:rPr>
                  </w:pPr>
                  <w:r>
                    <w:rPr>
                      <w:rFonts w:hint="eastAsia"/>
                      <w:color w:val="auto"/>
                      <w:kern w:val="0"/>
                      <w:szCs w:val="21"/>
                      <w:highlight w:val="none"/>
                    </w:rPr>
                    <w:t>调入</w:t>
                  </w:r>
                  <w:r>
                    <w:rPr>
                      <w:color w:val="auto"/>
                      <w:kern w:val="0"/>
                      <w:szCs w:val="21"/>
                      <w:highlight w:val="none"/>
                    </w:rPr>
                    <w:t>（m</w:t>
                  </w:r>
                  <w:r>
                    <w:rPr>
                      <w:color w:val="auto"/>
                      <w:kern w:val="0"/>
                      <w:szCs w:val="21"/>
                      <w:highlight w:val="none"/>
                      <w:vertAlign w:val="superscript"/>
                    </w:rPr>
                    <w:t>3</w:t>
                  </w:r>
                  <w:r>
                    <w:rPr>
                      <w:color w:val="auto"/>
                      <w:kern w:val="0"/>
                      <w:szCs w:val="21"/>
                      <w:highlight w:val="none"/>
                    </w:rPr>
                    <w:t>）</w:t>
                  </w:r>
                </w:p>
              </w:tc>
              <w:tc>
                <w:tcPr>
                  <w:tcW w:w="389" w:type="pct"/>
                  <w:tcBorders>
                    <w:tl2br w:val="nil"/>
                    <w:tr2bl w:val="nil"/>
                  </w:tcBorders>
                  <w:vAlign w:val="center"/>
                </w:tcPr>
                <w:p w14:paraId="7848C0A2">
                  <w:pPr>
                    <w:widowControl/>
                    <w:jc w:val="center"/>
                    <w:rPr>
                      <w:color w:val="auto"/>
                      <w:kern w:val="0"/>
                      <w:szCs w:val="21"/>
                      <w:highlight w:val="none"/>
                    </w:rPr>
                  </w:pPr>
                  <w:r>
                    <w:rPr>
                      <w:color w:val="auto"/>
                      <w:kern w:val="0"/>
                      <w:szCs w:val="21"/>
                      <w:highlight w:val="none"/>
                    </w:rPr>
                    <w:t>备注</w:t>
                  </w:r>
                </w:p>
              </w:tc>
            </w:tr>
            <w:tr w14:paraId="61C6026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41" w:hRule="atLeast"/>
                <w:jc w:val="center"/>
              </w:trPr>
              <w:tc>
                <w:tcPr>
                  <w:tcW w:w="900" w:type="pct"/>
                  <w:tcBorders>
                    <w:tl2br w:val="nil"/>
                    <w:tr2bl w:val="nil"/>
                  </w:tcBorders>
                  <w:vAlign w:val="center"/>
                </w:tcPr>
                <w:p w14:paraId="617D4B7D">
                  <w:pPr>
                    <w:widowControl/>
                    <w:jc w:val="center"/>
                    <w:rPr>
                      <w:color w:val="auto"/>
                      <w:kern w:val="0"/>
                      <w:szCs w:val="21"/>
                      <w:highlight w:val="none"/>
                    </w:rPr>
                  </w:pPr>
                  <w:r>
                    <w:rPr>
                      <w:color w:val="auto"/>
                      <w:kern w:val="0"/>
                      <w:szCs w:val="21"/>
                      <w:highlight w:val="none"/>
                    </w:rPr>
                    <w:t>风机吊装平台</w:t>
                  </w:r>
                </w:p>
              </w:tc>
              <w:tc>
                <w:tcPr>
                  <w:tcW w:w="931" w:type="pct"/>
                  <w:tcBorders>
                    <w:tl2br w:val="nil"/>
                    <w:tr2bl w:val="nil"/>
                  </w:tcBorders>
                  <w:vAlign w:val="center"/>
                </w:tcPr>
                <w:p w14:paraId="2832987D">
                  <w:pPr>
                    <w:widowControl/>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1</w:t>
                  </w:r>
                </w:p>
              </w:tc>
              <w:tc>
                <w:tcPr>
                  <w:tcW w:w="898" w:type="pct"/>
                  <w:tcBorders>
                    <w:tl2br w:val="nil"/>
                    <w:tr2bl w:val="nil"/>
                  </w:tcBorders>
                  <w:vAlign w:val="center"/>
                </w:tcPr>
                <w:p w14:paraId="77B5E0E2">
                  <w:pPr>
                    <w:widowControl/>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1.6</w:t>
                  </w:r>
                </w:p>
              </w:tc>
              <w:tc>
                <w:tcPr>
                  <w:tcW w:w="905" w:type="pct"/>
                  <w:tcBorders>
                    <w:tl2br w:val="nil"/>
                    <w:tr2bl w:val="nil"/>
                  </w:tcBorders>
                  <w:vAlign w:val="center"/>
                </w:tcPr>
                <w:p w14:paraId="54FDBF8C">
                  <w:pPr>
                    <w:jc w:val="center"/>
                    <w:rPr>
                      <w:color w:val="auto"/>
                      <w:kern w:val="0"/>
                      <w:szCs w:val="21"/>
                      <w:highlight w:val="none"/>
                    </w:rPr>
                  </w:pPr>
                  <w:r>
                    <w:rPr>
                      <w:rFonts w:hint="eastAsia"/>
                      <w:color w:val="auto"/>
                      <w:kern w:val="0"/>
                      <w:szCs w:val="21"/>
                      <w:highlight w:val="none"/>
                    </w:rPr>
                    <w:t>0</w:t>
                  </w:r>
                </w:p>
              </w:tc>
              <w:tc>
                <w:tcPr>
                  <w:tcW w:w="974" w:type="pct"/>
                  <w:tcBorders>
                    <w:tl2br w:val="nil"/>
                    <w:tr2bl w:val="nil"/>
                  </w:tcBorders>
                  <w:vAlign w:val="center"/>
                </w:tcPr>
                <w:p w14:paraId="0E9D7A66">
                  <w:pPr>
                    <w:jc w:val="center"/>
                    <w:rPr>
                      <w:rFonts w:hint="default" w:eastAsia="宋体"/>
                      <w:color w:val="auto"/>
                      <w:szCs w:val="21"/>
                      <w:highlight w:val="none"/>
                      <w:lang w:val="en-US" w:eastAsia="zh-CN"/>
                    </w:rPr>
                  </w:pPr>
                  <w:r>
                    <w:rPr>
                      <w:rFonts w:hint="eastAsia"/>
                      <w:color w:val="auto"/>
                      <w:szCs w:val="21"/>
                      <w:highlight w:val="none"/>
                      <w:lang w:val="en-US" w:eastAsia="zh-CN"/>
                    </w:rPr>
                    <w:t>0.6</w:t>
                  </w:r>
                </w:p>
              </w:tc>
              <w:tc>
                <w:tcPr>
                  <w:tcW w:w="389" w:type="pct"/>
                  <w:vMerge w:val="restart"/>
                  <w:tcBorders>
                    <w:tl2br w:val="nil"/>
                    <w:tr2bl w:val="nil"/>
                  </w:tcBorders>
                  <w:vAlign w:val="center"/>
                </w:tcPr>
                <w:p w14:paraId="4A6D64EF">
                  <w:pPr>
                    <w:widowControl/>
                    <w:jc w:val="center"/>
                    <w:rPr>
                      <w:color w:val="auto"/>
                      <w:kern w:val="0"/>
                      <w:szCs w:val="21"/>
                      <w:highlight w:val="none"/>
                    </w:rPr>
                  </w:pPr>
                  <w:r>
                    <w:rPr>
                      <w:color w:val="auto"/>
                      <w:kern w:val="0"/>
                      <w:szCs w:val="21"/>
                      <w:highlight w:val="none"/>
                    </w:rPr>
                    <w:t>余方用于平台夯实</w:t>
                  </w:r>
                </w:p>
              </w:tc>
            </w:tr>
            <w:tr w14:paraId="5286083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41" w:hRule="atLeast"/>
                <w:jc w:val="center"/>
              </w:trPr>
              <w:tc>
                <w:tcPr>
                  <w:tcW w:w="900" w:type="pct"/>
                  <w:tcBorders>
                    <w:tl2br w:val="nil"/>
                    <w:tr2bl w:val="nil"/>
                  </w:tcBorders>
                  <w:vAlign w:val="center"/>
                </w:tcPr>
                <w:p w14:paraId="34B18495">
                  <w:pPr>
                    <w:widowControl/>
                    <w:jc w:val="center"/>
                    <w:rPr>
                      <w:color w:val="auto"/>
                      <w:kern w:val="0"/>
                      <w:szCs w:val="21"/>
                      <w:highlight w:val="none"/>
                    </w:rPr>
                  </w:pPr>
                  <w:r>
                    <w:rPr>
                      <w:color w:val="auto"/>
                      <w:kern w:val="0"/>
                      <w:szCs w:val="21"/>
                      <w:highlight w:val="none"/>
                    </w:rPr>
                    <w:t>风机基础</w:t>
                  </w:r>
                </w:p>
              </w:tc>
              <w:tc>
                <w:tcPr>
                  <w:tcW w:w="931" w:type="pct"/>
                  <w:tcBorders>
                    <w:tl2br w:val="nil"/>
                    <w:tr2bl w:val="nil"/>
                  </w:tcBorders>
                  <w:vAlign w:val="center"/>
                </w:tcPr>
                <w:p w14:paraId="4B8D7FAA">
                  <w:pPr>
                    <w:widowControl/>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4.86</w:t>
                  </w:r>
                </w:p>
              </w:tc>
              <w:tc>
                <w:tcPr>
                  <w:tcW w:w="898" w:type="pct"/>
                  <w:tcBorders>
                    <w:tl2br w:val="nil"/>
                    <w:tr2bl w:val="nil"/>
                  </w:tcBorders>
                  <w:vAlign w:val="center"/>
                </w:tcPr>
                <w:p w14:paraId="28238E9D">
                  <w:pPr>
                    <w:widowControl/>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4.26</w:t>
                  </w:r>
                </w:p>
              </w:tc>
              <w:tc>
                <w:tcPr>
                  <w:tcW w:w="905" w:type="pct"/>
                  <w:tcBorders>
                    <w:tl2br w:val="nil"/>
                    <w:tr2bl w:val="nil"/>
                  </w:tcBorders>
                  <w:vAlign w:val="center"/>
                </w:tcPr>
                <w:p w14:paraId="7DA39359">
                  <w:pPr>
                    <w:jc w:val="center"/>
                    <w:rPr>
                      <w:rFonts w:hint="default" w:eastAsia="宋体"/>
                      <w:color w:val="auto"/>
                      <w:szCs w:val="21"/>
                      <w:highlight w:val="none"/>
                      <w:lang w:val="en-US" w:eastAsia="zh-CN"/>
                    </w:rPr>
                  </w:pPr>
                  <w:r>
                    <w:rPr>
                      <w:rFonts w:hint="eastAsia"/>
                      <w:color w:val="auto"/>
                      <w:szCs w:val="21"/>
                      <w:highlight w:val="none"/>
                      <w:lang w:val="en-US" w:eastAsia="zh-CN"/>
                    </w:rPr>
                    <w:t>0.6</w:t>
                  </w:r>
                </w:p>
              </w:tc>
              <w:tc>
                <w:tcPr>
                  <w:tcW w:w="974" w:type="pct"/>
                  <w:tcBorders>
                    <w:tl2br w:val="nil"/>
                    <w:tr2bl w:val="nil"/>
                  </w:tcBorders>
                  <w:vAlign w:val="center"/>
                </w:tcPr>
                <w:p w14:paraId="04724E78">
                  <w:pPr>
                    <w:widowControl/>
                    <w:jc w:val="center"/>
                    <w:rPr>
                      <w:color w:val="auto"/>
                      <w:kern w:val="0"/>
                      <w:szCs w:val="21"/>
                      <w:highlight w:val="none"/>
                    </w:rPr>
                  </w:pPr>
                  <w:r>
                    <w:rPr>
                      <w:rFonts w:hint="eastAsia"/>
                      <w:color w:val="auto"/>
                      <w:kern w:val="0"/>
                      <w:szCs w:val="21"/>
                      <w:highlight w:val="none"/>
                    </w:rPr>
                    <w:t>0</w:t>
                  </w:r>
                </w:p>
              </w:tc>
              <w:tc>
                <w:tcPr>
                  <w:tcW w:w="389" w:type="pct"/>
                  <w:vMerge w:val="continue"/>
                  <w:tcBorders>
                    <w:tl2br w:val="nil"/>
                    <w:tr2bl w:val="nil"/>
                  </w:tcBorders>
                  <w:vAlign w:val="center"/>
                </w:tcPr>
                <w:p w14:paraId="0775F008">
                  <w:pPr>
                    <w:widowControl/>
                    <w:jc w:val="center"/>
                    <w:rPr>
                      <w:color w:val="auto"/>
                      <w:kern w:val="0"/>
                      <w:szCs w:val="21"/>
                      <w:highlight w:val="none"/>
                    </w:rPr>
                  </w:pPr>
                </w:p>
              </w:tc>
            </w:tr>
            <w:tr w14:paraId="714EF6C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42" w:hRule="atLeast"/>
                <w:jc w:val="center"/>
              </w:trPr>
              <w:tc>
                <w:tcPr>
                  <w:tcW w:w="900" w:type="pct"/>
                  <w:tcBorders>
                    <w:tl2br w:val="nil"/>
                    <w:tr2bl w:val="nil"/>
                  </w:tcBorders>
                  <w:vAlign w:val="center"/>
                </w:tcPr>
                <w:p w14:paraId="445E9349">
                  <w:pPr>
                    <w:widowControl/>
                    <w:jc w:val="center"/>
                    <w:rPr>
                      <w:color w:val="auto"/>
                      <w:kern w:val="0"/>
                      <w:szCs w:val="21"/>
                      <w:highlight w:val="none"/>
                    </w:rPr>
                  </w:pPr>
                  <w:r>
                    <w:rPr>
                      <w:rFonts w:hint="eastAsia"/>
                      <w:color w:val="auto"/>
                      <w:kern w:val="0"/>
                      <w:szCs w:val="21"/>
                      <w:highlight w:val="none"/>
                    </w:rPr>
                    <w:t>塔基</w:t>
                  </w:r>
                </w:p>
              </w:tc>
              <w:tc>
                <w:tcPr>
                  <w:tcW w:w="931" w:type="pct"/>
                  <w:tcBorders>
                    <w:tl2br w:val="nil"/>
                    <w:tr2bl w:val="nil"/>
                  </w:tcBorders>
                  <w:vAlign w:val="center"/>
                </w:tcPr>
                <w:p w14:paraId="09141CBB">
                  <w:pPr>
                    <w:widowControl/>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4.3</w:t>
                  </w:r>
                </w:p>
              </w:tc>
              <w:tc>
                <w:tcPr>
                  <w:tcW w:w="898" w:type="pct"/>
                  <w:tcBorders>
                    <w:tl2br w:val="nil"/>
                    <w:tr2bl w:val="nil"/>
                  </w:tcBorders>
                  <w:vAlign w:val="center"/>
                </w:tcPr>
                <w:p w14:paraId="18845C54">
                  <w:pPr>
                    <w:widowControl/>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4.3</w:t>
                  </w:r>
                </w:p>
              </w:tc>
              <w:tc>
                <w:tcPr>
                  <w:tcW w:w="905" w:type="pct"/>
                  <w:tcBorders>
                    <w:tl2br w:val="nil"/>
                    <w:tr2bl w:val="nil"/>
                  </w:tcBorders>
                  <w:vAlign w:val="center"/>
                </w:tcPr>
                <w:p w14:paraId="0CDB16D2">
                  <w:pPr>
                    <w:jc w:val="center"/>
                    <w:rPr>
                      <w:rFonts w:hint="default" w:eastAsia="宋体"/>
                      <w:color w:val="auto"/>
                      <w:szCs w:val="21"/>
                      <w:highlight w:val="none"/>
                      <w:lang w:val="en-US" w:eastAsia="zh-CN"/>
                    </w:rPr>
                  </w:pPr>
                  <w:r>
                    <w:rPr>
                      <w:rFonts w:hint="eastAsia"/>
                      <w:color w:val="auto"/>
                      <w:szCs w:val="21"/>
                      <w:highlight w:val="none"/>
                      <w:lang w:val="en-US" w:eastAsia="zh-CN"/>
                    </w:rPr>
                    <w:t>0</w:t>
                  </w:r>
                </w:p>
              </w:tc>
              <w:tc>
                <w:tcPr>
                  <w:tcW w:w="974" w:type="pct"/>
                  <w:tcBorders>
                    <w:tl2br w:val="nil"/>
                    <w:tr2bl w:val="nil"/>
                  </w:tcBorders>
                  <w:vAlign w:val="center"/>
                </w:tcPr>
                <w:p w14:paraId="7A2AE901">
                  <w:pPr>
                    <w:widowControl/>
                    <w:jc w:val="center"/>
                    <w:rPr>
                      <w:color w:val="auto"/>
                      <w:kern w:val="0"/>
                      <w:szCs w:val="21"/>
                      <w:highlight w:val="none"/>
                    </w:rPr>
                  </w:pPr>
                  <w:r>
                    <w:rPr>
                      <w:rFonts w:hint="eastAsia"/>
                      <w:color w:val="auto"/>
                      <w:kern w:val="0"/>
                      <w:szCs w:val="21"/>
                      <w:highlight w:val="none"/>
                    </w:rPr>
                    <w:t>0</w:t>
                  </w:r>
                </w:p>
              </w:tc>
              <w:tc>
                <w:tcPr>
                  <w:tcW w:w="389" w:type="pct"/>
                  <w:tcBorders>
                    <w:tl2br w:val="nil"/>
                    <w:tr2bl w:val="nil"/>
                  </w:tcBorders>
                  <w:vAlign w:val="center"/>
                </w:tcPr>
                <w:p w14:paraId="14F0989C">
                  <w:pPr>
                    <w:jc w:val="center"/>
                    <w:rPr>
                      <w:color w:val="auto"/>
                      <w:szCs w:val="21"/>
                      <w:highlight w:val="none"/>
                    </w:rPr>
                  </w:pPr>
                  <w:r>
                    <w:rPr>
                      <w:color w:val="auto"/>
                      <w:szCs w:val="21"/>
                      <w:highlight w:val="none"/>
                    </w:rPr>
                    <w:t>就地场平</w:t>
                  </w:r>
                </w:p>
              </w:tc>
            </w:tr>
            <w:tr w14:paraId="5DD6954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91" w:hRule="atLeast"/>
                <w:jc w:val="center"/>
              </w:trPr>
              <w:tc>
                <w:tcPr>
                  <w:tcW w:w="900" w:type="pct"/>
                  <w:tcBorders>
                    <w:tl2br w:val="nil"/>
                    <w:tr2bl w:val="nil"/>
                  </w:tcBorders>
                  <w:vAlign w:val="center"/>
                </w:tcPr>
                <w:p w14:paraId="18436F4F">
                  <w:pPr>
                    <w:widowControl/>
                    <w:jc w:val="center"/>
                    <w:rPr>
                      <w:color w:val="auto"/>
                      <w:kern w:val="0"/>
                      <w:szCs w:val="21"/>
                      <w:highlight w:val="none"/>
                    </w:rPr>
                  </w:pPr>
                  <w:r>
                    <w:rPr>
                      <w:color w:val="auto"/>
                      <w:kern w:val="0"/>
                      <w:szCs w:val="21"/>
                      <w:highlight w:val="none"/>
                    </w:rPr>
                    <w:t>施工临建区</w:t>
                  </w:r>
                </w:p>
              </w:tc>
              <w:tc>
                <w:tcPr>
                  <w:tcW w:w="931" w:type="pct"/>
                  <w:tcBorders>
                    <w:tl2br w:val="nil"/>
                    <w:tr2bl w:val="nil"/>
                  </w:tcBorders>
                  <w:vAlign w:val="center"/>
                </w:tcPr>
                <w:p w14:paraId="3DD1FF5B">
                  <w:pPr>
                    <w:widowControl/>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0.2</w:t>
                  </w:r>
                </w:p>
              </w:tc>
              <w:tc>
                <w:tcPr>
                  <w:tcW w:w="898" w:type="pct"/>
                  <w:tcBorders>
                    <w:tl2br w:val="nil"/>
                    <w:tr2bl w:val="nil"/>
                  </w:tcBorders>
                  <w:vAlign w:val="center"/>
                </w:tcPr>
                <w:p w14:paraId="37D03B6A">
                  <w:pPr>
                    <w:widowControl/>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0.2</w:t>
                  </w:r>
                </w:p>
              </w:tc>
              <w:tc>
                <w:tcPr>
                  <w:tcW w:w="905" w:type="pct"/>
                  <w:tcBorders>
                    <w:tl2br w:val="nil"/>
                    <w:tr2bl w:val="nil"/>
                  </w:tcBorders>
                  <w:vAlign w:val="center"/>
                </w:tcPr>
                <w:p w14:paraId="4BA24574">
                  <w:pPr>
                    <w:jc w:val="center"/>
                    <w:rPr>
                      <w:color w:val="auto"/>
                      <w:kern w:val="0"/>
                      <w:szCs w:val="21"/>
                      <w:highlight w:val="none"/>
                    </w:rPr>
                  </w:pPr>
                  <w:r>
                    <w:rPr>
                      <w:rFonts w:hint="eastAsia"/>
                      <w:color w:val="auto"/>
                      <w:kern w:val="0"/>
                      <w:szCs w:val="21"/>
                      <w:highlight w:val="none"/>
                    </w:rPr>
                    <w:t>0</w:t>
                  </w:r>
                </w:p>
              </w:tc>
              <w:tc>
                <w:tcPr>
                  <w:tcW w:w="974" w:type="pct"/>
                  <w:tcBorders>
                    <w:tl2br w:val="nil"/>
                    <w:tr2bl w:val="nil"/>
                  </w:tcBorders>
                  <w:vAlign w:val="center"/>
                </w:tcPr>
                <w:p w14:paraId="1A8E5EC6">
                  <w:pPr>
                    <w:widowControl/>
                    <w:jc w:val="center"/>
                    <w:rPr>
                      <w:color w:val="auto"/>
                      <w:kern w:val="0"/>
                      <w:szCs w:val="21"/>
                      <w:highlight w:val="none"/>
                    </w:rPr>
                  </w:pPr>
                  <w:r>
                    <w:rPr>
                      <w:rFonts w:hint="eastAsia"/>
                      <w:color w:val="auto"/>
                      <w:kern w:val="0"/>
                      <w:szCs w:val="21"/>
                      <w:highlight w:val="none"/>
                    </w:rPr>
                    <w:t>0</w:t>
                  </w:r>
                </w:p>
              </w:tc>
              <w:tc>
                <w:tcPr>
                  <w:tcW w:w="389" w:type="pct"/>
                  <w:tcBorders>
                    <w:tl2br w:val="nil"/>
                    <w:tr2bl w:val="nil"/>
                  </w:tcBorders>
                  <w:vAlign w:val="center"/>
                </w:tcPr>
                <w:p w14:paraId="62D699C9">
                  <w:pPr>
                    <w:jc w:val="center"/>
                    <w:rPr>
                      <w:color w:val="auto"/>
                      <w:szCs w:val="21"/>
                      <w:highlight w:val="none"/>
                    </w:rPr>
                  </w:pPr>
                  <w:r>
                    <w:rPr>
                      <w:color w:val="auto"/>
                      <w:szCs w:val="21"/>
                      <w:highlight w:val="none"/>
                    </w:rPr>
                    <w:t>就地场平</w:t>
                  </w:r>
                </w:p>
              </w:tc>
            </w:tr>
            <w:tr w14:paraId="245AEE5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91" w:hRule="atLeast"/>
                <w:jc w:val="center"/>
              </w:trPr>
              <w:tc>
                <w:tcPr>
                  <w:tcW w:w="900" w:type="pct"/>
                  <w:tcBorders>
                    <w:tl2br w:val="nil"/>
                    <w:tr2bl w:val="nil"/>
                  </w:tcBorders>
                  <w:vAlign w:val="center"/>
                </w:tcPr>
                <w:p w14:paraId="0C2995CB">
                  <w:pPr>
                    <w:jc w:val="center"/>
                    <w:rPr>
                      <w:color w:val="auto"/>
                      <w:kern w:val="0"/>
                      <w:szCs w:val="21"/>
                      <w:highlight w:val="none"/>
                    </w:rPr>
                  </w:pPr>
                  <w:r>
                    <w:rPr>
                      <w:color w:val="auto"/>
                      <w:kern w:val="0"/>
                      <w:szCs w:val="21"/>
                      <w:highlight w:val="none"/>
                    </w:rPr>
                    <w:t>合计</w:t>
                  </w:r>
                </w:p>
              </w:tc>
              <w:tc>
                <w:tcPr>
                  <w:tcW w:w="931" w:type="pct"/>
                  <w:tcBorders>
                    <w:tl2br w:val="nil"/>
                    <w:tr2bl w:val="nil"/>
                  </w:tcBorders>
                  <w:vAlign w:val="center"/>
                </w:tcPr>
                <w:p w14:paraId="4D08E4F8">
                  <w:pPr>
                    <w:jc w:val="center"/>
                    <w:rPr>
                      <w:rFonts w:hint="default"/>
                      <w:color w:val="auto"/>
                      <w:szCs w:val="21"/>
                      <w:highlight w:val="none"/>
                    </w:rPr>
                  </w:pPr>
                  <w:r>
                    <w:rPr>
                      <w:rFonts w:hint="default"/>
                      <w:color w:val="auto"/>
                      <w:szCs w:val="21"/>
                      <w:highlight w:val="none"/>
                    </w:rPr>
                    <w:fldChar w:fldCharType="begin"/>
                  </w:r>
                  <w:r>
                    <w:rPr>
                      <w:rFonts w:hint="default"/>
                      <w:color w:val="auto"/>
                      <w:szCs w:val="21"/>
                      <w:highlight w:val="none"/>
                    </w:rPr>
                    <w:instrText xml:space="preserve"> =SUM(ABOVE) \* MERGEFORMAT </w:instrText>
                  </w:r>
                  <w:r>
                    <w:rPr>
                      <w:rFonts w:hint="default"/>
                      <w:color w:val="auto"/>
                      <w:szCs w:val="21"/>
                      <w:highlight w:val="none"/>
                    </w:rPr>
                    <w:fldChar w:fldCharType="separate"/>
                  </w:r>
                  <w:r>
                    <w:rPr>
                      <w:rFonts w:hint="default"/>
                      <w:color w:val="auto"/>
                      <w:szCs w:val="21"/>
                      <w:highlight w:val="none"/>
                    </w:rPr>
                    <w:t>10.36</w:t>
                  </w:r>
                  <w:r>
                    <w:rPr>
                      <w:rFonts w:hint="default"/>
                      <w:color w:val="auto"/>
                      <w:szCs w:val="21"/>
                      <w:highlight w:val="none"/>
                    </w:rPr>
                    <w:fldChar w:fldCharType="end"/>
                  </w:r>
                </w:p>
              </w:tc>
              <w:tc>
                <w:tcPr>
                  <w:tcW w:w="898" w:type="pct"/>
                  <w:tcBorders>
                    <w:tl2br w:val="nil"/>
                    <w:tr2bl w:val="nil"/>
                  </w:tcBorders>
                  <w:vAlign w:val="center"/>
                </w:tcPr>
                <w:p w14:paraId="143EB96B">
                  <w:pPr>
                    <w:jc w:val="center"/>
                    <w:rPr>
                      <w:rFonts w:hint="default"/>
                      <w:color w:val="auto"/>
                      <w:szCs w:val="21"/>
                      <w:highlight w:val="none"/>
                    </w:rPr>
                  </w:pPr>
                  <w:r>
                    <w:rPr>
                      <w:rFonts w:hint="default"/>
                      <w:color w:val="auto"/>
                      <w:szCs w:val="21"/>
                      <w:highlight w:val="none"/>
                    </w:rPr>
                    <w:fldChar w:fldCharType="begin"/>
                  </w:r>
                  <w:r>
                    <w:rPr>
                      <w:rFonts w:hint="default"/>
                      <w:color w:val="auto"/>
                      <w:szCs w:val="21"/>
                      <w:highlight w:val="none"/>
                    </w:rPr>
                    <w:instrText xml:space="preserve"> =SUM(ABOVE) \* MERGEFORMAT </w:instrText>
                  </w:r>
                  <w:r>
                    <w:rPr>
                      <w:rFonts w:hint="default"/>
                      <w:color w:val="auto"/>
                      <w:szCs w:val="21"/>
                      <w:highlight w:val="none"/>
                    </w:rPr>
                    <w:fldChar w:fldCharType="separate"/>
                  </w:r>
                  <w:r>
                    <w:rPr>
                      <w:rFonts w:hint="default"/>
                      <w:color w:val="auto"/>
                      <w:szCs w:val="21"/>
                      <w:highlight w:val="none"/>
                    </w:rPr>
                    <w:t>10.</w:t>
                  </w:r>
                  <w:r>
                    <w:rPr>
                      <w:rFonts w:hint="eastAsia"/>
                      <w:color w:val="auto"/>
                      <w:szCs w:val="21"/>
                      <w:highlight w:val="none"/>
                      <w:lang w:val="en-US" w:eastAsia="zh-CN"/>
                    </w:rPr>
                    <w:t>3</w:t>
                  </w:r>
                  <w:r>
                    <w:rPr>
                      <w:rFonts w:hint="default"/>
                      <w:color w:val="auto"/>
                      <w:szCs w:val="21"/>
                      <w:highlight w:val="none"/>
                    </w:rPr>
                    <w:t>6</w:t>
                  </w:r>
                  <w:r>
                    <w:rPr>
                      <w:rFonts w:hint="default"/>
                      <w:color w:val="auto"/>
                      <w:szCs w:val="21"/>
                      <w:highlight w:val="none"/>
                    </w:rPr>
                    <w:fldChar w:fldCharType="end"/>
                  </w:r>
                </w:p>
              </w:tc>
              <w:tc>
                <w:tcPr>
                  <w:tcW w:w="905" w:type="pct"/>
                  <w:tcBorders>
                    <w:tl2br w:val="nil"/>
                    <w:tr2bl w:val="nil"/>
                  </w:tcBorders>
                  <w:vAlign w:val="center"/>
                </w:tcPr>
                <w:p w14:paraId="736093D6">
                  <w:pPr>
                    <w:jc w:val="center"/>
                    <w:rPr>
                      <w:rFonts w:hint="default" w:eastAsia="宋体"/>
                      <w:color w:val="auto"/>
                      <w:szCs w:val="21"/>
                      <w:highlight w:val="none"/>
                      <w:lang w:val="en-US" w:eastAsia="zh-CN"/>
                    </w:rPr>
                  </w:pPr>
                  <w:r>
                    <w:rPr>
                      <w:rFonts w:hint="eastAsia"/>
                      <w:color w:val="auto"/>
                      <w:szCs w:val="21"/>
                      <w:highlight w:val="none"/>
                      <w:lang w:val="en-US" w:eastAsia="zh-CN"/>
                    </w:rPr>
                    <w:t>0.6</w:t>
                  </w:r>
                </w:p>
              </w:tc>
              <w:tc>
                <w:tcPr>
                  <w:tcW w:w="974" w:type="pct"/>
                  <w:tcBorders>
                    <w:tl2br w:val="nil"/>
                    <w:tr2bl w:val="nil"/>
                  </w:tcBorders>
                  <w:vAlign w:val="center"/>
                </w:tcPr>
                <w:p w14:paraId="3B904C50">
                  <w:pPr>
                    <w:jc w:val="center"/>
                    <w:rPr>
                      <w:rFonts w:hint="default"/>
                      <w:color w:val="auto"/>
                      <w:szCs w:val="21"/>
                      <w:highlight w:val="none"/>
                    </w:rPr>
                  </w:pPr>
                  <w:r>
                    <w:rPr>
                      <w:rFonts w:hint="default"/>
                      <w:color w:val="auto"/>
                      <w:szCs w:val="21"/>
                      <w:highlight w:val="none"/>
                    </w:rPr>
                    <w:fldChar w:fldCharType="begin"/>
                  </w:r>
                  <w:r>
                    <w:rPr>
                      <w:rFonts w:hint="default"/>
                      <w:color w:val="auto"/>
                      <w:szCs w:val="21"/>
                      <w:highlight w:val="none"/>
                    </w:rPr>
                    <w:instrText xml:space="preserve"> =SUM(ABOVE) \* MERGEFORMAT </w:instrText>
                  </w:r>
                  <w:r>
                    <w:rPr>
                      <w:rFonts w:hint="default"/>
                      <w:color w:val="auto"/>
                      <w:szCs w:val="21"/>
                      <w:highlight w:val="none"/>
                    </w:rPr>
                    <w:fldChar w:fldCharType="separate"/>
                  </w:r>
                  <w:r>
                    <w:rPr>
                      <w:rFonts w:hint="default"/>
                      <w:color w:val="auto"/>
                      <w:szCs w:val="21"/>
                      <w:highlight w:val="none"/>
                    </w:rPr>
                    <w:t>0.6</w:t>
                  </w:r>
                  <w:r>
                    <w:rPr>
                      <w:rFonts w:hint="default"/>
                      <w:color w:val="auto"/>
                      <w:szCs w:val="21"/>
                      <w:highlight w:val="none"/>
                    </w:rPr>
                    <w:fldChar w:fldCharType="end"/>
                  </w:r>
                </w:p>
              </w:tc>
              <w:tc>
                <w:tcPr>
                  <w:tcW w:w="389" w:type="pct"/>
                  <w:tcBorders>
                    <w:tl2br w:val="nil"/>
                    <w:tr2bl w:val="nil"/>
                  </w:tcBorders>
                  <w:vAlign w:val="center"/>
                </w:tcPr>
                <w:p w14:paraId="29CC796C">
                  <w:pPr>
                    <w:jc w:val="center"/>
                    <w:rPr>
                      <w:color w:val="auto"/>
                      <w:szCs w:val="21"/>
                      <w:highlight w:val="none"/>
                    </w:rPr>
                  </w:pPr>
                  <w:r>
                    <w:rPr>
                      <w:color w:val="auto"/>
                      <w:szCs w:val="21"/>
                      <w:highlight w:val="none"/>
                    </w:rPr>
                    <w:t>-</w:t>
                  </w:r>
                </w:p>
              </w:tc>
            </w:tr>
          </w:tbl>
          <w:p w14:paraId="4E24E3FC">
            <w:pPr>
              <w:widowControl/>
              <w:spacing w:line="480" w:lineRule="exact"/>
              <w:ind w:firstLine="480" w:firstLineChars="200"/>
              <w:rPr>
                <w:color w:val="auto"/>
                <w:sz w:val="24"/>
                <w:highlight w:val="none"/>
              </w:rPr>
            </w:pPr>
            <w:r>
              <w:rPr>
                <w:rFonts w:hint="eastAsia" w:eastAsia="宋体"/>
                <w:color w:val="auto"/>
                <w:sz w:val="24"/>
                <w:highlight w:val="none"/>
                <w:lang w:eastAsia="zh-CN"/>
              </w:rPr>
              <w:t>（</w:t>
            </w:r>
            <w:r>
              <w:rPr>
                <w:rFonts w:hint="eastAsia" w:ascii="Times New Roman" w:eastAsia="宋体"/>
                <w:color w:val="auto"/>
                <w:sz w:val="24"/>
                <w:highlight w:val="none"/>
                <w:lang w:val="en-US" w:eastAsia="zh-CN"/>
              </w:rPr>
              <w:t>3</w:t>
            </w:r>
            <w:r>
              <w:rPr>
                <w:rFonts w:hint="eastAsia" w:eastAsia="宋体"/>
                <w:color w:val="auto"/>
                <w:sz w:val="24"/>
                <w:highlight w:val="none"/>
                <w:lang w:eastAsia="zh-CN"/>
              </w:rPr>
              <w:t>）</w:t>
            </w:r>
            <w:r>
              <w:rPr>
                <w:rFonts w:hint="eastAsia"/>
                <w:color w:val="auto"/>
                <w:sz w:val="24"/>
                <w:highlight w:val="none"/>
              </w:rPr>
              <w:t>施工垃圾：主要为废弃的不能被利用的建筑垃圾，将建筑垃圾清运到环卫部门规定的地点合理处置，并接受环卫部门的监督管理。</w:t>
            </w:r>
          </w:p>
          <w:p w14:paraId="784B0C4A">
            <w:pPr>
              <w:widowControl/>
              <w:spacing w:line="480" w:lineRule="exact"/>
              <w:ind w:firstLine="480" w:firstLineChars="200"/>
              <w:rPr>
                <w:color w:val="auto"/>
                <w:sz w:val="24"/>
                <w:highlight w:val="none"/>
              </w:rPr>
            </w:pPr>
            <w:r>
              <w:rPr>
                <w:rFonts w:hint="eastAsia"/>
                <w:color w:val="auto"/>
                <w:sz w:val="24"/>
                <w:highlight w:val="none"/>
              </w:rPr>
              <w:t>施工垃圾和生活垃圾妥善处置后，施工期固体废物对周围环境造成影响很小。</w:t>
            </w:r>
          </w:p>
          <w:p w14:paraId="7223799A">
            <w:pPr>
              <w:spacing w:line="480" w:lineRule="exact"/>
              <w:ind w:firstLine="480" w:firstLineChars="200"/>
              <w:rPr>
                <w:color w:val="auto"/>
                <w:sz w:val="24"/>
                <w:highlight w:val="none"/>
              </w:rPr>
            </w:pPr>
            <w:r>
              <w:rPr>
                <w:color w:val="auto"/>
                <w:sz w:val="24"/>
                <w:highlight w:val="none"/>
              </w:rPr>
              <w:t>5、施工期生态环境影响分析</w:t>
            </w:r>
          </w:p>
          <w:p w14:paraId="55FCF990">
            <w:pPr>
              <w:spacing w:line="480" w:lineRule="exact"/>
              <w:ind w:firstLine="480" w:firstLineChars="200"/>
              <w:rPr>
                <w:color w:val="auto"/>
                <w:sz w:val="24"/>
                <w:highlight w:val="none"/>
              </w:rPr>
            </w:pPr>
            <w:r>
              <w:rPr>
                <w:rFonts w:hint="eastAsia"/>
                <w:color w:val="auto"/>
                <w:sz w:val="24"/>
                <w:highlight w:val="none"/>
              </w:rPr>
              <w:t>项目施工期生态环境影响主要体现在风场范围内风电机组、集电线路、施工临建区的建设过程中。对区域地表挖损、植被破坏、改变土壤结构层等会引发水土流失，对局部生态环境带来不利影响。同时建筑垃圾或弃土临时堆放以及施工结束前后一段时间内的土壤裸露均会造成水土流失。</w:t>
            </w:r>
          </w:p>
          <w:p w14:paraId="64FEE373">
            <w:pPr>
              <w:spacing w:line="480" w:lineRule="exact"/>
              <w:ind w:firstLine="480" w:firstLineChars="200"/>
              <w:rPr>
                <w:color w:val="auto"/>
                <w:sz w:val="24"/>
                <w:highlight w:val="none"/>
              </w:rPr>
            </w:pPr>
            <w:r>
              <w:rPr>
                <w:color w:val="auto"/>
                <w:sz w:val="24"/>
                <w:highlight w:val="none"/>
              </w:rPr>
              <w:t>（1）对土地利用的影响</w:t>
            </w:r>
          </w:p>
          <w:p w14:paraId="2168A053">
            <w:pPr>
              <w:autoSpaceDE w:val="0"/>
              <w:autoSpaceDN w:val="0"/>
              <w:spacing w:line="480" w:lineRule="exact"/>
              <w:ind w:firstLine="480" w:firstLineChars="200"/>
              <w:rPr>
                <w:color w:val="auto"/>
                <w:sz w:val="24"/>
                <w:highlight w:val="none"/>
              </w:rPr>
            </w:pPr>
            <w:r>
              <w:rPr>
                <w:rFonts w:hint="eastAsia"/>
                <w:color w:val="auto"/>
                <w:sz w:val="24"/>
                <w:highlight w:val="none"/>
              </w:rPr>
              <w:t>工程建设后项目区永久占地的土地利用类型将发生变化。工程的建设最终使</w:t>
            </w:r>
            <w:r>
              <w:rPr>
                <w:rFonts w:hint="eastAsia" w:ascii="Times New Roman" w:eastAsia="宋体"/>
                <w:color w:val="auto"/>
                <w:sz w:val="24"/>
                <w:highlight w:val="none"/>
                <w:lang w:val="en-US" w:eastAsia="zh-CN"/>
              </w:rPr>
              <w:fldChar w:fldCharType="begin"/>
            </w:r>
            <w:r>
              <w:rPr>
                <w:rFonts w:hint="eastAsia" w:ascii="Times New Roman" w:eastAsia="宋体"/>
                <w:color w:val="auto"/>
                <w:sz w:val="24"/>
                <w:highlight w:val="none"/>
                <w:lang w:val="en-US" w:eastAsia="zh-CN"/>
              </w:rPr>
              <w:instrText xml:space="preserve"> =SUM(ABOVE) \* MERGEFORMAT </w:instrText>
            </w:r>
            <w:r>
              <w:rPr>
                <w:rFonts w:hint="eastAsia" w:ascii="Times New Roman" w:eastAsia="宋体"/>
                <w:color w:val="auto"/>
                <w:sz w:val="24"/>
                <w:highlight w:val="none"/>
                <w:lang w:val="en-US" w:eastAsia="zh-CN"/>
              </w:rPr>
              <w:fldChar w:fldCharType="separate"/>
            </w:r>
            <w:r>
              <w:rPr>
                <w:rFonts w:hint="eastAsia" w:ascii="Times New Roman" w:eastAsia="宋体"/>
                <w:color w:val="auto"/>
                <w:sz w:val="24"/>
                <w:highlight w:val="none"/>
                <w:lang w:val="en-US" w:eastAsia="zh-CN"/>
              </w:rPr>
              <w:t>0.8829</w:t>
            </w:r>
            <w:r>
              <w:rPr>
                <w:rFonts w:hint="eastAsia" w:ascii="Times New Roman" w:eastAsia="宋体"/>
                <w:color w:val="auto"/>
                <w:sz w:val="24"/>
                <w:highlight w:val="none"/>
                <w:lang w:val="en-US" w:eastAsia="zh-CN"/>
              </w:rPr>
              <w:fldChar w:fldCharType="end"/>
            </w:r>
            <w:r>
              <w:rPr>
                <w:rFonts w:hint="eastAsia" w:ascii="Times New Roman" w:eastAsia="宋体"/>
                <w:color w:val="auto"/>
                <w:sz w:val="24"/>
                <w:highlight w:val="none"/>
                <w:lang w:val="en-US" w:eastAsia="zh-CN"/>
              </w:rPr>
              <w:t>h</w:t>
            </w:r>
            <w:r>
              <w:rPr>
                <w:rFonts w:hint="eastAsia"/>
                <w:color w:val="auto"/>
                <w:sz w:val="24"/>
                <w:highlight w:val="none"/>
              </w:rPr>
              <w:t>m</w:t>
            </w:r>
            <w:r>
              <w:rPr>
                <w:rFonts w:hint="eastAsia"/>
                <w:color w:val="auto"/>
                <w:sz w:val="24"/>
                <w:highlight w:val="none"/>
                <w:vertAlign w:val="superscript"/>
              </w:rPr>
              <w:t>2</w:t>
            </w:r>
            <w:r>
              <w:rPr>
                <w:rFonts w:hint="eastAsia"/>
                <w:color w:val="auto"/>
                <w:sz w:val="24"/>
                <w:highlight w:val="none"/>
              </w:rPr>
              <w:t>土地变成了建设用地（</w:t>
            </w:r>
            <w:r>
              <w:rPr>
                <w:rFonts w:hint="eastAsia" w:ascii="Times New Roman" w:eastAsia="宋体"/>
                <w:color w:val="auto"/>
                <w:sz w:val="24"/>
                <w:highlight w:val="none"/>
                <w:lang w:val="en-US" w:eastAsia="zh-CN"/>
              </w:rPr>
              <w:t>8台</w:t>
            </w:r>
            <w:r>
              <w:rPr>
                <w:rFonts w:hint="eastAsia"/>
                <w:color w:val="auto"/>
                <w:sz w:val="24"/>
                <w:highlight w:val="none"/>
              </w:rPr>
              <w:t>风电机组占地</w:t>
            </w:r>
            <w:r>
              <w:rPr>
                <w:rFonts w:hint="eastAsia" w:ascii="Times New Roman" w:eastAsia="宋体"/>
                <w:color w:val="auto"/>
                <w:sz w:val="24"/>
                <w:highlight w:val="none"/>
                <w:lang w:val="en-US" w:eastAsia="zh-CN"/>
              </w:rPr>
              <w:t>0.2230h</w:t>
            </w:r>
            <w:r>
              <w:rPr>
                <w:rFonts w:hint="eastAsia"/>
                <w:color w:val="auto"/>
                <w:sz w:val="24"/>
                <w:highlight w:val="none"/>
              </w:rPr>
              <w:t>m</w:t>
            </w:r>
            <w:r>
              <w:rPr>
                <w:rFonts w:hint="eastAsia"/>
                <w:color w:val="auto"/>
                <w:sz w:val="24"/>
                <w:highlight w:val="none"/>
                <w:vertAlign w:val="superscript"/>
              </w:rPr>
              <w:t>2</w:t>
            </w:r>
            <w:r>
              <w:rPr>
                <w:rFonts w:hint="eastAsia" w:ascii="Times New Roman" w:eastAsia="宋体"/>
                <w:color w:val="auto"/>
                <w:sz w:val="24"/>
                <w:highlight w:val="none"/>
                <w:vertAlign w:val="baseline"/>
                <w:lang w:val="en-US" w:eastAsia="zh-CN"/>
              </w:rPr>
              <w:t>，集电线路塔基占地0.6599</w:t>
            </w:r>
            <w:r>
              <w:rPr>
                <w:rFonts w:hint="eastAsia" w:ascii="Times New Roman" w:eastAsia="宋体"/>
                <w:color w:val="auto"/>
                <w:sz w:val="24"/>
                <w:highlight w:val="none"/>
                <w:lang w:val="en-US" w:eastAsia="zh-CN"/>
              </w:rPr>
              <w:t>h</w:t>
            </w:r>
            <w:r>
              <w:rPr>
                <w:rFonts w:hint="eastAsia"/>
                <w:color w:val="auto"/>
                <w:sz w:val="24"/>
                <w:highlight w:val="none"/>
              </w:rPr>
              <w:t>m</w:t>
            </w:r>
            <w:r>
              <w:rPr>
                <w:rFonts w:hint="eastAsia"/>
                <w:color w:val="auto"/>
                <w:sz w:val="24"/>
                <w:highlight w:val="none"/>
                <w:vertAlign w:val="superscript"/>
              </w:rPr>
              <w:t>2</w:t>
            </w:r>
            <w:r>
              <w:rPr>
                <w:rFonts w:hint="eastAsia"/>
                <w:color w:val="auto"/>
                <w:sz w:val="24"/>
                <w:highlight w:val="none"/>
              </w:rPr>
              <w:t>）。工程建设对土地利用性质的改变，使区域土地利用率提高，体现了土地的经济价值，有利于增强区域经济发展动力。</w:t>
            </w:r>
          </w:p>
          <w:p w14:paraId="45DB590F">
            <w:pPr>
              <w:autoSpaceDE w:val="0"/>
              <w:autoSpaceDN w:val="0"/>
              <w:spacing w:line="480" w:lineRule="exact"/>
              <w:ind w:firstLine="480" w:firstLineChars="200"/>
              <w:rPr>
                <w:color w:val="auto"/>
                <w:sz w:val="24"/>
                <w:highlight w:val="none"/>
              </w:rPr>
            </w:pPr>
            <w:r>
              <w:rPr>
                <w:rFonts w:hint="eastAsia"/>
                <w:color w:val="auto"/>
                <w:sz w:val="24"/>
                <w:highlight w:val="none"/>
              </w:rPr>
              <w:t>（2）对植被的影响</w:t>
            </w:r>
          </w:p>
          <w:p w14:paraId="0AF4642D">
            <w:pPr>
              <w:autoSpaceDE w:val="0"/>
              <w:autoSpaceDN w:val="0"/>
              <w:spacing w:line="480" w:lineRule="exact"/>
              <w:ind w:firstLine="480" w:firstLineChars="200"/>
              <w:rPr>
                <w:color w:val="auto"/>
                <w:sz w:val="24"/>
                <w:highlight w:val="none"/>
              </w:rPr>
            </w:pPr>
            <w:r>
              <w:rPr>
                <w:rFonts w:hint="eastAsia"/>
                <w:color w:val="auto"/>
                <w:sz w:val="24"/>
                <w:highlight w:val="none"/>
              </w:rPr>
              <w:t>本项目风机基础、</w:t>
            </w:r>
            <w:r>
              <w:rPr>
                <w:rFonts w:hint="eastAsia" w:ascii="Times New Roman" w:eastAsia="宋体"/>
                <w:color w:val="auto"/>
                <w:sz w:val="24"/>
                <w:highlight w:val="none"/>
                <w:lang w:val="en-US" w:eastAsia="zh-CN"/>
              </w:rPr>
              <w:t>集电线路塔基</w:t>
            </w:r>
            <w:r>
              <w:rPr>
                <w:rFonts w:hint="eastAsia"/>
                <w:color w:val="auto"/>
                <w:sz w:val="24"/>
                <w:highlight w:val="none"/>
              </w:rPr>
              <w:t>等工程使占地范围内的林木、草丛等遭受砍伐、清除、掩埋等一系列人为干扰活动，使永久占地内的植被生物量损失，临时占地内的植被受到侵扰或破坏。</w:t>
            </w:r>
          </w:p>
          <w:p w14:paraId="5CB3D003">
            <w:pPr>
              <w:autoSpaceDE w:val="0"/>
              <w:autoSpaceDN w:val="0"/>
              <w:spacing w:line="480" w:lineRule="exact"/>
              <w:ind w:firstLine="480" w:firstLineChars="200"/>
              <w:rPr>
                <w:color w:val="auto"/>
                <w:sz w:val="24"/>
                <w:highlight w:val="none"/>
              </w:rPr>
            </w:pPr>
            <w:r>
              <w:rPr>
                <w:rFonts w:hint="eastAsia" w:ascii="Times New Roman" w:hAnsi="Times New Roman" w:cs="Times New Roman"/>
                <w:color w:val="auto"/>
                <w:sz w:val="24"/>
                <w:highlight w:val="none"/>
              </w:rPr>
              <w:t>项目工程占地范围内没有珍稀的植物和天然林</w:t>
            </w:r>
            <w:r>
              <w:rPr>
                <w:rFonts w:hint="eastAsia"/>
                <w:color w:val="auto"/>
                <w:sz w:val="24"/>
                <w:highlight w:val="none"/>
              </w:rPr>
              <w:t>，这些植物均为当地的常见种，资源丰富，而且造成的面积损失主要表现为点和线，占用面积较小，分散在很大的区域内，不会造成生物多样性的显著降低和物种消失，工程建设仅会对局部的植物数量和生长环境产生不利影响，这种影响是暂时的、可逆的，随着项目的建成，施工临时占地将进行有效地植被恢复，永久占地采取相应的植被补偿措施，区域植被将会得到较快的恢复，项目建设对植物种群影响的痕迹将会逐渐消退。因此，项目的建设对区域植物种类及分布均不会造成明显影响，对区域植物物种多样性的影响较小。</w:t>
            </w:r>
          </w:p>
          <w:p w14:paraId="793FEFBC">
            <w:pPr>
              <w:autoSpaceDE w:val="0"/>
              <w:autoSpaceDN w:val="0"/>
              <w:spacing w:line="480" w:lineRule="exact"/>
              <w:ind w:firstLine="480" w:firstLineChars="200"/>
              <w:rPr>
                <w:color w:val="auto"/>
                <w:sz w:val="24"/>
                <w:highlight w:val="none"/>
              </w:rPr>
            </w:pPr>
            <w:r>
              <w:rPr>
                <w:rFonts w:hint="eastAsia"/>
                <w:color w:val="auto"/>
                <w:sz w:val="24"/>
                <w:highlight w:val="none"/>
              </w:rPr>
              <w:t>（3）对动物的影响</w:t>
            </w:r>
          </w:p>
          <w:p w14:paraId="24DCE7AD">
            <w:pPr>
              <w:autoSpaceDE w:val="0"/>
              <w:autoSpaceDN w:val="0"/>
              <w:spacing w:line="480" w:lineRule="exact"/>
              <w:ind w:firstLine="480" w:firstLineChars="200"/>
              <w:rPr>
                <w:color w:val="auto"/>
                <w:sz w:val="24"/>
                <w:highlight w:val="none"/>
              </w:rPr>
            </w:pPr>
            <w:r>
              <w:rPr>
                <w:rFonts w:hint="eastAsia"/>
                <w:color w:val="auto"/>
                <w:sz w:val="24"/>
                <w:highlight w:val="none"/>
              </w:rPr>
              <w:t>施工期对区内动物的影响主要是对野生动物栖息地的影响。施工期施工机械噪声和人员活动噪声是对野生动物影响的主要影响因素。各种施工机械，如运输车辆、推土机、挖掘机、打桩机、工程钻机、振捣棒、电锯等均可产生较强烈的噪声，虽然这些施工噪声属非连续排放，但由于噪声源相对集中，多为裸露声源，故其噪声影响范围相对较大。</w:t>
            </w:r>
          </w:p>
          <w:p w14:paraId="49B08C5F">
            <w:pPr>
              <w:autoSpaceDE w:val="0"/>
              <w:autoSpaceDN w:val="0"/>
              <w:spacing w:line="480" w:lineRule="exact"/>
              <w:ind w:firstLine="480" w:firstLineChars="200"/>
              <w:rPr>
                <w:color w:val="auto"/>
                <w:sz w:val="24"/>
                <w:highlight w:val="none"/>
              </w:rPr>
            </w:pPr>
            <w:r>
              <w:rPr>
                <w:rFonts w:hint="eastAsia"/>
                <w:color w:val="auto"/>
                <w:sz w:val="24"/>
                <w:highlight w:val="none"/>
              </w:rPr>
              <w:t>在施工期，区域的野生动物都将产生规避反应，远离这一地区，特别是鸟类，其栖息环境需要相对安静，因此区域的鸟类将受</w:t>
            </w:r>
            <w:r>
              <w:rPr>
                <w:rFonts w:hint="eastAsia" w:ascii="Times New Roman" w:eastAsia="宋体"/>
                <w:color w:val="auto"/>
                <w:sz w:val="24"/>
                <w:highlight w:val="none"/>
                <w:lang w:val="en-US" w:eastAsia="zh-CN"/>
              </w:rPr>
              <w:t>到</w:t>
            </w:r>
            <w:r>
              <w:rPr>
                <w:rFonts w:hint="eastAsia"/>
                <w:color w:val="auto"/>
                <w:sz w:val="24"/>
                <w:highlight w:val="none"/>
              </w:rPr>
              <w:t>较大影响，而本区内无大型野生动物，主要有野兔、鼠类等小型动物，施工期间，动物受施工影响，将迁往附近同类环境，动物迁徙能力强，且同类生境易于在附近找寻，故物种种群与数量不会受到明显影响。且施工场地相对于该区域建设基地面积较小，项目的建设只是在小范围内暂时改变了部分动物的栖息环境，不会引起物种消失和生物多样性的减少，随着施工破坏的生态植被逐渐恢复，人为活动的减少，该区域内动物的种类、数量和分布也将重新达到一种新的平衡状态。可见，施工期对野生动物的影响较小。</w:t>
            </w:r>
          </w:p>
          <w:p w14:paraId="15CFAC8D">
            <w:pPr>
              <w:autoSpaceDE w:val="0"/>
              <w:autoSpaceDN w:val="0"/>
              <w:spacing w:line="480" w:lineRule="exact"/>
              <w:ind w:firstLine="480" w:firstLineChars="200"/>
              <w:rPr>
                <w:rFonts w:hint="eastAsia"/>
                <w:color w:val="auto"/>
                <w:sz w:val="24"/>
                <w:highlight w:val="none"/>
              </w:rPr>
            </w:pPr>
            <w:r>
              <w:rPr>
                <w:rFonts w:hint="eastAsia"/>
                <w:color w:val="auto"/>
                <w:sz w:val="24"/>
                <w:highlight w:val="none"/>
                <w:lang w:val="en-US" w:eastAsia="zh-CN"/>
              </w:rPr>
              <w:t>（4）对林业生态（含国家二级公益林）的影响</w:t>
            </w:r>
          </w:p>
          <w:p w14:paraId="5ED67D0B">
            <w:pPr>
              <w:widowControl w:val="0"/>
              <w:adjustRightInd w:val="0"/>
              <w:snapToGrid w:val="0"/>
              <w:spacing w:beforeLines="0" w:line="440" w:lineRule="exact"/>
              <w:ind w:firstLine="480" w:firstLineChars="200"/>
              <w:jc w:val="both"/>
              <w:outlineLvl w:val="2"/>
              <w:rPr>
                <w:rFonts w:ascii="Times New Roman" w:hAnsi="Times New Roman" w:eastAsia="宋体" w:cs="Times New Roman"/>
                <w:color w:val="auto"/>
                <w:kern w:val="2"/>
                <w:sz w:val="24"/>
                <w:szCs w:val="21"/>
                <w:highlight w:val="none"/>
                <w:lang w:val="en-US" w:eastAsia="zh-CN" w:bidi="ar-SA"/>
              </w:rPr>
            </w:pPr>
            <w:r>
              <w:rPr>
                <w:rFonts w:ascii="Times New Roman" w:hAnsi="Times New Roman" w:eastAsia="宋体" w:cs="Times New Roman"/>
                <w:color w:val="auto"/>
                <w:kern w:val="2"/>
                <w:sz w:val="24"/>
                <w:szCs w:val="21"/>
                <w:highlight w:val="none"/>
                <w:lang w:val="en-US" w:eastAsia="zh-CN" w:bidi="ar-SA"/>
              </w:rPr>
              <w:t>本项目风电场区域为公益林地集中分布区域，项目于选址阶段已尽可能优化选址和建设方案，对公益林地集中分布区域进行了避让，尽可能减少对区域林业生态的影响，但还是不可避免与</w:t>
            </w:r>
            <w:r>
              <w:rPr>
                <w:rFonts w:hint="eastAsia" w:cs="Times New Roman"/>
                <w:color w:val="auto"/>
                <w:kern w:val="2"/>
                <w:sz w:val="24"/>
                <w:szCs w:val="21"/>
                <w:highlight w:val="none"/>
                <w:lang w:val="en-US" w:eastAsia="zh-CN" w:bidi="ar-SA"/>
              </w:rPr>
              <w:t>国家二级</w:t>
            </w:r>
            <w:r>
              <w:rPr>
                <w:rFonts w:ascii="Times New Roman" w:hAnsi="Times New Roman" w:eastAsia="宋体" w:cs="Times New Roman"/>
                <w:color w:val="auto"/>
                <w:kern w:val="2"/>
                <w:sz w:val="24"/>
                <w:szCs w:val="21"/>
                <w:highlight w:val="none"/>
                <w:lang w:val="en-US" w:eastAsia="zh-CN" w:bidi="ar-SA"/>
              </w:rPr>
              <w:t>公益林地、其他地方公益林地有重叠。</w:t>
            </w:r>
          </w:p>
          <w:p w14:paraId="055AB000">
            <w:pPr>
              <w:widowControl w:val="0"/>
              <w:adjustRightInd w:val="0"/>
              <w:snapToGrid w:val="0"/>
              <w:spacing w:beforeLines="0" w:line="420" w:lineRule="exact"/>
              <w:ind w:firstLine="480" w:firstLineChars="200"/>
              <w:jc w:val="both"/>
              <w:outlineLvl w:val="2"/>
              <w:rPr>
                <w:rFonts w:hint="eastAsia" w:ascii="Times New Roman" w:hAnsi="Times New Roman" w:eastAsia="宋体" w:cs="Times New Roman"/>
                <w:color w:val="auto"/>
                <w:kern w:val="2"/>
                <w:sz w:val="24"/>
                <w:szCs w:val="21"/>
                <w:highlight w:val="none"/>
                <w:lang w:val="en-US" w:eastAsia="zh-CN" w:bidi="ar-SA"/>
              </w:rPr>
            </w:pPr>
            <w:r>
              <w:rPr>
                <w:rFonts w:hint="eastAsia" w:ascii="Times New Roman" w:hAnsi="Times New Roman" w:eastAsia="宋体" w:cs="Times New Roman"/>
                <w:color w:val="auto"/>
                <w:kern w:val="2"/>
                <w:sz w:val="24"/>
                <w:szCs w:val="21"/>
                <w:highlight w:val="none"/>
                <w:lang w:val="en-US" w:eastAsia="zh-CN" w:bidi="ar-SA"/>
              </w:rPr>
              <w:t>本项目建设对林业生态环境的影响主要表现为占用林地，改变了原有林地地类，使占地范围内植被均遭到破坏，</w:t>
            </w:r>
            <w:r>
              <w:rPr>
                <w:rFonts w:hint="eastAsia" w:ascii="宋体" w:hAnsi="宋体" w:eastAsia="宋体" w:cs="宋体"/>
                <w:color w:val="auto"/>
                <w:kern w:val="2"/>
                <w:sz w:val="24"/>
                <w:szCs w:val="21"/>
                <w:highlight w:val="none"/>
                <w:lang w:val="en-US" w:eastAsia="zh-CN" w:bidi="ar-SA"/>
              </w:rPr>
              <w:t>项目建设不可避免要砍伐树木，使区域</w:t>
            </w:r>
            <w:r>
              <w:rPr>
                <w:rFonts w:hint="eastAsia" w:ascii="Times New Roman" w:hAnsi="Times New Roman" w:eastAsia="宋体" w:cs="Times New Roman"/>
                <w:color w:val="auto"/>
                <w:kern w:val="2"/>
                <w:sz w:val="24"/>
                <w:szCs w:val="21"/>
                <w:highlight w:val="none"/>
                <w:lang w:val="en-US" w:eastAsia="zh-CN" w:bidi="ar-SA"/>
              </w:rPr>
              <w:t>林地资源量减少，对当地森林资源造成一定的破坏。建设单位已按照《建设项目使用林地审核审批管理办法》、《建设项目使用林地审核审批管理规范》要求办理使用林地的相关手续，环评要求在施工设计阶段，进一步优化施工布置</w:t>
            </w:r>
            <w:r>
              <w:rPr>
                <w:rFonts w:hint="eastAsia" w:cs="Times New Roman"/>
                <w:color w:val="auto"/>
                <w:kern w:val="2"/>
                <w:sz w:val="24"/>
                <w:szCs w:val="21"/>
                <w:highlight w:val="none"/>
                <w:lang w:val="en-US" w:eastAsia="zh-CN" w:bidi="ar-SA"/>
              </w:rPr>
              <w:t>，</w:t>
            </w:r>
            <w:r>
              <w:rPr>
                <w:rFonts w:hint="eastAsia" w:ascii="Times New Roman" w:hAnsi="Times New Roman" w:eastAsia="宋体" w:cs="Times New Roman"/>
                <w:color w:val="auto"/>
                <w:kern w:val="2"/>
                <w:sz w:val="24"/>
                <w:szCs w:val="21"/>
                <w:highlight w:val="none"/>
                <w:lang w:val="en-US" w:eastAsia="zh-CN" w:bidi="ar-SA"/>
              </w:rPr>
              <w:t>施工过程中应严格控制施工作业带，禁止随意扩大林区临时用地范围；施工结束后及时对临时占用林地区域进行植被恢复。尽可能减少因项目建设对区域林业生态环境造成的影响。在采取以上措施后，本工程建设对区域林业生态环境的影响较小。</w:t>
            </w:r>
          </w:p>
          <w:p w14:paraId="771F8D88">
            <w:pPr>
              <w:widowControl w:val="0"/>
              <w:adjustRightInd w:val="0"/>
              <w:snapToGrid w:val="0"/>
              <w:spacing w:beforeLines="0" w:line="420" w:lineRule="exact"/>
              <w:ind w:firstLine="480" w:firstLineChars="200"/>
              <w:jc w:val="both"/>
              <w:outlineLvl w:val="2"/>
              <w:rPr>
                <w:rFonts w:hint="eastAsia" w:ascii="Times New Roman" w:hAnsi="Times New Roman" w:eastAsia="宋体" w:cs="Times New Roman"/>
                <w:color w:val="auto"/>
                <w:kern w:val="2"/>
                <w:sz w:val="24"/>
                <w:szCs w:val="21"/>
                <w:highlight w:val="none"/>
                <w:lang w:val="en-US" w:eastAsia="zh-CN" w:bidi="ar-SA"/>
              </w:rPr>
            </w:pPr>
            <w:r>
              <w:rPr>
                <w:rFonts w:hint="eastAsia" w:cs="Times New Roman"/>
                <w:color w:val="auto"/>
                <w:kern w:val="2"/>
                <w:sz w:val="24"/>
                <w:szCs w:val="21"/>
                <w:highlight w:val="none"/>
                <w:lang w:val="en-US" w:eastAsia="zh-CN" w:bidi="ar-SA"/>
              </w:rPr>
              <w:t>综上所述，</w:t>
            </w:r>
            <w:r>
              <w:rPr>
                <w:rFonts w:hint="eastAsia" w:ascii="Times New Roman" w:hAnsi="Times New Roman" w:eastAsia="宋体" w:cs="Times New Roman"/>
                <w:color w:val="auto"/>
                <w:kern w:val="2"/>
                <w:sz w:val="24"/>
                <w:szCs w:val="21"/>
                <w:highlight w:val="none"/>
                <w:lang w:val="en-US" w:eastAsia="zh-CN" w:bidi="ar-SA"/>
              </w:rPr>
              <w:t>工程永久和临时占用土地将完全损毁原有的植被类型，其上生长的植物将全部被清除，施工区邻近区域的植被也将受到一定程度的损毁，造成植物生境的破坏，使得植被覆盖率降低，植物生产能力下降，生物多样性降低，从而导致环境功能的下降，使评价范围内的总生物量减少，对局部区域的生物量有一定影响。根据植被现状调查与评价结果表明，本项目评价范围内现存的植物物种是周边地区常见的物种，生态调查范围内未发现有受保护的珍稀植物。自然植物群落结构相对较为简单，主要植物物种广泛分布在丘陵区域，项目的建设不会导致任何物种的灭绝。随着项目的建成，临时占地区域植被得到有效地恢复，项目建设对植物种群的影响大大减轻。所以，本项目的建设对沿线植物种类及其分布均不会造成太大的影响，不会对当地及邻近地区植物种类的生存和繁衍造成影响，对整个地区生态系统的功能和稳定性不会产生大的影响</w:t>
            </w:r>
            <w:r>
              <w:rPr>
                <w:rFonts w:hint="eastAsia" w:cs="Times New Roman"/>
                <w:color w:val="auto"/>
                <w:kern w:val="2"/>
                <w:sz w:val="24"/>
                <w:szCs w:val="21"/>
                <w:highlight w:val="none"/>
                <w:lang w:val="en-US" w:eastAsia="zh-CN" w:bidi="ar-SA"/>
              </w:rPr>
              <w:t>。</w:t>
            </w:r>
          </w:p>
          <w:p w14:paraId="1FEEF0F0">
            <w:pPr>
              <w:widowControl w:val="0"/>
              <w:adjustRightInd w:val="0"/>
              <w:snapToGrid w:val="0"/>
              <w:spacing w:beforeLines="0" w:line="420" w:lineRule="exact"/>
              <w:ind w:firstLine="480" w:firstLineChars="200"/>
              <w:jc w:val="both"/>
              <w:outlineLvl w:val="2"/>
              <w:rPr>
                <w:rFonts w:hint="default" w:ascii="Times New Roman" w:hAnsi="Times New Roman" w:eastAsia="宋体" w:cs="Times New Roman"/>
                <w:color w:val="auto"/>
                <w:kern w:val="2"/>
                <w:sz w:val="24"/>
                <w:szCs w:val="21"/>
                <w:highlight w:val="none"/>
                <w:lang w:val="en-US" w:eastAsia="zh-CN" w:bidi="ar-SA"/>
              </w:rPr>
            </w:pPr>
            <w:r>
              <w:rPr>
                <w:rFonts w:hint="eastAsia" w:ascii="Times New Roman" w:hAnsi="Times New Roman" w:eastAsia="宋体" w:cs="Times New Roman"/>
                <w:color w:val="auto"/>
                <w:kern w:val="2"/>
                <w:sz w:val="24"/>
                <w:szCs w:val="21"/>
                <w:highlight w:val="none"/>
                <w:lang w:val="en-US" w:eastAsia="zh-CN" w:bidi="ar-SA"/>
              </w:rPr>
              <w:t>需要关注的是</w:t>
            </w:r>
            <w:r>
              <w:rPr>
                <w:rFonts w:hint="default" w:ascii="Times New Roman" w:hAnsi="Times New Roman" w:eastAsia="宋体" w:cs="Times New Roman"/>
                <w:color w:val="auto"/>
                <w:kern w:val="2"/>
                <w:sz w:val="24"/>
                <w:szCs w:val="21"/>
                <w:highlight w:val="none"/>
                <w:lang w:val="en-US" w:eastAsia="zh-CN" w:bidi="ar-SA"/>
              </w:rPr>
              <w:t>本项目涉及对国家二级公益林的影响，主要包括永久占用面积0.0902</w:t>
            </w:r>
            <w:r>
              <w:rPr>
                <w:rFonts w:hint="eastAsia" w:cs="Times New Roman"/>
                <w:color w:val="auto"/>
                <w:kern w:val="2"/>
                <w:sz w:val="24"/>
                <w:szCs w:val="21"/>
                <w:highlight w:val="none"/>
                <w:lang w:val="en-US" w:eastAsia="zh-CN" w:bidi="ar-SA"/>
              </w:rPr>
              <w:t>hm</w:t>
            </w:r>
            <w:r>
              <w:rPr>
                <w:rFonts w:hint="eastAsia" w:cs="Times New Roman"/>
                <w:color w:val="auto"/>
                <w:kern w:val="2"/>
                <w:sz w:val="24"/>
                <w:szCs w:val="21"/>
                <w:highlight w:val="none"/>
                <w:vertAlign w:val="superscript"/>
                <w:lang w:val="en-US" w:eastAsia="zh-CN" w:bidi="ar-SA"/>
              </w:rPr>
              <w:t>2</w:t>
            </w:r>
            <w:r>
              <w:rPr>
                <w:rFonts w:hint="default" w:ascii="Times New Roman" w:hAnsi="Times New Roman" w:eastAsia="宋体" w:cs="Times New Roman"/>
                <w:color w:val="auto"/>
                <w:kern w:val="2"/>
                <w:sz w:val="24"/>
                <w:szCs w:val="21"/>
                <w:highlight w:val="none"/>
                <w:lang w:val="en-US" w:eastAsia="zh-CN" w:bidi="ar-SA"/>
              </w:rPr>
              <w:t>和临时占用面积0.4597</w:t>
            </w:r>
            <w:r>
              <w:rPr>
                <w:rFonts w:hint="eastAsia" w:cs="Times New Roman"/>
                <w:color w:val="auto"/>
                <w:kern w:val="2"/>
                <w:sz w:val="24"/>
                <w:szCs w:val="21"/>
                <w:highlight w:val="none"/>
                <w:lang w:val="en-US" w:eastAsia="zh-CN" w:bidi="ar-SA"/>
              </w:rPr>
              <w:t>hm</w:t>
            </w:r>
            <w:r>
              <w:rPr>
                <w:rFonts w:hint="eastAsia" w:cs="Times New Roman"/>
                <w:color w:val="auto"/>
                <w:kern w:val="2"/>
                <w:sz w:val="24"/>
                <w:szCs w:val="21"/>
                <w:highlight w:val="none"/>
                <w:vertAlign w:val="superscript"/>
                <w:lang w:val="en-US" w:eastAsia="zh-CN" w:bidi="ar-SA"/>
              </w:rPr>
              <w:t>2</w:t>
            </w:r>
            <w:r>
              <w:rPr>
                <w:rFonts w:hint="default" w:ascii="Times New Roman" w:hAnsi="Times New Roman" w:eastAsia="宋体" w:cs="Times New Roman"/>
                <w:color w:val="auto"/>
                <w:kern w:val="2"/>
                <w:sz w:val="24"/>
                <w:szCs w:val="21"/>
                <w:highlight w:val="none"/>
                <w:lang w:val="en-US" w:eastAsia="zh-CN" w:bidi="ar-SA"/>
              </w:rPr>
              <w:t>，合计占用面积0.5499</w:t>
            </w:r>
            <w:r>
              <w:rPr>
                <w:rFonts w:hint="eastAsia" w:cs="Times New Roman"/>
                <w:color w:val="auto"/>
                <w:kern w:val="2"/>
                <w:sz w:val="24"/>
                <w:szCs w:val="21"/>
                <w:highlight w:val="none"/>
                <w:lang w:val="en-US" w:eastAsia="zh-CN" w:bidi="ar-SA"/>
              </w:rPr>
              <w:t>hm</w:t>
            </w:r>
            <w:r>
              <w:rPr>
                <w:rFonts w:hint="eastAsia" w:cs="Times New Roman"/>
                <w:color w:val="auto"/>
                <w:kern w:val="2"/>
                <w:sz w:val="24"/>
                <w:szCs w:val="21"/>
                <w:highlight w:val="none"/>
                <w:vertAlign w:val="superscript"/>
                <w:lang w:val="en-US" w:eastAsia="zh-CN" w:bidi="ar-SA"/>
              </w:rPr>
              <w:t>2</w:t>
            </w:r>
            <w:r>
              <w:rPr>
                <w:rFonts w:hint="default" w:ascii="Times New Roman" w:hAnsi="Times New Roman" w:eastAsia="宋体" w:cs="Times New Roman"/>
                <w:color w:val="auto"/>
                <w:kern w:val="2"/>
                <w:sz w:val="24"/>
                <w:szCs w:val="21"/>
                <w:highlight w:val="none"/>
                <w:lang w:val="en-US" w:eastAsia="zh-CN" w:bidi="ar-SA"/>
              </w:rPr>
              <w:t>。针对永久占用部分，山西省林业和草原局已于2025年12月1日以晋林资许准〔2025〕539号文出具使用林地草原审核同意书，相关占用手续已获批准</w:t>
            </w:r>
            <w:r>
              <w:rPr>
                <w:rFonts w:hint="eastAsia" w:cs="Times New Roman"/>
                <w:color w:val="auto"/>
                <w:kern w:val="2"/>
                <w:sz w:val="24"/>
                <w:szCs w:val="21"/>
                <w:highlight w:val="none"/>
                <w:lang w:val="en-US" w:eastAsia="zh-CN" w:bidi="ar-SA"/>
              </w:rPr>
              <w:t>，</w:t>
            </w:r>
            <w:r>
              <w:rPr>
                <w:rFonts w:hint="default" w:ascii="Times New Roman" w:hAnsi="Times New Roman" w:eastAsia="宋体" w:cs="Times New Roman"/>
                <w:color w:val="auto"/>
                <w:kern w:val="2"/>
                <w:sz w:val="24"/>
                <w:szCs w:val="21"/>
                <w:highlight w:val="none"/>
                <w:lang w:val="en-US" w:eastAsia="zh-CN" w:bidi="ar-SA"/>
              </w:rPr>
              <w:t>建设单位将严格按照林业主管部门要求，及时足额缴纳森林植被恢复费，确保被占用的国家二级公益林面积通过生态恢复措施得以有效补偿</w:t>
            </w:r>
            <w:r>
              <w:rPr>
                <w:rFonts w:hint="eastAsia" w:cs="Times New Roman"/>
                <w:color w:val="auto"/>
                <w:kern w:val="2"/>
                <w:sz w:val="24"/>
                <w:szCs w:val="21"/>
                <w:highlight w:val="none"/>
                <w:lang w:val="en-US" w:eastAsia="zh-CN" w:bidi="ar-SA"/>
              </w:rPr>
              <w:t>；</w:t>
            </w:r>
            <w:r>
              <w:rPr>
                <w:rFonts w:hint="default" w:ascii="Times New Roman" w:hAnsi="Times New Roman" w:eastAsia="宋体" w:cs="Times New Roman"/>
                <w:color w:val="auto"/>
                <w:kern w:val="2"/>
                <w:sz w:val="24"/>
                <w:szCs w:val="21"/>
                <w:highlight w:val="none"/>
                <w:lang w:val="en-US" w:eastAsia="zh-CN" w:bidi="ar-SA"/>
              </w:rPr>
              <w:t>对于临时占用区域，建设单位已委托第三方编制土地复垦方案，将参照临时用地管理规定，在施工结束后及时开展植被恢复工作，确保国家二级公益林生态功能得到有效恢复，最大限度减轻项目实施对公益林的影响。</w:t>
            </w:r>
          </w:p>
          <w:p w14:paraId="0C827534">
            <w:pPr>
              <w:keepNext w:val="0"/>
              <w:keepLines w:val="0"/>
              <w:suppressLineNumbers w:val="0"/>
              <w:autoSpaceDE w:val="0"/>
              <w:autoSpaceDN w:val="0"/>
              <w:spacing w:before="0" w:beforeAutospacing="0" w:after="0" w:afterAutospacing="0" w:line="480" w:lineRule="exact"/>
              <w:ind w:left="0" w:right="0" w:firstLine="480" w:firstLineChars="200"/>
              <w:rPr>
                <w:rFonts w:hint="default" w:ascii="Times New Roman" w:hAnsi="Times New Roman" w:eastAsia="宋体" w:cs="Times New Roman"/>
                <w:b/>
                <w:bCs/>
                <w:color w:val="auto"/>
                <w:sz w:val="24"/>
                <w:szCs w:val="21"/>
                <w:highlight w:val="none"/>
                <w:lang w:val="en-US" w:eastAsia="zh-CN"/>
              </w:rPr>
            </w:pPr>
            <w:r>
              <w:rPr>
                <w:rFonts w:hint="default" w:ascii="Times New Roman" w:hAnsi="Times New Roman" w:eastAsia="宋体" w:cs="Times New Roman"/>
                <w:b w:val="0"/>
                <w:bCs w:val="0"/>
                <w:color w:val="auto"/>
                <w:sz w:val="24"/>
                <w:szCs w:val="21"/>
                <w:highlight w:val="none"/>
              </w:rPr>
              <w:t>（</w:t>
            </w:r>
            <w:r>
              <w:rPr>
                <w:rFonts w:hint="eastAsia" w:ascii="Times New Roman" w:hAnsi="Times New Roman" w:eastAsia="宋体" w:cs="Times New Roman"/>
                <w:b w:val="0"/>
                <w:bCs w:val="0"/>
                <w:color w:val="auto"/>
                <w:sz w:val="24"/>
                <w:szCs w:val="21"/>
                <w:highlight w:val="none"/>
                <w:lang w:val="en-US" w:eastAsia="zh-CN"/>
              </w:rPr>
              <w:t>5</w:t>
            </w:r>
            <w:r>
              <w:rPr>
                <w:rFonts w:hint="default" w:ascii="Times New Roman" w:hAnsi="Times New Roman" w:eastAsia="宋体" w:cs="Times New Roman"/>
                <w:b w:val="0"/>
                <w:bCs w:val="0"/>
                <w:color w:val="auto"/>
                <w:sz w:val="24"/>
                <w:szCs w:val="21"/>
                <w:highlight w:val="none"/>
              </w:rPr>
              <w:t>）</w:t>
            </w:r>
            <w:r>
              <w:rPr>
                <w:rFonts w:hint="eastAsia" w:ascii="Times New Roman" w:hAnsi="Times New Roman" w:eastAsia="宋体" w:cs="Times New Roman"/>
                <w:b w:val="0"/>
                <w:bCs w:val="0"/>
                <w:color w:val="auto"/>
                <w:sz w:val="24"/>
                <w:szCs w:val="21"/>
                <w:highlight w:val="none"/>
                <w:lang w:val="en-US" w:eastAsia="zh-CN"/>
              </w:rPr>
              <w:t>对</w:t>
            </w:r>
            <w:r>
              <w:rPr>
                <w:rFonts w:hint="default" w:ascii="Times New Roman" w:hAnsi="Times New Roman" w:eastAsia="宋体" w:cs="Times New Roman"/>
                <w:b w:val="0"/>
                <w:bCs w:val="0"/>
                <w:color w:val="auto"/>
                <w:sz w:val="24"/>
                <w:szCs w:val="21"/>
                <w:highlight w:val="none"/>
                <w:lang w:val="en-US" w:eastAsia="zh-CN"/>
              </w:rPr>
              <w:t>生态红线</w:t>
            </w:r>
            <w:r>
              <w:rPr>
                <w:rFonts w:hint="eastAsia" w:ascii="Times New Roman" w:hAnsi="Times New Roman" w:eastAsia="宋体" w:cs="Times New Roman"/>
                <w:b w:val="0"/>
                <w:bCs w:val="0"/>
                <w:color w:val="auto"/>
                <w:sz w:val="24"/>
                <w:szCs w:val="21"/>
                <w:highlight w:val="none"/>
                <w:lang w:val="en-US" w:eastAsia="zh-CN"/>
              </w:rPr>
              <w:t>的影响</w:t>
            </w:r>
          </w:p>
          <w:p w14:paraId="24804249">
            <w:pPr>
              <w:widowControl w:val="0"/>
              <w:adjustRightInd w:val="0"/>
              <w:snapToGrid w:val="0"/>
              <w:spacing w:beforeLines="0" w:line="420" w:lineRule="exact"/>
              <w:ind w:firstLine="480" w:firstLineChars="200"/>
              <w:jc w:val="both"/>
              <w:outlineLvl w:val="2"/>
              <w:rPr>
                <w:rFonts w:hint="default" w:ascii="Times New Roman" w:hAnsi="Times New Roman" w:eastAsia="宋体" w:cs="Times New Roman"/>
                <w:color w:val="auto"/>
                <w:kern w:val="2"/>
                <w:sz w:val="24"/>
                <w:szCs w:val="21"/>
                <w:highlight w:val="none"/>
                <w:lang w:val="en-US" w:eastAsia="zh-CN" w:bidi="ar-SA"/>
              </w:rPr>
            </w:pPr>
            <w:r>
              <w:rPr>
                <w:rFonts w:hint="default" w:ascii="Times New Roman" w:hAnsi="Times New Roman" w:eastAsia="宋体" w:cs="Times New Roman"/>
                <w:color w:val="auto"/>
                <w:kern w:val="2"/>
                <w:sz w:val="24"/>
                <w:szCs w:val="21"/>
                <w:highlight w:val="none"/>
                <w:lang w:val="en-US" w:eastAsia="zh-CN" w:bidi="ar-SA"/>
              </w:rPr>
              <w:t>本项目对生态保护红线的影响主要体现在以下几个方面：</w:t>
            </w:r>
          </w:p>
          <w:p w14:paraId="44E23C63">
            <w:pPr>
              <w:widowControl w:val="0"/>
              <w:adjustRightInd w:val="0"/>
              <w:snapToGrid w:val="0"/>
              <w:spacing w:beforeLines="0" w:line="420" w:lineRule="exact"/>
              <w:ind w:firstLine="480" w:firstLineChars="200"/>
              <w:jc w:val="both"/>
              <w:outlineLvl w:val="2"/>
              <w:rPr>
                <w:rFonts w:hint="default" w:ascii="Times New Roman" w:hAnsi="Times New Roman" w:eastAsia="宋体" w:cs="Times New Roman"/>
                <w:color w:val="auto"/>
                <w:kern w:val="2"/>
                <w:sz w:val="24"/>
                <w:szCs w:val="21"/>
                <w:highlight w:val="none"/>
                <w:lang w:val="en-US" w:eastAsia="zh-CN" w:bidi="ar-SA"/>
              </w:rPr>
            </w:pPr>
            <w:r>
              <w:rPr>
                <w:rFonts w:hint="default" w:ascii="Times New Roman" w:hAnsi="Times New Roman" w:eastAsia="宋体" w:cs="Times New Roman"/>
                <w:color w:val="auto"/>
                <w:kern w:val="2"/>
                <w:sz w:val="24"/>
                <w:szCs w:val="21"/>
                <w:highlight w:val="none"/>
                <w:lang w:val="en-US" w:eastAsia="zh-CN" w:bidi="ar-SA"/>
              </w:rPr>
              <w:t>①风机基础未占用生态保护红线</w:t>
            </w:r>
            <w:r>
              <w:rPr>
                <w:rFonts w:hint="eastAsia" w:ascii="Times New Roman" w:hAnsi="Times New Roman" w:eastAsia="宋体" w:cs="Times New Roman"/>
                <w:color w:val="auto"/>
                <w:kern w:val="2"/>
                <w:sz w:val="24"/>
                <w:szCs w:val="21"/>
                <w:highlight w:val="none"/>
                <w:lang w:val="en-US" w:eastAsia="zh-CN" w:bidi="ar-SA"/>
              </w:rPr>
              <w:t>。</w:t>
            </w:r>
          </w:p>
          <w:p w14:paraId="2C2D374C">
            <w:pPr>
              <w:widowControl w:val="0"/>
              <w:adjustRightInd w:val="0"/>
              <w:snapToGrid w:val="0"/>
              <w:spacing w:beforeLines="0" w:line="420" w:lineRule="exact"/>
              <w:ind w:firstLine="480" w:firstLineChars="200"/>
              <w:jc w:val="both"/>
              <w:outlineLvl w:val="2"/>
              <w:rPr>
                <w:rFonts w:hint="default" w:ascii="Times New Roman" w:hAnsi="Times New Roman" w:eastAsia="宋体" w:cs="Times New Roman"/>
                <w:color w:val="auto"/>
                <w:kern w:val="2"/>
                <w:sz w:val="24"/>
                <w:szCs w:val="21"/>
                <w:highlight w:val="none"/>
                <w:lang w:val="en-US" w:eastAsia="zh-CN" w:bidi="ar-SA"/>
              </w:rPr>
            </w:pPr>
            <w:r>
              <w:rPr>
                <w:rFonts w:hint="default" w:ascii="Times New Roman" w:hAnsi="Times New Roman" w:eastAsia="宋体" w:cs="Times New Roman"/>
                <w:color w:val="auto"/>
                <w:kern w:val="2"/>
                <w:sz w:val="24"/>
                <w:szCs w:val="21"/>
                <w:highlight w:val="none"/>
                <w:lang w:val="en-US" w:eastAsia="zh-CN" w:bidi="ar-SA"/>
              </w:rPr>
              <w:t>②8台风机中有6台吊装平台涉及占用生态保护红线，总面积为1.5703公顷。所涉区域属于太行山水源涵养生态保护红线一般控制区，不涉及自然保护地，生态功能主要为水源涵养。该项目已编制《中节能壶关县乡村振兴50MW风电项目临时用地必须且不可避让生态保护红线和减缓生态环境影响措施论证报告》，并取得专家论证意见</w:t>
            </w:r>
            <w:r>
              <w:rPr>
                <w:rFonts w:hint="eastAsia" w:ascii="Times New Roman" w:hAnsi="Times New Roman" w:eastAsia="宋体" w:cs="Times New Roman"/>
                <w:color w:val="auto"/>
                <w:kern w:val="2"/>
                <w:sz w:val="24"/>
                <w:szCs w:val="21"/>
                <w:highlight w:val="none"/>
                <w:lang w:val="en-US" w:eastAsia="zh-CN" w:bidi="ar-SA"/>
              </w:rPr>
              <w:t>。</w:t>
            </w:r>
          </w:p>
          <w:p w14:paraId="418C265F">
            <w:pPr>
              <w:widowControl w:val="0"/>
              <w:adjustRightInd w:val="0"/>
              <w:snapToGrid w:val="0"/>
              <w:spacing w:beforeLines="0" w:line="420" w:lineRule="exact"/>
              <w:ind w:firstLine="480" w:firstLineChars="200"/>
              <w:jc w:val="both"/>
              <w:outlineLvl w:val="2"/>
              <w:rPr>
                <w:rFonts w:hint="default" w:ascii="Times New Roman" w:hAnsi="Times New Roman" w:eastAsia="宋体" w:cs="Times New Roman"/>
                <w:color w:val="auto"/>
                <w:kern w:val="2"/>
                <w:sz w:val="24"/>
                <w:szCs w:val="21"/>
                <w:highlight w:val="none"/>
                <w:lang w:val="en-US" w:eastAsia="zh-CN" w:bidi="ar-SA"/>
              </w:rPr>
            </w:pPr>
            <w:r>
              <w:rPr>
                <w:rFonts w:hint="default" w:ascii="Times New Roman" w:hAnsi="Times New Roman" w:eastAsia="宋体" w:cs="Times New Roman"/>
                <w:color w:val="auto"/>
                <w:kern w:val="2"/>
                <w:sz w:val="24"/>
                <w:szCs w:val="21"/>
                <w:highlight w:val="none"/>
                <w:lang w:val="en-US" w:eastAsia="zh-CN" w:bidi="ar-SA"/>
              </w:rPr>
              <w:t>③本项目集电线路位于生态保护红线范围内的路径长度约13.2436公里，塔基占地面积0.4000公顷，同样位于太行山水源涵养生态保护红线一般控制区内</w:t>
            </w:r>
            <w:r>
              <w:rPr>
                <w:rFonts w:hint="eastAsia" w:ascii="Times New Roman" w:hAnsi="Times New Roman" w:eastAsia="宋体" w:cs="Times New Roman"/>
                <w:color w:val="auto"/>
                <w:kern w:val="2"/>
                <w:sz w:val="24"/>
                <w:szCs w:val="21"/>
                <w:highlight w:val="none"/>
                <w:lang w:val="en-US" w:eastAsia="zh-CN" w:bidi="ar-SA"/>
              </w:rPr>
              <w:t>，</w:t>
            </w:r>
            <w:r>
              <w:rPr>
                <w:rFonts w:hint="default" w:ascii="Times New Roman" w:hAnsi="Times New Roman" w:eastAsia="宋体" w:cs="Times New Roman"/>
                <w:color w:val="auto"/>
                <w:kern w:val="2"/>
                <w:sz w:val="24"/>
                <w:szCs w:val="21"/>
                <w:highlight w:val="none"/>
                <w:lang w:val="en-US" w:eastAsia="zh-CN" w:bidi="ar-SA"/>
              </w:rPr>
              <w:t>壶关县自然资源局于2025年12月16日出具了项目符合生态保护红线内允许开展有限人为活动相关规定的认定意见</w:t>
            </w:r>
            <w:r>
              <w:rPr>
                <w:rFonts w:hint="eastAsia" w:ascii="Times New Roman" w:hAnsi="Times New Roman" w:eastAsia="宋体" w:cs="Times New Roman"/>
                <w:color w:val="auto"/>
                <w:kern w:val="2"/>
                <w:sz w:val="24"/>
                <w:szCs w:val="21"/>
                <w:highlight w:val="none"/>
                <w:lang w:val="en-US" w:eastAsia="zh-CN" w:bidi="ar-SA"/>
              </w:rPr>
              <w:t>。</w:t>
            </w:r>
          </w:p>
          <w:p w14:paraId="266B8C42">
            <w:pPr>
              <w:widowControl w:val="0"/>
              <w:adjustRightInd w:val="0"/>
              <w:snapToGrid w:val="0"/>
              <w:spacing w:beforeLines="0" w:line="420" w:lineRule="exact"/>
              <w:ind w:firstLine="480" w:firstLineChars="200"/>
              <w:jc w:val="both"/>
              <w:outlineLvl w:val="2"/>
              <w:rPr>
                <w:rFonts w:hint="default" w:ascii="Times New Roman" w:hAnsi="Times New Roman" w:eastAsia="宋体" w:cs="Times New Roman"/>
                <w:color w:val="auto"/>
                <w:kern w:val="2"/>
                <w:sz w:val="24"/>
                <w:szCs w:val="21"/>
                <w:highlight w:val="none"/>
                <w:lang w:val="en-US" w:eastAsia="zh-CN" w:bidi="ar-SA"/>
              </w:rPr>
            </w:pPr>
            <w:r>
              <w:rPr>
                <w:rFonts w:hint="default" w:ascii="Times New Roman" w:hAnsi="Times New Roman" w:eastAsia="宋体" w:cs="Times New Roman"/>
                <w:color w:val="auto"/>
                <w:kern w:val="2"/>
                <w:sz w:val="24"/>
                <w:szCs w:val="21"/>
                <w:highlight w:val="none"/>
                <w:lang w:val="en-US" w:eastAsia="zh-CN" w:bidi="ar-SA"/>
              </w:rPr>
              <w:t>④本项目施工道路全部利用现有森林防火通道，无新建道路。</w:t>
            </w:r>
          </w:p>
          <w:p w14:paraId="2D595A0B">
            <w:pPr>
              <w:widowControl w:val="0"/>
              <w:adjustRightInd w:val="0"/>
              <w:snapToGrid w:val="0"/>
              <w:spacing w:beforeLines="0" w:line="420" w:lineRule="exact"/>
              <w:ind w:firstLine="480" w:firstLineChars="200"/>
              <w:jc w:val="both"/>
              <w:outlineLvl w:val="2"/>
              <w:rPr>
                <w:rFonts w:hint="default" w:ascii="Times New Roman" w:hAnsi="Times New Roman" w:eastAsia="宋体" w:cs="Times New Roman"/>
                <w:color w:val="auto"/>
                <w:kern w:val="2"/>
                <w:sz w:val="24"/>
                <w:szCs w:val="21"/>
                <w:highlight w:val="none"/>
                <w:lang w:val="en-US" w:eastAsia="zh-CN" w:bidi="ar-SA"/>
              </w:rPr>
            </w:pPr>
            <w:r>
              <w:rPr>
                <w:rFonts w:hint="default" w:ascii="Times New Roman" w:hAnsi="Times New Roman" w:eastAsia="宋体" w:cs="Times New Roman"/>
                <w:color w:val="auto"/>
                <w:kern w:val="2"/>
                <w:sz w:val="24"/>
                <w:szCs w:val="21"/>
                <w:highlight w:val="none"/>
                <w:lang w:val="en-US" w:eastAsia="zh-CN" w:bidi="ar-SA"/>
              </w:rPr>
              <w:t>尽管风机平台和集电线路将占用部分生态保护红线，</w:t>
            </w:r>
            <w:r>
              <w:rPr>
                <w:rFonts w:hint="eastAsia" w:ascii="Times New Roman" w:hAnsi="Times New Roman" w:eastAsia="宋体" w:cs="Times New Roman"/>
                <w:color w:val="auto"/>
                <w:kern w:val="2"/>
                <w:sz w:val="24"/>
                <w:szCs w:val="21"/>
                <w:highlight w:val="none"/>
                <w:lang w:val="en-US" w:eastAsia="zh-CN" w:bidi="ar-SA"/>
              </w:rPr>
              <w:t>会</w:t>
            </w:r>
            <w:r>
              <w:rPr>
                <w:rFonts w:hint="default" w:ascii="Times New Roman" w:hAnsi="Times New Roman" w:eastAsia="宋体" w:cs="Times New Roman"/>
                <w:color w:val="auto"/>
                <w:kern w:val="2"/>
                <w:sz w:val="24"/>
                <w:szCs w:val="21"/>
                <w:highlight w:val="none"/>
                <w:lang w:val="en-US" w:eastAsia="zh-CN" w:bidi="ar-SA"/>
              </w:rPr>
              <w:t>对其水源涵养功能造成一定影响，但项目已取得相关部门的许可</w:t>
            </w:r>
            <w:r>
              <w:rPr>
                <w:rFonts w:hint="eastAsia" w:ascii="Times New Roman" w:hAnsi="Times New Roman" w:eastAsia="宋体" w:cs="Times New Roman"/>
                <w:color w:val="auto"/>
                <w:kern w:val="2"/>
                <w:sz w:val="24"/>
                <w:szCs w:val="21"/>
                <w:highlight w:val="none"/>
                <w:lang w:val="en-US" w:eastAsia="zh-CN" w:bidi="ar-SA"/>
              </w:rPr>
              <w:t>和允许</w:t>
            </w:r>
            <w:r>
              <w:rPr>
                <w:rFonts w:hint="default" w:ascii="Times New Roman" w:hAnsi="Times New Roman" w:eastAsia="宋体" w:cs="Times New Roman"/>
                <w:color w:val="auto"/>
                <w:kern w:val="2"/>
                <w:sz w:val="24"/>
                <w:szCs w:val="21"/>
                <w:highlight w:val="none"/>
                <w:lang w:val="en-US" w:eastAsia="zh-CN" w:bidi="ar-SA"/>
              </w:rPr>
              <w:t>。为最大限度减轻对生态环境的干扰，建设单位将严格执行以下措施：严格控制施工作业范围，禁止超出用地</w:t>
            </w:r>
            <w:r>
              <w:rPr>
                <w:rFonts w:hint="eastAsia" w:ascii="Times New Roman" w:hAnsi="Times New Roman" w:eastAsia="宋体" w:cs="Times New Roman"/>
                <w:color w:val="auto"/>
                <w:kern w:val="2"/>
                <w:sz w:val="24"/>
                <w:szCs w:val="21"/>
                <w:highlight w:val="none"/>
                <w:lang w:val="en-US" w:eastAsia="zh-CN" w:bidi="ar-SA"/>
              </w:rPr>
              <w:t>范围施工</w:t>
            </w:r>
            <w:r>
              <w:rPr>
                <w:rFonts w:hint="default" w:ascii="Times New Roman" w:hAnsi="Times New Roman" w:eastAsia="宋体" w:cs="Times New Roman"/>
                <w:color w:val="auto"/>
                <w:kern w:val="2"/>
                <w:sz w:val="24"/>
                <w:szCs w:val="21"/>
                <w:highlight w:val="none"/>
                <w:lang w:val="en-US" w:eastAsia="zh-CN" w:bidi="ar-SA"/>
              </w:rPr>
              <w:t>；落实边坡防护、排水沟、沉沙池等水土保持措施，并于雨季前完成裸露地表覆盖；施工结束后及时开展生态修复，选用本地植物物种进行植被恢复，确保区域水源涵养功能不降低。</w:t>
            </w:r>
          </w:p>
          <w:p w14:paraId="79ED79C6">
            <w:pPr>
              <w:widowControl w:val="0"/>
              <w:adjustRightInd w:val="0"/>
              <w:snapToGrid w:val="0"/>
              <w:spacing w:beforeLines="0" w:line="420" w:lineRule="exact"/>
              <w:ind w:firstLine="480" w:firstLineChars="200"/>
              <w:jc w:val="both"/>
              <w:outlineLvl w:val="2"/>
              <w:rPr>
                <w:rFonts w:hint="default" w:ascii="Times New Roman" w:hAnsi="Times New Roman" w:eastAsia="宋体" w:cs="Times New Roman"/>
                <w:color w:val="auto"/>
                <w:kern w:val="2"/>
                <w:sz w:val="24"/>
                <w:szCs w:val="21"/>
                <w:highlight w:val="none"/>
                <w:lang w:val="en-US" w:eastAsia="zh-CN" w:bidi="ar-SA"/>
              </w:rPr>
            </w:pPr>
            <w:r>
              <w:rPr>
                <w:rFonts w:hint="default" w:ascii="Times New Roman" w:hAnsi="Times New Roman" w:eastAsia="宋体" w:cs="Times New Roman"/>
                <w:color w:val="auto"/>
                <w:kern w:val="2"/>
                <w:sz w:val="24"/>
                <w:szCs w:val="21"/>
                <w:highlight w:val="none"/>
                <w:lang w:val="en-US" w:eastAsia="zh-CN" w:bidi="ar-SA"/>
              </w:rPr>
              <w:t>通过落实上述管控与修复措施，本项目对生态保护红线的影响总体可控，生态环境影响处于可接受范围。</w:t>
            </w:r>
          </w:p>
          <w:p w14:paraId="2723E1C5">
            <w:pPr>
              <w:keepNext w:val="0"/>
              <w:keepLines w:val="0"/>
              <w:suppressLineNumbers w:val="0"/>
              <w:autoSpaceDE w:val="0"/>
              <w:autoSpaceDN w:val="0"/>
              <w:spacing w:before="0" w:beforeAutospacing="0" w:after="0" w:afterAutospacing="0" w:line="480" w:lineRule="exact"/>
              <w:ind w:left="0" w:right="0" w:firstLine="480" w:firstLineChars="200"/>
              <w:rPr>
                <w:rFonts w:hint="default" w:ascii="Times New Roman" w:hAnsi="Times New Roman" w:eastAsia="宋体" w:cs="Times New Roman"/>
                <w:b/>
                <w:bCs/>
                <w:color w:val="auto"/>
                <w:sz w:val="24"/>
                <w:szCs w:val="21"/>
                <w:highlight w:val="none"/>
                <w:lang w:val="en-US" w:eastAsia="zh-CN"/>
              </w:rPr>
            </w:pPr>
            <w:r>
              <w:rPr>
                <w:rFonts w:hint="default" w:ascii="Times New Roman" w:hAnsi="Times New Roman" w:cs="Times New Roman"/>
                <w:b w:val="0"/>
                <w:bCs w:val="0"/>
                <w:color w:val="auto"/>
                <w:sz w:val="24"/>
                <w:szCs w:val="21"/>
                <w:highlight w:val="none"/>
              </w:rPr>
              <w:t>（</w:t>
            </w:r>
            <w:r>
              <w:rPr>
                <w:rFonts w:hint="eastAsia" w:cs="Times New Roman"/>
                <w:b w:val="0"/>
                <w:bCs w:val="0"/>
                <w:color w:val="auto"/>
                <w:sz w:val="24"/>
                <w:szCs w:val="21"/>
                <w:highlight w:val="none"/>
                <w:lang w:val="en-US" w:eastAsia="zh-CN"/>
              </w:rPr>
              <w:t>6</w:t>
            </w:r>
            <w:r>
              <w:rPr>
                <w:rFonts w:hint="default" w:ascii="Times New Roman" w:hAnsi="Times New Roman" w:cs="Times New Roman"/>
                <w:b w:val="0"/>
                <w:bCs w:val="0"/>
                <w:color w:val="auto"/>
                <w:sz w:val="24"/>
                <w:szCs w:val="21"/>
                <w:highlight w:val="none"/>
              </w:rPr>
              <w:t>）</w:t>
            </w:r>
            <w:r>
              <w:rPr>
                <w:rFonts w:hint="eastAsia" w:cs="Times New Roman"/>
                <w:b w:val="0"/>
                <w:bCs w:val="0"/>
                <w:color w:val="auto"/>
                <w:sz w:val="24"/>
                <w:szCs w:val="21"/>
                <w:highlight w:val="none"/>
                <w:lang w:val="en-US" w:eastAsia="zh-CN"/>
              </w:rPr>
              <w:t>对</w:t>
            </w:r>
            <w:r>
              <w:rPr>
                <w:rFonts w:hint="default" w:ascii="Times New Roman" w:hAnsi="Times New Roman" w:cs="Times New Roman"/>
                <w:b w:val="0"/>
                <w:bCs w:val="0"/>
                <w:color w:val="auto"/>
                <w:sz w:val="24"/>
                <w:szCs w:val="21"/>
                <w:highlight w:val="none"/>
              </w:rPr>
              <w:t>水土流失</w:t>
            </w:r>
            <w:r>
              <w:rPr>
                <w:rFonts w:hint="eastAsia" w:cs="Times New Roman"/>
                <w:b w:val="0"/>
                <w:bCs w:val="0"/>
                <w:color w:val="auto"/>
                <w:sz w:val="24"/>
                <w:szCs w:val="21"/>
                <w:highlight w:val="none"/>
                <w:lang w:val="en-US" w:eastAsia="zh-CN"/>
              </w:rPr>
              <w:t>的影响</w:t>
            </w:r>
          </w:p>
          <w:p w14:paraId="6E5F83EE">
            <w:pPr>
              <w:keepNext w:val="0"/>
              <w:keepLines w:val="0"/>
              <w:suppressLineNumbers w:val="0"/>
              <w:autoSpaceDE w:val="0"/>
              <w:autoSpaceDN w:val="0"/>
              <w:spacing w:before="0" w:beforeAutospacing="0" w:after="0" w:afterAutospacing="0" w:line="480" w:lineRule="exact"/>
              <w:ind w:left="0" w:right="0" w:firstLine="480" w:firstLineChars="200"/>
              <w:rPr>
                <w:rFonts w:hint="default" w:ascii="Times New Roman" w:hAnsi="Times New Roman" w:cs="Times New Roman"/>
                <w:color w:val="auto"/>
                <w:sz w:val="24"/>
                <w:szCs w:val="21"/>
                <w:highlight w:val="none"/>
              </w:rPr>
            </w:pPr>
            <w:r>
              <w:rPr>
                <w:rFonts w:hint="default" w:ascii="Times New Roman" w:hAnsi="Times New Roman" w:cs="Times New Roman"/>
                <w:color w:val="auto"/>
                <w:sz w:val="24"/>
                <w:szCs w:val="21"/>
                <w:highlight w:val="none"/>
              </w:rPr>
              <w:t>工程在开挖、压占等建设活动时，除破坏大量的自然植被</w:t>
            </w:r>
            <w:r>
              <w:rPr>
                <w:rFonts w:hint="eastAsia" w:ascii="Times New Roman" w:hAnsi="Times New Roman" w:cs="Times New Roman"/>
                <w:color w:val="auto"/>
                <w:sz w:val="24"/>
                <w:szCs w:val="21"/>
                <w:highlight w:val="none"/>
                <w:lang w:val="en-US" w:eastAsia="zh-CN"/>
              </w:rPr>
              <w:t>外，也将</w:t>
            </w:r>
            <w:r>
              <w:rPr>
                <w:rFonts w:hint="default" w:ascii="Times New Roman" w:hAnsi="Times New Roman" w:cs="Times New Roman"/>
                <w:color w:val="auto"/>
                <w:sz w:val="24"/>
                <w:szCs w:val="21"/>
                <w:highlight w:val="none"/>
              </w:rPr>
              <w:t>产生一定程度的水土流失，具体表现在以下几个方面</w:t>
            </w:r>
            <w:r>
              <w:rPr>
                <w:rFonts w:hint="eastAsia" w:ascii="Times New Roman" w:hAnsi="Times New Roman" w:cs="Times New Roman"/>
                <w:color w:val="auto"/>
                <w:sz w:val="24"/>
                <w:szCs w:val="21"/>
                <w:highlight w:val="none"/>
                <w:lang w:eastAsia="zh-CN"/>
              </w:rPr>
              <w:t>：</w:t>
            </w:r>
          </w:p>
          <w:p w14:paraId="442D0E3B">
            <w:pPr>
              <w:keepNext w:val="0"/>
              <w:keepLines w:val="0"/>
              <w:suppressLineNumbers w:val="0"/>
              <w:autoSpaceDE w:val="0"/>
              <w:autoSpaceDN w:val="0"/>
              <w:spacing w:before="0" w:beforeAutospacing="0" w:after="0" w:afterAutospacing="0" w:line="480" w:lineRule="exact"/>
              <w:ind w:left="0" w:right="0" w:firstLine="480" w:firstLineChars="200"/>
              <w:rPr>
                <w:rFonts w:hint="default" w:ascii="Times New Roman" w:hAnsi="Times New Roman" w:cs="Times New Roman"/>
                <w:color w:val="auto"/>
                <w:sz w:val="24"/>
                <w:szCs w:val="21"/>
                <w:highlight w:val="none"/>
              </w:rPr>
            </w:pPr>
            <w:r>
              <w:rPr>
                <w:rFonts w:hint="default" w:ascii="Times New Roman" w:hAnsi="Times New Roman" w:cs="Times New Roman"/>
                <w:color w:val="auto"/>
                <w:sz w:val="24"/>
                <w:szCs w:val="21"/>
                <w:highlight w:val="none"/>
              </w:rPr>
              <w:t>工程在开挖、压占等建设活动时，除破坏大量的自然植被、产生一定程度的水土流失外，也将造成一定程度的危害，具体表现在以下几个方面：</w:t>
            </w:r>
          </w:p>
          <w:p w14:paraId="2716EDF2">
            <w:pPr>
              <w:keepNext w:val="0"/>
              <w:keepLines w:val="0"/>
              <w:suppressLineNumbers w:val="0"/>
              <w:autoSpaceDE w:val="0"/>
              <w:autoSpaceDN w:val="0"/>
              <w:spacing w:before="0" w:beforeAutospacing="0" w:after="0" w:afterAutospacing="0" w:line="480" w:lineRule="exact"/>
              <w:ind w:left="0" w:right="0" w:firstLine="480" w:firstLineChars="200"/>
              <w:rPr>
                <w:rFonts w:hint="default" w:ascii="Times New Roman" w:hAnsi="Times New Roman" w:cs="Times New Roman"/>
                <w:color w:val="auto"/>
                <w:sz w:val="24"/>
                <w:szCs w:val="21"/>
                <w:highlight w:val="none"/>
              </w:rPr>
            </w:pPr>
            <w:r>
              <w:rPr>
                <w:rFonts w:hint="default" w:ascii="Times New Roman" w:hAnsi="Times New Roman" w:cs="Times New Roman"/>
                <w:color w:val="auto"/>
                <w:sz w:val="24"/>
                <w:szCs w:val="21"/>
                <w:highlight w:val="none"/>
              </w:rPr>
              <w:t>危害土地资源的破坏：由于开挖、占压，破坏原有植被，改变了原地貌、土壤结构和地面物质组成，造成土地肥力的严重退化，从而导致土地生产力降低。同时，施工扰动了原土层，使裸地面积增加，为溅蚀、面蚀、细沟侵蚀等创造了条件，造成水土流失。</w:t>
            </w:r>
          </w:p>
          <w:p w14:paraId="7EC66F43">
            <w:pPr>
              <w:keepNext w:val="0"/>
              <w:keepLines w:val="0"/>
              <w:suppressLineNumbers w:val="0"/>
              <w:autoSpaceDE w:val="0"/>
              <w:autoSpaceDN w:val="0"/>
              <w:spacing w:before="0" w:beforeAutospacing="0" w:after="0" w:afterAutospacing="0" w:line="480" w:lineRule="exact"/>
              <w:ind w:left="0" w:right="0" w:firstLine="480" w:firstLineChars="200"/>
              <w:rPr>
                <w:rFonts w:hint="default" w:ascii="Times New Roman" w:hAnsi="Times New Roman" w:cs="Times New Roman"/>
                <w:color w:val="auto"/>
                <w:sz w:val="24"/>
                <w:szCs w:val="21"/>
                <w:highlight w:val="none"/>
              </w:rPr>
            </w:pPr>
            <w:r>
              <w:rPr>
                <w:rFonts w:hint="default" w:ascii="Times New Roman" w:hAnsi="Times New Roman" w:cs="Times New Roman"/>
                <w:color w:val="auto"/>
                <w:sz w:val="24"/>
                <w:szCs w:val="21"/>
                <w:highlight w:val="none"/>
              </w:rPr>
              <w:t>周边环境的影响：施工中临时堆土若得不到及时有效的防护治理，在降雨和人为因素的作用下，泥沙直接流入临近的沟道中，增加其含沙量。</w:t>
            </w:r>
          </w:p>
          <w:p w14:paraId="7FAF558A">
            <w:pPr>
              <w:keepNext w:val="0"/>
              <w:keepLines w:val="0"/>
              <w:suppressLineNumbers w:val="0"/>
              <w:autoSpaceDE w:val="0"/>
              <w:autoSpaceDN w:val="0"/>
              <w:spacing w:before="0" w:beforeAutospacing="0" w:after="0" w:afterAutospacing="0" w:line="480" w:lineRule="exact"/>
              <w:ind w:left="0" w:right="0" w:firstLine="480" w:firstLineChars="200"/>
              <w:rPr>
                <w:rFonts w:hint="default" w:ascii="Times New Roman" w:hAnsi="Times New Roman" w:cs="Times New Roman"/>
                <w:color w:val="auto"/>
                <w:sz w:val="24"/>
                <w:szCs w:val="21"/>
                <w:highlight w:val="none"/>
              </w:rPr>
            </w:pPr>
            <w:r>
              <w:rPr>
                <w:rFonts w:hint="default" w:ascii="Times New Roman" w:hAnsi="Times New Roman" w:cs="Times New Roman"/>
                <w:color w:val="auto"/>
                <w:sz w:val="24"/>
                <w:szCs w:val="21"/>
                <w:highlight w:val="none"/>
              </w:rPr>
              <w:t>临时堆土增加了新的水土流失源，如果防治措施处理不当，将产生严重的水土流失，不仅污染区域环境，对周边生态环境造成威胁，同时影响周边居民正常的生产生活。</w:t>
            </w:r>
          </w:p>
          <w:p w14:paraId="783B9FA6">
            <w:pPr>
              <w:keepNext w:val="0"/>
              <w:keepLines w:val="0"/>
              <w:suppressLineNumbers w:val="0"/>
              <w:autoSpaceDE w:val="0"/>
              <w:autoSpaceDN w:val="0"/>
              <w:spacing w:before="0" w:beforeAutospacing="0" w:after="0" w:afterAutospacing="0" w:line="480" w:lineRule="exact"/>
              <w:ind w:left="0" w:right="0" w:firstLine="480" w:firstLineChars="200"/>
              <w:rPr>
                <w:rFonts w:hint="default" w:ascii="Times New Roman" w:hAnsi="Times New Roman" w:cs="Times New Roman"/>
                <w:color w:val="auto"/>
                <w:sz w:val="24"/>
                <w:szCs w:val="21"/>
                <w:highlight w:val="none"/>
              </w:rPr>
            </w:pPr>
            <w:r>
              <w:rPr>
                <w:rFonts w:hint="default" w:ascii="Times New Roman" w:hAnsi="Times New Roman" w:cs="Times New Roman"/>
                <w:color w:val="auto"/>
                <w:sz w:val="24"/>
                <w:szCs w:val="21"/>
                <w:highlight w:val="none"/>
              </w:rPr>
              <w:t>综上所述，工程建设过程中必须严格实施水土保持方案措施，防止水土流失进一步扩大，将水土流失量控制在最低限度。</w:t>
            </w:r>
          </w:p>
          <w:p w14:paraId="15A8D302">
            <w:pPr>
              <w:keepNext w:val="0"/>
              <w:keepLines w:val="0"/>
              <w:suppressLineNumbers w:val="0"/>
              <w:autoSpaceDE w:val="0"/>
              <w:autoSpaceDN w:val="0"/>
              <w:spacing w:before="0" w:beforeAutospacing="0" w:after="0" w:afterAutospacing="0" w:line="480" w:lineRule="exact"/>
              <w:ind w:left="0" w:right="0" w:firstLine="480" w:firstLineChars="200"/>
              <w:rPr>
                <w:rFonts w:hint="default" w:ascii="Times New Roman" w:hAnsi="Times New Roman" w:cs="Times New Roman"/>
                <w:color w:val="auto"/>
                <w:sz w:val="24"/>
                <w:szCs w:val="21"/>
                <w:highlight w:val="none"/>
              </w:rPr>
            </w:pPr>
          </w:p>
          <w:p w14:paraId="0A7081B5">
            <w:pPr>
              <w:pStyle w:val="21"/>
              <w:rPr>
                <w:rFonts w:hint="eastAsia"/>
                <w:color w:val="auto"/>
                <w:highlight w:val="none"/>
                <w:lang w:val="en-US" w:eastAsia="zh-CN"/>
              </w:rPr>
            </w:pPr>
          </w:p>
          <w:p w14:paraId="1F0E487E">
            <w:pPr>
              <w:pStyle w:val="21"/>
              <w:rPr>
                <w:color w:val="auto"/>
                <w:highlight w:val="none"/>
              </w:rPr>
            </w:pPr>
          </w:p>
          <w:p w14:paraId="10859584">
            <w:pPr>
              <w:autoSpaceDE w:val="0"/>
              <w:autoSpaceDN w:val="0"/>
              <w:spacing w:line="480" w:lineRule="exact"/>
              <w:ind w:firstLine="480" w:firstLineChars="200"/>
              <w:rPr>
                <w:color w:val="auto"/>
                <w:sz w:val="24"/>
                <w:highlight w:val="none"/>
              </w:rPr>
            </w:pPr>
          </w:p>
          <w:p w14:paraId="2D3CA92A">
            <w:pPr>
              <w:pStyle w:val="7"/>
              <w:ind w:left="0" w:leftChars="0" w:firstLine="0" w:firstLineChars="0"/>
              <w:rPr>
                <w:color w:val="auto"/>
                <w:sz w:val="24"/>
                <w:highlight w:val="none"/>
              </w:rPr>
            </w:pPr>
          </w:p>
          <w:p w14:paraId="34E8D72A">
            <w:pPr>
              <w:rPr>
                <w:color w:val="auto"/>
                <w:sz w:val="24"/>
                <w:highlight w:val="none"/>
              </w:rPr>
            </w:pPr>
          </w:p>
          <w:p w14:paraId="0964251E">
            <w:pPr>
              <w:pStyle w:val="7"/>
              <w:rPr>
                <w:color w:val="auto"/>
                <w:sz w:val="24"/>
                <w:highlight w:val="none"/>
              </w:rPr>
            </w:pPr>
          </w:p>
          <w:p w14:paraId="46432366">
            <w:pPr>
              <w:rPr>
                <w:color w:val="auto"/>
                <w:sz w:val="24"/>
                <w:highlight w:val="none"/>
              </w:rPr>
            </w:pPr>
          </w:p>
          <w:p w14:paraId="39309D9C">
            <w:pPr>
              <w:pStyle w:val="7"/>
              <w:rPr>
                <w:color w:val="auto"/>
                <w:sz w:val="24"/>
                <w:highlight w:val="none"/>
              </w:rPr>
            </w:pPr>
          </w:p>
          <w:p w14:paraId="2D190E1C">
            <w:pPr>
              <w:rPr>
                <w:color w:val="auto"/>
                <w:sz w:val="24"/>
                <w:highlight w:val="none"/>
              </w:rPr>
            </w:pPr>
          </w:p>
          <w:p w14:paraId="74F0C685">
            <w:pPr>
              <w:pStyle w:val="7"/>
              <w:rPr>
                <w:color w:val="auto"/>
                <w:sz w:val="24"/>
                <w:highlight w:val="none"/>
              </w:rPr>
            </w:pPr>
          </w:p>
          <w:p w14:paraId="698BA9BE">
            <w:pPr>
              <w:rPr>
                <w:color w:val="auto"/>
                <w:highlight w:val="none"/>
              </w:rPr>
            </w:pPr>
          </w:p>
          <w:p w14:paraId="19D04F42">
            <w:pPr>
              <w:rPr>
                <w:color w:val="auto"/>
                <w:highlight w:val="none"/>
              </w:rPr>
            </w:pPr>
          </w:p>
          <w:p w14:paraId="7A4D775E">
            <w:pPr>
              <w:rPr>
                <w:color w:val="auto"/>
                <w:highlight w:val="none"/>
              </w:rPr>
            </w:pPr>
          </w:p>
          <w:p w14:paraId="44336C34">
            <w:pPr>
              <w:rPr>
                <w:color w:val="auto"/>
                <w:highlight w:val="none"/>
              </w:rPr>
            </w:pPr>
          </w:p>
          <w:p w14:paraId="7D6EA40A">
            <w:pPr>
              <w:rPr>
                <w:color w:val="auto"/>
                <w:highlight w:val="none"/>
              </w:rPr>
            </w:pPr>
          </w:p>
          <w:p w14:paraId="0D01E59D">
            <w:pPr>
              <w:rPr>
                <w:color w:val="auto"/>
                <w:highlight w:val="none"/>
              </w:rPr>
            </w:pPr>
          </w:p>
          <w:p w14:paraId="5CCCC3EB">
            <w:pPr>
              <w:rPr>
                <w:color w:val="auto"/>
                <w:highlight w:val="none"/>
              </w:rPr>
            </w:pPr>
          </w:p>
          <w:p w14:paraId="64E65745">
            <w:pPr>
              <w:rPr>
                <w:color w:val="auto"/>
                <w:highlight w:val="none"/>
              </w:rPr>
            </w:pPr>
          </w:p>
          <w:p w14:paraId="299BE87F">
            <w:pPr>
              <w:rPr>
                <w:color w:val="auto"/>
                <w:highlight w:val="none"/>
              </w:rPr>
            </w:pPr>
          </w:p>
          <w:p w14:paraId="0D6E5615">
            <w:pPr>
              <w:rPr>
                <w:color w:val="auto"/>
                <w:highlight w:val="none"/>
              </w:rPr>
            </w:pPr>
          </w:p>
          <w:p w14:paraId="4497254A">
            <w:pPr>
              <w:rPr>
                <w:color w:val="auto"/>
                <w:highlight w:val="none"/>
              </w:rPr>
            </w:pPr>
          </w:p>
          <w:p w14:paraId="3AD2FE42">
            <w:pPr>
              <w:rPr>
                <w:color w:val="auto"/>
                <w:highlight w:val="none"/>
              </w:rPr>
            </w:pPr>
          </w:p>
        </w:tc>
      </w:tr>
      <w:tr w14:paraId="6EE707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20" w:hRule="atLeast"/>
          <w:jc w:val="center"/>
        </w:trPr>
        <w:tc>
          <w:tcPr>
            <w:tcW w:w="879" w:type="dxa"/>
            <w:tcMar>
              <w:left w:w="28" w:type="dxa"/>
              <w:right w:w="28" w:type="dxa"/>
            </w:tcMar>
            <w:vAlign w:val="center"/>
          </w:tcPr>
          <w:p w14:paraId="4163368D">
            <w:pPr>
              <w:pStyle w:val="9"/>
              <w:adjustRightInd w:val="0"/>
              <w:snapToGrid w:val="0"/>
              <w:spacing w:before="0" w:beforeAutospacing="0" w:after="0" w:afterAutospacing="0"/>
              <w:jc w:val="center"/>
              <w:rPr>
                <w:rFonts w:hint="eastAsia" w:cs="宋体"/>
                <w:bCs/>
                <w:color w:val="auto"/>
                <w:kern w:val="2"/>
                <w:highlight w:val="none"/>
              </w:rPr>
            </w:pPr>
            <w:r>
              <w:rPr>
                <w:rFonts w:hint="eastAsia" w:cs="宋体"/>
                <w:bCs/>
                <w:color w:val="auto"/>
                <w:spacing w:val="10"/>
                <w:kern w:val="2"/>
                <w:highlight w:val="none"/>
              </w:rPr>
              <w:t>运营期生态环境影响分析</w:t>
            </w:r>
          </w:p>
        </w:tc>
        <w:tc>
          <w:tcPr>
            <w:tcW w:w="8363" w:type="dxa"/>
          </w:tcPr>
          <w:p w14:paraId="1630A2CE">
            <w:pPr>
              <w:spacing w:line="480" w:lineRule="exact"/>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本项目运营期环境影响主要有声环境、水环境、固体废物、生态环境。本次评价不</w:t>
            </w:r>
            <w:r>
              <w:rPr>
                <w:bCs/>
                <w:color w:val="auto"/>
                <w:sz w:val="24"/>
                <w:highlight w:val="none"/>
              </w:rPr>
              <w:t>包括</w:t>
            </w:r>
            <w:r>
              <w:rPr>
                <w:rFonts w:hint="eastAsia" w:eastAsia="宋体"/>
                <w:bCs/>
                <w:color w:val="auto"/>
                <w:sz w:val="24"/>
                <w:highlight w:val="none"/>
                <w:lang w:eastAsia="zh-CN"/>
              </w:rPr>
              <w:t>220kV</w:t>
            </w:r>
            <w:r>
              <w:rPr>
                <w:rFonts w:hint="eastAsia" w:ascii="Times New Roman" w:eastAsia="宋体"/>
                <w:bCs/>
                <w:color w:val="auto"/>
                <w:sz w:val="24"/>
                <w:highlight w:val="none"/>
                <w:lang w:val="en-US" w:eastAsia="zh-CN"/>
              </w:rPr>
              <w:t>升压站及</w:t>
            </w:r>
            <w:r>
              <w:rPr>
                <w:rFonts w:hint="eastAsia" w:ascii="宋体" w:hAnsi="宋体" w:cs="宋体"/>
                <w:bCs/>
                <w:color w:val="auto"/>
                <w:sz w:val="24"/>
                <w:highlight w:val="none"/>
              </w:rPr>
              <w:t>送出线路工程及环境影响，送出线路工程</w:t>
            </w:r>
            <w:r>
              <w:rPr>
                <w:rFonts w:hint="eastAsia" w:ascii="宋体" w:hAnsi="宋体" w:cs="宋体"/>
                <w:bCs/>
                <w:color w:val="auto"/>
                <w:sz w:val="24"/>
                <w:highlight w:val="none"/>
                <w:lang w:val="en-US" w:eastAsia="zh-CN"/>
              </w:rPr>
              <w:t>环境影响评价</w:t>
            </w:r>
            <w:r>
              <w:rPr>
                <w:rFonts w:hint="eastAsia" w:ascii="宋体" w:hAnsi="宋体" w:cs="宋体"/>
                <w:bCs/>
                <w:color w:val="auto"/>
                <w:sz w:val="24"/>
                <w:highlight w:val="none"/>
              </w:rPr>
              <w:t>建设单位另行委托评价。</w:t>
            </w:r>
          </w:p>
          <w:p w14:paraId="62E27BAC">
            <w:pPr>
              <w:spacing w:line="480" w:lineRule="exact"/>
              <w:ind w:firstLine="480" w:firstLineChars="200"/>
              <w:rPr>
                <w:rFonts w:hint="eastAsia" w:ascii="宋体" w:hAnsi="宋体" w:cs="宋体"/>
                <w:bCs/>
                <w:color w:val="auto"/>
                <w:sz w:val="24"/>
                <w:highlight w:val="none"/>
              </w:rPr>
            </w:pPr>
            <w:r>
              <w:rPr>
                <w:rFonts w:ascii="宋体" w:hAnsi="宋体" w:cs="宋体"/>
                <w:bCs/>
                <w:color w:val="auto"/>
                <w:sz w:val="24"/>
                <w:highlight w:val="none"/>
              </w:rPr>
              <w:t>1、运营期声环境影响分析</w:t>
            </w:r>
          </w:p>
          <w:p w14:paraId="51A57346">
            <w:pPr>
              <w:spacing w:line="480" w:lineRule="exact"/>
              <w:ind w:firstLine="480" w:firstLineChars="200"/>
              <w:textAlignment w:val="baseline"/>
              <w:rPr>
                <w:color w:val="auto"/>
                <w:sz w:val="24"/>
                <w:highlight w:val="none"/>
              </w:rPr>
            </w:pPr>
            <w:r>
              <w:rPr>
                <w:rFonts w:hint="eastAsia"/>
                <w:color w:val="auto"/>
                <w:sz w:val="24"/>
                <w:highlight w:val="none"/>
              </w:rPr>
              <w:t>风电机组噪声</w:t>
            </w:r>
            <w:r>
              <w:rPr>
                <w:rFonts w:hint="eastAsia" w:eastAsia="宋体"/>
                <w:color w:val="auto"/>
                <w:sz w:val="24"/>
                <w:highlight w:val="none"/>
                <w:lang w:eastAsia="zh-CN"/>
              </w:rPr>
              <w:t>：</w:t>
            </w:r>
            <w:r>
              <w:rPr>
                <w:rFonts w:hint="eastAsia"/>
                <w:color w:val="auto"/>
                <w:sz w:val="24"/>
                <w:highlight w:val="none"/>
              </w:rPr>
              <w:t>风力发电机组在运转过程中产生的噪声来自于叶片扫风的空气动力噪声和机组内部机械运转的机械噪声。其中以发电机组内部的机械噪声为主，本工程风力发电机组采用</w:t>
            </w:r>
            <w:r>
              <w:rPr>
                <w:rFonts w:hint="eastAsia" w:ascii="Times New Roman" w:eastAsia="宋体"/>
                <w:color w:val="auto"/>
                <w:sz w:val="24"/>
                <w:highlight w:val="none"/>
                <w:lang w:val="en-US" w:eastAsia="zh-CN"/>
              </w:rPr>
              <w:t>8</w:t>
            </w:r>
            <w:r>
              <w:rPr>
                <w:rFonts w:hint="eastAsia"/>
                <w:color w:val="auto"/>
                <w:sz w:val="24"/>
                <w:highlight w:val="none"/>
              </w:rPr>
              <w:t>台单机容量为</w:t>
            </w:r>
            <w:r>
              <w:rPr>
                <w:rFonts w:hint="eastAsia" w:ascii="Times New Roman" w:eastAsia="宋体"/>
                <w:color w:val="auto"/>
                <w:sz w:val="24"/>
                <w:highlight w:val="none"/>
                <w:lang w:val="en-US" w:eastAsia="zh-CN"/>
              </w:rPr>
              <w:t>6250</w:t>
            </w:r>
            <w:r>
              <w:rPr>
                <w:rFonts w:hint="eastAsia"/>
                <w:color w:val="auto"/>
                <w:sz w:val="24"/>
                <w:highlight w:val="none"/>
              </w:rPr>
              <w:t>kW的风力发电机组，</w:t>
            </w:r>
            <w:r>
              <w:rPr>
                <w:rFonts w:hint="eastAsia" w:ascii="Times New Roman" w:eastAsia="宋体"/>
                <w:color w:val="auto"/>
                <w:sz w:val="24"/>
                <w:highlight w:val="none"/>
                <w:lang w:val="en-US" w:eastAsia="zh-CN"/>
              </w:rPr>
              <w:t>根据建设单位提供的风机设备参数，</w:t>
            </w:r>
            <w:r>
              <w:rPr>
                <w:rFonts w:hint="eastAsia"/>
                <w:color w:val="auto"/>
                <w:sz w:val="24"/>
                <w:highlight w:val="none"/>
              </w:rPr>
              <w:t>噪声源强声功率级按110dB（A）考虑，由于各风电机之间相距300m以上，每个风电机可视为一个点声源，对单台风电机噪声衰减进行预测。</w:t>
            </w:r>
          </w:p>
          <w:p w14:paraId="534412BB">
            <w:pPr>
              <w:spacing w:line="480" w:lineRule="exact"/>
              <w:ind w:firstLine="480" w:firstLineChars="200"/>
              <w:textAlignment w:val="baseline"/>
              <w:rPr>
                <w:color w:val="auto"/>
                <w:sz w:val="24"/>
                <w:highlight w:val="none"/>
              </w:rPr>
            </w:pPr>
            <w:r>
              <w:rPr>
                <w:rFonts w:hint="eastAsia"/>
                <w:color w:val="auto"/>
                <w:sz w:val="24"/>
                <w:szCs w:val="21"/>
                <w:highlight w:val="none"/>
              </w:rPr>
              <w:t>根据《环境影响评价技术导则 声环境》（HJ2.4-2021）点声源处于全自由声场的几何发散衰减公式</w:t>
            </w:r>
            <w:r>
              <w:rPr>
                <w:color w:val="auto"/>
                <w:sz w:val="24"/>
                <w:szCs w:val="21"/>
                <w:highlight w:val="none"/>
              </w:rPr>
              <w:t>对单台风机噪声距离衰减进行预测，计算公式如下：</w:t>
            </w:r>
          </w:p>
          <w:p w14:paraId="758F62A7">
            <w:pPr>
              <w:spacing w:line="480" w:lineRule="exact"/>
              <w:ind w:firstLine="480" w:firstLineChars="200"/>
              <w:textAlignment w:val="baseline"/>
              <w:rPr>
                <w:color w:val="auto"/>
                <w:sz w:val="24"/>
                <w:highlight w:val="none"/>
              </w:rPr>
            </w:pPr>
            <w:r>
              <w:rPr>
                <w:rFonts w:hint="eastAsia"/>
                <w:color w:val="auto"/>
                <w:sz w:val="24"/>
                <w:highlight w:val="none"/>
              </w:rPr>
              <w:t>L</w:t>
            </w:r>
            <w:r>
              <w:rPr>
                <w:rFonts w:hint="eastAsia"/>
                <w:color w:val="auto"/>
                <w:sz w:val="24"/>
                <w:highlight w:val="none"/>
                <w:vertAlign w:val="subscript"/>
              </w:rPr>
              <w:t>A（r）</w:t>
            </w:r>
            <w:r>
              <w:rPr>
                <w:rFonts w:hint="eastAsia"/>
                <w:color w:val="auto"/>
                <w:sz w:val="24"/>
                <w:highlight w:val="none"/>
              </w:rPr>
              <w:t>=L</w:t>
            </w:r>
            <w:r>
              <w:rPr>
                <w:rFonts w:hint="eastAsia"/>
                <w:color w:val="auto"/>
                <w:sz w:val="24"/>
                <w:highlight w:val="none"/>
                <w:vertAlign w:val="subscript"/>
              </w:rPr>
              <w:t>AW</w:t>
            </w:r>
            <w:r>
              <w:rPr>
                <w:rFonts w:hint="eastAsia"/>
                <w:color w:val="auto"/>
                <w:sz w:val="24"/>
                <w:highlight w:val="none"/>
              </w:rPr>
              <w:t>-20Lgr-11</w:t>
            </w:r>
          </w:p>
          <w:p w14:paraId="18C88EE4">
            <w:pPr>
              <w:spacing w:line="480" w:lineRule="exact"/>
              <w:ind w:firstLine="480" w:firstLineChars="200"/>
              <w:textAlignment w:val="baseline"/>
              <w:rPr>
                <w:color w:val="auto"/>
                <w:sz w:val="24"/>
                <w:highlight w:val="none"/>
              </w:rPr>
            </w:pPr>
            <w:r>
              <w:rPr>
                <w:rFonts w:hint="eastAsia"/>
                <w:color w:val="auto"/>
                <w:sz w:val="24"/>
                <w:highlight w:val="none"/>
              </w:rPr>
              <w:t>式中：L</w:t>
            </w:r>
            <w:r>
              <w:rPr>
                <w:rFonts w:hint="eastAsia"/>
                <w:color w:val="auto"/>
                <w:sz w:val="24"/>
                <w:highlight w:val="none"/>
                <w:vertAlign w:val="subscript"/>
              </w:rPr>
              <w:t>A（r）</w:t>
            </w:r>
            <w:r>
              <w:rPr>
                <w:rFonts w:hint="eastAsia"/>
                <w:color w:val="auto"/>
                <w:sz w:val="24"/>
                <w:highlight w:val="none"/>
              </w:rPr>
              <w:t>－距声源r处声级，dB（A）；</w:t>
            </w:r>
          </w:p>
          <w:p w14:paraId="611E7BCC">
            <w:pPr>
              <w:spacing w:line="480" w:lineRule="exact"/>
              <w:ind w:firstLine="480" w:firstLineChars="200"/>
              <w:textAlignment w:val="baseline"/>
              <w:rPr>
                <w:color w:val="auto"/>
                <w:sz w:val="24"/>
                <w:highlight w:val="none"/>
              </w:rPr>
            </w:pPr>
            <w:r>
              <w:rPr>
                <w:rFonts w:hint="eastAsia"/>
                <w:color w:val="auto"/>
                <w:sz w:val="24"/>
                <w:highlight w:val="none"/>
              </w:rPr>
              <w:t>L</w:t>
            </w:r>
            <w:r>
              <w:rPr>
                <w:rFonts w:hint="eastAsia"/>
                <w:color w:val="auto"/>
                <w:sz w:val="24"/>
                <w:highlight w:val="none"/>
                <w:vertAlign w:val="subscript"/>
              </w:rPr>
              <w:t>AW</w:t>
            </w:r>
            <w:r>
              <w:rPr>
                <w:rFonts w:hint="eastAsia"/>
                <w:color w:val="auto"/>
                <w:sz w:val="24"/>
                <w:highlight w:val="none"/>
              </w:rPr>
              <w:t>－点声源A计权声功率级，dB（A）；</w:t>
            </w:r>
          </w:p>
          <w:p w14:paraId="69801913">
            <w:pPr>
              <w:spacing w:line="480" w:lineRule="exact"/>
              <w:ind w:firstLine="480" w:firstLineChars="200"/>
              <w:textAlignment w:val="baseline"/>
              <w:rPr>
                <w:color w:val="auto"/>
                <w:sz w:val="24"/>
                <w:highlight w:val="none"/>
              </w:rPr>
            </w:pPr>
            <w:r>
              <w:rPr>
                <w:rFonts w:hint="eastAsia"/>
                <w:color w:val="auto"/>
                <w:sz w:val="24"/>
                <w:highlight w:val="none"/>
              </w:rPr>
              <w:t>r－预测点距声源的距离，m；</w:t>
            </w:r>
          </w:p>
          <w:p w14:paraId="724ED12E">
            <w:pPr>
              <w:spacing w:line="480" w:lineRule="exact"/>
              <w:ind w:firstLine="480" w:firstLineChars="200"/>
              <w:textAlignment w:val="baseline"/>
              <w:rPr>
                <w:color w:val="auto"/>
                <w:sz w:val="24"/>
                <w:highlight w:val="none"/>
              </w:rPr>
            </w:pPr>
            <w:r>
              <w:rPr>
                <w:rFonts w:hint="eastAsia"/>
                <w:color w:val="auto"/>
                <w:sz w:val="24"/>
                <w:highlight w:val="none"/>
              </w:rPr>
              <w:t>噪声衰减预测结果见下表。</w:t>
            </w:r>
          </w:p>
          <w:p w14:paraId="54BBC566">
            <w:pPr>
              <w:pStyle w:val="20"/>
              <w:rPr>
                <w:color w:val="auto"/>
                <w:highlight w:val="none"/>
              </w:rPr>
            </w:pPr>
            <w:r>
              <w:rPr>
                <w:color w:val="auto"/>
                <w:highlight w:val="none"/>
              </w:rPr>
              <w:t>表</w:t>
            </w:r>
            <w:r>
              <w:rPr>
                <w:rFonts w:hint="eastAsia" w:ascii="黑体" w:hAnsi="黑体" w:eastAsia="黑体" w:cs="黑体"/>
                <w:color w:val="auto"/>
                <w:highlight w:val="none"/>
              </w:rPr>
              <w:t>4-</w:t>
            </w:r>
            <w:r>
              <w:rPr>
                <w:rFonts w:hint="eastAsia" w:ascii="黑体" w:hAnsi="黑体" w:cs="黑体"/>
                <w:color w:val="auto"/>
                <w:highlight w:val="none"/>
                <w:lang w:val="en-US" w:eastAsia="zh-CN"/>
              </w:rPr>
              <w:t>3</w:t>
            </w:r>
            <w:r>
              <w:rPr>
                <w:color w:val="auto"/>
                <w:highlight w:val="none"/>
              </w:rPr>
              <w:t xml:space="preserve">    单台风电机噪声衰减预测结果</w:t>
            </w:r>
          </w:p>
          <w:tbl>
            <w:tblPr>
              <w:tblStyle w:val="10"/>
              <w:tblW w:w="861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80"/>
              <w:gridCol w:w="1426"/>
              <w:gridCol w:w="1427"/>
              <w:gridCol w:w="1427"/>
              <w:gridCol w:w="1427"/>
              <w:gridCol w:w="1427"/>
            </w:tblGrid>
            <w:tr w14:paraId="3AE5CD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990" w:type="dxa"/>
                  <w:shd w:val="clear" w:color="auto" w:fill="auto"/>
                  <w:vAlign w:val="center"/>
                </w:tcPr>
                <w:p w14:paraId="4290C547">
                  <w:pPr>
                    <w:jc w:val="center"/>
                    <w:rPr>
                      <w:color w:val="auto"/>
                      <w:spacing w:val="6"/>
                      <w:szCs w:val="21"/>
                      <w:highlight w:val="none"/>
                    </w:rPr>
                  </w:pPr>
                  <w:r>
                    <w:rPr>
                      <w:color w:val="auto"/>
                      <w:spacing w:val="6"/>
                      <w:szCs w:val="21"/>
                      <w:highlight w:val="none"/>
                    </w:rPr>
                    <w:t>距离m</w:t>
                  </w:r>
                </w:p>
              </w:tc>
              <w:tc>
                <w:tcPr>
                  <w:tcW w:w="1990" w:type="dxa"/>
                  <w:vAlign w:val="center"/>
                </w:tcPr>
                <w:p w14:paraId="46ED0BDC">
                  <w:pPr>
                    <w:autoSpaceDE w:val="0"/>
                    <w:autoSpaceDN w:val="0"/>
                    <w:adjustRightInd w:val="0"/>
                    <w:jc w:val="center"/>
                    <w:rPr>
                      <w:color w:val="auto"/>
                      <w:spacing w:val="6"/>
                      <w:szCs w:val="21"/>
                      <w:highlight w:val="none"/>
                    </w:rPr>
                  </w:pPr>
                  <w:r>
                    <w:rPr>
                      <w:color w:val="auto"/>
                      <w:spacing w:val="6"/>
                      <w:highlight w:val="none"/>
                    </w:rPr>
                    <w:t>100</w:t>
                  </w:r>
                </w:p>
              </w:tc>
              <w:tc>
                <w:tcPr>
                  <w:tcW w:w="1990" w:type="dxa"/>
                  <w:vAlign w:val="center"/>
                </w:tcPr>
                <w:p w14:paraId="0EECD350">
                  <w:pPr>
                    <w:autoSpaceDE w:val="0"/>
                    <w:autoSpaceDN w:val="0"/>
                    <w:adjustRightInd w:val="0"/>
                    <w:jc w:val="center"/>
                    <w:rPr>
                      <w:color w:val="auto"/>
                      <w:spacing w:val="6"/>
                      <w:szCs w:val="21"/>
                      <w:highlight w:val="none"/>
                    </w:rPr>
                  </w:pPr>
                  <w:r>
                    <w:rPr>
                      <w:color w:val="auto"/>
                      <w:spacing w:val="6"/>
                      <w:highlight w:val="none"/>
                    </w:rPr>
                    <w:t>200</w:t>
                  </w:r>
                </w:p>
              </w:tc>
              <w:tc>
                <w:tcPr>
                  <w:tcW w:w="1990" w:type="dxa"/>
                  <w:vAlign w:val="center"/>
                </w:tcPr>
                <w:p w14:paraId="2E73561E">
                  <w:pPr>
                    <w:autoSpaceDE w:val="0"/>
                    <w:autoSpaceDN w:val="0"/>
                    <w:adjustRightInd w:val="0"/>
                    <w:jc w:val="center"/>
                    <w:rPr>
                      <w:color w:val="auto"/>
                      <w:spacing w:val="6"/>
                      <w:szCs w:val="21"/>
                      <w:highlight w:val="none"/>
                    </w:rPr>
                  </w:pPr>
                  <w:r>
                    <w:rPr>
                      <w:color w:val="auto"/>
                      <w:spacing w:val="6"/>
                      <w:highlight w:val="none"/>
                    </w:rPr>
                    <w:t>300</w:t>
                  </w:r>
                </w:p>
              </w:tc>
              <w:tc>
                <w:tcPr>
                  <w:tcW w:w="1990" w:type="dxa"/>
                  <w:vAlign w:val="center"/>
                </w:tcPr>
                <w:p w14:paraId="19BB7D44">
                  <w:pPr>
                    <w:autoSpaceDE w:val="0"/>
                    <w:autoSpaceDN w:val="0"/>
                    <w:adjustRightInd w:val="0"/>
                    <w:jc w:val="center"/>
                    <w:rPr>
                      <w:color w:val="auto"/>
                      <w:spacing w:val="6"/>
                      <w:highlight w:val="none"/>
                    </w:rPr>
                  </w:pPr>
                  <w:r>
                    <w:rPr>
                      <w:color w:val="auto"/>
                      <w:spacing w:val="6"/>
                      <w:highlight w:val="none"/>
                    </w:rPr>
                    <w:t>400</w:t>
                  </w:r>
                </w:p>
              </w:tc>
              <w:tc>
                <w:tcPr>
                  <w:tcW w:w="1990" w:type="dxa"/>
                  <w:vAlign w:val="center"/>
                </w:tcPr>
                <w:p w14:paraId="48C14E4D">
                  <w:pPr>
                    <w:autoSpaceDE w:val="0"/>
                    <w:autoSpaceDN w:val="0"/>
                    <w:adjustRightInd w:val="0"/>
                    <w:jc w:val="center"/>
                    <w:rPr>
                      <w:color w:val="auto"/>
                      <w:spacing w:val="6"/>
                      <w:highlight w:val="none"/>
                    </w:rPr>
                  </w:pPr>
                  <w:r>
                    <w:rPr>
                      <w:color w:val="auto"/>
                      <w:spacing w:val="6"/>
                      <w:highlight w:val="none"/>
                    </w:rPr>
                    <w:t>500</w:t>
                  </w:r>
                </w:p>
              </w:tc>
            </w:tr>
            <w:tr w14:paraId="1D2A95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990" w:type="dxa"/>
                  <w:shd w:val="clear" w:color="auto" w:fill="auto"/>
                  <w:vAlign w:val="center"/>
                </w:tcPr>
                <w:p w14:paraId="1D07505A">
                  <w:pPr>
                    <w:jc w:val="center"/>
                    <w:rPr>
                      <w:color w:val="auto"/>
                      <w:spacing w:val="6"/>
                      <w:szCs w:val="21"/>
                      <w:highlight w:val="none"/>
                    </w:rPr>
                  </w:pPr>
                  <w:r>
                    <w:rPr>
                      <w:color w:val="auto"/>
                      <w:spacing w:val="6"/>
                      <w:szCs w:val="21"/>
                      <w:highlight w:val="none"/>
                    </w:rPr>
                    <w:t>声压级dB(A)</w:t>
                  </w:r>
                </w:p>
              </w:tc>
              <w:tc>
                <w:tcPr>
                  <w:tcW w:w="1990" w:type="dxa"/>
                  <w:vAlign w:val="center"/>
                </w:tcPr>
                <w:p w14:paraId="3CA2608A">
                  <w:pPr>
                    <w:autoSpaceDE w:val="0"/>
                    <w:autoSpaceDN w:val="0"/>
                    <w:adjustRightInd w:val="0"/>
                    <w:jc w:val="center"/>
                    <w:rPr>
                      <w:color w:val="auto"/>
                      <w:spacing w:val="6"/>
                      <w:szCs w:val="21"/>
                      <w:highlight w:val="none"/>
                    </w:rPr>
                  </w:pPr>
                  <w:r>
                    <w:rPr>
                      <w:color w:val="auto"/>
                      <w:spacing w:val="6"/>
                      <w:szCs w:val="21"/>
                      <w:highlight w:val="none"/>
                    </w:rPr>
                    <w:t>56.7</w:t>
                  </w:r>
                </w:p>
              </w:tc>
              <w:tc>
                <w:tcPr>
                  <w:tcW w:w="1990" w:type="dxa"/>
                  <w:vAlign w:val="center"/>
                </w:tcPr>
                <w:p w14:paraId="3C5E71CA">
                  <w:pPr>
                    <w:autoSpaceDE w:val="0"/>
                    <w:autoSpaceDN w:val="0"/>
                    <w:adjustRightInd w:val="0"/>
                    <w:jc w:val="center"/>
                    <w:rPr>
                      <w:color w:val="auto"/>
                      <w:spacing w:val="6"/>
                      <w:szCs w:val="21"/>
                      <w:highlight w:val="none"/>
                    </w:rPr>
                  </w:pPr>
                  <w:r>
                    <w:rPr>
                      <w:color w:val="auto"/>
                      <w:spacing w:val="6"/>
                      <w:highlight w:val="none"/>
                    </w:rPr>
                    <w:t>55.5</w:t>
                  </w:r>
                </w:p>
              </w:tc>
              <w:tc>
                <w:tcPr>
                  <w:tcW w:w="1990" w:type="dxa"/>
                  <w:vAlign w:val="center"/>
                </w:tcPr>
                <w:p w14:paraId="0E401C31">
                  <w:pPr>
                    <w:autoSpaceDE w:val="0"/>
                    <w:autoSpaceDN w:val="0"/>
                    <w:adjustRightInd w:val="0"/>
                    <w:jc w:val="center"/>
                    <w:rPr>
                      <w:color w:val="auto"/>
                      <w:spacing w:val="6"/>
                      <w:szCs w:val="21"/>
                      <w:highlight w:val="none"/>
                    </w:rPr>
                  </w:pPr>
                  <w:r>
                    <w:rPr>
                      <w:color w:val="auto"/>
                      <w:spacing w:val="6"/>
                      <w:szCs w:val="21"/>
                      <w:highlight w:val="none"/>
                    </w:rPr>
                    <w:t>48.9</w:t>
                  </w:r>
                </w:p>
              </w:tc>
              <w:tc>
                <w:tcPr>
                  <w:tcW w:w="1990" w:type="dxa"/>
                  <w:vAlign w:val="center"/>
                </w:tcPr>
                <w:p w14:paraId="4C86340E">
                  <w:pPr>
                    <w:autoSpaceDE w:val="0"/>
                    <w:autoSpaceDN w:val="0"/>
                    <w:adjustRightInd w:val="0"/>
                    <w:jc w:val="center"/>
                    <w:rPr>
                      <w:color w:val="auto"/>
                      <w:spacing w:val="6"/>
                      <w:highlight w:val="none"/>
                    </w:rPr>
                  </w:pPr>
                  <w:r>
                    <w:rPr>
                      <w:color w:val="auto"/>
                      <w:spacing w:val="6"/>
                      <w:highlight w:val="none"/>
                    </w:rPr>
                    <w:t>46.6</w:t>
                  </w:r>
                </w:p>
              </w:tc>
              <w:tc>
                <w:tcPr>
                  <w:tcW w:w="1990" w:type="dxa"/>
                  <w:vAlign w:val="center"/>
                </w:tcPr>
                <w:p w14:paraId="5387D606">
                  <w:pPr>
                    <w:autoSpaceDE w:val="0"/>
                    <w:autoSpaceDN w:val="0"/>
                    <w:adjustRightInd w:val="0"/>
                    <w:jc w:val="center"/>
                    <w:rPr>
                      <w:color w:val="auto"/>
                      <w:spacing w:val="6"/>
                      <w:highlight w:val="none"/>
                    </w:rPr>
                  </w:pPr>
                  <w:r>
                    <w:rPr>
                      <w:color w:val="auto"/>
                      <w:spacing w:val="6"/>
                      <w:highlight w:val="none"/>
                    </w:rPr>
                    <w:t>44.8</w:t>
                  </w:r>
                </w:p>
              </w:tc>
            </w:tr>
          </w:tbl>
          <w:p w14:paraId="05AF4F46">
            <w:pPr>
              <w:spacing w:line="480" w:lineRule="exact"/>
              <w:ind w:firstLine="480" w:firstLineChars="200"/>
              <w:textAlignment w:val="baseline"/>
              <w:rPr>
                <w:color w:val="auto"/>
                <w:sz w:val="24"/>
                <w:highlight w:val="none"/>
              </w:rPr>
            </w:pPr>
            <w:r>
              <w:rPr>
                <w:rFonts w:hint="eastAsia"/>
                <w:color w:val="auto"/>
                <w:sz w:val="24"/>
                <w:highlight w:val="none"/>
              </w:rPr>
              <w:t>由上表可知，按单台风力发电机组点声源考虑，风电机外500m噪声衰减值已满足《声环境质量标准》（GB3096-2008）的1类区标准要求。</w:t>
            </w:r>
            <w:r>
              <w:rPr>
                <w:rFonts w:hint="eastAsia" w:ascii="Times New Roman" w:eastAsia="宋体"/>
                <w:color w:val="auto"/>
                <w:sz w:val="24"/>
                <w:highlight w:val="none"/>
                <w:lang w:val="en-US" w:eastAsia="zh-CN"/>
              </w:rPr>
              <w:t>运营期</w:t>
            </w:r>
            <w:r>
              <w:rPr>
                <w:rFonts w:hint="eastAsia"/>
                <w:color w:val="auto"/>
                <w:sz w:val="24"/>
                <w:highlight w:val="none"/>
              </w:rPr>
              <w:t>噪声对声环境影响相对较小。</w:t>
            </w:r>
            <w:r>
              <w:rPr>
                <w:rFonts w:hint="eastAsia"/>
                <w:color w:val="auto"/>
                <w:sz w:val="24"/>
                <w:highlight w:val="none"/>
                <w:lang w:val="en-US" w:eastAsia="zh-CN"/>
              </w:rPr>
              <w:t>根据</w:t>
            </w:r>
            <w:r>
              <w:rPr>
                <w:rFonts w:hint="eastAsia"/>
                <w:color w:val="auto"/>
                <w:sz w:val="24"/>
                <w:highlight w:val="none"/>
              </w:rPr>
              <w:t>《关于加强陆域风电、光伏发电建设项目生态环境保护工作的通知》（征求意见稿）</w:t>
            </w:r>
            <w:r>
              <w:rPr>
                <w:rFonts w:hint="eastAsia"/>
                <w:color w:val="auto"/>
                <w:sz w:val="24"/>
                <w:highlight w:val="none"/>
                <w:lang w:eastAsia="zh-CN"/>
              </w:rPr>
              <w:t>，</w:t>
            </w:r>
            <w:r>
              <w:rPr>
                <w:rFonts w:hint="eastAsia"/>
                <w:color w:val="auto"/>
                <w:sz w:val="24"/>
                <w:highlight w:val="none"/>
                <w:lang w:val="en-US" w:eastAsia="zh-CN"/>
              </w:rPr>
              <w:t>新建风电项目的风机应距离周边居民、企事业单位等不得小于700米，本项目风机距离最近的村庄为安口村，最近距离为670m，环评建议优先选用隔音防震型电机、减噪型变速齿轮箱、减速叶片、低噪声偏航刹车片等组件和设备，在采取以上措施后运营期噪声不会对周边居民产生较大影响。</w:t>
            </w:r>
          </w:p>
          <w:p w14:paraId="0FBD313F">
            <w:pPr>
              <w:spacing w:line="480" w:lineRule="exact"/>
              <w:ind w:firstLine="480" w:firstLineChars="200"/>
              <w:rPr>
                <w:color w:val="auto"/>
                <w:sz w:val="24"/>
                <w:highlight w:val="none"/>
              </w:rPr>
            </w:pPr>
            <w:r>
              <w:rPr>
                <w:color w:val="auto"/>
                <w:sz w:val="24"/>
                <w:highlight w:val="none"/>
              </w:rPr>
              <w:t>2、运营期水环境影响分析</w:t>
            </w:r>
          </w:p>
          <w:p w14:paraId="6816FA5A">
            <w:pPr>
              <w:spacing w:line="480" w:lineRule="exact"/>
              <w:ind w:firstLine="480" w:firstLineChars="200"/>
              <w:textAlignment w:val="baseline"/>
              <w:rPr>
                <w:color w:val="auto"/>
                <w:sz w:val="24"/>
                <w:highlight w:val="none"/>
              </w:rPr>
            </w:pPr>
            <w:r>
              <w:rPr>
                <w:rFonts w:hint="eastAsia"/>
                <w:color w:val="auto"/>
                <w:sz w:val="24"/>
                <w:highlight w:val="none"/>
              </w:rPr>
              <w:t>本项目为风力发电项目，运营期无生产废水；升压站</w:t>
            </w:r>
            <w:r>
              <w:rPr>
                <w:rFonts w:hint="eastAsia" w:ascii="Times New Roman" w:eastAsia="宋体"/>
                <w:color w:val="auto"/>
                <w:sz w:val="24"/>
                <w:highlight w:val="none"/>
                <w:lang w:val="en-US" w:eastAsia="zh-CN"/>
              </w:rPr>
              <w:t>新增</w:t>
            </w:r>
            <w:r>
              <w:rPr>
                <w:rFonts w:hint="eastAsia"/>
                <w:color w:val="auto"/>
                <w:sz w:val="24"/>
                <w:highlight w:val="none"/>
              </w:rPr>
              <w:t>劳动定员</w:t>
            </w:r>
            <w:r>
              <w:rPr>
                <w:rFonts w:hint="eastAsia" w:ascii="Times New Roman" w:eastAsia="宋体"/>
                <w:color w:val="auto"/>
                <w:sz w:val="24"/>
                <w:highlight w:val="none"/>
                <w:lang w:val="en-US" w:eastAsia="zh-CN"/>
              </w:rPr>
              <w:t>5</w:t>
            </w:r>
            <w:r>
              <w:rPr>
                <w:rFonts w:hint="eastAsia"/>
                <w:color w:val="auto"/>
                <w:sz w:val="24"/>
                <w:highlight w:val="none"/>
              </w:rPr>
              <w:t>人，负责风电场巡视、日常维护等。根据《山西省用水定额》（DB14/T1049.4-2021）第4部分居民生活用水，用水定额取90L/（p·d）（含食堂用水），则生活用水量为0.</w:t>
            </w:r>
            <w:r>
              <w:rPr>
                <w:rFonts w:hint="eastAsia" w:ascii="Times New Roman" w:eastAsia="宋体"/>
                <w:color w:val="auto"/>
                <w:sz w:val="24"/>
                <w:highlight w:val="none"/>
                <w:lang w:val="en-US" w:eastAsia="zh-CN"/>
              </w:rPr>
              <w:t>45</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/d，生活污水产生率按80%计，生活污水量为0.</w:t>
            </w:r>
            <w:r>
              <w:rPr>
                <w:rFonts w:hint="eastAsia" w:ascii="Times New Roman" w:eastAsia="宋体"/>
                <w:color w:val="auto"/>
                <w:sz w:val="24"/>
                <w:highlight w:val="none"/>
                <w:lang w:val="en-US" w:eastAsia="zh-CN"/>
              </w:rPr>
              <w:t>36</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/d（1</w:t>
            </w:r>
            <w:r>
              <w:rPr>
                <w:rFonts w:hint="eastAsia" w:ascii="Times New Roman" w:eastAsia="宋体"/>
                <w:color w:val="auto"/>
                <w:sz w:val="24"/>
                <w:highlight w:val="none"/>
                <w:lang w:val="en-US" w:eastAsia="zh-CN"/>
              </w:rPr>
              <w:t>31.4</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/a）。</w:t>
            </w:r>
          </w:p>
          <w:p w14:paraId="548F3EF0">
            <w:pPr>
              <w:spacing w:line="480" w:lineRule="exact"/>
              <w:ind w:firstLine="480" w:firstLineChars="200"/>
              <w:textAlignment w:val="baseline"/>
              <w:rPr>
                <w:color w:val="auto"/>
                <w:sz w:val="24"/>
                <w:highlight w:val="none"/>
              </w:rPr>
            </w:pPr>
            <w:r>
              <w:rPr>
                <w:rFonts w:hint="eastAsia"/>
                <w:color w:val="auto"/>
                <w:sz w:val="24"/>
                <w:highlight w:val="none"/>
              </w:rPr>
              <w:t>非采暖季盥洗废水和食堂含油废水</w:t>
            </w:r>
            <w:r>
              <w:rPr>
                <w:rFonts w:hint="eastAsia" w:ascii="Times New Roman" w:eastAsia="宋体"/>
                <w:color w:val="auto"/>
                <w:sz w:val="24"/>
                <w:highlight w:val="none"/>
                <w:lang w:val="en-US" w:eastAsia="zh-CN"/>
              </w:rPr>
              <w:t>依托升压站</w:t>
            </w:r>
            <w:r>
              <w:rPr>
                <w:rFonts w:hint="eastAsia"/>
                <w:color w:val="auto"/>
                <w:sz w:val="24"/>
                <w:highlight w:val="none"/>
              </w:rPr>
              <w:t>地埋式一体化污水处理设施（0.5m</w:t>
            </w:r>
            <w:r>
              <w:rPr>
                <w:rFonts w:hint="eastAsia"/>
                <w:color w:val="auto"/>
                <w:sz w:val="24"/>
                <w:highlight w:val="none"/>
                <w:vertAlign w:val="superscript"/>
              </w:rPr>
              <w:t>3</w:t>
            </w:r>
            <w:r>
              <w:rPr>
                <w:rFonts w:hint="eastAsia"/>
                <w:color w:val="auto"/>
                <w:sz w:val="24"/>
                <w:highlight w:val="none"/>
              </w:rPr>
              <w:t>/h）处理回用，回用水质满足《城市污水再生利用·城市杂用水水质》(GB/T18920-2020)中相关标准后作为站内绿化、道路用水。</w:t>
            </w:r>
          </w:p>
          <w:p w14:paraId="166E5AC7">
            <w:pPr>
              <w:spacing w:line="480" w:lineRule="exact"/>
              <w:ind w:firstLine="480" w:firstLineChars="200"/>
              <w:rPr>
                <w:rFonts w:hint="eastAsia" w:ascii="宋体" w:hAnsi="宋体"/>
                <w:color w:val="auto"/>
                <w:sz w:val="24"/>
                <w:highlight w:val="none"/>
              </w:rPr>
            </w:pPr>
            <w:r>
              <w:rPr>
                <w:rFonts w:hint="eastAsia"/>
                <w:color w:val="auto"/>
                <w:sz w:val="24"/>
                <w:highlight w:val="none"/>
              </w:rPr>
              <w:t>采暖季（按5个月的生活污水量考虑，生活污水量约</w:t>
            </w:r>
            <w:r>
              <w:rPr>
                <w:rFonts w:hint="eastAsia" w:ascii="Times New Roman" w:eastAsia="宋体"/>
                <w:color w:val="auto"/>
                <w:sz w:val="24"/>
                <w:highlight w:val="none"/>
                <w:lang w:val="en-US" w:eastAsia="zh-CN"/>
              </w:rPr>
              <w:t>67.5</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）盥洗废水经地埋式一体化污水处理设施（0.5m</w:t>
            </w:r>
            <w:r>
              <w:rPr>
                <w:rFonts w:hint="eastAsia"/>
                <w:color w:val="auto"/>
                <w:sz w:val="24"/>
                <w:highlight w:val="none"/>
                <w:vertAlign w:val="superscript"/>
              </w:rPr>
              <w:t>3</w:t>
            </w:r>
            <w:r>
              <w:rPr>
                <w:rFonts w:hint="eastAsia"/>
                <w:color w:val="auto"/>
                <w:sz w:val="24"/>
                <w:highlight w:val="none"/>
              </w:rPr>
              <w:t>/h）处理达标后储存在集水池（</w:t>
            </w:r>
            <w:r>
              <w:rPr>
                <w:rFonts w:hint="eastAsia" w:ascii="Times New Roman" w:eastAsia="宋体"/>
                <w:color w:val="auto"/>
                <w:sz w:val="24"/>
                <w:highlight w:val="none"/>
                <w:lang w:val="en-US" w:eastAsia="zh-CN"/>
              </w:rPr>
              <w:t>200</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）中用作来年非采暖季绿化用水，不外排。</w:t>
            </w:r>
          </w:p>
          <w:p w14:paraId="229D32C0">
            <w:pPr>
              <w:spacing w:line="480" w:lineRule="exact"/>
              <w:ind w:firstLine="480" w:firstLineChars="200"/>
              <w:rPr>
                <w:color w:val="auto"/>
                <w:sz w:val="24"/>
                <w:highlight w:val="none"/>
              </w:rPr>
            </w:pPr>
            <w:r>
              <w:rPr>
                <w:color w:val="auto"/>
                <w:sz w:val="24"/>
                <w:highlight w:val="none"/>
              </w:rPr>
              <w:t>3、运营期固体废物影响分析</w:t>
            </w:r>
          </w:p>
          <w:p w14:paraId="03B0BAE8">
            <w:pPr>
              <w:spacing w:line="480" w:lineRule="exact"/>
              <w:ind w:firstLine="480" w:firstLineChars="200"/>
              <w:rPr>
                <w:color w:val="auto"/>
                <w:sz w:val="24"/>
                <w:highlight w:val="none"/>
              </w:rPr>
            </w:pPr>
            <w:r>
              <w:rPr>
                <w:rFonts w:hint="eastAsia"/>
                <w:color w:val="auto"/>
                <w:sz w:val="24"/>
                <w:highlight w:val="none"/>
              </w:rPr>
              <w:t>本项目运营期产生的固体废物有：生活垃圾、风机检修废油和废油桶。其中风机检修废油和废油桶属于危险废物。</w:t>
            </w:r>
            <w:r>
              <w:rPr>
                <w:color w:val="auto"/>
                <w:sz w:val="24"/>
                <w:highlight w:val="none"/>
              </w:rPr>
              <w:t>本工程固体废物产生及排放情况见表4-</w:t>
            </w:r>
            <w:r>
              <w:rPr>
                <w:rFonts w:hint="eastAsia" w:ascii="Times New Roman" w:eastAsia="宋体"/>
                <w:color w:val="auto"/>
                <w:sz w:val="24"/>
                <w:highlight w:val="none"/>
                <w:lang w:val="en-US" w:eastAsia="zh-CN"/>
              </w:rPr>
              <w:t>4</w:t>
            </w:r>
            <w:r>
              <w:rPr>
                <w:color w:val="auto"/>
                <w:sz w:val="24"/>
                <w:highlight w:val="none"/>
              </w:rPr>
              <w:t>、危险废物汇总见表4-</w:t>
            </w:r>
            <w:r>
              <w:rPr>
                <w:rFonts w:hint="eastAsia" w:ascii="Times New Roman" w:eastAsia="宋体"/>
                <w:color w:val="auto"/>
                <w:sz w:val="24"/>
                <w:highlight w:val="none"/>
                <w:lang w:val="en-US" w:eastAsia="zh-CN"/>
              </w:rPr>
              <w:t>5</w:t>
            </w:r>
            <w:r>
              <w:rPr>
                <w:color w:val="auto"/>
                <w:sz w:val="24"/>
                <w:highlight w:val="none"/>
              </w:rPr>
              <w:t>、危废暂存场所情况见表4-</w:t>
            </w:r>
            <w:r>
              <w:rPr>
                <w:rFonts w:hint="eastAsia" w:ascii="Times New Roman" w:eastAsia="宋体"/>
                <w:color w:val="auto"/>
                <w:sz w:val="24"/>
                <w:highlight w:val="none"/>
                <w:lang w:val="en-US" w:eastAsia="zh-CN"/>
              </w:rPr>
              <w:t>6</w:t>
            </w:r>
            <w:r>
              <w:rPr>
                <w:color w:val="auto"/>
                <w:sz w:val="24"/>
                <w:highlight w:val="none"/>
              </w:rPr>
              <w:t>。</w:t>
            </w:r>
          </w:p>
          <w:p w14:paraId="2DFF10E0">
            <w:pPr>
              <w:jc w:val="center"/>
              <w:textAlignment w:val="baseline"/>
              <w:rPr>
                <w:rFonts w:hint="eastAsia" w:ascii="黑体" w:hAnsi="黑体" w:eastAsia="黑体"/>
                <w:bCs/>
                <w:color w:val="auto"/>
                <w:szCs w:val="21"/>
                <w:highlight w:val="none"/>
              </w:rPr>
            </w:pPr>
            <w:r>
              <w:rPr>
                <w:rFonts w:ascii="黑体" w:hAnsi="黑体" w:eastAsia="黑体"/>
                <w:bCs/>
                <w:color w:val="auto"/>
                <w:szCs w:val="21"/>
                <w:highlight w:val="none"/>
              </w:rPr>
              <w:t>表4-</w:t>
            </w:r>
            <w:r>
              <w:rPr>
                <w:rFonts w:hint="eastAsia" w:ascii="黑体" w:hAnsi="黑体" w:eastAsia="黑体"/>
                <w:bCs/>
                <w:color w:val="auto"/>
                <w:szCs w:val="21"/>
                <w:highlight w:val="none"/>
                <w:lang w:val="en-US" w:eastAsia="zh-CN"/>
              </w:rPr>
              <w:t>4</w:t>
            </w:r>
            <w:r>
              <w:rPr>
                <w:rFonts w:ascii="黑体" w:hAnsi="黑体" w:eastAsia="黑体"/>
                <w:bCs/>
                <w:color w:val="auto"/>
                <w:szCs w:val="21"/>
                <w:highlight w:val="none"/>
              </w:rPr>
              <w:t xml:space="preserve">  本项目固体废物产生及排放情况一览表</w:t>
            </w:r>
          </w:p>
          <w:tbl>
            <w:tblPr>
              <w:tblStyle w:val="1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02"/>
              <w:gridCol w:w="1294"/>
              <w:gridCol w:w="1137"/>
              <w:gridCol w:w="1299"/>
              <w:gridCol w:w="3179"/>
            </w:tblGrid>
            <w:tr w14:paraId="21B004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988" w:type="pct"/>
                  <w:vAlign w:val="center"/>
                </w:tcPr>
                <w:p w14:paraId="2D373CDD">
                  <w:pPr>
                    <w:pStyle w:val="22"/>
                    <w:adjustRightInd/>
                    <w:snapToGrid/>
                    <w:spacing w:beforeLines="0" w:afterLines="0" w:line="240" w:lineRule="auto"/>
                    <w:rPr>
                      <w:rFonts w:ascii="Times New Roman"/>
                      <w:color w:val="auto"/>
                      <w:sz w:val="21"/>
                      <w:highlight w:val="none"/>
                    </w:rPr>
                  </w:pPr>
                  <w:r>
                    <w:rPr>
                      <w:rFonts w:hint="eastAsia" w:ascii="Times New Roman"/>
                      <w:color w:val="auto"/>
                      <w:sz w:val="21"/>
                      <w:highlight w:val="none"/>
                    </w:rPr>
                    <w:t>固废</w:t>
                  </w:r>
                  <w:r>
                    <w:rPr>
                      <w:rFonts w:ascii="Times New Roman"/>
                      <w:color w:val="auto"/>
                      <w:sz w:val="21"/>
                      <w:highlight w:val="none"/>
                    </w:rPr>
                    <w:t>名称</w:t>
                  </w:r>
                </w:p>
              </w:tc>
              <w:tc>
                <w:tcPr>
                  <w:tcW w:w="751" w:type="pct"/>
                  <w:vAlign w:val="center"/>
                </w:tcPr>
                <w:p w14:paraId="3B26BBCF">
                  <w:pPr>
                    <w:pStyle w:val="22"/>
                    <w:adjustRightInd/>
                    <w:snapToGrid/>
                    <w:spacing w:beforeLines="0" w:afterLines="0" w:line="240" w:lineRule="auto"/>
                    <w:rPr>
                      <w:rFonts w:ascii="Times New Roman"/>
                      <w:color w:val="auto"/>
                      <w:sz w:val="21"/>
                      <w:highlight w:val="none"/>
                    </w:rPr>
                  </w:pPr>
                  <w:r>
                    <w:rPr>
                      <w:rFonts w:hint="eastAsia" w:ascii="Times New Roman"/>
                      <w:color w:val="auto"/>
                      <w:sz w:val="21"/>
                      <w:highlight w:val="none"/>
                    </w:rPr>
                    <w:t>固废分类</w:t>
                  </w:r>
                </w:p>
              </w:tc>
              <w:tc>
                <w:tcPr>
                  <w:tcW w:w="660" w:type="pct"/>
                  <w:vAlign w:val="center"/>
                </w:tcPr>
                <w:p w14:paraId="57FFBFA7">
                  <w:pPr>
                    <w:pStyle w:val="22"/>
                    <w:adjustRightInd/>
                    <w:snapToGrid/>
                    <w:spacing w:beforeLines="0" w:afterLines="0" w:line="240" w:lineRule="auto"/>
                    <w:rPr>
                      <w:rFonts w:ascii="Times New Roman"/>
                      <w:color w:val="auto"/>
                      <w:sz w:val="21"/>
                      <w:highlight w:val="none"/>
                    </w:rPr>
                  </w:pPr>
                  <w:r>
                    <w:rPr>
                      <w:rFonts w:hint="eastAsia" w:ascii="Times New Roman"/>
                      <w:color w:val="auto"/>
                      <w:sz w:val="21"/>
                      <w:highlight w:val="none"/>
                    </w:rPr>
                    <w:t>产生量</w:t>
                  </w:r>
                </w:p>
              </w:tc>
              <w:tc>
                <w:tcPr>
                  <w:tcW w:w="754" w:type="pct"/>
                  <w:vAlign w:val="center"/>
                </w:tcPr>
                <w:p w14:paraId="7F7149B7">
                  <w:pPr>
                    <w:pStyle w:val="22"/>
                    <w:adjustRightInd/>
                    <w:snapToGrid/>
                    <w:spacing w:beforeLines="0" w:afterLines="0" w:line="240" w:lineRule="auto"/>
                    <w:rPr>
                      <w:rFonts w:ascii="Times New Roman"/>
                      <w:color w:val="auto"/>
                      <w:sz w:val="21"/>
                      <w:highlight w:val="none"/>
                    </w:rPr>
                  </w:pPr>
                  <w:r>
                    <w:rPr>
                      <w:rFonts w:hint="eastAsia" w:ascii="Times New Roman"/>
                      <w:color w:val="auto"/>
                      <w:sz w:val="21"/>
                      <w:highlight w:val="none"/>
                    </w:rPr>
                    <w:t>处置</w:t>
                  </w:r>
                  <w:r>
                    <w:rPr>
                      <w:rFonts w:ascii="Times New Roman"/>
                      <w:color w:val="auto"/>
                      <w:sz w:val="21"/>
                      <w:highlight w:val="none"/>
                    </w:rPr>
                    <w:t>量</w:t>
                  </w:r>
                </w:p>
              </w:tc>
              <w:tc>
                <w:tcPr>
                  <w:tcW w:w="1845" w:type="pct"/>
                  <w:vAlign w:val="center"/>
                </w:tcPr>
                <w:p w14:paraId="3825EADD">
                  <w:pPr>
                    <w:pStyle w:val="22"/>
                    <w:adjustRightInd/>
                    <w:snapToGrid/>
                    <w:spacing w:beforeLines="0" w:afterLines="0" w:line="240" w:lineRule="auto"/>
                    <w:rPr>
                      <w:rFonts w:ascii="Times New Roman"/>
                      <w:color w:val="auto"/>
                      <w:sz w:val="21"/>
                      <w:highlight w:val="none"/>
                    </w:rPr>
                  </w:pPr>
                  <w:r>
                    <w:rPr>
                      <w:rFonts w:ascii="Times New Roman"/>
                      <w:color w:val="auto"/>
                      <w:sz w:val="21"/>
                      <w:highlight w:val="none"/>
                    </w:rPr>
                    <w:t>处置情况</w:t>
                  </w:r>
                </w:p>
              </w:tc>
            </w:tr>
            <w:tr w14:paraId="564593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988" w:type="pct"/>
                  <w:vAlign w:val="center"/>
                </w:tcPr>
                <w:p w14:paraId="7896DE39">
                  <w:pPr>
                    <w:pStyle w:val="22"/>
                    <w:adjustRightInd/>
                    <w:snapToGrid/>
                    <w:spacing w:beforeLines="0" w:afterLines="0" w:line="240" w:lineRule="auto"/>
                    <w:rPr>
                      <w:rFonts w:ascii="Times New Roman"/>
                      <w:color w:val="auto"/>
                      <w:sz w:val="21"/>
                      <w:highlight w:val="none"/>
                    </w:rPr>
                  </w:pPr>
                  <w:r>
                    <w:rPr>
                      <w:rFonts w:ascii="Times New Roman"/>
                      <w:color w:val="auto"/>
                      <w:sz w:val="21"/>
                      <w:highlight w:val="none"/>
                    </w:rPr>
                    <w:t>生活垃圾</w:t>
                  </w:r>
                </w:p>
              </w:tc>
              <w:tc>
                <w:tcPr>
                  <w:tcW w:w="751" w:type="pct"/>
                  <w:vAlign w:val="center"/>
                </w:tcPr>
                <w:p w14:paraId="4ED82991">
                  <w:pPr>
                    <w:pStyle w:val="22"/>
                    <w:adjustRightInd/>
                    <w:snapToGrid/>
                    <w:spacing w:beforeLines="0" w:afterLines="0" w:line="240" w:lineRule="auto"/>
                    <w:rPr>
                      <w:rFonts w:ascii="Times New Roman"/>
                      <w:color w:val="auto"/>
                      <w:sz w:val="21"/>
                      <w:highlight w:val="none"/>
                    </w:rPr>
                  </w:pPr>
                  <w:r>
                    <w:rPr>
                      <w:rFonts w:hint="eastAsia" w:ascii="Times New Roman"/>
                      <w:color w:val="auto"/>
                      <w:sz w:val="21"/>
                      <w:highlight w:val="none"/>
                    </w:rPr>
                    <w:t>生活垃圾</w:t>
                  </w:r>
                </w:p>
              </w:tc>
              <w:tc>
                <w:tcPr>
                  <w:tcW w:w="660" w:type="pct"/>
                  <w:vAlign w:val="center"/>
                </w:tcPr>
                <w:p w14:paraId="55BF7910">
                  <w:pPr>
                    <w:pStyle w:val="22"/>
                    <w:adjustRightInd/>
                    <w:snapToGrid/>
                    <w:spacing w:beforeLines="0" w:afterLines="0" w:line="240" w:lineRule="auto"/>
                    <w:rPr>
                      <w:rFonts w:ascii="Times New Roman"/>
                      <w:color w:val="auto"/>
                      <w:sz w:val="21"/>
                      <w:highlight w:val="none"/>
                    </w:rPr>
                  </w:pPr>
                  <w:r>
                    <w:rPr>
                      <w:rFonts w:hint="eastAsia" w:ascii="Times New Roman"/>
                      <w:color w:val="auto"/>
                      <w:sz w:val="21"/>
                      <w:highlight w:val="none"/>
                      <w:lang w:val="en-US" w:eastAsia="zh-CN"/>
                    </w:rPr>
                    <w:t>0.912</w:t>
                  </w:r>
                  <w:r>
                    <w:rPr>
                      <w:rFonts w:ascii="Times New Roman"/>
                      <w:color w:val="auto"/>
                      <w:sz w:val="21"/>
                      <w:highlight w:val="none"/>
                    </w:rPr>
                    <w:t>t/a</w:t>
                  </w:r>
                </w:p>
              </w:tc>
              <w:tc>
                <w:tcPr>
                  <w:tcW w:w="754" w:type="pct"/>
                  <w:vAlign w:val="center"/>
                </w:tcPr>
                <w:p w14:paraId="2DB6EE2C">
                  <w:pPr>
                    <w:pStyle w:val="22"/>
                    <w:adjustRightInd/>
                    <w:snapToGrid/>
                    <w:spacing w:beforeLines="0" w:afterLines="0" w:line="240" w:lineRule="auto"/>
                    <w:rPr>
                      <w:rFonts w:ascii="Times New Roman"/>
                      <w:color w:val="auto"/>
                      <w:sz w:val="21"/>
                      <w:highlight w:val="none"/>
                    </w:rPr>
                  </w:pPr>
                  <w:r>
                    <w:rPr>
                      <w:rFonts w:hint="eastAsia" w:ascii="Times New Roman"/>
                      <w:color w:val="auto"/>
                      <w:sz w:val="21"/>
                      <w:highlight w:val="none"/>
                      <w:lang w:val="en-US" w:eastAsia="zh-CN"/>
                    </w:rPr>
                    <w:t>0.912</w:t>
                  </w:r>
                  <w:r>
                    <w:rPr>
                      <w:rFonts w:ascii="Times New Roman"/>
                      <w:color w:val="auto"/>
                      <w:sz w:val="21"/>
                      <w:highlight w:val="none"/>
                    </w:rPr>
                    <w:t>t/a</w:t>
                  </w:r>
                </w:p>
              </w:tc>
              <w:tc>
                <w:tcPr>
                  <w:tcW w:w="1845" w:type="pct"/>
                  <w:vAlign w:val="center"/>
                </w:tcPr>
                <w:p w14:paraId="5DDBD9F6">
                  <w:pPr>
                    <w:pStyle w:val="22"/>
                    <w:adjustRightInd/>
                    <w:snapToGrid/>
                    <w:spacing w:beforeLines="0" w:afterLines="0" w:line="240" w:lineRule="auto"/>
                    <w:rPr>
                      <w:rFonts w:ascii="Times New Roman"/>
                      <w:color w:val="auto"/>
                      <w:sz w:val="21"/>
                      <w:highlight w:val="none"/>
                    </w:rPr>
                  </w:pPr>
                  <w:r>
                    <w:rPr>
                      <w:rFonts w:ascii="Times New Roman"/>
                      <w:color w:val="auto"/>
                      <w:sz w:val="21"/>
                      <w:highlight w:val="none"/>
                    </w:rPr>
                    <w:t>垃圾桶集中收集后，定期交由环卫部门清运处置</w:t>
                  </w:r>
                </w:p>
              </w:tc>
            </w:tr>
            <w:tr w14:paraId="0B2A87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988" w:type="pct"/>
                  <w:vAlign w:val="center"/>
                </w:tcPr>
                <w:p w14:paraId="462ED2C5">
                  <w:pPr>
                    <w:pStyle w:val="22"/>
                    <w:adjustRightInd/>
                    <w:snapToGrid/>
                    <w:spacing w:beforeLines="0" w:afterLines="0" w:line="240" w:lineRule="auto"/>
                    <w:rPr>
                      <w:rFonts w:ascii="Times New Roman"/>
                      <w:color w:val="auto"/>
                      <w:sz w:val="21"/>
                      <w:highlight w:val="none"/>
                    </w:rPr>
                  </w:pPr>
                  <w:r>
                    <w:rPr>
                      <w:rFonts w:hint="eastAsia" w:ascii="Times New Roman"/>
                      <w:color w:val="auto"/>
                      <w:sz w:val="21"/>
                      <w:highlight w:val="none"/>
                    </w:rPr>
                    <w:t>风机</w:t>
                  </w:r>
                  <w:r>
                    <w:rPr>
                      <w:rFonts w:ascii="Times New Roman"/>
                      <w:color w:val="auto"/>
                      <w:sz w:val="21"/>
                      <w:highlight w:val="none"/>
                    </w:rPr>
                    <w:t>检修废油</w:t>
                  </w:r>
                </w:p>
              </w:tc>
              <w:tc>
                <w:tcPr>
                  <w:tcW w:w="751" w:type="pct"/>
                  <w:vMerge w:val="restart"/>
                  <w:vAlign w:val="center"/>
                </w:tcPr>
                <w:p w14:paraId="0D58A536">
                  <w:pPr>
                    <w:pStyle w:val="22"/>
                    <w:adjustRightInd/>
                    <w:snapToGrid/>
                    <w:spacing w:beforeLines="0" w:afterLines="0" w:line="240" w:lineRule="auto"/>
                    <w:rPr>
                      <w:rFonts w:ascii="Times New Roman"/>
                      <w:color w:val="auto"/>
                      <w:sz w:val="21"/>
                      <w:highlight w:val="none"/>
                    </w:rPr>
                  </w:pPr>
                  <w:r>
                    <w:rPr>
                      <w:rFonts w:hint="eastAsia" w:ascii="Times New Roman"/>
                      <w:color w:val="auto"/>
                      <w:sz w:val="21"/>
                      <w:highlight w:val="none"/>
                    </w:rPr>
                    <w:t>危险废物</w:t>
                  </w:r>
                </w:p>
              </w:tc>
              <w:tc>
                <w:tcPr>
                  <w:tcW w:w="660" w:type="pct"/>
                  <w:vAlign w:val="center"/>
                </w:tcPr>
                <w:p w14:paraId="1CC6D3B3">
                  <w:pPr>
                    <w:jc w:val="center"/>
                    <w:rPr>
                      <w:color w:val="auto"/>
                      <w:sz w:val="21"/>
                      <w:szCs w:val="21"/>
                      <w:highlight w:val="none"/>
                    </w:rPr>
                  </w:pPr>
                  <w:r>
                    <w:rPr>
                      <w:rFonts w:hint="eastAsia"/>
                      <w:color w:val="auto"/>
                      <w:sz w:val="21"/>
                      <w:szCs w:val="21"/>
                      <w:highlight w:val="none"/>
                    </w:rPr>
                    <w:t>2</w:t>
                  </w:r>
                  <w:r>
                    <w:rPr>
                      <w:rFonts w:hint="eastAsia" w:ascii="Times New Roman" w:eastAsia="宋体"/>
                      <w:color w:val="auto"/>
                      <w:sz w:val="21"/>
                      <w:szCs w:val="21"/>
                      <w:highlight w:val="none"/>
                      <w:lang w:val="en-US" w:eastAsia="zh-CN"/>
                    </w:rPr>
                    <w:t>4</w:t>
                  </w:r>
                  <w:r>
                    <w:rPr>
                      <w:rFonts w:hint="eastAsia"/>
                      <w:color w:val="auto"/>
                      <w:sz w:val="21"/>
                      <w:szCs w:val="21"/>
                      <w:highlight w:val="none"/>
                    </w:rPr>
                    <w:t>L/a</w:t>
                  </w:r>
                </w:p>
              </w:tc>
              <w:tc>
                <w:tcPr>
                  <w:tcW w:w="754" w:type="pct"/>
                  <w:vAlign w:val="center"/>
                </w:tcPr>
                <w:p w14:paraId="25483F47">
                  <w:pPr>
                    <w:jc w:val="center"/>
                    <w:rPr>
                      <w:color w:val="auto"/>
                      <w:sz w:val="21"/>
                      <w:szCs w:val="21"/>
                      <w:highlight w:val="none"/>
                    </w:rPr>
                  </w:pPr>
                  <w:r>
                    <w:rPr>
                      <w:rFonts w:hint="eastAsia"/>
                      <w:color w:val="auto"/>
                      <w:sz w:val="21"/>
                      <w:szCs w:val="21"/>
                      <w:highlight w:val="none"/>
                    </w:rPr>
                    <w:t>2</w:t>
                  </w:r>
                  <w:r>
                    <w:rPr>
                      <w:rFonts w:hint="eastAsia" w:ascii="Times New Roman" w:eastAsia="宋体"/>
                      <w:color w:val="auto"/>
                      <w:sz w:val="21"/>
                      <w:szCs w:val="21"/>
                      <w:highlight w:val="none"/>
                      <w:lang w:val="en-US" w:eastAsia="zh-CN"/>
                    </w:rPr>
                    <w:t>4</w:t>
                  </w:r>
                  <w:r>
                    <w:rPr>
                      <w:rFonts w:hint="eastAsia"/>
                      <w:color w:val="auto"/>
                      <w:sz w:val="21"/>
                      <w:szCs w:val="21"/>
                      <w:highlight w:val="none"/>
                    </w:rPr>
                    <w:t>L/a</w:t>
                  </w:r>
                </w:p>
              </w:tc>
              <w:tc>
                <w:tcPr>
                  <w:tcW w:w="1845" w:type="pct"/>
                  <w:vAlign w:val="center"/>
                </w:tcPr>
                <w:p w14:paraId="5FB057F0">
                  <w:pPr>
                    <w:pStyle w:val="22"/>
                    <w:adjustRightInd/>
                    <w:snapToGrid/>
                    <w:spacing w:beforeLines="0" w:afterLines="0" w:line="240" w:lineRule="auto"/>
                    <w:rPr>
                      <w:rFonts w:ascii="Times New Roman"/>
                      <w:color w:val="auto"/>
                      <w:sz w:val="21"/>
                      <w:highlight w:val="none"/>
                    </w:rPr>
                  </w:pPr>
                  <w:r>
                    <w:rPr>
                      <w:rFonts w:ascii="Times New Roman"/>
                      <w:color w:val="auto"/>
                      <w:sz w:val="21"/>
                      <w:highlight w:val="none"/>
                    </w:rPr>
                    <w:t>暂存于</w:t>
                  </w:r>
                  <w:r>
                    <w:rPr>
                      <w:rFonts w:hint="eastAsia" w:ascii="Times New Roman"/>
                      <w:color w:val="auto"/>
                      <w:sz w:val="21"/>
                      <w:highlight w:val="none"/>
                      <w:lang w:val="en-US" w:eastAsia="zh-CN"/>
                    </w:rPr>
                    <w:t>升压站</w:t>
                  </w:r>
                  <w:r>
                    <w:rPr>
                      <w:rFonts w:ascii="Times New Roman"/>
                      <w:color w:val="auto"/>
                      <w:sz w:val="21"/>
                      <w:highlight w:val="none"/>
                    </w:rPr>
                    <w:t>2</w:t>
                  </w:r>
                  <w:r>
                    <w:rPr>
                      <w:rFonts w:hint="eastAsia" w:ascii="Times New Roman"/>
                      <w:color w:val="auto"/>
                      <w:sz w:val="21"/>
                      <w:highlight w:val="none"/>
                      <w:lang w:val="en-US" w:eastAsia="zh-CN"/>
                    </w:rPr>
                    <w:t>0</w:t>
                  </w:r>
                  <w:r>
                    <w:rPr>
                      <w:rFonts w:ascii="Times New Roman"/>
                      <w:color w:val="auto"/>
                      <w:sz w:val="21"/>
                      <w:highlight w:val="none"/>
                    </w:rPr>
                    <w:t>m</w:t>
                  </w:r>
                  <w:r>
                    <w:rPr>
                      <w:rFonts w:ascii="Times New Roman"/>
                      <w:color w:val="auto"/>
                      <w:sz w:val="21"/>
                      <w:highlight w:val="none"/>
                      <w:vertAlign w:val="superscript"/>
                    </w:rPr>
                    <w:t>2</w:t>
                  </w:r>
                  <w:r>
                    <w:rPr>
                      <w:rFonts w:ascii="Times New Roman"/>
                      <w:color w:val="auto"/>
                      <w:sz w:val="21"/>
                      <w:highlight w:val="none"/>
                    </w:rPr>
                    <w:t>危险废物</w:t>
                  </w:r>
                  <w:r>
                    <w:rPr>
                      <w:rFonts w:hint="eastAsia" w:ascii="Times New Roman"/>
                      <w:color w:val="auto"/>
                      <w:sz w:val="21"/>
                      <w:highlight w:val="none"/>
                      <w:lang w:eastAsia="zh-CN"/>
                    </w:rPr>
                    <w:t>贮存点</w:t>
                  </w:r>
                  <w:r>
                    <w:rPr>
                      <w:rFonts w:ascii="Times New Roman"/>
                      <w:color w:val="auto"/>
                      <w:sz w:val="21"/>
                      <w:highlight w:val="none"/>
                    </w:rPr>
                    <w:t>，由有资质单位回收处置</w:t>
                  </w:r>
                </w:p>
              </w:tc>
            </w:tr>
            <w:tr w14:paraId="12C087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988" w:type="pct"/>
                  <w:vAlign w:val="center"/>
                </w:tcPr>
                <w:p w14:paraId="488ED38E">
                  <w:pPr>
                    <w:pStyle w:val="22"/>
                    <w:adjustRightInd/>
                    <w:snapToGrid/>
                    <w:spacing w:beforeLines="0" w:afterLines="0" w:line="240" w:lineRule="auto"/>
                    <w:rPr>
                      <w:rFonts w:ascii="Times New Roman"/>
                      <w:bCs/>
                      <w:color w:val="auto"/>
                      <w:sz w:val="21"/>
                      <w:highlight w:val="none"/>
                    </w:rPr>
                  </w:pPr>
                  <w:r>
                    <w:rPr>
                      <w:rFonts w:ascii="Times New Roman"/>
                      <w:color w:val="auto"/>
                      <w:sz w:val="21"/>
                      <w:highlight w:val="none"/>
                    </w:rPr>
                    <w:t>废油桶</w:t>
                  </w:r>
                </w:p>
              </w:tc>
              <w:tc>
                <w:tcPr>
                  <w:tcW w:w="751" w:type="pct"/>
                  <w:vMerge w:val="continue"/>
                  <w:vAlign w:val="center"/>
                </w:tcPr>
                <w:p w14:paraId="2A56CB93">
                  <w:pPr>
                    <w:pStyle w:val="22"/>
                    <w:adjustRightInd/>
                    <w:snapToGrid/>
                    <w:spacing w:beforeLines="0" w:afterLines="0" w:line="240" w:lineRule="auto"/>
                    <w:rPr>
                      <w:rFonts w:ascii="Times New Roman"/>
                      <w:color w:val="auto"/>
                      <w:sz w:val="21"/>
                      <w:highlight w:val="none"/>
                    </w:rPr>
                  </w:pPr>
                </w:p>
              </w:tc>
              <w:tc>
                <w:tcPr>
                  <w:tcW w:w="660" w:type="pct"/>
                  <w:vAlign w:val="center"/>
                </w:tcPr>
                <w:p w14:paraId="5ECC89D6">
                  <w:pPr>
                    <w:pStyle w:val="22"/>
                    <w:adjustRightInd/>
                    <w:snapToGrid/>
                    <w:spacing w:beforeLines="0" w:afterLines="0" w:line="240" w:lineRule="auto"/>
                    <w:rPr>
                      <w:rFonts w:ascii="Times New Roman"/>
                      <w:color w:val="auto"/>
                      <w:sz w:val="21"/>
                      <w:highlight w:val="none"/>
                    </w:rPr>
                  </w:pPr>
                  <w:r>
                    <w:rPr>
                      <w:rFonts w:ascii="Times New Roman"/>
                      <w:color w:val="auto"/>
                      <w:sz w:val="21"/>
                      <w:highlight w:val="none"/>
                    </w:rPr>
                    <w:t>3个/a</w:t>
                  </w:r>
                </w:p>
              </w:tc>
              <w:tc>
                <w:tcPr>
                  <w:tcW w:w="754" w:type="pct"/>
                  <w:vAlign w:val="center"/>
                </w:tcPr>
                <w:p w14:paraId="4ED0763F">
                  <w:pPr>
                    <w:pStyle w:val="22"/>
                    <w:adjustRightInd/>
                    <w:snapToGrid/>
                    <w:spacing w:beforeLines="0" w:afterLines="0" w:line="240" w:lineRule="auto"/>
                    <w:rPr>
                      <w:rFonts w:ascii="Times New Roman"/>
                      <w:bCs/>
                      <w:color w:val="auto"/>
                      <w:sz w:val="21"/>
                      <w:highlight w:val="none"/>
                    </w:rPr>
                  </w:pPr>
                  <w:r>
                    <w:rPr>
                      <w:rFonts w:ascii="Times New Roman"/>
                      <w:color w:val="auto"/>
                      <w:sz w:val="21"/>
                      <w:highlight w:val="none"/>
                    </w:rPr>
                    <w:t>3个/a</w:t>
                  </w:r>
                </w:p>
              </w:tc>
              <w:tc>
                <w:tcPr>
                  <w:tcW w:w="1845" w:type="pct"/>
                  <w:vAlign w:val="center"/>
                </w:tcPr>
                <w:p w14:paraId="2E55202F">
                  <w:pPr>
                    <w:pStyle w:val="22"/>
                    <w:adjustRightInd/>
                    <w:snapToGrid/>
                    <w:spacing w:beforeLines="0" w:afterLines="0" w:line="240" w:lineRule="auto"/>
                    <w:rPr>
                      <w:rFonts w:ascii="Times New Roman"/>
                      <w:color w:val="auto"/>
                      <w:sz w:val="21"/>
                      <w:highlight w:val="none"/>
                    </w:rPr>
                  </w:pPr>
                  <w:r>
                    <w:rPr>
                      <w:rFonts w:ascii="Times New Roman"/>
                      <w:color w:val="auto"/>
                      <w:sz w:val="21"/>
                      <w:highlight w:val="none"/>
                    </w:rPr>
                    <w:t>废油桶区布置防渗托盘，由有资质单位回收处置</w:t>
                  </w:r>
                </w:p>
              </w:tc>
            </w:tr>
          </w:tbl>
          <w:p w14:paraId="7F2DB160">
            <w:pPr>
              <w:jc w:val="center"/>
              <w:textAlignment w:val="baseline"/>
              <w:rPr>
                <w:rFonts w:hint="eastAsia" w:ascii="黑体" w:hAnsi="黑体" w:eastAsia="黑体"/>
                <w:bCs/>
                <w:color w:val="auto"/>
                <w:szCs w:val="21"/>
                <w:highlight w:val="none"/>
              </w:rPr>
            </w:pPr>
            <w:r>
              <w:rPr>
                <w:rFonts w:ascii="黑体" w:hAnsi="黑体" w:eastAsia="黑体"/>
                <w:bCs/>
                <w:color w:val="auto"/>
                <w:szCs w:val="21"/>
                <w:highlight w:val="none"/>
              </w:rPr>
              <w:t>表4-</w:t>
            </w:r>
            <w:r>
              <w:rPr>
                <w:rFonts w:hint="eastAsia" w:ascii="黑体" w:hAnsi="黑体" w:eastAsia="黑体"/>
                <w:bCs/>
                <w:color w:val="auto"/>
                <w:szCs w:val="21"/>
                <w:highlight w:val="none"/>
                <w:lang w:val="en-US" w:eastAsia="zh-CN"/>
              </w:rPr>
              <w:t>5</w:t>
            </w:r>
            <w:r>
              <w:rPr>
                <w:rFonts w:ascii="黑体" w:hAnsi="黑体" w:eastAsia="黑体"/>
                <w:bCs/>
                <w:color w:val="auto"/>
                <w:szCs w:val="21"/>
                <w:highlight w:val="none"/>
              </w:rPr>
              <w:t xml:space="preserve">    危险废物汇总表</w:t>
            </w:r>
          </w:p>
          <w:tbl>
            <w:tblPr>
              <w:tblStyle w:val="10"/>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05"/>
              <w:gridCol w:w="759"/>
              <w:gridCol w:w="1263"/>
              <w:gridCol w:w="768"/>
              <w:gridCol w:w="834"/>
              <w:gridCol w:w="396"/>
              <w:gridCol w:w="1044"/>
              <w:gridCol w:w="872"/>
              <w:gridCol w:w="561"/>
              <w:gridCol w:w="577"/>
              <w:gridCol w:w="935"/>
            </w:tblGrid>
            <w:tr w14:paraId="7D1EEC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69" w:type="pct"/>
                  <w:vAlign w:val="center"/>
                </w:tcPr>
                <w:p w14:paraId="16FAA01F">
                  <w:pPr>
                    <w:pStyle w:val="22"/>
                    <w:adjustRightInd/>
                    <w:snapToGrid/>
                    <w:spacing w:beforeLines="0" w:afterLines="0" w:line="240" w:lineRule="auto"/>
                    <w:rPr>
                      <w:rFonts w:ascii="Times New Roman"/>
                      <w:color w:val="auto"/>
                      <w:sz w:val="18"/>
                      <w:szCs w:val="18"/>
                      <w:highlight w:val="none"/>
                    </w:rPr>
                  </w:pPr>
                  <w:r>
                    <w:rPr>
                      <w:rFonts w:ascii="Times New Roman"/>
                      <w:color w:val="auto"/>
                      <w:sz w:val="18"/>
                      <w:szCs w:val="18"/>
                      <w:highlight w:val="none"/>
                    </w:rPr>
                    <w:t>名称</w:t>
                  </w:r>
                </w:p>
              </w:tc>
              <w:tc>
                <w:tcPr>
                  <w:tcW w:w="403" w:type="pct"/>
                  <w:vAlign w:val="center"/>
                </w:tcPr>
                <w:p w14:paraId="27DD7CA3">
                  <w:pPr>
                    <w:pStyle w:val="22"/>
                    <w:adjustRightInd/>
                    <w:snapToGrid/>
                    <w:spacing w:beforeLines="0" w:afterLines="0" w:line="240" w:lineRule="auto"/>
                    <w:rPr>
                      <w:rFonts w:ascii="Times New Roman"/>
                      <w:color w:val="auto"/>
                      <w:sz w:val="18"/>
                      <w:szCs w:val="18"/>
                      <w:highlight w:val="none"/>
                    </w:rPr>
                  </w:pPr>
                  <w:r>
                    <w:rPr>
                      <w:rFonts w:ascii="Times New Roman"/>
                      <w:color w:val="auto"/>
                      <w:sz w:val="18"/>
                      <w:szCs w:val="18"/>
                      <w:highlight w:val="none"/>
                    </w:rPr>
                    <w:t>危险废物类别</w:t>
                  </w:r>
                </w:p>
              </w:tc>
              <w:tc>
                <w:tcPr>
                  <w:tcW w:w="622" w:type="pct"/>
                  <w:vAlign w:val="center"/>
                </w:tcPr>
                <w:p w14:paraId="7703359B">
                  <w:pPr>
                    <w:pStyle w:val="22"/>
                    <w:adjustRightInd/>
                    <w:snapToGrid/>
                    <w:spacing w:beforeLines="0" w:afterLines="0" w:line="240" w:lineRule="auto"/>
                    <w:rPr>
                      <w:rFonts w:ascii="Times New Roman"/>
                      <w:color w:val="auto"/>
                      <w:sz w:val="18"/>
                      <w:szCs w:val="18"/>
                      <w:highlight w:val="none"/>
                    </w:rPr>
                  </w:pPr>
                  <w:r>
                    <w:rPr>
                      <w:rFonts w:ascii="Times New Roman"/>
                      <w:color w:val="auto"/>
                      <w:sz w:val="18"/>
                      <w:szCs w:val="18"/>
                      <w:highlight w:val="none"/>
                    </w:rPr>
                    <w:t>危险废物代码</w:t>
                  </w:r>
                </w:p>
              </w:tc>
              <w:tc>
                <w:tcPr>
                  <w:tcW w:w="464" w:type="pct"/>
                  <w:vAlign w:val="center"/>
                </w:tcPr>
                <w:p w14:paraId="512C6495">
                  <w:pPr>
                    <w:pStyle w:val="22"/>
                    <w:adjustRightInd/>
                    <w:snapToGrid/>
                    <w:spacing w:beforeLines="0" w:afterLines="0" w:line="240" w:lineRule="auto"/>
                    <w:rPr>
                      <w:rFonts w:ascii="Times New Roman"/>
                      <w:color w:val="auto"/>
                      <w:sz w:val="18"/>
                      <w:szCs w:val="18"/>
                      <w:highlight w:val="none"/>
                    </w:rPr>
                  </w:pPr>
                  <w:r>
                    <w:rPr>
                      <w:rFonts w:ascii="Times New Roman"/>
                      <w:color w:val="auto"/>
                      <w:sz w:val="18"/>
                      <w:szCs w:val="18"/>
                      <w:highlight w:val="none"/>
                    </w:rPr>
                    <w:t>产生量t</w:t>
                  </w:r>
                </w:p>
              </w:tc>
              <w:tc>
                <w:tcPr>
                  <w:tcW w:w="502" w:type="pct"/>
                  <w:vAlign w:val="center"/>
                </w:tcPr>
                <w:p w14:paraId="2F1B89E9">
                  <w:pPr>
                    <w:pStyle w:val="22"/>
                    <w:adjustRightInd/>
                    <w:snapToGrid/>
                    <w:spacing w:beforeLines="0" w:afterLines="0" w:line="240" w:lineRule="auto"/>
                    <w:rPr>
                      <w:rFonts w:ascii="Times New Roman"/>
                      <w:color w:val="auto"/>
                      <w:sz w:val="18"/>
                      <w:szCs w:val="18"/>
                      <w:highlight w:val="none"/>
                    </w:rPr>
                  </w:pPr>
                  <w:r>
                    <w:rPr>
                      <w:rFonts w:ascii="Times New Roman"/>
                      <w:color w:val="auto"/>
                      <w:sz w:val="18"/>
                      <w:szCs w:val="18"/>
                      <w:highlight w:val="none"/>
                    </w:rPr>
                    <w:t>产生工序及装置</w:t>
                  </w:r>
                </w:p>
              </w:tc>
              <w:tc>
                <w:tcPr>
                  <w:tcW w:w="236" w:type="pct"/>
                  <w:vAlign w:val="center"/>
                </w:tcPr>
                <w:p w14:paraId="4E868B0E">
                  <w:pPr>
                    <w:pStyle w:val="22"/>
                    <w:adjustRightInd/>
                    <w:snapToGrid/>
                    <w:spacing w:beforeLines="0" w:afterLines="0" w:line="240" w:lineRule="auto"/>
                    <w:rPr>
                      <w:rFonts w:ascii="Times New Roman"/>
                      <w:color w:val="auto"/>
                      <w:sz w:val="18"/>
                      <w:szCs w:val="18"/>
                      <w:highlight w:val="none"/>
                    </w:rPr>
                  </w:pPr>
                  <w:r>
                    <w:rPr>
                      <w:rFonts w:ascii="Times New Roman"/>
                      <w:color w:val="auto"/>
                      <w:sz w:val="18"/>
                      <w:szCs w:val="18"/>
                      <w:highlight w:val="none"/>
                    </w:rPr>
                    <w:t>形态</w:t>
                  </w:r>
                </w:p>
              </w:tc>
              <w:tc>
                <w:tcPr>
                  <w:tcW w:w="636" w:type="pct"/>
                  <w:vAlign w:val="center"/>
                </w:tcPr>
                <w:p w14:paraId="1A918901">
                  <w:pPr>
                    <w:pStyle w:val="22"/>
                    <w:adjustRightInd/>
                    <w:snapToGrid/>
                    <w:spacing w:beforeLines="0" w:afterLines="0" w:line="240" w:lineRule="auto"/>
                    <w:rPr>
                      <w:rFonts w:ascii="Times New Roman"/>
                      <w:color w:val="auto"/>
                      <w:sz w:val="18"/>
                      <w:szCs w:val="18"/>
                      <w:highlight w:val="none"/>
                    </w:rPr>
                  </w:pPr>
                  <w:r>
                    <w:rPr>
                      <w:rFonts w:ascii="Times New Roman"/>
                      <w:color w:val="auto"/>
                      <w:sz w:val="18"/>
                      <w:szCs w:val="18"/>
                      <w:highlight w:val="none"/>
                    </w:rPr>
                    <w:t>主要</w:t>
                  </w:r>
                </w:p>
                <w:p w14:paraId="5C41BAF0">
                  <w:pPr>
                    <w:pStyle w:val="22"/>
                    <w:adjustRightInd/>
                    <w:snapToGrid/>
                    <w:spacing w:beforeLines="0" w:afterLines="0" w:line="240" w:lineRule="auto"/>
                    <w:rPr>
                      <w:rFonts w:ascii="Times New Roman"/>
                      <w:color w:val="auto"/>
                      <w:sz w:val="18"/>
                      <w:szCs w:val="18"/>
                      <w:highlight w:val="none"/>
                    </w:rPr>
                  </w:pPr>
                  <w:r>
                    <w:rPr>
                      <w:rFonts w:ascii="Times New Roman"/>
                      <w:color w:val="auto"/>
                      <w:sz w:val="18"/>
                      <w:szCs w:val="18"/>
                      <w:highlight w:val="none"/>
                    </w:rPr>
                    <w:t>成分</w:t>
                  </w:r>
                </w:p>
              </w:tc>
              <w:tc>
                <w:tcPr>
                  <w:tcW w:w="524" w:type="pct"/>
                  <w:vAlign w:val="center"/>
                </w:tcPr>
                <w:p w14:paraId="60AD5F47">
                  <w:pPr>
                    <w:pStyle w:val="22"/>
                    <w:adjustRightInd/>
                    <w:snapToGrid/>
                    <w:spacing w:beforeLines="0" w:afterLines="0" w:line="240" w:lineRule="auto"/>
                    <w:rPr>
                      <w:rFonts w:ascii="Times New Roman"/>
                      <w:color w:val="auto"/>
                      <w:sz w:val="18"/>
                      <w:szCs w:val="18"/>
                      <w:highlight w:val="none"/>
                    </w:rPr>
                  </w:pPr>
                  <w:r>
                    <w:rPr>
                      <w:rFonts w:ascii="Times New Roman"/>
                      <w:color w:val="auto"/>
                      <w:sz w:val="18"/>
                      <w:szCs w:val="18"/>
                      <w:highlight w:val="none"/>
                    </w:rPr>
                    <w:t>有害</w:t>
                  </w:r>
                </w:p>
                <w:p w14:paraId="762D1BAE">
                  <w:pPr>
                    <w:pStyle w:val="22"/>
                    <w:adjustRightInd/>
                    <w:snapToGrid/>
                    <w:spacing w:beforeLines="0" w:afterLines="0" w:line="240" w:lineRule="auto"/>
                    <w:rPr>
                      <w:rFonts w:ascii="Times New Roman"/>
                      <w:color w:val="auto"/>
                      <w:sz w:val="18"/>
                      <w:szCs w:val="18"/>
                      <w:highlight w:val="none"/>
                    </w:rPr>
                  </w:pPr>
                  <w:r>
                    <w:rPr>
                      <w:rFonts w:ascii="Times New Roman"/>
                      <w:color w:val="auto"/>
                      <w:sz w:val="18"/>
                      <w:szCs w:val="18"/>
                      <w:highlight w:val="none"/>
                    </w:rPr>
                    <w:t>成分</w:t>
                  </w:r>
                </w:p>
              </w:tc>
              <w:tc>
                <w:tcPr>
                  <w:tcW w:w="343" w:type="pct"/>
                  <w:vAlign w:val="center"/>
                </w:tcPr>
                <w:p w14:paraId="3B8BC9D6">
                  <w:pPr>
                    <w:pStyle w:val="22"/>
                    <w:adjustRightInd/>
                    <w:snapToGrid/>
                    <w:spacing w:beforeLines="0" w:afterLines="0" w:line="240" w:lineRule="auto"/>
                    <w:rPr>
                      <w:rFonts w:ascii="Times New Roman"/>
                      <w:color w:val="auto"/>
                      <w:sz w:val="18"/>
                      <w:szCs w:val="18"/>
                      <w:highlight w:val="none"/>
                    </w:rPr>
                  </w:pPr>
                  <w:r>
                    <w:rPr>
                      <w:rFonts w:ascii="Times New Roman"/>
                      <w:color w:val="auto"/>
                      <w:sz w:val="18"/>
                      <w:szCs w:val="18"/>
                      <w:highlight w:val="none"/>
                    </w:rPr>
                    <w:t>产废周期</w:t>
                  </w:r>
                </w:p>
              </w:tc>
              <w:tc>
                <w:tcPr>
                  <w:tcW w:w="334" w:type="pct"/>
                  <w:vAlign w:val="center"/>
                </w:tcPr>
                <w:p w14:paraId="7CCAF8AC">
                  <w:pPr>
                    <w:pStyle w:val="22"/>
                    <w:adjustRightInd/>
                    <w:snapToGrid/>
                    <w:spacing w:beforeLines="0" w:afterLines="0" w:line="240" w:lineRule="auto"/>
                    <w:rPr>
                      <w:rFonts w:ascii="Times New Roman"/>
                      <w:color w:val="auto"/>
                      <w:sz w:val="18"/>
                      <w:szCs w:val="18"/>
                      <w:highlight w:val="none"/>
                    </w:rPr>
                  </w:pPr>
                  <w:r>
                    <w:rPr>
                      <w:rFonts w:ascii="Times New Roman"/>
                      <w:color w:val="auto"/>
                      <w:sz w:val="18"/>
                      <w:szCs w:val="18"/>
                      <w:highlight w:val="none"/>
                    </w:rPr>
                    <w:t>危险</w:t>
                  </w:r>
                </w:p>
                <w:p w14:paraId="11B2C7D6">
                  <w:pPr>
                    <w:pStyle w:val="22"/>
                    <w:adjustRightInd/>
                    <w:snapToGrid/>
                    <w:spacing w:beforeLines="0" w:afterLines="0" w:line="240" w:lineRule="auto"/>
                    <w:rPr>
                      <w:rFonts w:ascii="Times New Roman"/>
                      <w:color w:val="auto"/>
                      <w:sz w:val="18"/>
                      <w:szCs w:val="18"/>
                      <w:highlight w:val="none"/>
                    </w:rPr>
                  </w:pPr>
                  <w:r>
                    <w:rPr>
                      <w:rFonts w:ascii="Times New Roman"/>
                      <w:color w:val="auto"/>
                      <w:sz w:val="18"/>
                      <w:szCs w:val="18"/>
                      <w:highlight w:val="none"/>
                    </w:rPr>
                    <w:t>特性</w:t>
                  </w:r>
                </w:p>
              </w:tc>
              <w:tc>
                <w:tcPr>
                  <w:tcW w:w="560" w:type="pct"/>
                  <w:vAlign w:val="center"/>
                </w:tcPr>
                <w:p w14:paraId="12A91F35">
                  <w:pPr>
                    <w:pStyle w:val="22"/>
                    <w:adjustRightInd/>
                    <w:snapToGrid/>
                    <w:spacing w:beforeLines="0" w:afterLines="0" w:line="240" w:lineRule="auto"/>
                    <w:rPr>
                      <w:rFonts w:ascii="Times New Roman"/>
                      <w:color w:val="auto"/>
                      <w:sz w:val="18"/>
                      <w:szCs w:val="18"/>
                      <w:highlight w:val="none"/>
                    </w:rPr>
                  </w:pPr>
                  <w:r>
                    <w:rPr>
                      <w:rFonts w:ascii="Times New Roman"/>
                      <w:color w:val="auto"/>
                      <w:sz w:val="18"/>
                      <w:szCs w:val="18"/>
                      <w:highlight w:val="none"/>
                    </w:rPr>
                    <w:t>污染防治措施</w:t>
                  </w:r>
                </w:p>
              </w:tc>
            </w:tr>
            <w:tr w14:paraId="28860F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69" w:type="pct"/>
                  <w:vAlign w:val="center"/>
                </w:tcPr>
                <w:p w14:paraId="26565AFA">
                  <w:pPr>
                    <w:pStyle w:val="22"/>
                    <w:adjustRightInd/>
                    <w:snapToGrid/>
                    <w:spacing w:beforeLines="0" w:afterLines="0" w:line="240" w:lineRule="auto"/>
                    <w:rPr>
                      <w:rFonts w:ascii="Times New Roman"/>
                      <w:color w:val="auto"/>
                      <w:sz w:val="18"/>
                      <w:szCs w:val="18"/>
                      <w:highlight w:val="none"/>
                    </w:rPr>
                  </w:pPr>
                  <w:r>
                    <w:rPr>
                      <w:rFonts w:hint="eastAsia" w:ascii="Times New Roman"/>
                      <w:color w:val="auto"/>
                      <w:sz w:val="18"/>
                      <w:szCs w:val="18"/>
                      <w:highlight w:val="none"/>
                      <w:lang w:val="en-US" w:eastAsia="zh-CN"/>
                    </w:rPr>
                    <w:t>风机</w:t>
                  </w:r>
                  <w:r>
                    <w:rPr>
                      <w:rFonts w:ascii="Times New Roman"/>
                      <w:color w:val="auto"/>
                      <w:sz w:val="18"/>
                      <w:szCs w:val="18"/>
                      <w:highlight w:val="none"/>
                    </w:rPr>
                    <w:t>检修废油</w:t>
                  </w:r>
                </w:p>
              </w:tc>
              <w:tc>
                <w:tcPr>
                  <w:tcW w:w="403" w:type="pct"/>
                  <w:vAlign w:val="center"/>
                </w:tcPr>
                <w:p w14:paraId="59ECF552">
                  <w:pPr>
                    <w:pStyle w:val="22"/>
                    <w:adjustRightInd/>
                    <w:snapToGrid/>
                    <w:spacing w:beforeLines="0" w:afterLines="0" w:line="240" w:lineRule="auto"/>
                    <w:rPr>
                      <w:rFonts w:ascii="Times New Roman"/>
                      <w:color w:val="auto"/>
                      <w:sz w:val="18"/>
                      <w:szCs w:val="18"/>
                      <w:highlight w:val="none"/>
                    </w:rPr>
                  </w:pPr>
                  <w:r>
                    <w:rPr>
                      <w:rFonts w:ascii="Times New Roman"/>
                      <w:color w:val="auto"/>
                      <w:sz w:val="18"/>
                      <w:szCs w:val="18"/>
                      <w:highlight w:val="none"/>
                    </w:rPr>
                    <w:t>HW08</w:t>
                  </w:r>
                </w:p>
              </w:tc>
              <w:tc>
                <w:tcPr>
                  <w:tcW w:w="622" w:type="pct"/>
                  <w:vAlign w:val="center"/>
                </w:tcPr>
                <w:p w14:paraId="728C3615">
                  <w:pPr>
                    <w:pStyle w:val="22"/>
                    <w:adjustRightInd/>
                    <w:snapToGrid/>
                    <w:spacing w:beforeLines="0" w:afterLines="0" w:line="240" w:lineRule="auto"/>
                    <w:rPr>
                      <w:rFonts w:ascii="Times New Roman"/>
                      <w:color w:val="auto"/>
                      <w:sz w:val="18"/>
                      <w:szCs w:val="18"/>
                      <w:highlight w:val="none"/>
                    </w:rPr>
                  </w:pPr>
                  <w:r>
                    <w:rPr>
                      <w:rFonts w:ascii="Times New Roman"/>
                      <w:color w:val="auto"/>
                      <w:sz w:val="18"/>
                      <w:szCs w:val="18"/>
                      <w:highlight w:val="none"/>
                    </w:rPr>
                    <w:t>900-217-08</w:t>
                  </w:r>
                </w:p>
              </w:tc>
              <w:tc>
                <w:tcPr>
                  <w:tcW w:w="464" w:type="pct"/>
                  <w:vAlign w:val="center"/>
                </w:tcPr>
                <w:p w14:paraId="0803C808">
                  <w:pPr>
                    <w:pStyle w:val="22"/>
                    <w:adjustRightInd/>
                    <w:snapToGrid/>
                    <w:spacing w:beforeLines="0" w:afterLines="0" w:line="240" w:lineRule="auto"/>
                    <w:rPr>
                      <w:rFonts w:ascii="Times New Roman"/>
                      <w:color w:val="auto"/>
                      <w:sz w:val="18"/>
                      <w:szCs w:val="18"/>
                      <w:highlight w:val="none"/>
                    </w:rPr>
                  </w:pPr>
                  <w:r>
                    <w:rPr>
                      <w:rFonts w:hint="eastAsia" w:ascii="Times New Roman"/>
                      <w:color w:val="auto"/>
                      <w:sz w:val="18"/>
                      <w:szCs w:val="18"/>
                      <w:highlight w:val="none"/>
                      <w:lang w:val="en-US" w:eastAsia="zh-CN"/>
                    </w:rPr>
                    <w:t>24</w:t>
                  </w:r>
                  <w:r>
                    <w:rPr>
                      <w:rFonts w:hint="eastAsia" w:ascii="Times New Roman"/>
                      <w:color w:val="auto"/>
                      <w:sz w:val="18"/>
                      <w:szCs w:val="18"/>
                      <w:highlight w:val="none"/>
                    </w:rPr>
                    <w:t>L/a</w:t>
                  </w:r>
                </w:p>
              </w:tc>
              <w:tc>
                <w:tcPr>
                  <w:tcW w:w="502" w:type="pct"/>
                  <w:vAlign w:val="center"/>
                </w:tcPr>
                <w:p w14:paraId="141D8CE3">
                  <w:pPr>
                    <w:pStyle w:val="22"/>
                    <w:adjustRightInd/>
                    <w:snapToGrid/>
                    <w:spacing w:beforeLines="0" w:afterLines="0" w:line="240" w:lineRule="auto"/>
                    <w:rPr>
                      <w:rFonts w:ascii="Times New Roman"/>
                      <w:color w:val="auto"/>
                      <w:sz w:val="18"/>
                      <w:szCs w:val="18"/>
                      <w:highlight w:val="none"/>
                    </w:rPr>
                  </w:pPr>
                  <w:r>
                    <w:rPr>
                      <w:rFonts w:ascii="Times New Roman"/>
                      <w:color w:val="auto"/>
                      <w:sz w:val="18"/>
                      <w:szCs w:val="18"/>
                      <w:highlight w:val="none"/>
                    </w:rPr>
                    <w:t>变压器矿物绝缘油</w:t>
                  </w:r>
                </w:p>
              </w:tc>
              <w:tc>
                <w:tcPr>
                  <w:tcW w:w="236" w:type="pct"/>
                  <w:vAlign w:val="center"/>
                </w:tcPr>
                <w:p w14:paraId="4CB299DC">
                  <w:pPr>
                    <w:pStyle w:val="22"/>
                    <w:adjustRightInd/>
                    <w:snapToGrid/>
                    <w:spacing w:beforeLines="0" w:afterLines="0" w:line="240" w:lineRule="auto"/>
                    <w:rPr>
                      <w:rFonts w:ascii="Times New Roman"/>
                      <w:color w:val="auto"/>
                      <w:sz w:val="18"/>
                      <w:szCs w:val="18"/>
                      <w:highlight w:val="none"/>
                    </w:rPr>
                  </w:pPr>
                  <w:r>
                    <w:rPr>
                      <w:rFonts w:ascii="Times New Roman"/>
                      <w:color w:val="auto"/>
                      <w:sz w:val="18"/>
                      <w:szCs w:val="18"/>
                      <w:highlight w:val="none"/>
                    </w:rPr>
                    <w:t>液态</w:t>
                  </w:r>
                </w:p>
              </w:tc>
              <w:tc>
                <w:tcPr>
                  <w:tcW w:w="636" w:type="pct"/>
                  <w:vAlign w:val="center"/>
                </w:tcPr>
                <w:p w14:paraId="7AC56C01">
                  <w:pPr>
                    <w:pStyle w:val="22"/>
                    <w:adjustRightInd/>
                    <w:snapToGrid/>
                    <w:spacing w:beforeLines="0" w:afterLines="0" w:line="240" w:lineRule="auto"/>
                    <w:rPr>
                      <w:rFonts w:ascii="Times New Roman"/>
                      <w:color w:val="auto"/>
                      <w:sz w:val="18"/>
                      <w:szCs w:val="18"/>
                      <w:highlight w:val="none"/>
                    </w:rPr>
                  </w:pPr>
                  <w:r>
                    <w:rPr>
                      <w:rFonts w:ascii="Times New Roman"/>
                      <w:color w:val="auto"/>
                      <w:sz w:val="18"/>
                      <w:szCs w:val="18"/>
                      <w:highlight w:val="none"/>
                    </w:rPr>
                    <w:t>烷烃、环烷族饱和烃</w:t>
                  </w:r>
                </w:p>
              </w:tc>
              <w:tc>
                <w:tcPr>
                  <w:tcW w:w="524" w:type="pct"/>
                  <w:vAlign w:val="center"/>
                </w:tcPr>
                <w:p w14:paraId="02CD4F77">
                  <w:pPr>
                    <w:pStyle w:val="22"/>
                    <w:adjustRightInd/>
                    <w:snapToGrid/>
                    <w:spacing w:beforeLines="0" w:afterLines="0" w:line="240" w:lineRule="auto"/>
                    <w:rPr>
                      <w:rFonts w:ascii="Times New Roman"/>
                      <w:color w:val="auto"/>
                      <w:sz w:val="18"/>
                      <w:szCs w:val="18"/>
                      <w:highlight w:val="none"/>
                    </w:rPr>
                  </w:pPr>
                  <w:r>
                    <w:rPr>
                      <w:rFonts w:ascii="Times New Roman"/>
                      <w:color w:val="auto"/>
                      <w:sz w:val="18"/>
                      <w:szCs w:val="18"/>
                      <w:highlight w:val="none"/>
                    </w:rPr>
                    <w:t>烷烃、环烷族饱和烃</w:t>
                  </w:r>
                </w:p>
              </w:tc>
              <w:tc>
                <w:tcPr>
                  <w:tcW w:w="343" w:type="pct"/>
                  <w:vAlign w:val="center"/>
                </w:tcPr>
                <w:p w14:paraId="196E2754">
                  <w:pPr>
                    <w:pStyle w:val="22"/>
                    <w:adjustRightInd/>
                    <w:snapToGrid/>
                    <w:spacing w:beforeLines="0" w:afterLines="0" w:line="240" w:lineRule="auto"/>
                    <w:rPr>
                      <w:rFonts w:ascii="Times New Roman"/>
                      <w:color w:val="auto"/>
                      <w:sz w:val="18"/>
                      <w:szCs w:val="18"/>
                      <w:highlight w:val="none"/>
                    </w:rPr>
                  </w:pPr>
                  <w:r>
                    <w:rPr>
                      <w:rFonts w:ascii="Times New Roman"/>
                      <w:color w:val="auto"/>
                      <w:sz w:val="18"/>
                      <w:szCs w:val="18"/>
                      <w:highlight w:val="none"/>
                    </w:rPr>
                    <w:t>1a</w:t>
                  </w:r>
                </w:p>
              </w:tc>
              <w:tc>
                <w:tcPr>
                  <w:tcW w:w="334" w:type="pct"/>
                  <w:vAlign w:val="center"/>
                </w:tcPr>
                <w:p w14:paraId="31E7839B">
                  <w:pPr>
                    <w:pStyle w:val="22"/>
                    <w:adjustRightInd/>
                    <w:snapToGrid/>
                    <w:spacing w:beforeLines="0" w:afterLines="0" w:line="240" w:lineRule="auto"/>
                    <w:rPr>
                      <w:rFonts w:ascii="Times New Roman"/>
                      <w:color w:val="auto"/>
                      <w:sz w:val="18"/>
                      <w:szCs w:val="18"/>
                      <w:highlight w:val="none"/>
                    </w:rPr>
                  </w:pPr>
                  <w:r>
                    <w:rPr>
                      <w:rFonts w:ascii="Times New Roman"/>
                      <w:color w:val="auto"/>
                      <w:sz w:val="18"/>
                      <w:szCs w:val="18"/>
                      <w:highlight w:val="none"/>
                    </w:rPr>
                    <w:t>毒性、易燃性</w:t>
                  </w:r>
                </w:p>
              </w:tc>
              <w:tc>
                <w:tcPr>
                  <w:tcW w:w="560" w:type="pct"/>
                  <w:vAlign w:val="center"/>
                </w:tcPr>
                <w:p w14:paraId="19B0A3BB">
                  <w:pPr>
                    <w:pStyle w:val="22"/>
                    <w:adjustRightInd/>
                    <w:snapToGrid/>
                    <w:spacing w:beforeLines="0" w:afterLines="0" w:line="240" w:lineRule="auto"/>
                    <w:rPr>
                      <w:rFonts w:hint="eastAsia" w:ascii="Times New Roman" w:eastAsia="宋体"/>
                      <w:color w:val="auto"/>
                      <w:sz w:val="18"/>
                      <w:szCs w:val="18"/>
                      <w:highlight w:val="none"/>
                      <w:lang w:eastAsia="zh-CN"/>
                    </w:rPr>
                  </w:pPr>
                  <w:r>
                    <w:rPr>
                      <w:rFonts w:ascii="Times New Roman"/>
                      <w:color w:val="auto"/>
                      <w:sz w:val="18"/>
                      <w:szCs w:val="18"/>
                      <w:highlight w:val="none"/>
                    </w:rPr>
                    <w:t>暂存于危险废物</w:t>
                  </w:r>
                  <w:r>
                    <w:rPr>
                      <w:rFonts w:hint="eastAsia" w:ascii="Times New Roman"/>
                      <w:color w:val="auto"/>
                      <w:sz w:val="18"/>
                      <w:szCs w:val="18"/>
                      <w:highlight w:val="none"/>
                      <w:lang w:eastAsia="zh-CN"/>
                    </w:rPr>
                    <w:t>贮存点</w:t>
                  </w:r>
                </w:p>
              </w:tc>
            </w:tr>
            <w:tr w14:paraId="7DB001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69" w:type="pct"/>
                  <w:vAlign w:val="center"/>
                </w:tcPr>
                <w:p w14:paraId="6CF00BF9">
                  <w:pPr>
                    <w:pStyle w:val="22"/>
                    <w:adjustRightInd/>
                    <w:snapToGrid/>
                    <w:spacing w:beforeLines="0" w:afterLines="0" w:line="240" w:lineRule="auto"/>
                    <w:rPr>
                      <w:rFonts w:ascii="Times New Roman"/>
                      <w:color w:val="auto"/>
                      <w:sz w:val="18"/>
                      <w:szCs w:val="18"/>
                      <w:highlight w:val="none"/>
                    </w:rPr>
                  </w:pPr>
                  <w:r>
                    <w:rPr>
                      <w:rFonts w:ascii="Times New Roman"/>
                      <w:color w:val="auto"/>
                      <w:sz w:val="18"/>
                      <w:szCs w:val="18"/>
                      <w:highlight w:val="none"/>
                    </w:rPr>
                    <w:t>废油桶</w:t>
                  </w:r>
                </w:p>
              </w:tc>
              <w:tc>
                <w:tcPr>
                  <w:tcW w:w="403" w:type="pct"/>
                  <w:vAlign w:val="center"/>
                </w:tcPr>
                <w:p w14:paraId="50082EFD">
                  <w:pPr>
                    <w:pStyle w:val="22"/>
                    <w:adjustRightInd/>
                    <w:snapToGrid/>
                    <w:spacing w:beforeLines="0" w:afterLines="0" w:line="240" w:lineRule="auto"/>
                    <w:rPr>
                      <w:rFonts w:ascii="Times New Roman"/>
                      <w:color w:val="auto"/>
                      <w:sz w:val="18"/>
                      <w:szCs w:val="18"/>
                      <w:highlight w:val="none"/>
                    </w:rPr>
                  </w:pPr>
                  <w:r>
                    <w:rPr>
                      <w:rFonts w:ascii="Times New Roman"/>
                      <w:color w:val="auto"/>
                      <w:sz w:val="18"/>
                      <w:szCs w:val="18"/>
                      <w:highlight w:val="none"/>
                    </w:rPr>
                    <w:t>HW08</w:t>
                  </w:r>
                </w:p>
              </w:tc>
              <w:tc>
                <w:tcPr>
                  <w:tcW w:w="622" w:type="pct"/>
                  <w:vAlign w:val="center"/>
                </w:tcPr>
                <w:p w14:paraId="64FF9087">
                  <w:pPr>
                    <w:pStyle w:val="22"/>
                    <w:adjustRightInd/>
                    <w:snapToGrid/>
                    <w:spacing w:beforeLines="0" w:afterLines="0" w:line="240" w:lineRule="auto"/>
                    <w:rPr>
                      <w:rFonts w:ascii="Times New Roman"/>
                      <w:color w:val="auto"/>
                      <w:sz w:val="18"/>
                      <w:szCs w:val="18"/>
                      <w:highlight w:val="none"/>
                    </w:rPr>
                  </w:pPr>
                  <w:r>
                    <w:rPr>
                      <w:rFonts w:ascii="Times New Roman"/>
                      <w:color w:val="auto"/>
                      <w:sz w:val="18"/>
                      <w:szCs w:val="18"/>
                      <w:highlight w:val="none"/>
                    </w:rPr>
                    <w:t>900-249-08</w:t>
                  </w:r>
                </w:p>
              </w:tc>
              <w:tc>
                <w:tcPr>
                  <w:tcW w:w="464" w:type="pct"/>
                  <w:vAlign w:val="center"/>
                </w:tcPr>
                <w:p w14:paraId="3B58651B">
                  <w:pPr>
                    <w:pStyle w:val="22"/>
                    <w:adjustRightInd/>
                    <w:snapToGrid/>
                    <w:spacing w:beforeLines="0" w:afterLines="0" w:line="240" w:lineRule="auto"/>
                    <w:rPr>
                      <w:rFonts w:ascii="Times New Roman"/>
                      <w:color w:val="auto"/>
                      <w:sz w:val="18"/>
                      <w:szCs w:val="18"/>
                      <w:highlight w:val="none"/>
                    </w:rPr>
                  </w:pPr>
                  <w:r>
                    <w:rPr>
                      <w:rFonts w:ascii="Times New Roman"/>
                      <w:color w:val="auto"/>
                      <w:sz w:val="18"/>
                      <w:szCs w:val="18"/>
                      <w:highlight w:val="none"/>
                    </w:rPr>
                    <w:t>3个/a</w:t>
                  </w:r>
                </w:p>
              </w:tc>
              <w:tc>
                <w:tcPr>
                  <w:tcW w:w="502" w:type="pct"/>
                  <w:vAlign w:val="center"/>
                </w:tcPr>
                <w:p w14:paraId="492BA363">
                  <w:pPr>
                    <w:pStyle w:val="22"/>
                    <w:adjustRightInd/>
                    <w:snapToGrid/>
                    <w:spacing w:beforeLines="0" w:afterLines="0" w:line="240" w:lineRule="auto"/>
                    <w:rPr>
                      <w:rFonts w:ascii="Times New Roman"/>
                      <w:color w:val="auto"/>
                      <w:sz w:val="18"/>
                      <w:szCs w:val="18"/>
                      <w:highlight w:val="none"/>
                    </w:rPr>
                  </w:pPr>
                  <w:r>
                    <w:rPr>
                      <w:rFonts w:ascii="Times New Roman"/>
                      <w:color w:val="auto"/>
                      <w:sz w:val="18"/>
                      <w:szCs w:val="18"/>
                      <w:highlight w:val="none"/>
                    </w:rPr>
                    <w:t>含矿物油的废弃包装</w:t>
                  </w:r>
                </w:p>
              </w:tc>
              <w:tc>
                <w:tcPr>
                  <w:tcW w:w="236" w:type="pct"/>
                  <w:vAlign w:val="center"/>
                </w:tcPr>
                <w:p w14:paraId="2A27D9FE">
                  <w:pPr>
                    <w:pStyle w:val="22"/>
                    <w:adjustRightInd/>
                    <w:snapToGrid/>
                    <w:spacing w:beforeLines="0" w:afterLines="0" w:line="240" w:lineRule="auto"/>
                    <w:rPr>
                      <w:rFonts w:ascii="Times New Roman"/>
                      <w:color w:val="auto"/>
                      <w:sz w:val="18"/>
                      <w:szCs w:val="18"/>
                      <w:highlight w:val="none"/>
                    </w:rPr>
                  </w:pPr>
                  <w:r>
                    <w:rPr>
                      <w:rFonts w:ascii="Times New Roman"/>
                      <w:color w:val="auto"/>
                      <w:sz w:val="18"/>
                      <w:szCs w:val="18"/>
                      <w:highlight w:val="none"/>
                    </w:rPr>
                    <w:t>固态</w:t>
                  </w:r>
                </w:p>
              </w:tc>
              <w:tc>
                <w:tcPr>
                  <w:tcW w:w="636" w:type="pct"/>
                  <w:vAlign w:val="center"/>
                </w:tcPr>
                <w:p w14:paraId="55E2B49F">
                  <w:pPr>
                    <w:pStyle w:val="22"/>
                    <w:adjustRightInd/>
                    <w:snapToGrid/>
                    <w:spacing w:beforeLines="0" w:afterLines="0" w:line="240" w:lineRule="auto"/>
                    <w:rPr>
                      <w:rFonts w:ascii="Times New Roman"/>
                      <w:color w:val="auto"/>
                      <w:sz w:val="18"/>
                      <w:szCs w:val="18"/>
                      <w:highlight w:val="none"/>
                    </w:rPr>
                  </w:pPr>
                  <w:r>
                    <w:rPr>
                      <w:rFonts w:ascii="Times New Roman"/>
                      <w:color w:val="auto"/>
                      <w:sz w:val="18"/>
                      <w:szCs w:val="18"/>
                      <w:highlight w:val="none"/>
                    </w:rPr>
                    <w:t>烷烃、环烷族饱和烃</w:t>
                  </w:r>
                </w:p>
              </w:tc>
              <w:tc>
                <w:tcPr>
                  <w:tcW w:w="524" w:type="pct"/>
                  <w:vAlign w:val="center"/>
                </w:tcPr>
                <w:p w14:paraId="75381F4F">
                  <w:pPr>
                    <w:pStyle w:val="22"/>
                    <w:adjustRightInd/>
                    <w:snapToGrid/>
                    <w:spacing w:beforeLines="0" w:afterLines="0" w:line="240" w:lineRule="auto"/>
                    <w:rPr>
                      <w:rFonts w:ascii="Times New Roman"/>
                      <w:color w:val="auto"/>
                      <w:sz w:val="18"/>
                      <w:szCs w:val="18"/>
                      <w:highlight w:val="none"/>
                    </w:rPr>
                  </w:pPr>
                  <w:r>
                    <w:rPr>
                      <w:rFonts w:ascii="Times New Roman"/>
                      <w:color w:val="auto"/>
                      <w:sz w:val="18"/>
                      <w:szCs w:val="18"/>
                      <w:highlight w:val="none"/>
                    </w:rPr>
                    <w:t>烷烃、环烷族饱和烃</w:t>
                  </w:r>
                </w:p>
              </w:tc>
              <w:tc>
                <w:tcPr>
                  <w:tcW w:w="343" w:type="pct"/>
                  <w:vAlign w:val="center"/>
                </w:tcPr>
                <w:p w14:paraId="05161AF4">
                  <w:pPr>
                    <w:pStyle w:val="22"/>
                    <w:adjustRightInd/>
                    <w:snapToGrid/>
                    <w:spacing w:beforeLines="0" w:afterLines="0" w:line="240" w:lineRule="auto"/>
                    <w:rPr>
                      <w:rFonts w:ascii="Times New Roman"/>
                      <w:color w:val="auto"/>
                      <w:sz w:val="18"/>
                      <w:szCs w:val="18"/>
                      <w:highlight w:val="none"/>
                    </w:rPr>
                  </w:pPr>
                  <w:r>
                    <w:rPr>
                      <w:rFonts w:ascii="Times New Roman"/>
                      <w:color w:val="auto"/>
                      <w:sz w:val="18"/>
                      <w:szCs w:val="18"/>
                      <w:highlight w:val="none"/>
                    </w:rPr>
                    <w:t>1a</w:t>
                  </w:r>
                </w:p>
              </w:tc>
              <w:tc>
                <w:tcPr>
                  <w:tcW w:w="334" w:type="pct"/>
                  <w:vAlign w:val="center"/>
                </w:tcPr>
                <w:p w14:paraId="3C14C2DB">
                  <w:pPr>
                    <w:pStyle w:val="22"/>
                    <w:adjustRightInd/>
                    <w:snapToGrid/>
                    <w:spacing w:beforeLines="0" w:afterLines="0" w:line="240" w:lineRule="auto"/>
                    <w:rPr>
                      <w:rFonts w:ascii="Times New Roman"/>
                      <w:color w:val="auto"/>
                      <w:sz w:val="18"/>
                      <w:szCs w:val="18"/>
                      <w:highlight w:val="none"/>
                    </w:rPr>
                  </w:pPr>
                  <w:r>
                    <w:rPr>
                      <w:rFonts w:ascii="Times New Roman"/>
                      <w:color w:val="auto"/>
                      <w:sz w:val="18"/>
                      <w:szCs w:val="18"/>
                      <w:highlight w:val="none"/>
                    </w:rPr>
                    <w:t>毒性、易燃性</w:t>
                  </w:r>
                </w:p>
              </w:tc>
              <w:tc>
                <w:tcPr>
                  <w:tcW w:w="560" w:type="pct"/>
                  <w:vAlign w:val="center"/>
                </w:tcPr>
                <w:p w14:paraId="03841897">
                  <w:pPr>
                    <w:pStyle w:val="22"/>
                    <w:adjustRightInd/>
                    <w:snapToGrid/>
                    <w:spacing w:beforeLines="0" w:afterLines="0" w:line="240" w:lineRule="auto"/>
                    <w:rPr>
                      <w:rFonts w:hint="eastAsia" w:ascii="Times New Roman" w:eastAsia="宋体"/>
                      <w:color w:val="auto"/>
                      <w:sz w:val="18"/>
                      <w:szCs w:val="18"/>
                      <w:highlight w:val="none"/>
                      <w:lang w:eastAsia="zh-CN"/>
                    </w:rPr>
                  </w:pPr>
                  <w:r>
                    <w:rPr>
                      <w:rFonts w:ascii="Times New Roman"/>
                      <w:color w:val="auto"/>
                      <w:sz w:val="18"/>
                      <w:szCs w:val="18"/>
                      <w:highlight w:val="none"/>
                    </w:rPr>
                    <w:t>收集后暂存于危险废物</w:t>
                  </w:r>
                  <w:r>
                    <w:rPr>
                      <w:rFonts w:hint="eastAsia" w:ascii="Times New Roman"/>
                      <w:color w:val="auto"/>
                      <w:sz w:val="18"/>
                      <w:szCs w:val="18"/>
                      <w:highlight w:val="none"/>
                      <w:lang w:eastAsia="zh-CN"/>
                    </w:rPr>
                    <w:t>贮存点</w:t>
                  </w:r>
                </w:p>
              </w:tc>
            </w:tr>
          </w:tbl>
          <w:p w14:paraId="64437CA8">
            <w:pPr>
              <w:jc w:val="center"/>
              <w:textAlignment w:val="baseline"/>
              <w:rPr>
                <w:rFonts w:hint="eastAsia" w:ascii="黑体" w:hAnsi="黑体" w:eastAsia="黑体"/>
                <w:bCs/>
                <w:color w:val="auto"/>
                <w:szCs w:val="21"/>
                <w:highlight w:val="none"/>
              </w:rPr>
            </w:pPr>
            <w:r>
              <w:rPr>
                <w:rFonts w:ascii="黑体" w:hAnsi="黑体" w:eastAsia="黑体"/>
                <w:bCs/>
                <w:color w:val="auto"/>
                <w:szCs w:val="21"/>
                <w:highlight w:val="none"/>
              </w:rPr>
              <w:t>表4-</w:t>
            </w:r>
            <w:r>
              <w:rPr>
                <w:rFonts w:hint="eastAsia" w:ascii="黑体" w:hAnsi="黑体" w:eastAsia="黑体"/>
                <w:bCs/>
                <w:color w:val="auto"/>
                <w:szCs w:val="21"/>
                <w:highlight w:val="none"/>
                <w:lang w:val="en-US" w:eastAsia="zh-CN"/>
              </w:rPr>
              <w:t>6</w:t>
            </w:r>
            <w:r>
              <w:rPr>
                <w:rFonts w:ascii="黑体" w:hAnsi="黑体" w:eastAsia="黑体"/>
                <w:bCs/>
                <w:color w:val="auto"/>
                <w:szCs w:val="21"/>
                <w:highlight w:val="none"/>
              </w:rPr>
              <w:t xml:space="preserve">   危险废物暂存场所基本情况表</w:t>
            </w:r>
          </w:p>
          <w:tbl>
            <w:tblPr>
              <w:tblStyle w:val="10"/>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599"/>
              <w:gridCol w:w="764"/>
              <w:gridCol w:w="849"/>
              <w:gridCol w:w="1437"/>
              <w:gridCol w:w="856"/>
              <w:gridCol w:w="750"/>
              <w:gridCol w:w="1469"/>
              <w:gridCol w:w="833"/>
              <w:gridCol w:w="631"/>
            </w:tblGrid>
            <w:tr w14:paraId="5191F5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7" w:type="pct"/>
                  <w:vAlign w:val="center"/>
                </w:tcPr>
                <w:p w14:paraId="0C121413">
                  <w:pPr>
                    <w:topLinePunct/>
                    <w:adjustRightInd w:val="0"/>
                    <w:snapToGrid w:val="0"/>
                    <w:jc w:val="center"/>
                    <w:rPr>
                      <w:color w:val="auto"/>
                      <w:kern w:val="0"/>
                      <w:szCs w:val="21"/>
                      <w:highlight w:val="none"/>
                    </w:rPr>
                  </w:pPr>
                  <w:r>
                    <w:rPr>
                      <w:color w:val="auto"/>
                      <w:kern w:val="0"/>
                      <w:szCs w:val="21"/>
                      <w:highlight w:val="none"/>
                    </w:rPr>
                    <w:t>序号</w:t>
                  </w:r>
                </w:p>
              </w:tc>
              <w:tc>
                <w:tcPr>
                  <w:tcW w:w="368" w:type="pct"/>
                  <w:vAlign w:val="center"/>
                </w:tcPr>
                <w:p w14:paraId="2C98C49E">
                  <w:pPr>
                    <w:pStyle w:val="22"/>
                    <w:adjustRightInd/>
                    <w:snapToGrid/>
                    <w:spacing w:beforeLines="0" w:afterLines="0" w:line="240" w:lineRule="auto"/>
                    <w:rPr>
                      <w:rFonts w:ascii="Times New Roman"/>
                      <w:color w:val="auto"/>
                      <w:sz w:val="21"/>
                      <w:highlight w:val="none"/>
                    </w:rPr>
                  </w:pPr>
                  <w:r>
                    <w:rPr>
                      <w:rFonts w:ascii="Times New Roman"/>
                      <w:color w:val="auto"/>
                      <w:sz w:val="21"/>
                      <w:highlight w:val="none"/>
                    </w:rPr>
                    <w:t>贮存场所名称</w:t>
                  </w:r>
                </w:p>
              </w:tc>
              <w:tc>
                <w:tcPr>
                  <w:tcW w:w="464" w:type="pct"/>
                  <w:vAlign w:val="center"/>
                </w:tcPr>
                <w:p w14:paraId="7BBB9F36">
                  <w:pPr>
                    <w:topLinePunct/>
                    <w:adjustRightInd w:val="0"/>
                    <w:snapToGrid w:val="0"/>
                    <w:jc w:val="center"/>
                    <w:rPr>
                      <w:color w:val="auto"/>
                      <w:kern w:val="0"/>
                      <w:szCs w:val="21"/>
                      <w:highlight w:val="none"/>
                    </w:rPr>
                  </w:pPr>
                  <w:r>
                    <w:rPr>
                      <w:color w:val="auto"/>
                      <w:kern w:val="0"/>
                      <w:szCs w:val="21"/>
                      <w:highlight w:val="none"/>
                    </w:rPr>
                    <w:t>危险废物名称</w:t>
                  </w:r>
                </w:p>
              </w:tc>
              <w:tc>
                <w:tcPr>
                  <w:tcW w:w="462" w:type="pct"/>
                  <w:vAlign w:val="center"/>
                </w:tcPr>
                <w:p w14:paraId="67D7D533">
                  <w:pPr>
                    <w:topLinePunct/>
                    <w:adjustRightInd w:val="0"/>
                    <w:snapToGrid w:val="0"/>
                    <w:jc w:val="center"/>
                    <w:rPr>
                      <w:color w:val="auto"/>
                      <w:kern w:val="0"/>
                      <w:szCs w:val="21"/>
                      <w:highlight w:val="none"/>
                    </w:rPr>
                  </w:pPr>
                  <w:r>
                    <w:rPr>
                      <w:color w:val="auto"/>
                      <w:kern w:val="0"/>
                      <w:szCs w:val="21"/>
                      <w:highlight w:val="none"/>
                    </w:rPr>
                    <w:t>危险废物类别</w:t>
                  </w:r>
                </w:p>
              </w:tc>
              <w:tc>
                <w:tcPr>
                  <w:tcW w:w="720" w:type="pct"/>
                  <w:vAlign w:val="center"/>
                </w:tcPr>
                <w:p w14:paraId="5E1AE5A9">
                  <w:pPr>
                    <w:topLinePunct/>
                    <w:adjustRightInd w:val="0"/>
                    <w:snapToGrid w:val="0"/>
                    <w:jc w:val="center"/>
                    <w:rPr>
                      <w:color w:val="auto"/>
                      <w:kern w:val="0"/>
                      <w:szCs w:val="21"/>
                      <w:highlight w:val="none"/>
                    </w:rPr>
                  </w:pPr>
                  <w:r>
                    <w:rPr>
                      <w:color w:val="auto"/>
                      <w:kern w:val="0"/>
                      <w:szCs w:val="21"/>
                      <w:highlight w:val="none"/>
                    </w:rPr>
                    <w:t>危险废物代码</w:t>
                  </w:r>
                </w:p>
              </w:tc>
              <w:tc>
                <w:tcPr>
                  <w:tcW w:w="517" w:type="pct"/>
                  <w:vAlign w:val="center"/>
                </w:tcPr>
                <w:p w14:paraId="48E95FF5">
                  <w:pPr>
                    <w:topLinePunct/>
                    <w:adjustRightInd w:val="0"/>
                    <w:snapToGrid w:val="0"/>
                    <w:jc w:val="center"/>
                    <w:rPr>
                      <w:color w:val="auto"/>
                      <w:kern w:val="0"/>
                      <w:szCs w:val="21"/>
                      <w:highlight w:val="none"/>
                    </w:rPr>
                  </w:pPr>
                  <w:r>
                    <w:rPr>
                      <w:color w:val="auto"/>
                      <w:kern w:val="0"/>
                      <w:szCs w:val="21"/>
                      <w:highlight w:val="none"/>
                    </w:rPr>
                    <w:t>位置</w:t>
                  </w:r>
                </w:p>
              </w:tc>
              <w:tc>
                <w:tcPr>
                  <w:tcW w:w="455" w:type="pct"/>
                  <w:vAlign w:val="center"/>
                </w:tcPr>
                <w:p w14:paraId="3C13127F">
                  <w:pPr>
                    <w:topLinePunct/>
                    <w:adjustRightInd w:val="0"/>
                    <w:snapToGrid w:val="0"/>
                    <w:jc w:val="center"/>
                    <w:rPr>
                      <w:color w:val="auto"/>
                      <w:kern w:val="0"/>
                      <w:szCs w:val="21"/>
                      <w:highlight w:val="none"/>
                    </w:rPr>
                  </w:pPr>
                  <w:r>
                    <w:rPr>
                      <w:color w:val="auto"/>
                      <w:kern w:val="0"/>
                      <w:szCs w:val="21"/>
                      <w:highlight w:val="none"/>
                    </w:rPr>
                    <w:t>占地面积</w:t>
                  </w:r>
                </w:p>
              </w:tc>
              <w:tc>
                <w:tcPr>
                  <w:tcW w:w="872" w:type="pct"/>
                  <w:vAlign w:val="center"/>
                </w:tcPr>
                <w:p w14:paraId="42B95978">
                  <w:pPr>
                    <w:topLinePunct/>
                    <w:adjustRightInd w:val="0"/>
                    <w:snapToGrid w:val="0"/>
                    <w:jc w:val="center"/>
                    <w:rPr>
                      <w:color w:val="auto"/>
                      <w:kern w:val="0"/>
                      <w:szCs w:val="21"/>
                      <w:highlight w:val="none"/>
                    </w:rPr>
                  </w:pPr>
                  <w:r>
                    <w:rPr>
                      <w:color w:val="auto"/>
                      <w:kern w:val="0"/>
                      <w:szCs w:val="21"/>
                      <w:highlight w:val="none"/>
                    </w:rPr>
                    <w:t>贮存方式</w:t>
                  </w:r>
                </w:p>
              </w:tc>
              <w:tc>
                <w:tcPr>
                  <w:tcW w:w="503" w:type="pct"/>
                  <w:vAlign w:val="center"/>
                </w:tcPr>
                <w:p w14:paraId="5BAA276F">
                  <w:pPr>
                    <w:topLinePunct/>
                    <w:adjustRightInd w:val="0"/>
                    <w:snapToGrid w:val="0"/>
                    <w:jc w:val="center"/>
                    <w:rPr>
                      <w:color w:val="auto"/>
                      <w:kern w:val="0"/>
                      <w:szCs w:val="21"/>
                      <w:highlight w:val="none"/>
                    </w:rPr>
                  </w:pPr>
                  <w:r>
                    <w:rPr>
                      <w:color w:val="auto"/>
                      <w:kern w:val="0"/>
                      <w:szCs w:val="21"/>
                      <w:highlight w:val="none"/>
                    </w:rPr>
                    <w:t>贮存</w:t>
                  </w:r>
                </w:p>
                <w:p w14:paraId="29B7BB2C">
                  <w:pPr>
                    <w:topLinePunct/>
                    <w:adjustRightInd w:val="0"/>
                    <w:snapToGrid w:val="0"/>
                    <w:jc w:val="center"/>
                    <w:rPr>
                      <w:color w:val="auto"/>
                      <w:kern w:val="0"/>
                      <w:szCs w:val="21"/>
                      <w:highlight w:val="none"/>
                    </w:rPr>
                  </w:pPr>
                  <w:r>
                    <w:rPr>
                      <w:color w:val="auto"/>
                      <w:kern w:val="0"/>
                      <w:szCs w:val="21"/>
                      <w:highlight w:val="none"/>
                    </w:rPr>
                    <w:t>能力</w:t>
                  </w:r>
                </w:p>
              </w:tc>
              <w:tc>
                <w:tcPr>
                  <w:tcW w:w="386" w:type="pct"/>
                  <w:vAlign w:val="center"/>
                </w:tcPr>
                <w:p w14:paraId="08944567">
                  <w:pPr>
                    <w:topLinePunct/>
                    <w:adjustRightInd w:val="0"/>
                    <w:snapToGrid w:val="0"/>
                    <w:jc w:val="center"/>
                    <w:rPr>
                      <w:color w:val="auto"/>
                      <w:kern w:val="0"/>
                      <w:szCs w:val="21"/>
                      <w:highlight w:val="none"/>
                    </w:rPr>
                  </w:pPr>
                  <w:r>
                    <w:rPr>
                      <w:color w:val="auto"/>
                      <w:kern w:val="0"/>
                      <w:szCs w:val="21"/>
                      <w:highlight w:val="none"/>
                    </w:rPr>
                    <w:t>贮存</w:t>
                  </w:r>
                </w:p>
                <w:p w14:paraId="3B373FA8">
                  <w:pPr>
                    <w:topLinePunct/>
                    <w:adjustRightInd w:val="0"/>
                    <w:snapToGrid w:val="0"/>
                    <w:jc w:val="center"/>
                    <w:rPr>
                      <w:color w:val="auto"/>
                      <w:kern w:val="0"/>
                      <w:szCs w:val="21"/>
                      <w:highlight w:val="none"/>
                    </w:rPr>
                  </w:pPr>
                  <w:r>
                    <w:rPr>
                      <w:color w:val="auto"/>
                      <w:kern w:val="0"/>
                      <w:szCs w:val="21"/>
                      <w:highlight w:val="none"/>
                    </w:rPr>
                    <w:t>周期</w:t>
                  </w:r>
                </w:p>
              </w:tc>
            </w:tr>
            <w:tr w14:paraId="5990CD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247" w:type="pct"/>
                  <w:vMerge w:val="restart"/>
                  <w:vAlign w:val="center"/>
                </w:tcPr>
                <w:p w14:paraId="012BF8F6">
                  <w:pPr>
                    <w:topLinePunct/>
                    <w:adjustRightInd w:val="0"/>
                    <w:snapToGrid w:val="0"/>
                    <w:jc w:val="center"/>
                    <w:rPr>
                      <w:rFonts w:hint="eastAsia" w:eastAsia="宋体"/>
                      <w:color w:val="auto"/>
                      <w:kern w:val="0"/>
                      <w:szCs w:val="21"/>
                      <w:highlight w:val="none"/>
                      <w:lang w:val="en-US" w:eastAsia="zh-CN"/>
                    </w:rPr>
                  </w:pPr>
                  <w:r>
                    <w:rPr>
                      <w:rFonts w:hint="eastAsia" w:ascii="Times New Roman" w:eastAsia="宋体"/>
                      <w:color w:val="auto"/>
                      <w:kern w:val="0"/>
                      <w:szCs w:val="21"/>
                      <w:highlight w:val="none"/>
                      <w:lang w:val="en-US" w:eastAsia="zh-CN"/>
                    </w:rPr>
                    <w:t>1</w:t>
                  </w:r>
                </w:p>
              </w:tc>
              <w:tc>
                <w:tcPr>
                  <w:tcW w:w="368" w:type="pct"/>
                  <w:vMerge w:val="restart"/>
                  <w:vAlign w:val="center"/>
                </w:tcPr>
                <w:p w14:paraId="0EFAAA32">
                  <w:pPr>
                    <w:pStyle w:val="22"/>
                    <w:adjustRightInd/>
                    <w:snapToGrid/>
                    <w:spacing w:beforeLines="0" w:afterLines="0" w:line="240" w:lineRule="auto"/>
                    <w:rPr>
                      <w:rFonts w:hint="eastAsia" w:ascii="Times New Roman" w:eastAsia="宋体"/>
                      <w:color w:val="auto"/>
                      <w:sz w:val="21"/>
                      <w:highlight w:val="none"/>
                      <w:lang w:eastAsia="zh-CN"/>
                    </w:rPr>
                  </w:pPr>
                  <w:r>
                    <w:rPr>
                      <w:rFonts w:ascii="Times New Roman"/>
                      <w:color w:val="auto"/>
                      <w:sz w:val="21"/>
                      <w:highlight w:val="none"/>
                    </w:rPr>
                    <w:t>危险废物</w:t>
                  </w:r>
                  <w:r>
                    <w:rPr>
                      <w:rFonts w:hint="eastAsia" w:ascii="Times New Roman"/>
                      <w:color w:val="auto"/>
                      <w:sz w:val="21"/>
                      <w:highlight w:val="none"/>
                      <w:lang w:eastAsia="zh-CN"/>
                    </w:rPr>
                    <w:t>贮存点</w:t>
                  </w:r>
                </w:p>
              </w:tc>
              <w:tc>
                <w:tcPr>
                  <w:tcW w:w="464" w:type="pct"/>
                  <w:vAlign w:val="center"/>
                </w:tcPr>
                <w:p w14:paraId="415FF5D0">
                  <w:pPr>
                    <w:topLinePunct/>
                    <w:adjustRightInd w:val="0"/>
                    <w:snapToGrid w:val="0"/>
                    <w:jc w:val="center"/>
                    <w:rPr>
                      <w:color w:val="auto"/>
                      <w:kern w:val="0"/>
                      <w:szCs w:val="21"/>
                      <w:highlight w:val="none"/>
                    </w:rPr>
                  </w:pPr>
                  <w:r>
                    <w:rPr>
                      <w:bCs/>
                      <w:color w:val="auto"/>
                      <w:szCs w:val="21"/>
                      <w:highlight w:val="none"/>
                    </w:rPr>
                    <w:t>检修废油</w:t>
                  </w:r>
                </w:p>
              </w:tc>
              <w:tc>
                <w:tcPr>
                  <w:tcW w:w="462" w:type="pct"/>
                  <w:vMerge w:val="restart"/>
                  <w:vAlign w:val="center"/>
                </w:tcPr>
                <w:p w14:paraId="19661401">
                  <w:pPr>
                    <w:topLinePunct/>
                    <w:adjustRightInd w:val="0"/>
                    <w:snapToGrid w:val="0"/>
                    <w:jc w:val="center"/>
                    <w:rPr>
                      <w:color w:val="auto"/>
                      <w:kern w:val="0"/>
                      <w:szCs w:val="21"/>
                      <w:highlight w:val="none"/>
                    </w:rPr>
                  </w:pPr>
                  <w:r>
                    <w:rPr>
                      <w:color w:val="auto"/>
                      <w:szCs w:val="21"/>
                      <w:highlight w:val="none"/>
                    </w:rPr>
                    <w:t>HW08</w:t>
                  </w:r>
                </w:p>
              </w:tc>
              <w:tc>
                <w:tcPr>
                  <w:tcW w:w="720" w:type="pct"/>
                  <w:vAlign w:val="center"/>
                </w:tcPr>
                <w:p w14:paraId="7C1A27A7">
                  <w:pPr>
                    <w:topLinePunct/>
                    <w:adjustRightInd w:val="0"/>
                    <w:snapToGrid w:val="0"/>
                    <w:jc w:val="center"/>
                    <w:rPr>
                      <w:color w:val="auto"/>
                      <w:kern w:val="0"/>
                      <w:szCs w:val="21"/>
                      <w:highlight w:val="none"/>
                    </w:rPr>
                  </w:pPr>
                  <w:r>
                    <w:rPr>
                      <w:color w:val="auto"/>
                      <w:kern w:val="0"/>
                      <w:szCs w:val="21"/>
                      <w:highlight w:val="none"/>
                    </w:rPr>
                    <w:t>900-217-08</w:t>
                  </w:r>
                </w:p>
              </w:tc>
              <w:tc>
                <w:tcPr>
                  <w:tcW w:w="517" w:type="pct"/>
                  <w:vMerge w:val="restart"/>
                  <w:vAlign w:val="center"/>
                </w:tcPr>
                <w:p w14:paraId="127021D7">
                  <w:pPr>
                    <w:topLinePunct/>
                    <w:adjustRightInd w:val="0"/>
                    <w:snapToGrid w:val="0"/>
                    <w:jc w:val="center"/>
                    <w:rPr>
                      <w:color w:val="auto"/>
                      <w:kern w:val="0"/>
                      <w:szCs w:val="21"/>
                      <w:highlight w:val="none"/>
                    </w:rPr>
                  </w:pPr>
                  <w:r>
                    <w:rPr>
                      <w:color w:val="auto"/>
                      <w:kern w:val="0"/>
                      <w:szCs w:val="21"/>
                      <w:highlight w:val="none"/>
                    </w:rPr>
                    <w:t>升压站</w:t>
                  </w:r>
                  <w:r>
                    <w:rPr>
                      <w:rFonts w:hint="eastAsia"/>
                      <w:color w:val="auto"/>
                      <w:kern w:val="0"/>
                      <w:szCs w:val="21"/>
                      <w:highlight w:val="none"/>
                    </w:rPr>
                    <w:t>西南</w:t>
                  </w:r>
                  <w:r>
                    <w:rPr>
                      <w:color w:val="auto"/>
                      <w:kern w:val="0"/>
                      <w:szCs w:val="21"/>
                      <w:highlight w:val="none"/>
                    </w:rPr>
                    <w:t>角</w:t>
                  </w:r>
                </w:p>
              </w:tc>
              <w:tc>
                <w:tcPr>
                  <w:tcW w:w="455" w:type="pct"/>
                  <w:vMerge w:val="restart"/>
                  <w:vAlign w:val="center"/>
                </w:tcPr>
                <w:p w14:paraId="72CEE56E">
                  <w:pPr>
                    <w:topLinePunct/>
                    <w:adjustRightInd w:val="0"/>
                    <w:snapToGrid w:val="0"/>
                    <w:jc w:val="center"/>
                    <w:rPr>
                      <w:color w:val="auto"/>
                      <w:spacing w:val="-8"/>
                      <w:kern w:val="0"/>
                      <w:szCs w:val="21"/>
                      <w:highlight w:val="none"/>
                    </w:rPr>
                  </w:pPr>
                  <w:r>
                    <w:rPr>
                      <w:color w:val="auto"/>
                      <w:spacing w:val="-8"/>
                      <w:kern w:val="0"/>
                      <w:szCs w:val="21"/>
                      <w:highlight w:val="none"/>
                    </w:rPr>
                    <w:t>2</w:t>
                  </w:r>
                  <w:r>
                    <w:rPr>
                      <w:rFonts w:hint="eastAsia" w:ascii="Times New Roman" w:eastAsia="宋体"/>
                      <w:color w:val="auto"/>
                      <w:spacing w:val="-8"/>
                      <w:kern w:val="0"/>
                      <w:szCs w:val="21"/>
                      <w:highlight w:val="none"/>
                      <w:lang w:val="en-US" w:eastAsia="zh-CN"/>
                    </w:rPr>
                    <w:t>0</w:t>
                  </w:r>
                  <w:r>
                    <w:rPr>
                      <w:color w:val="auto"/>
                      <w:spacing w:val="-8"/>
                      <w:kern w:val="0"/>
                      <w:szCs w:val="21"/>
                      <w:highlight w:val="none"/>
                    </w:rPr>
                    <w:t>m</w:t>
                  </w:r>
                  <w:r>
                    <w:rPr>
                      <w:color w:val="auto"/>
                      <w:spacing w:val="-8"/>
                      <w:kern w:val="0"/>
                      <w:szCs w:val="21"/>
                      <w:highlight w:val="none"/>
                      <w:vertAlign w:val="superscript"/>
                    </w:rPr>
                    <w:t>2</w:t>
                  </w:r>
                </w:p>
              </w:tc>
              <w:tc>
                <w:tcPr>
                  <w:tcW w:w="872" w:type="pct"/>
                  <w:vAlign w:val="center"/>
                </w:tcPr>
                <w:p w14:paraId="0644B33C">
                  <w:pPr>
                    <w:topLinePunct/>
                    <w:adjustRightInd w:val="0"/>
                    <w:snapToGrid w:val="0"/>
                    <w:jc w:val="center"/>
                    <w:rPr>
                      <w:color w:val="auto"/>
                      <w:kern w:val="0"/>
                      <w:szCs w:val="21"/>
                      <w:highlight w:val="none"/>
                    </w:rPr>
                  </w:pPr>
                  <w:r>
                    <w:rPr>
                      <w:color w:val="auto"/>
                      <w:kern w:val="0"/>
                      <w:szCs w:val="21"/>
                      <w:highlight w:val="none"/>
                    </w:rPr>
                    <w:t>高密度聚乙烯塑料桶收集</w:t>
                  </w:r>
                </w:p>
              </w:tc>
              <w:tc>
                <w:tcPr>
                  <w:tcW w:w="503" w:type="pct"/>
                  <w:vAlign w:val="center"/>
                </w:tcPr>
                <w:p w14:paraId="149CCB75">
                  <w:pPr>
                    <w:topLinePunct/>
                    <w:adjustRightInd w:val="0"/>
                    <w:snapToGrid w:val="0"/>
                    <w:jc w:val="center"/>
                    <w:rPr>
                      <w:color w:val="auto"/>
                      <w:kern w:val="0"/>
                      <w:szCs w:val="21"/>
                      <w:highlight w:val="none"/>
                    </w:rPr>
                  </w:pPr>
                  <w:r>
                    <w:rPr>
                      <w:color w:val="auto"/>
                      <w:kern w:val="0"/>
                      <w:szCs w:val="21"/>
                      <w:highlight w:val="none"/>
                    </w:rPr>
                    <w:t>1t</w:t>
                  </w:r>
                </w:p>
              </w:tc>
              <w:tc>
                <w:tcPr>
                  <w:tcW w:w="386" w:type="pct"/>
                  <w:vMerge w:val="restart"/>
                </w:tcPr>
                <w:p w14:paraId="5E3605FE">
                  <w:pPr>
                    <w:topLinePunct/>
                    <w:adjustRightInd w:val="0"/>
                    <w:snapToGrid w:val="0"/>
                    <w:jc w:val="center"/>
                    <w:rPr>
                      <w:rFonts w:hint="default" w:eastAsia="宋体"/>
                      <w:color w:val="auto"/>
                      <w:kern w:val="0"/>
                      <w:szCs w:val="21"/>
                      <w:highlight w:val="none"/>
                      <w:lang w:val="en-US" w:eastAsia="zh-CN"/>
                    </w:rPr>
                  </w:pPr>
                  <w:r>
                    <w:rPr>
                      <w:rFonts w:hint="eastAsia" w:ascii="Times New Roman" w:eastAsia="宋体"/>
                      <w:color w:val="auto"/>
                      <w:kern w:val="0"/>
                      <w:szCs w:val="21"/>
                      <w:highlight w:val="none"/>
                      <w:lang w:val="en-US" w:eastAsia="zh-CN"/>
                    </w:rPr>
                    <w:t>不超过一个月</w:t>
                  </w:r>
                </w:p>
              </w:tc>
            </w:tr>
            <w:tr w14:paraId="0C84B2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247" w:type="pct"/>
                  <w:vMerge w:val="continue"/>
                  <w:vAlign w:val="center"/>
                </w:tcPr>
                <w:p w14:paraId="68B962BC">
                  <w:pPr>
                    <w:topLinePunct/>
                    <w:adjustRightInd w:val="0"/>
                    <w:snapToGrid w:val="0"/>
                    <w:jc w:val="center"/>
                    <w:rPr>
                      <w:color w:val="auto"/>
                      <w:kern w:val="0"/>
                      <w:szCs w:val="21"/>
                      <w:highlight w:val="none"/>
                    </w:rPr>
                  </w:pPr>
                </w:p>
              </w:tc>
              <w:tc>
                <w:tcPr>
                  <w:tcW w:w="368" w:type="pct"/>
                  <w:vMerge w:val="continue"/>
                  <w:vAlign w:val="center"/>
                </w:tcPr>
                <w:p w14:paraId="2B0DAED3">
                  <w:pPr>
                    <w:topLinePunct/>
                    <w:adjustRightInd w:val="0"/>
                    <w:snapToGrid w:val="0"/>
                    <w:ind w:left="-105" w:leftChars="-50" w:right="-105" w:rightChars="-50"/>
                    <w:jc w:val="center"/>
                    <w:rPr>
                      <w:color w:val="auto"/>
                      <w:kern w:val="0"/>
                      <w:szCs w:val="21"/>
                      <w:highlight w:val="none"/>
                    </w:rPr>
                  </w:pPr>
                </w:p>
              </w:tc>
              <w:tc>
                <w:tcPr>
                  <w:tcW w:w="464" w:type="pct"/>
                  <w:vAlign w:val="center"/>
                </w:tcPr>
                <w:p w14:paraId="46F8970A">
                  <w:pPr>
                    <w:topLinePunct/>
                    <w:adjustRightInd w:val="0"/>
                    <w:snapToGrid w:val="0"/>
                    <w:jc w:val="center"/>
                    <w:rPr>
                      <w:color w:val="auto"/>
                      <w:szCs w:val="21"/>
                      <w:highlight w:val="none"/>
                    </w:rPr>
                  </w:pPr>
                  <w:r>
                    <w:rPr>
                      <w:bCs/>
                      <w:color w:val="auto"/>
                      <w:szCs w:val="21"/>
                      <w:highlight w:val="none"/>
                    </w:rPr>
                    <w:t>废油桶</w:t>
                  </w:r>
                </w:p>
              </w:tc>
              <w:tc>
                <w:tcPr>
                  <w:tcW w:w="462" w:type="pct"/>
                  <w:vMerge w:val="continue"/>
                  <w:vAlign w:val="center"/>
                </w:tcPr>
                <w:p w14:paraId="49C731ED">
                  <w:pPr>
                    <w:topLinePunct/>
                    <w:adjustRightInd w:val="0"/>
                    <w:snapToGrid w:val="0"/>
                    <w:jc w:val="center"/>
                    <w:rPr>
                      <w:color w:val="auto"/>
                      <w:szCs w:val="21"/>
                      <w:highlight w:val="none"/>
                    </w:rPr>
                  </w:pPr>
                </w:p>
              </w:tc>
              <w:tc>
                <w:tcPr>
                  <w:tcW w:w="720" w:type="pct"/>
                  <w:vAlign w:val="center"/>
                </w:tcPr>
                <w:p w14:paraId="79D31C06">
                  <w:pPr>
                    <w:topLinePunct/>
                    <w:adjustRightInd w:val="0"/>
                    <w:snapToGrid w:val="0"/>
                    <w:jc w:val="center"/>
                    <w:rPr>
                      <w:color w:val="auto"/>
                      <w:szCs w:val="21"/>
                      <w:highlight w:val="none"/>
                    </w:rPr>
                  </w:pPr>
                  <w:r>
                    <w:rPr>
                      <w:color w:val="auto"/>
                      <w:szCs w:val="21"/>
                      <w:highlight w:val="none"/>
                    </w:rPr>
                    <w:t>900-249-08</w:t>
                  </w:r>
                </w:p>
              </w:tc>
              <w:tc>
                <w:tcPr>
                  <w:tcW w:w="517" w:type="pct"/>
                  <w:vMerge w:val="continue"/>
                  <w:vAlign w:val="center"/>
                </w:tcPr>
                <w:p w14:paraId="32E70499">
                  <w:pPr>
                    <w:topLinePunct/>
                    <w:adjustRightInd w:val="0"/>
                    <w:snapToGrid w:val="0"/>
                    <w:jc w:val="center"/>
                    <w:rPr>
                      <w:color w:val="auto"/>
                      <w:kern w:val="0"/>
                      <w:szCs w:val="21"/>
                      <w:highlight w:val="none"/>
                    </w:rPr>
                  </w:pPr>
                </w:p>
              </w:tc>
              <w:tc>
                <w:tcPr>
                  <w:tcW w:w="455" w:type="pct"/>
                  <w:vMerge w:val="continue"/>
                  <w:vAlign w:val="center"/>
                </w:tcPr>
                <w:p w14:paraId="63A82324">
                  <w:pPr>
                    <w:topLinePunct/>
                    <w:adjustRightInd w:val="0"/>
                    <w:snapToGrid w:val="0"/>
                    <w:jc w:val="center"/>
                    <w:rPr>
                      <w:color w:val="auto"/>
                      <w:kern w:val="0"/>
                      <w:szCs w:val="21"/>
                      <w:highlight w:val="none"/>
                    </w:rPr>
                  </w:pPr>
                </w:p>
              </w:tc>
              <w:tc>
                <w:tcPr>
                  <w:tcW w:w="872" w:type="pct"/>
                  <w:vAlign w:val="center"/>
                </w:tcPr>
                <w:p w14:paraId="445919CF">
                  <w:pPr>
                    <w:topLinePunct/>
                    <w:adjustRightInd w:val="0"/>
                    <w:snapToGrid w:val="0"/>
                    <w:jc w:val="center"/>
                    <w:rPr>
                      <w:color w:val="auto"/>
                      <w:kern w:val="0"/>
                      <w:szCs w:val="21"/>
                      <w:highlight w:val="none"/>
                    </w:rPr>
                  </w:pPr>
                  <w:r>
                    <w:rPr>
                      <w:color w:val="auto"/>
                      <w:kern w:val="0"/>
                      <w:szCs w:val="21"/>
                      <w:highlight w:val="none"/>
                    </w:rPr>
                    <w:t>防渗托盘上放置</w:t>
                  </w:r>
                </w:p>
              </w:tc>
              <w:tc>
                <w:tcPr>
                  <w:tcW w:w="503" w:type="pct"/>
                  <w:vAlign w:val="center"/>
                </w:tcPr>
                <w:p w14:paraId="293FEC19">
                  <w:pPr>
                    <w:topLinePunct/>
                    <w:adjustRightInd w:val="0"/>
                    <w:snapToGrid w:val="0"/>
                    <w:jc w:val="center"/>
                    <w:rPr>
                      <w:color w:val="auto"/>
                      <w:kern w:val="0"/>
                      <w:szCs w:val="21"/>
                      <w:highlight w:val="none"/>
                    </w:rPr>
                  </w:pPr>
                  <w:r>
                    <w:rPr>
                      <w:color w:val="auto"/>
                      <w:kern w:val="0"/>
                      <w:szCs w:val="21"/>
                      <w:highlight w:val="none"/>
                    </w:rPr>
                    <w:t>8个</w:t>
                  </w:r>
                </w:p>
              </w:tc>
              <w:tc>
                <w:tcPr>
                  <w:tcW w:w="386" w:type="pct"/>
                  <w:vMerge w:val="continue"/>
                </w:tcPr>
                <w:p w14:paraId="14514304">
                  <w:pPr>
                    <w:topLinePunct/>
                    <w:adjustRightInd w:val="0"/>
                    <w:snapToGrid w:val="0"/>
                    <w:jc w:val="center"/>
                    <w:rPr>
                      <w:color w:val="auto"/>
                      <w:kern w:val="0"/>
                      <w:szCs w:val="21"/>
                      <w:highlight w:val="none"/>
                    </w:rPr>
                  </w:pPr>
                </w:p>
              </w:tc>
            </w:tr>
          </w:tbl>
          <w:p w14:paraId="07C4E235">
            <w:pPr>
              <w:spacing w:line="480" w:lineRule="exact"/>
              <w:ind w:firstLine="480" w:firstLineChars="200"/>
              <w:jc w:val="left"/>
              <w:rPr>
                <w:color w:val="auto"/>
                <w:sz w:val="24"/>
                <w:highlight w:val="none"/>
              </w:rPr>
            </w:pPr>
            <w:r>
              <w:rPr>
                <w:color w:val="auto"/>
                <w:sz w:val="24"/>
                <w:highlight w:val="none"/>
              </w:rPr>
              <w:t>（1）生活垃圾</w:t>
            </w:r>
          </w:p>
          <w:p w14:paraId="2726CDCB">
            <w:pPr>
              <w:spacing w:line="480" w:lineRule="exact"/>
              <w:ind w:firstLine="480" w:firstLineChars="200"/>
              <w:jc w:val="left"/>
              <w:rPr>
                <w:color w:val="auto"/>
                <w:sz w:val="24"/>
                <w:highlight w:val="none"/>
              </w:rPr>
            </w:pPr>
            <w:r>
              <w:rPr>
                <w:color w:val="auto"/>
                <w:sz w:val="24"/>
                <w:highlight w:val="none"/>
              </w:rPr>
              <w:t>本项目</w:t>
            </w:r>
            <w:r>
              <w:rPr>
                <w:rFonts w:hint="eastAsia" w:ascii="Times New Roman" w:eastAsia="宋体"/>
                <w:color w:val="auto"/>
                <w:sz w:val="24"/>
                <w:highlight w:val="none"/>
                <w:lang w:val="en-US" w:eastAsia="zh-CN"/>
              </w:rPr>
              <w:t>新增</w:t>
            </w:r>
            <w:r>
              <w:rPr>
                <w:color w:val="auto"/>
                <w:sz w:val="24"/>
                <w:highlight w:val="none"/>
              </w:rPr>
              <w:t>劳动定员为</w:t>
            </w:r>
            <w:r>
              <w:rPr>
                <w:rFonts w:hint="eastAsia" w:ascii="Times New Roman" w:eastAsia="宋体"/>
                <w:color w:val="auto"/>
                <w:sz w:val="24"/>
                <w:highlight w:val="none"/>
                <w:lang w:val="en-US" w:eastAsia="zh-CN"/>
              </w:rPr>
              <w:t>5</w:t>
            </w:r>
            <w:r>
              <w:rPr>
                <w:color w:val="auto"/>
                <w:sz w:val="24"/>
                <w:highlight w:val="none"/>
              </w:rPr>
              <w:t>人，生活垃圾产生量每人按0.5kg/d计算，则生活垃圾产生量为</w:t>
            </w:r>
            <w:r>
              <w:rPr>
                <w:rFonts w:hint="eastAsia" w:ascii="Times New Roman" w:eastAsia="宋体"/>
                <w:color w:val="auto"/>
                <w:sz w:val="24"/>
                <w:highlight w:val="none"/>
                <w:lang w:val="en-US" w:eastAsia="zh-CN"/>
              </w:rPr>
              <w:t>2.5</w:t>
            </w:r>
            <w:r>
              <w:rPr>
                <w:color w:val="auto"/>
                <w:sz w:val="24"/>
                <w:highlight w:val="none"/>
              </w:rPr>
              <w:t>kg/d（</w:t>
            </w:r>
            <w:r>
              <w:rPr>
                <w:rFonts w:hint="eastAsia" w:ascii="Times New Roman" w:eastAsia="宋体"/>
                <w:color w:val="auto"/>
                <w:sz w:val="24"/>
                <w:highlight w:val="none"/>
                <w:lang w:val="en-US" w:eastAsia="zh-CN"/>
              </w:rPr>
              <w:t>0.912</w:t>
            </w:r>
            <w:r>
              <w:rPr>
                <w:color w:val="auto"/>
                <w:sz w:val="24"/>
                <w:highlight w:val="none"/>
              </w:rPr>
              <w:t>t/a），产生的生活垃圾经垃圾桶集中收集后，定期交由环卫部门清运处置。</w:t>
            </w:r>
          </w:p>
          <w:p w14:paraId="16B1AF1E">
            <w:pPr>
              <w:spacing w:line="480" w:lineRule="exact"/>
              <w:ind w:firstLine="480" w:firstLineChars="200"/>
              <w:jc w:val="left"/>
              <w:rPr>
                <w:color w:val="auto"/>
                <w:sz w:val="24"/>
                <w:highlight w:val="none"/>
              </w:rPr>
            </w:pPr>
            <w:r>
              <w:rPr>
                <w:rFonts w:hint="eastAsia"/>
                <w:color w:val="auto"/>
                <w:sz w:val="24"/>
                <w:highlight w:val="none"/>
              </w:rPr>
              <w:t>（2）检修废油</w:t>
            </w:r>
          </w:p>
          <w:p w14:paraId="3997BCDF">
            <w:pPr>
              <w:spacing w:line="480" w:lineRule="exact"/>
              <w:ind w:firstLine="480" w:firstLineChars="200"/>
              <w:jc w:val="left"/>
              <w:rPr>
                <w:color w:val="auto"/>
                <w:sz w:val="24"/>
                <w:highlight w:val="none"/>
              </w:rPr>
            </w:pPr>
            <w:r>
              <w:rPr>
                <w:rFonts w:hint="eastAsia" w:cs="Times New Roman"/>
                <w:color w:val="auto"/>
                <w:sz w:val="24"/>
                <w:highlight w:val="none"/>
                <w:lang w:val="en-US" w:eastAsia="zh-CN"/>
              </w:rPr>
              <w:t>风机检修废油：</w:t>
            </w:r>
            <w:r>
              <w:rPr>
                <w:rFonts w:hint="eastAsia"/>
                <w:color w:val="auto"/>
                <w:sz w:val="24"/>
                <w:highlight w:val="none"/>
              </w:rPr>
              <w:t>本项目风机检修过程中会产生少量废油，根据《国家危险废物名录》（2021版），废机油属于危险废物，废物类别为HW08废矿物油与含矿物油废物，行业来源为非特定行业，废物代码为900-217-08，危险废物名称为使用工业齿轮油进行机械设备润滑过程中产生的废润滑油，危险特性为毒性（T）和易燃性（I）。</w:t>
            </w:r>
          </w:p>
          <w:p w14:paraId="4E5A2E9F">
            <w:pPr>
              <w:spacing w:line="480" w:lineRule="exact"/>
              <w:ind w:firstLine="480" w:firstLineChars="200"/>
              <w:jc w:val="left"/>
              <w:rPr>
                <w:rFonts w:hint="eastAsia"/>
                <w:color w:val="auto"/>
                <w:sz w:val="24"/>
                <w:highlight w:val="none"/>
              </w:rPr>
            </w:pPr>
            <w:r>
              <w:rPr>
                <w:rFonts w:hint="eastAsia"/>
                <w:color w:val="auto"/>
                <w:sz w:val="24"/>
                <w:highlight w:val="none"/>
              </w:rPr>
              <w:t>本项目单台风机检修废油年产生量平均3L/台，本项目共</w:t>
            </w:r>
            <w:r>
              <w:rPr>
                <w:rFonts w:hint="eastAsia" w:eastAsia="宋体"/>
                <w:color w:val="auto"/>
                <w:sz w:val="24"/>
                <w:highlight w:val="none"/>
                <w:lang w:eastAsia="zh-CN"/>
              </w:rPr>
              <w:t>8台</w:t>
            </w:r>
            <w:r>
              <w:rPr>
                <w:rFonts w:hint="eastAsia"/>
                <w:color w:val="auto"/>
                <w:sz w:val="24"/>
                <w:highlight w:val="none"/>
              </w:rPr>
              <w:t>风机，年产生量为2</w:t>
            </w:r>
            <w:r>
              <w:rPr>
                <w:rFonts w:hint="eastAsia" w:ascii="Times New Roman" w:eastAsia="宋体"/>
                <w:color w:val="auto"/>
                <w:sz w:val="24"/>
                <w:highlight w:val="none"/>
                <w:lang w:val="en-US" w:eastAsia="zh-CN"/>
              </w:rPr>
              <w:t>4</w:t>
            </w:r>
            <w:r>
              <w:rPr>
                <w:rFonts w:hint="eastAsia"/>
                <w:color w:val="auto"/>
                <w:sz w:val="24"/>
                <w:highlight w:val="none"/>
              </w:rPr>
              <w:t>L，风机检修废油必须实施全过程密闭收集</w:t>
            </w:r>
            <w:r>
              <w:rPr>
                <w:rFonts w:hint="eastAsia"/>
                <w:color w:val="auto"/>
                <w:sz w:val="24"/>
                <w:highlight w:val="none"/>
                <w:lang w:eastAsia="zh-CN"/>
              </w:rPr>
              <w:t>，</w:t>
            </w:r>
            <w:r>
              <w:rPr>
                <w:rFonts w:hint="eastAsia"/>
                <w:color w:val="auto"/>
                <w:sz w:val="24"/>
                <w:highlight w:val="none"/>
              </w:rPr>
              <w:t>现场使用专用防漏容器收集废油，同步建立完整的危废台账，详细记录产生、贮存及转移信息</w:t>
            </w:r>
            <w:r>
              <w:rPr>
                <w:rFonts w:hint="eastAsia"/>
                <w:color w:val="auto"/>
                <w:sz w:val="24"/>
                <w:highlight w:val="none"/>
                <w:lang w:eastAsia="zh-CN"/>
              </w:rPr>
              <w:t>，</w:t>
            </w:r>
            <w:r>
              <w:rPr>
                <w:rFonts w:hint="eastAsia"/>
                <w:color w:val="auto"/>
                <w:sz w:val="24"/>
                <w:highlight w:val="none"/>
              </w:rPr>
              <w:t>严禁任何形式的随意排放或丢弃</w:t>
            </w:r>
            <w:r>
              <w:rPr>
                <w:rFonts w:hint="eastAsia"/>
                <w:color w:val="auto"/>
                <w:sz w:val="24"/>
                <w:highlight w:val="none"/>
                <w:lang w:eastAsia="zh-CN"/>
              </w:rPr>
              <w:t>，</w:t>
            </w:r>
            <w:r>
              <w:rPr>
                <w:rFonts w:hint="eastAsia"/>
                <w:color w:val="auto"/>
                <w:sz w:val="24"/>
                <w:highlight w:val="none"/>
              </w:rPr>
              <w:t>收集后暂存于2</w:t>
            </w:r>
            <w:r>
              <w:rPr>
                <w:rFonts w:hint="eastAsia" w:ascii="Times New Roman" w:eastAsia="宋体"/>
                <w:color w:val="auto"/>
                <w:sz w:val="24"/>
                <w:highlight w:val="none"/>
                <w:lang w:val="en-US" w:eastAsia="zh-CN"/>
              </w:rPr>
              <w:t>0</w:t>
            </w:r>
            <w:r>
              <w:rPr>
                <w:rFonts w:hint="eastAsia"/>
                <w:color w:val="auto"/>
                <w:sz w:val="24"/>
                <w:highlight w:val="none"/>
              </w:rPr>
              <w:t>m</w:t>
            </w:r>
            <w:r>
              <w:rPr>
                <w:rFonts w:hint="eastAsia"/>
                <w:color w:val="auto"/>
                <w:sz w:val="24"/>
                <w:highlight w:val="none"/>
                <w:vertAlign w:val="superscript"/>
              </w:rPr>
              <w:t>2</w:t>
            </w:r>
            <w:r>
              <w:rPr>
                <w:rFonts w:hint="eastAsia" w:eastAsia="宋体"/>
                <w:color w:val="auto"/>
                <w:sz w:val="24"/>
                <w:highlight w:val="none"/>
                <w:lang w:eastAsia="zh-CN"/>
              </w:rPr>
              <w:t>危废贮存点</w:t>
            </w:r>
            <w:r>
              <w:rPr>
                <w:rFonts w:hint="eastAsia"/>
                <w:color w:val="auto"/>
                <w:sz w:val="24"/>
                <w:highlight w:val="none"/>
              </w:rPr>
              <w:t>，</w:t>
            </w:r>
            <w:r>
              <w:rPr>
                <w:rFonts w:hint="eastAsia"/>
                <w:color w:val="auto"/>
                <w:sz w:val="24"/>
                <w:highlight w:val="none"/>
                <w:lang w:val="en-US" w:eastAsia="zh-CN"/>
              </w:rPr>
              <w:t>定期交</w:t>
            </w:r>
            <w:r>
              <w:rPr>
                <w:rFonts w:hint="eastAsia"/>
                <w:color w:val="auto"/>
                <w:sz w:val="24"/>
                <w:highlight w:val="none"/>
              </w:rPr>
              <w:t>由有资质单位回收处置。</w:t>
            </w:r>
          </w:p>
          <w:p w14:paraId="065B89FD">
            <w:pPr>
              <w:spacing w:line="480" w:lineRule="exact"/>
              <w:ind w:firstLine="480" w:firstLineChars="200"/>
              <w:jc w:val="left"/>
              <w:rPr>
                <w:color w:val="auto"/>
                <w:sz w:val="24"/>
                <w:highlight w:val="none"/>
              </w:rPr>
            </w:pPr>
            <w:r>
              <w:rPr>
                <w:rFonts w:hint="eastAsia"/>
                <w:color w:val="auto"/>
                <w:sz w:val="24"/>
                <w:highlight w:val="none"/>
              </w:rPr>
              <w:t>（</w:t>
            </w:r>
            <w:r>
              <w:rPr>
                <w:rFonts w:hint="eastAsia"/>
                <w:color w:val="auto"/>
                <w:sz w:val="24"/>
                <w:highlight w:val="none"/>
                <w:lang w:val="en-US" w:eastAsia="zh-CN"/>
              </w:rPr>
              <w:t>3</w:t>
            </w:r>
            <w:r>
              <w:rPr>
                <w:rFonts w:hint="eastAsia"/>
                <w:color w:val="auto"/>
                <w:sz w:val="24"/>
                <w:highlight w:val="none"/>
              </w:rPr>
              <w:t>）废油桶</w:t>
            </w:r>
          </w:p>
          <w:p w14:paraId="00C962C4">
            <w:pPr>
              <w:spacing w:line="480" w:lineRule="exact"/>
              <w:ind w:firstLine="480" w:firstLineChars="200"/>
              <w:jc w:val="left"/>
              <w:rPr>
                <w:color w:val="auto"/>
                <w:sz w:val="24"/>
                <w:highlight w:val="none"/>
              </w:rPr>
            </w:pPr>
            <w:r>
              <w:rPr>
                <w:rFonts w:hint="eastAsia"/>
                <w:color w:val="auto"/>
                <w:sz w:val="24"/>
                <w:highlight w:val="none"/>
              </w:rPr>
              <w:t>本项目运营期产生沾染矿物油的废油桶（200L/个）约3个/a，根据《国家危险废物名录》（2021年），废油桶属于危险废物中的“HW08废矿物油与含矿物油废物”，废物代码为“900-249-08”，危险特性为毒性（T）和易燃性（I）。站内设1座27m</w:t>
            </w:r>
            <w:r>
              <w:rPr>
                <w:rFonts w:hint="eastAsia"/>
                <w:color w:val="auto"/>
                <w:sz w:val="24"/>
                <w:highlight w:val="none"/>
                <w:vertAlign w:val="superscript"/>
              </w:rPr>
              <w:t>2</w:t>
            </w:r>
            <w:r>
              <w:rPr>
                <w:rFonts w:hint="eastAsia"/>
                <w:color w:val="auto"/>
                <w:sz w:val="24"/>
                <w:highlight w:val="none"/>
              </w:rPr>
              <w:t>危险废物</w:t>
            </w:r>
            <w:r>
              <w:rPr>
                <w:rFonts w:hint="eastAsia" w:eastAsia="宋体"/>
                <w:color w:val="auto"/>
                <w:sz w:val="24"/>
                <w:highlight w:val="none"/>
                <w:lang w:eastAsia="zh-CN"/>
              </w:rPr>
              <w:t>贮存点</w:t>
            </w:r>
            <w:r>
              <w:rPr>
                <w:rFonts w:hint="eastAsia"/>
                <w:color w:val="auto"/>
                <w:sz w:val="24"/>
                <w:highlight w:val="none"/>
              </w:rPr>
              <w:t>，危险废物分区堆放，在废油桶区布置防渗托盘，及时委托有资质单位处置。</w:t>
            </w:r>
          </w:p>
          <w:p w14:paraId="48DEA0FD">
            <w:pPr>
              <w:spacing w:line="480" w:lineRule="exact"/>
              <w:ind w:firstLine="480" w:firstLineChars="200"/>
              <w:rPr>
                <w:color w:val="auto"/>
                <w:kern w:val="0"/>
                <w:sz w:val="24"/>
                <w:highlight w:val="none"/>
              </w:rPr>
            </w:pPr>
            <w:r>
              <w:rPr>
                <w:rFonts w:hint="eastAsia"/>
                <w:color w:val="auto"/>
                <w:kern w:val="0"/>
                <w:sz w:val="24"/>
                <w:highlight w:val="none"/>
              </w:rPr>
              <w:t>综上，针对本工程所产生的固体废物在采取不同的处置措施之后对环境的影响很小。</w:t>
            </w:r>
          </w:p>
          <w:p w14:paraId="1FD2F510">
            <w:pPr>
              <w:spacing w:line="480" w:lineRule="exact"/>
              <w:ind w:firstLine="480" w:firstLineChars="200"/>
              <w:rPr>
                <w:color w:val="auto"/>
                <w:kern w:val="0"/>
                <w:sz w:val="24"/>
                <w:highlight w:val="none"/>
              </w:rPr>
            </w:pPr>
            <w:r>
              <w:rPr>
                <w:rFonts w:hint="eastAsia"/>
                <w:color w:val="auto"/>
                <w:kern w:val="0"/>
                <w:sz w:val="24"/>
                <w:highlight w:val="none"/>
              </w:rPr>
              <w:t>4、运营期大气环境影响分析</w:t>
            </w:r>
          </w:p>
          <w:p w14:paraId="7B101C02">
            <w:pPr>
              <w:autoSpaceDE w:val="0"/>
              <w:autoSpaceDN w:val="0"/>
              <w:adjustRightInd w:val="0"/>
              <w:snapToGrid w:val="0"/>
              <w:spacing w:line="480" w:lineRule="exact"/>
              <w:ind w:firstLine="480" w:firstLineChars="200"/>
              <w:textAlignment w:val="baseline"/>
              <w:rPr>
                <w:color w:val="auto"/>
                <w:sz w:val="24"/>
                <w:highlight w:val="none"/>
                <w:lang w:val="en-GB"/>
              </w:rPr>
            </w:pPr>
            <w:r>
              <w:rPr>
                <w:color w:val="auto"/>
                <w:sz w:val="24"/>
                <w:highlight w:val="none"/>
                <w:lang w:val="en-GB"/>
              </w:rPr>
              <w:t>本项目运营后升压站</w:t>
            </w:r>
            <w:r>
              <w:rPr>
                <w:rFonts w:hint="eastAsia" w:ascii="Times New Roman"/>
                <w:color w:val="auto"/>
                <w:sz w:val="24"/>
                <w:highlight w:val="none"/>
                <w:lang w:val="en-GB"/>
              </w:rPr>
              <w:t>无生产废气产生，</w:t>
            </w:r>
            <w:r>
              <w:rPr>
                <w:color w:val="auto"/>
                <w:sz w:val="24"/>
                <w:highlight w:val="none"/>
                <w:lang w:val="en-GB"/>
              </w:rPr>
              <w:t>办公楼采暖、职工日常生活所需能源均采用电能。</w:t>
            </w:r>
          </w:p>
          <w:p w14:paraId="340F7795">
            <w:pPr>
              <w:spacing w:line="480" w:lineRule="exact"/>
              <w:ind w:firstLine="480" w:firstLineChars="200"/>
              <w:rPr>
                <w:color w:val="auto"/>
                <w:kern w:val="0"/>
                <w:sz w:val="24"/>
                <w:highlight w:val="none"/>
              </w:rPr>
            </w:pPr>
            <w:r>
              <w:rPr>
                <w:rFonts w:hint="eastAsia"/>
                <w:color w:val="auto"/>
                <w:kern w:val="0"/>
                <w:sz w:val="24"/>
                <w:highlight w:val="none"/>
              </w:rPr>
              <w:t>5、运营期生态环境影响分析</w:t>
            </w:r>
          </w:p>
          <w:p w14:paraId="506B5689">
            <w:pPr>
              <w:spacing w:line="480" w:lineRule="exact"/>
              <w:ind w:firstLine="480" w:firstLineChars="200"/>
              <w:rPr>
                <w:color w:val="auto"/>
                <w:kern w:val="0"/>
                <w:sz w:val="24"/>
                <w:highlight w:val="none"/>
              </w:rPr>
            </w:pPr>
            <w:r>
              <w:rPr>
                <w:rFonts w:hint="eastAsia"/>
                <w:color w:val="auto"/>
                <w:kern w:val="0"/>
                <w:sz w:val="24"/>
                <w:highlight w:val="none"/>
              </w:rPr>
              <w:t>（1）对植被的影响</w:t>
            </w:r>
          </w:p>
          <w:p w14:paraId="40E3A394">
            <w:pPr>
              <w:spacing w:line="480" w:lineRule="exact"/>
              <w:ind w:firstLine="480" w:firstLineChars="200"/>
              <w:rPr>
                <w:color w:val="auto"/>
                <w:kern w:val="0"/>
                <w:sz w:val="24"/>
                <w:highlight w:val="none"/>
              </w:rPr>
            </w:pPr>
            <w:r>
              <w:rPr>
                <w:rFonts w:hint="eastAsia"/>
                <w:color w:val="auto"/>
                <w:kern w:val="0"/>
                <w:sz w:val="24"/>
                <w:highlight w:val="none"/>
              </w:rPr>
              <w:t>风电场投入运营后，永久占地内的地表植被完全被破坏，取而代之的是风机基础。工程临时占地进行了植被恢复，风电机组区和集电线路区实施植被恢复和绿化工程，运营期地表植被状况逐渐好转，施工结束后3年左右时间，植被状况将好于原有的自然植被系统，因此施工结束后场内生态环境与建场前基本相同。</w:t>
            </w:r>
          </w:p>
          <w:p w14:paraId="78074E7D">
            <w:pPr>
              <w:spacing w:line="480" w:lineRule="exact"/>
              <w:ind w:firstLine="480" w:firstLineChars="200"/>
              <w:rPr>
                <w:color w:val="auto"/>
                <w:kern w:val="0"/>
                <w:sz w:val="24"/>
                <w:highlight w:val="none"/>
              </w:rPr>
            </w:pPr>
            <w:r>
              <w:rPr>
                <w:rFonts w:hint="eastAsia"/>
                <w:color w:val="auto"/>
                <w:kern w:val="0"/>
                <w:sz w:val="24"/>
                <w:highlight w:val="none"/>
              </w:rPr>
              <w:t>本风电场不位于国家和省级重点保护的野生植物分布区域，风机呈点状分布，且离地面较高，建成后风机的运行对场内植被的正常生长几乎没有影响。因此，项目运营期不会对植被造成不利影响。</w:t>
            </w:r>
          </w:p>
          <w:p w14:paraId="4B5AF690">
            <w:pPr>
              <w:spacing w:line="480" w:lineRule="exact"/>
              <w:ind w:firstLine="480" w:firstLineChars="200"/>
              <w:rPr>
                <w:color w:val="auto"/>
                <w:kern w:val="0"/>
                <w:sz w:val="24"/>
                <w:highlight w:val="none"/>
              </w:rPr>
            </w:pPr>
            <w:r>
              <w:rPr>
                <w:rFonts w:hint="eastAsia"/>
                <w:color w:val="auto"/>
                <w:kern w:val="0"/>
                <w:sz w:val="24"/>
                <w:highlight w:val="none"/>
              </w:rPr>
              <w:t>（2）对动物的影响</w:t>
            </w:r>
          </w:p>
          <w:p w14:paraId="7BB1D48A">
            <w:pPr>
              <w:spacing w:line="480" w:lineRule="exact"/>
              <w:ind w:firstLine="480" w:firstLineChars="200"/>
              <w:rPr>
                <w:color w:val="auto"/>
                <w:kern w:val="0"/>
                <w:sz w:val="24"/>
                <w:highlight w:val="none"/>
              </w:rPr>
            </w:pPr>
            <w:r>
              <w:rPr>
                <w:rFonts w:hint="eastAsia"/>
                <w:color w:val="auto"/>
                <w:kern w:val="0"/>
                <w:sz w:val="24"/>
                <w:highlight w:val="none"/>
              </w:rPr>
              <w:t>①对野生动物活动的阻隔影响</w:t>
            </w:r>
          </w:p>
          <w:p w14:paraId="7033B75A">
            <w:pPr>
              <w:spacing w:line="480" w:lineRule="exact"/>
              <w:ind w:firstLine="480" w:firstLineChars="200"/>
              <w:rPr>
                <w:color w:val="auto"/>
                <w:kern w:val="0"/>
                <w:sz w:val="24"/>
                <w:highlight w:val="none"/>
              </w:rPr>
            </w:pPr>
            <w:r>
              <w:rPr>
                <w:rFonts w:hint="eastAsia"/>
                <w:color w:val="auto"/>
                <w:kern w:val="0"/>
                <w:sz w:val="24"/>
                <w:highlight w:val="none"/>
              </w:rPr>
              <w:t>经过现场调查及查阅资料，风电场范围内未发现野生动物的集中迁移路线，并且场内检修道路的路面较窄、平时车辆较少，基本不会对野生动物的活动产生阻隔影响。</w:t>
            </w:r>
          </w:p>
          <w:p w14:paraId="0B0DF667">
            <w:pPr>
              <w:spacing w:line="480" w:lineRule="exact"/>
              <w:ind w:firstLine="480" w:firstLineChars="200"/>
              <w:rPr>
                <w:color w:val="auto"/>
                <w:kern w:val="0"/>
                <w:sz w:val="24"/>
                <w:highlight w:val="none"/>
              </w:rPr>
            </w:pPr>
            <w:r>
              <w:rPr>
                <w:rFonts w:hint="eastAsia"/>
                <w:color w:val="auto"/>
                <w:kern w:val="0"/>
                <w:sz w:val="24"/>
                <w:highlight w:val="none"/>
              </w:rPr>
              <w:t>②风机噪声对野生动物的影响</w:t>
            </w:r>
          </w:p>
          <w:p w14:paraId="31B286E4">
            <w:pPr>
              <w:spacing w:line="480" w:lineRule="exact"/>
              <w:ind w:firstLine="480" w:firstLineChars="200"/>
              <w:rPr>
                <w:color w:val="auto"/>
                <w:kern w:val="0"/>
                <w:sz w:val="24"/>
                <w:highlight w:val="none"/>
              </w:rPr>
            </w:pPr>
            <w:r>
              <w:rPr>
                <w:rFonts w:hint="eastAsia"/>
                <w:color w:val="auto"/>
                <w:kern w:val="0"/>
                <w:sz w:val="24"/>
                <w:highlight w:val="none"/>
              </w:rPr>
              <w:t>本项目施工过程中，因噪声强度的增加和人为活动的频繁，致使部分动物发生小尺度的迁移，但随着施工期的结束，场区内及周围动物会逐渐适应于风力发电机组的运行噪声，不会影响野生动物的生存活动空间，对区域生物多样性不会产生影响。</w:t>
            </w:r>
          </w:p>
          <w:p w14:paraId="28ED9885">
            <w:pPr>
              <w:spacing w:line="480" w:lineRule="exact"/>
              <w:ind w:firstLine="480" w:firstLineChars="200"/>
              <w:rPr>
                <w:color w:val="auto"/>
                <w:kern w:val="0"/>
                <w:sz w:val="24"/>
                <w:highlight w:val="none"/>
              </w:rPr>
            </w:pPr>
            <w:r>
              <w:rPr>
                <w:rFonts w:hint="eastAsia"/>
                <w:color w:val="auto"/>
                <w:kern w:val="0"/>
                <w:sz w:val="24"/>
                <w:highlight w:val="none"/>
              </w:rPr>
              <w:t>③风机对鸟类活动的影响</w:t>
            </w:r>
          </w:p>
          <w:p w14:paraId="3E00E8EE">
            <w:pPr>
              <w:spacing w:line="480" w:lineRule="exact"/>
              <w:ind w:firstLine="480" w:firstLineChars="200"/>
              <w:rPr>
                <w:color w:val="auto"/>
                <w:kern w:val="0"/>
                <w:sz w:val="24"/>
                <w:highlight w:val="none"/>
              </w:rPr>
            </w:pPr>
            <w:r>
              <w:rPr>
                <w:rFonts w:hint="eastAsia"/>
                <w:color w:val="auto"/>
                <w:kern w:val="0"/>
                <w:sz w:val="24"/>
                <w:highlight w:val="none"/>
              </w:rPr>
              <w:t>根据山西省林业和草原局发布的《关于公布候鸟重要迁徙通道范围的通知》可知，</w:t>
            </w:r>
            <w:r>
              <w:rPr>
                <w:rFonts w:hint="eastAsia" w:eastAsia="宋体"/>
                <w:color w:val="auto"/>
                <w:kern w:val="0"/>
                <w:sz w:val="24"/>
                <w:highlight w:val="none"/>
                <w:lang w:eastAsia="zh-CN"/>
              </w:rPr>
              <w:t>壶关县</w:t>
            </w:r>
            <w:r>
              <w:rPr>
                <w:rFonts w:hint="eastAsia"/>
                <w:color w:val="auto"/>
                <w:kern w:val="0"/>
                <w:sz w:val="24"/>
                <w:highlight w:val="none"/>
              </w:rPr>
              <w:t>境内不涉及候鸟迁徙通道。</w:t>
            </w:r>
          </w:p>
          <w:p w14:paraId="43F4B84B">
            <w:pPr>
              <w:spacing w:line="480" w:lineRule="exact"/>
              <w:ind w:firstLine="480" w:firstLineChars="200"/>
              <w:rPr>
                <w:color w:val="auto"/>
                <w:kern w:val="0"/>
                <w:sz w:val="24"/>
                <w:highlight w:val="none"/>
              </w:rPr>
            </w:pPr>
            <w:r>
              <w:rPr>
                <w:rFonts w:hint="eastAsia"/>
                <w:color w:val="auto"/>
                <w:kern w:val="0"/>
                <w:sz w:val="24"/>
                <w:highlight w:val="none"/>
              </w:rPr>
              <w:t>风电场运营期对鸟类活动的影响主要是风机风轮转动及产生的噪声可能对鸟类起到驱赶和惊扰作用，尤其在雾天和低云天气时，可能发生鸟类低空飞行碰撞风轮叶片的现象。根据已运行风电场对鸟类影响的初步调查，运营期风电场范围内低空飞行的鸟类极少，风轮叶片击中飞鸟的概率甚小。根据鸟类资料表明，一般鸟类的飞行高度为300m左右；在迁徙季节，候鸟的迁飞高度在300m以上，均超过风机的高度（风电机组的轮毂高度为1</w:t>
            </w:r>
            <w:r>
              <w:rPr>
                <w:rFonts w:hint="eastAsia" w:ascii="Times New Roman" w:eastAsia="宋体"/>
                <w:color w:val="auto"/>
                <w:kern w:val="0"/>
                <w:sz w:val="24"/>
                <w:highlight w:val="none"/>
                <w:lang w:val="en-US" w:eastAsia="zh-CN"/>
              </w:rPr>
              <w:t>40</w:t>
            </w:r>
            <w:r>
              <w:rPr>
                <w:rFonts w:hint="eastAsia"/>
                <w:color w:val="auto"/>
                <w:kern w:val="0"/>
                <w:sz w:val="24"/>
                <w:highlight w:val="none"/>
              </w:rPr>
              <w:t>m，风轮半径10</w:t>
            </w:r>
            <w:r>
              <w:rPr>
                <w:rFonts w:hint="eastAsia" w:ascii="Times New Roman" w:eastAsia="宋体"/>
                <w:color w:val="auto"/>
                <w:kern w:val="0"/>
                <w:sz w:val="24"/>
                <w:highlight w:val="none"/>
                <w:lang w:val="en-US" w:eastAsia="zh-CN"/>
              </w:rPr>
              <w:t>2</w:t>
            </w:r>
            <w:r>
              <w:rPr>
                <w:rFonts w:hint="eastAsia"/>
                <w:color w:val="auto"/>
                <w:kern w:val="0"/>
                <w:sz w:val="24"/>
                <w:highlight w:val="none"/>
              </w:rPr>
              <w:t>m）。</w:t>
            </w:r>
          </w:p>
          <w:p w14:paraId="56DCA119">
            <w:pPr>
              <w:spacing w:line="480" w:lineRule="exact"/>
              <w:ind w:firstLine="480" w:firstLineChars="200"/>
              <w:rPr>
                <w:rFonts w:hint="eastAsia"/>
                <w:color w:val="auto"/>
                <w:kern w:val="0"/>
                <w:sz w:val="24"/>
                <w:highlight w:val="none"/>
              </w:rPr>
            </w:pPr>
            <w:r>
              <w:rPr>
                <w:rFonts w:hint="eastAsia"/>
                <w:color w:val="auto"/>
                <w:kern w:val="0"/>
                <w:sz w:val="24"/>
                <w:highlight w:val="none"/>
              </w:rPr>
              <w:t>本项目</w:t>
            </w:r>
            <w:r>
              <w:rPr>
                <w:rFonts w:hint="eastAsia" w:ascii="Times New Roman" w:eastAsia="宋体"/>
                <w:color w:val="auto"/>
                <w:kern w:val="0"/>
                <w:sz w:val="24"/>
                <w:highlight w:val="none"/>
                <w:lang w:val="en-US" w:eastAsia="zh-CN"/>
              </w:rPr>
              <w:t>所在区域</w:t>
            </w:r>
            <w:r>
              <w:rPr>
                <w:rFonts w:hint="eastAsia"/>
                <w:color w:val="auto"/>
                <w:kern w:val="0"/>
                <w:sz w:val="24"/>
                <w:highlight w:val="none"/>
              </w:rPr>
              <w:t>不属于候鸟的主要栖息地和迁徙通道，也不在候鸟迁移的主要路线上，所以风电场的建成不会对候鸟产生不良影响。</w:t>
            </w:r>
          </w:p>
          <w:p w14:paraId="2C0D47D5">
            <w:pPr>
              <w:spacing w:line="480" w:lineRule="exact"/>
              <w:ind w:firstLine="480" w:firstLineChars="200"/>
              <w:rPr>
                <w:rFonts w:hint="eastAsia"/>
                <w:color w:val="auto"/>
                <w:kern w:val="0"/>
                <w:sz w:val="24"/>
                <w:highlight w:val="none"/>
                <w:lang w:val="en-US" w:eastAsia="zh-CN"/>
              </w:rPr>
            </w:pPr>
            <w:r>
              <w:rPr>
                <w:rFonts w:hint="eastAsia" w:ascii="Times New Roman" w:eastAsia="宋体"/>
                <w:color w:val="auto"/>
                <w:kern w:val="0"/>
                <w:sz w:val="24"/>
                <w:highlight w:val="none"/>
                <w:lang w:val="en-US" w:eastAsia="zh-CN"/>
              </w:rPr>
              <w:t>（3）景观影响分析</w:t>
            </w:r>
          </w:p>
          <w:p w14:paraId="2803562F">
            <w:pPr>
              <w:spacing w:line="480" w:lineRule="exact"/>
              <w:ind w:firstLine="480" w:firstLineChars="200"/>
              <w:rPr>
                <w:rFonts w:hint="eastAsia" w:ascii="Times New Roman" w:eastAsia="宋体"/>
                <w:color w:val="auto"/>
                <w:kern w:val="0"/>
                <w:sz w:val="24"/>
                <w:highlight w:val="none"/>
                <w:lang w:val="en-US" w:eastAsia="zh-CN"/>
              </w:rPr>
            </w:pPr>
            <w:r>
              <w:rPr>
                <w:rFonts w:hint="eastAsia" w:ascii="Times New Roman" w:eastAsia="宋体"/>
                <w:color w:val="auto"/>
                <w:kern w:val="0"/>
                <w:sz w:val="24"/>
                <w:highlight w:val="none"/>
                <w:lang w:val="en-US" w:eastAsia="zh-CN"/>
              </w:rPr>
              <w:t>风电工程切割连续的自然景观，破坏空间的连续性和自然性，由于风机安装在有风的开阔地带，所以安装后的风机更为显而易见。在视野中将有数排约140m高，延伸约数公里长白色风力发电机组整齐排列的壮观场面。为使风场更好地与当地自然景观和传统建筑物相协调，在选择风力发电机组时注意各风力发电机组尽量转向一致，颜色一致，机型一致，为当地旅游增添一道新景观。</w:t>
            </w:r>
          </w:p>
          <w:p w14:paraId="7A67C2DA">
            <w:pPr>
              <w:spacing w:line="480" w:lineRule="exact"/>
              <w:ind w:firstLine="480" w:firstLineChars="200"/>
              <w:rPr>
                <w:rFonts w:hint="eastAsia" w:ascii="Times New Roman" w:eastAsia="宋体"/>
                <w:color w:val="auto"/>
                <w:kern w:val="0"/>
                <w:sz w:val="24"/>
                <w:highlight w:val="none"/>
                <w:lang w:val="en-US" w:eastAsia="zh-CN"/>
              </w:rPr>
            </w:pPr>
            <w:r>
              <w:rPr>
                <w:rFonts w:hint="eastAsia" w:ascii="Times New Roman" w:eastAsia="宋体"/>
                <w:color w:val="auto"/>
                <w:kern w:val="0"/>
                <w:sz w:val="24"/>
                <w:highlight w:val="none"/>
                <w:lang w:val="en-US" w:eastAsia="zh-CN"/>
              </w:rPr>
              <w:t>6、运营期光影影响分析</w:t>
            </w:r>
          </w:p>
          <w:p w14:paraId="78F955DF">
            <w:pPr>
              <w:spacing w:line="480" w:lineRule="exact"/>
              <w:ind w:firstLine="480" w:firstLineChars="200"/>
              <w:rPr>
                <w:rFonts w:hint="eastAsia" w:ascii="Times New Roman" w:eastAsia="宋体"/>
                <w:color w:val="auto"/>
                <w:kern w:val="0"/>
                <w:sz w:val="24"/>
                <w:highlight w:val="none"/>
                <w:lang w:val="en-US" w:eastAsia="zh-CN"/>
              </w:rPr>
            </w:pPr>
            <w:r>
              <w:rPr>
                <w:rFonts w:hint="eastAsia" w:ascii="Times New Roman" w:eastAsia="宋体"/>
                <w:color w:val="auto"/>
                <w:kern w:val="0"/>
                <w:sz w:val="24"/>
                <w:highlight w:val="none"/>
                <w:lang w:val="en-US" w:eastAsia="zh-CN"/>
              </w:rPr>
              <w:t>本项目风电场风机叶片在运转时将在近距离内产生频闪阴影和频闪反射，长时间近距离观看会使人产生眩晕感，同时风机的旋转闪烁阴影如投射到人群活动区域，亦会产生感官上的不适影响。</w:t>
            </w:r>
          </w:p>
          <w:p w14:paraId="76AC2B34">
            <w:pPr>
              <w:spacing w:line="480" w:lineRule="exact"/>
              <w:ind w:firstLine="480" w:firstLineChars="200"/>
              <w:rPr>
                <w:rFonts w:hint="eastAsia" w:ascii="Times New Roman" w:eastAsia="宋体"/>
                <w:color w:val="auto"/>
                <w:kern w:val="0"/>
                <w:sz w:val="24"/>
                <w:highlight w:val="none"/>
                <w:lang w:val="en-US" w:eastAsia="zh-CN"/>
              </w:rPr>
            </w:pPr>
            <w:r>
              <w:rPr>
                <w:rFonts w:hint="eastAsia" w:ascii="Times New Roman" w:eastAsia="宋体"/>
                <w:color w:val="auto"/>
                <w:kern w:val="0"/>
                <w:sz w:val="24"/>
                <w:highlight w:val="none"/>
                <w:lang w:val="en-US" w:eastAsia="zh-CN"/>
              </w:rPr>
              <w:t>风机光影的影响范围主要由风机的阴影长度决定，光影的阴影长度计算公式如下</w:t>
            </w:r>
            <w:r>
              <w:rPr>
                <w:rFonts w:hint="eastAsia"/>
                <w:color w:val="auto"/>
                <w:kern w:val="0"/>
                <w:sz w:val="24"/>
                <w:highlight w:val="none"/>
                <w:lang w:val="en-US" w:eastAsia="zh-CN"/>
              </w:rPr>
              <w:t>：</w:t>
            </w:r>
          </w:p>
          <w:p w14:paraId="21206C6D">
            <w:pPr>
              <w:spacing w:line="480" w:lineRule="exact"/>
              <w:ind w:firstLine="480" w:firstLineChars="2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L=D/tgho</w:t>
            </w:r>
          </w:p>
          <w:p w14:paraId="1DEB3900">
            <w:pPr>
              <w:spacing w:line="480" w:lineRule="exact"/>
              <w:ind w:firstLine="480" w:firstLineChars="2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式中：</w:t>
            </w:r>
          </w:p>
          <w:p w14:paraId="483F5983">
            <w:pPr>
              <w:spacing w:line="480" w:lineRule="exact"/>
              <w:ind w:firstLine="480" w:firstLineChars="2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L—阴影长度，m；</w:t>
            </w:r>
          </w:p>
          <w:p w14:paraId="000A8048">
            <w:pPr>
              <w:spacing w:line="480" w:lineRule="exact"/>
              <w:ind w:firstLine="480" w:firstLineChars="2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D—高度（考虑高差），m（风机有效高度183m，高差按100m计）；</w:t>
            </w:r>
          </w:p>
          <w:p w14:paraId="52B4B4FA">
            <w:pPr>
              <w:spacing w:line="480" w:lineRule="exact"/>
              <w:ind w:firstLine="480" w:firstLineChars="2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ho—太阳高度角（冬至日正午）</w:t>
            </w:r>
          </w:p>
          <w:p w14:paraId="58350EEB">
            <w:pPr>
              <w:spacing w:line="480" w:lineRule="exact"/>
              <w:ind w:firstLine="480" w:firstLineChars="2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ho=90-(θ+λ)</w:t>
            </w:r>
          </w:p>
          <w:p w14:paraId="634BFAE1">
            <w:pPr>
              <w:spacing w:line="480" w:lineRule="exact"/>
              <w:ind w:firstLine="480" w:firstLineChars="2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式中：</w:t>
            </w:r>
          </w:p>
          <w:p w14:paraId="4FD1EEA3">
            <w:pPr>
              <w:spacing w:line="480" w:lineRule="exact"/>
              <w:ind w:firstLine="480" w:firstLineChars="2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ho—太阳高度角；</w:t>
            </w:r>
          </w:p>
          <w:p w14:paraId="14F28D91">
            <w:pPr>
              <w:spacing w:line="480" w:lineRule="exact"/>
              <w:ind w:firstLine="480" w:firstLineChars="2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θ—风电场地理纬度；</w:t>
            </w:r>
          </w:p>
          <w:p w14:paraId="5DEDBAAE">
            <w:pPr>
              <w:spacing w:line="480" w:lineRule="exact"/>
              <w:ind w:firstLine="480" w:firstLineChars="2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λ—太阳入射角，取23.5°</w:t>
            </w:r>
          </w:p>
          <w:p w14:paraId="40691C8F">
            <w:pPr>
              <w:spacing w:line="480" w:lineRule="exact"/>
              <w:ind w:firstLine="480" w:firstLineChars="200"/>
              <w:rPr>
                <w:rFonts w:hint="eastAsia" w:ascii="Times New Roman" w:eastAsia="宋体"/>
                <w:color w:val="auto"/>
                <w:kern w:val="0"/>
                <w:sz w:val="24"/>
                <w:highlight w:val="none"/>
                <w:lang w:val="en-US" w:eastAsia="zh-CN"/>
              </w:rPr>
            </w:pPr>
            <w:r>
              <w:rPr>
                <w:rFonts w:hint="eastAsia" w:ascii="Times New Roman" w:eastAsia="宋体"/>
                <w:color w:val="auto"/>
                <w:kern w:val="0"/>
                <w:sz w:val="24"/>
                <w:highlight w:val="none"/>
                <w:lang w:val="en-US" w:eastAsia="zh-CN"/>
              </w:rPr>
              <w:t>以风电场中心坐标纬度39.93570°计算，冬至日正午风机光影影响距离为366m，根据本项目风机布设方案，项目风机</w:t>
            </w:r>
            <w:r>
              <w:rPr>
                <w:rFonts w:hint="eastAsia"/>
                <w:color w:val="auto"/>
                <w:kern w:val="0"/>
                <w:sz w:val="24"/>
                <w:highlight w:val="none"/>
                <w:lang w:val="en-US" w:eastAsia="zh-CN"/>
              </w:rPr>
              <w:t>5</w:t>
            </w:r>
            <w:r>
              <w:rPr>
                <w:rFonts w:hint="eastAsia" w:ascii="Times New Roman" w:eastAsia="宋体"/>
                <w:color w:val="auto"/>
                <w:kern w:val="0"/>
                <w:sz w:val="24"/>
                <w:highlight w:val="none"/>
                <w:lang w:val="en-US" w:eastAsia="zh-CN"/>
              </w:rPr>
              <w:t>00m范围内均无村庄居民分布，项目风机基本不会对风电场区域内村庄居民产生明显的光影影响。</w:t>
            </w:r>
          </w:p>
          <w:p w14:paraId="0D08D0CA">
            <w:pPr>
              <w:spacing w:line="480" w:lineRule="exact"/>
              <w:ind w:firstLine="480" w:firstLineChars="200"/>
              <w:rPr>
                <w:rFonts w:hint="eastAsia"/>
                <w:color w:val="auto"/>
                <w:kern w:val="0"/>
                <w:sz w:val="24"/>
                <w:highlight w:val="none"/>
                <w:lang w:val="en-US" w:eastAsia="zh-CN"/>
              </w:rPr>
            </w:pPr>
            <w:r>
              <w:rPr>
                <w:rFonts w:hint="eastAsia"/>
                <w:color w:val="auto"/>
                <w:kern w:val="0"/>
                <w:sz w:val="24"/>
                <w:highlight w:val="none"/>
                <w:lang w:val="en-US" w:eastAsia="zh-CN"/>
              </w:rPr>
              <w:t>7、运营期环境风险影响分析</w:t>
            </w:r>
          </w:p>
          <w:p w14:paraId="6416D469">
            <w:pPr>
              <w:spacing w:line="480" w:lineRule="exact"/>
              <w:ind w:firstLine="480" w:firstLineChars="200"/>
              <w:rPr>
                <w:rFonts w:hint="default"/>
                <w:color w:val="auto"/>
                <w:kern w:val="0"/>
                <w:sz w:val="24"/>
                <w:highlight w:val="none"/>
                <w:lang w:val="en-US" w:eastAsia="zh-CN"/>
              </w:rPr>
            </w:pPr>
            <w:r>
              <w:rPr>
                <w:rFonts w:hint="eastAsia"/>
                <w:color w:val="auto"/>
                <w:kern w:val="0"/>
                <w:sz w:val="24"/>
                <w:highlight w:val="none"/>
                <w:lang w:val="en-US" w:eastAsia="zh-CN"/>
              </w:rPr>
              <w:t>根据《风电场重大危险源辨识规程》(NB/T10575-2021)和环境风险应急预案的风险物质判别要求，本项目箱变采用干式变压器，无环境风险物质，环境风险影响可忽略不计。</w:t>
            </w:r>
          </w:p>
          <w:p w14:paraId="6CC7F271">
            <w:pPr>
              <w:pStyle w:val="7"/>
              <w:spacing w:line="360" w:lineRule="auto"/>
              <w:rPr>
                <w:rFonts w:hint="eastAsia" w:ascii="Times New Roman"/>
                <w:color w:val="auto"/>
                <w:kern w:val="0"/>
                <w:sz w:val="24"/>
                <w:highlight w:val="none"/>
                <w:lang w:val="en-US" w:eastAsia="zh-CN"/>
              </w:rPr>
            </w:pPr>
          </w:p>
          <w:p w14:paraId="593F2E6A">
            <w:pPr>
              <w:pStyle w:val="7"/>
              <w:rPr>
                <w:rFonts w:hint="eastAsia" w:ascii="Times New Roman"/>
                <w:color w:val="auto"/>
                <w:kern w:val="0"/>
                <w:sz w:val="24"/>
                <w:highlight w:val="none"/>
                <w:lang w:val="en-US" w:eastAsia="zh-CN"/>
              </w:rPr>
            </w:pPr>
          </w:p>
          <w:p w14:paraId="48CD7B96">
            <w:pPr>
              <w:rPr>
                <w:rFonts w:hint="default"/>
                <w:color w:val="auto"/>
                <w:highlight w:val="none"/>
                <w:lang w:val="en-US" w:eastAsia="zh-CN"/>
              </w:rPr>
            </w:pPr>
          </w:p>
          <w:p w14:paraId="1E4EFA2D">
            <w:pPr>
              <w:spacing w:line="480" w:lineRule="exact"/>
              <w:ind w:firstLine="480" w:firstLineChars="200"/>
              <w:rPr>
                <w:color w:val="auto"/>
                <w:kern w:val="0"/>
                <w:sz w:val="24"/>
                <w:highlight w:val="none"/>
              </w:rPr>
            </w:pPr>
          </w:p>
          <w:p w14:paraId="52610419">
            <w:pPr>
              <w:adjustRightInd w:val="0"/>
              <w:snapToGrid w:val="0"/>
              <w:spacing w:before="120" w:beforeLines="50" w:after="120" w:afterLines="50" w:line="480" w:lineRule="exact"/>
              <w:jc w:val="both"/>
              <w:rPr>
                <w:bCs/>
                <w:color w:val="auto"/>
                <w:spacing w:val="4"/>
                <w:szCs w:val="21"/>
                <w:highlight w:val="none"/>
              </w:rPr>
            </w:pPr>
          </w:p>
        </w:tc>
      </w:tr>
      <w:tr w14:paraId="6F0854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457" w:hRule="atLeast"/>
          <w:jc w:val="center"/>
        </w:trPr>
        <w:tc>
          <w:tcPr>
            <w:tcW w:w="879" w:type="dxa"/>
            <w:vAlign w:val="center"/>
          </w:tcPr>
          <w:p w14:paraId="300D153C">
            <w:pPr>
              <w:pStyle w:val="9"/>
              <w:adjustRightInd w:val="0"/>
              <w:snapToGrid w:val="0"/>
              <w:spacing w:before="0" w:beforeAutospacing="0" w:after="0" w:afterAutospacing="0"/>
              <w:jc w:val="center"/>
              <w:rPr>
                <w:rFonts w:hint="eastAsia" w:cs="宋体"/>
                <w:bCs/>
                <w:color w:val="auto"/>
                <w:kern w:val="2"/>
                <w:sz w:val="21"/>
                <w:szCs w:val="21"/>
                <w:highlight w:val="none"/>
              </w:rPr>
            </w:pPr>
            <w:r>
              <w:rPr>
                <w:rFonts w:hint="eastAsia" w:cs="宋体"/>
                <w:bCs/>
                <w:color w:val="auto"/>
                <w:kern w:val="2"/>
                <w:sz w:val="24"/>
                <w:szCs w:val="24"/>
                <w:highlight w:val="none"/>
              </w:rPr>
              <w:t>选址选线环境合理性分析</w:t>
            </w:r>
          </w:p>
        </w:tc>
        <w:tc>
          <w:tcPr>
            <w:tcW w:w="8363" w:type="dxa"/>
          </w:tcPr>
          <w:p w14:paraId="00F47EA2">
            <w:pPr>
              <w:adjustRightInd w:val="0"/>
              <w:snapToGrid w:val="0"/>
              <w:spacing w:line="480" w:lineRule="exact"/>
              <w:ind w:firstLine="480" w:firstLineChars="200"/>
              <w:rPr>
                <w:bCs/>
                <w:color w:val="auto"/>
                <w:kern w:val="0"/>
                <w:sz w:val="24"/>
                <w:highlight w:val="none"/>
              </w:rPr>
            </w:pPr>
            <w:r>
              <w:rPr>
                <w:rFonts w:hint="eastAsia"/>
                <w:bCs/>
                <w:color w:val="auto"/>
                <w:kern w:val="0"/>
                <w:sz w:val="24"/>
                <w:highlight w:val="none"/>
              </w:rPr>
              <w:t>1、环境敏感因素</w:t>
            </w:r>
          </w:p>
          <w:p w14:paraId="3EAACC8B">
            <w:pPr>
              <w:adjustRightInd w:val="0"/>
              <w:snapToGrid w:val="0"/>
              <w:spacing w:line="480" w:lineRule="exact"/>
              <w:ind w:firstLine="480" w:firstLineChars="200"/>
              <w:rPr>
                <w:bCs/>
                <w:color w:val="auto"/>
                <w:kern w:val="0"/>
                <w:sz w:val="24"/>
                <w:highlight w:val="none"/>
              </w:rPr>
            </w:pPr>
            <w:r>
              <w:rPr>
                <w:rFonts w:hint="eastAsia"/>
                <w:bCs/>
                <w:color w:val="auto"/>
                <w:kern w:val="0"/>
                <w:sz w:val="24"/>
                <w:highlight w:val="none"/>
              </w:rPr>
              <w:t>（1）水源地</w:t>
            </w:r>
          </w:p>
          <w:p w14:paraId="4E30BDAA">
            <w:pPr>
              <w:spacing w:line="440" w:lineRule="exact"/>
              <w:ind w:firstLine="480" w:firstLineChars="200"/>
              <w:rPr>
                <w:rFonts w:eastAsia="宋体"/>
                <w:color w:val="auto"/>
                <w:sz w:val="24"/>
                <w:szCs w:val="24"/>
                <w:highlight w:val="none"/>
              </w:rPr>
            </w:pPr>
            <w:r>
              <w:rPr>
                <w:rFonts w:hint="eastAsia" w:eastAsia="宋体"/>
                <w:color w:val="auto"/>
                <w:sz w:val="24"/>
                <w:szCs w:val="24"/>
                <w:highlight w:val="none"/>
              </w:rPr>
              <w:t>1</w:t>
            </w:r>
            <w:r>
              <w:rPr>
                <w:rFonts w:hint="eastAsia" w:eastAsia="宋体"/>
                <w:color w:val="auto"/>
                <w:sz w:val="24"/>
                <w:szCs w:val="24"/>
                <w:highlight w:val="none"/>
                <w:lang w:eastAsia="zh-CN"/>
              </w:rPr>
              <w:t>）</w:t>
            </w:r>
            <w:r>
              <w:rPr>
                <w:rFonts w:hint="eastAsia" w:eastAsia="宋体"/>
                <w:color w:val="auto"/>
                <w:sz w:val="24"/>
                <w:szCs w:val="24"/>
                <w:highlight w:val="none"/>
              </w:rPr>
              <w:t>城镇集中式饮用水水源地</w:t>
            </w:r>
          </w:p>
          <w:p w14:paraId="61E2C4D0">
            <w:pPr>
              <w:spacing w:line="440" w:lineRule="exact"/>
              <w:ind w:firstLine="480" w:firstLineChars="200"/>
              <w:rPr>
                <w:rFonts w:hint="eastAsia" w:eastAsia="宋体"/>
                <w:color w:val="auto"/>
                <w:sz w:val="24"/>
                <w:szCs w:val="24"/>
                <w:highlight w:val="none"/>
              </w:rPr>
            </w:pPr>
            <w:r>
              <w:rPr>
                <w:rFonts w:hint="eastAsia" w:eastAsia="宋体"/>
                <w:color w:val="auto"/>
                <w:sz w:val="24"/>
                <w:szCs w:val="24"/>
                <w:highlight w:val="none"/>
              </w:rPr>
              <w:t>根据山西</w:t>
            </w:r>
            <w:r>
              <w:rPr>
                <w:rFonts w:hint="eastAsia"/>
                <w:color w:val="auto"/>
                <w:sz w:val="24"/>
                <w:szCs w:val="24"/>
                <w:highlight w:val="none"/>
                <w:lang w:eastAsia="zh-CN"/>
              </w:rPr>
              <w:t>省</w:t>
            </w:r>
            <w:r>
              <w:rPr>
                <w:rFonts w:hint="eastAsia" w:eastAsia="宋体"/>
                <w:color w:val="auto"/>
                <w:sz w:val="24"/>
                <w:szCs w:val="24"/>
                <w:highlight w:val="none"/>
              </w:rPr>
              <w:t>人民政府壶晋政函〔2009〕149号文“关于同意县级以上城镇集中式饮用水水源保护区划分方案的批复”，壶关县县级水源地为壶关县北关深井水源地，位于壶关县龙泉镇，地理坐标为东经113.205°，北纬36.121°。</w:t>
            </w:r>
          </w:p>
          <w:p w14:paraId="3401928B">
            <w:pPr>
              <w:spacing w:line="440" w:lineRule="exact"/>
              <w:ind w:firstLine="480" w:firstLineChars="200"/>
              <w:rPr>
                <w:rFonts w:eastAsia="宋体"/>
                <w:color w:val="auto"/>
                <w:sz w:val="24"/>
                <w:szCs w:val="24"/>
                <w:highlight w:val="none"/>
              </w:rPr>
            </w:pPr>
            <w:r>
              <w:rPr>
                <w:rFonts w:hint="eastAsia" w:eastAsia="宋体"/>
                <w:color w:val="auto"/>
                <w:sz w:val="24"/>
                <w:szCs w:val="24"/>
                <w:highlight w:val="none"/>
              </w:rPr>
              <w:t>本项目距壶关县北关深井水源地保护区边界</w:t>
            </w:r>
            <w:r>
              <w:rPr>
                <w:rFonts w:hint="eastAsia" w:ascii="Times New Roman" w:eastAsia="宋体"/>
                <w:color w:val="auto"/>
                <w:sz w:val="24"/>
                <w:szCs w:val="24"/>
                <w:highlight w:val="none"/>
                <w:lang w:val="en-US" w:eastAsia="zh-CN"/>
              </w:rPr>
              <w:t>19.6</w:t>
            </w:r>
            <w:r>
              <w:rPr>
                <w:rFonts w:hint="eastAsia" w:eastAsia="宋体"/>
                <w:color w:val="auto"/>
                <w:sz w:val="24"/>
                <w:szCs w:val="24"/>
                <w:highlight w:val="none"/>
              </w:rPr>
              <w:t>km，不在其保护范围。</w:t>
            </w:r>
          </w:p>
          <w:p w14:paraId="0D1F8FA2">
            <w:pPr>
              <w:spacing w:line="440" w:lineRule="exact"/>
              <w:ind w:firstLine="480" w:firstLineChars="200"/>
              <w:rPr>
                <w:rFonts w:eastAsia="宋体"/>
                <w:color w:val="auto"/>
                <w:sz w:val="24"/>
                <w:szCs w:val="24"/>
                <w:highlight w:val="none"/>
              </w:rPr>
            </w:pPr>
            <w:r>
              <w:rPr>
                <w:rFonts w:hint="eastAsia" w:eastAsia="宋体"/>
                <w:color w:val="auto"/>
                <w:sz w:val="24"/>
                <w:szCs w:val="24"/>
                <w:highlight w:val="none"/>
              </w:rPr>
              <w:t>2</w:t>
            </w:r>
            <w:r>
              <w:rPr>
                <w:rFonts w:hint="eastAsia" w:eastAsia="宋体"/>
                <w:color w:val="auto"/>
                <w:sz w:val="24"/>
                <w:szCs w:val="24"/>
                <w:highlight w:val="none"/>
                <w:lang w:eastAsia="zh-CN"/>
              </w:rPr>
              <w:t>）</w:t>
            </w:r>
            <w:r>
              <w:rPr>
                <w:rFonts w:hint="eastAsia" w:eastAsia="宋体"/>
                <w:color w:val="auto"/>
                <w:sz w:val="24"/>
                <w:szCs w:val="24"/>
                <w:highlight w:val="none"/>
              </w:rPr>
              <w:t>乡镇集中式饮用水水源地</w:t>
            </w:r>
          </w:p>
          <w:p w14:paraId="34D23F35">
            <w:pPr>
              <w:adjustRightInd w:val="0"/>
              <w:snapToGrid w:val="0"/>
              <w:spacing w:line="440" w:lineRule="exact"/>
              <w:ind w:firstLine="480" w:firstLineChars="200"/>
              <w:rPr>
                <w:rFonts w:hint="default" w:eastAsia="宋体"/>
                <w:color w:val="auto"/>
                <w:sz w:val="24"/>
                <w:szCs w:val="24"/>
                <w:highlight w:val="none"/>
                <w:lang w:val="en-US" w:eastAsia="zh-CN"/>
              </w:rPr>
            </w:pPr>
            <w:r>
              <w:rPr>
                <w:rFonts w:hint="eastAsia" w:eastAsia="宋体"/>
                <w:color w:val="auto"/>
                <w:sz w:val="24"/>
                <w:szCs w:val="24"/>
                <w:highlight w:val="none"/>
              </w:rPr>
              <w:t>根据山西</w:t>
            </w:r>
            <w:r>
              <w:rPr>
                <w:rFonts w:hint="eastAsia"/>
                <w:color w:val="auto"/>
                <w:sz w:val="24"/>
                <w:szCs w:val="24"/>
                <w:highlight w:val="none"/>
                <w:lang w:eastAsia="zh-CN"/>
              </w:rPr>
              <w:t>省</w:t>
            </w:r>
            <w:bookmarkStart w:id="7" w:name="_GoBack"/>
            <w:bookmarkEnd w:id="7"/>
            <w:r>
              <w:rPr>
                <w:rFonts w:hint="eastAsia" w:eastAsia="宋体"/>
                <w:color w:val="auto"/>
                <w:sz w:val="24"/>
                <w:szCs w:val="24"/>
                <w:highlight w:val="none"/>
              </w:rPr>
              <w:t>人民政府壶晋政函〔20</w:t>
            </w:r>
            <w:r>
              <w:rPr>
                <w:rFonts w:hint="eastAsia" w:ascii="Times New Roman" w:eastAsia="宋体"/>
                <w:color w:val="auto"/>
                <w:sz w:val="24"/>
                <w:szCs w:val="24"/>
                <w:highlight w:val="none"/>
                <w:lang w:val="en-US" w:eastAsia="zh-CN"/>
              </w:rPr>
              <w:t>12</w:t>
            </w:r>
            <w:r>
              <w:rPr>
                <w:rFonts w:hint="eastAsia" w:eastAsia="宋体"/>
                <w:color w:val="auto"/>
                <w:sz w:val="24"/>
                <w:szCs w:val="24"/>
                <w:highlight w:val="none"/>
              </w:rPr>
              <w:t>〕1</w:t>
            </w:r>
            <w:r>
              <w:rPr>
                <w:rFonts w:hint="eastAsia" w:ascii="Times New Roman" w:eastAsia="宋体"/>
                <w:color w:val="auto"/>
                <w:sz w:val="24"/>
                <w:szCs w:val="24"/>
                <w:highlight w:val="none"/>
                <w:lang w:val="en-US" w:eastAsia="zh-CN"/>
              </w:rPr>
              <w:t>36</w:t>
            </w:r>
            <w:r>
              <w:rPr>
                <w:rFonts w:hint="eastAsia" w:eastAsia="宋体"/>
                <w:color w:val="auto"/>
                <w:sz w:val="24"/>
                <w:szCs w:val="24"/>
                <w:highlight w:val="none"/>
              </w:rPr>
              <w:t>号文“关于同意</w:t>
            </w:r>
            <w:r>
              <w:rPr>
                <w:rFonts w:hint="eastAsia" w:ascii="Times New Roman" w:eastAsia="宋体"/>
                <w:color w:val="auto"/>
                <w:sz w:val="24"/>
                <w:szCs w:val="24"/>
                <w:highlight w:val="none"/>
                <w:lang w:val="en-US" w:eastAsia="zh-CN"/>
              </w:rPr>
              <w:t>长治市乡</w:t>
            </w:r>
            <w:r>
              <w:rPr>
                <w:rFonts w:hint="eastAsia" w:eastAsia="宋体"/>
                <w:color w:val="auto"/>
                <w:sz w:val="24"/>
                <w:szCs w:val="24"/>
                <w:highlight w:val="none"/>
              </w:rPr>
              <w:t>镇集中式饮用水水源保护区划分方案的批复”，</w:t>
            </w:r>
            <w:r>
              <w:rPr>
                <w:rFonts w:hint="eastAsia" w:ascii="Times New Roman" w:eastAsia="宋体"/>
                <w:color w:val="auto"/>
                <w:sz w:val="24"/>
                <w:szCs w:val="24"/>
                <w:highlight w:val="none"/>
                <w:lang w:val="en-US" w:eastAsia="zh-CN"/>
              </w:rPr>
              <w:t>壶关县</w:t>
            </w:r>
            <w:r>
              <w:rPr>
                <w:rFonts w:hint="eastAsia" w:eastAsia="宋体"/>
                <w:color w:val="auto"/>
                <w:sz w:val="24"/>
                <w:szCs w:val="24"/>
                <w:highlight w:val="none"/>
              </w:rPr>
              <w:t>乡镇水源地共有</w:t>
            </w:r>
            <w:r>
              <w:rPr>
                <w:rFonts w:hint="eastAsia" w:ascii="Times New Roman" w:eastAsia="宋体"/>
                <w:color w:val="auto"/>
                <w:sz w:val="24"/>
                <w:szCs w:val="24"/>
                <w:highlight w:val="none"/>
                <w:lang w:val="en-US" w:eastAsia="zh-CN"/>
              </w:rPr>
              <w:t>7</w:t>
            </w:r>
            <w:r>
              <w:rPr>
                <w:rFonts w:hint="eastAsia" w:eastAsia="宋体"/>
                <w:color w:val="auto"/>
                <w:sz w:val="24"/>
                <w:szCs w:val="24"/>
                <w:highlight w:val="none"/>
              </w:rPr>
              <w:t>处</w:t>
            </w:r>
            <w:r>
              <w:rPr>
                <w:rFonts w:hint="eastAsia" w:eastAsia="宋体"/>
                <w:color w:val="auto"/>
                <w:sz w:val="24"/>
                <w:szCs w:val="24"/>
                <w:highlight w:val="none"/>
                <w:lang w:eastAsia="zh-CN"/>
              </w:rPr>
              <w:t>，</w:t>
            </w:r>
            <w:r>
              <w:rPr>
                <w:rFonts w:hint="eastAsia" w:eastAsia="宋体"/>
                <w:color w:val="auto"/>
                <w:sz w:val="24"/>
                <w:szCs w:val="24"/>
                <w:highlight w:val="none"/>
              </w:rPr>
              <w:t>分别为龙泉镇</w:t>
            </w:r>
            <w:r>
              <w:rPr>
                <w:rFonts w:hint="eastAsia" w:ascii="Times New Roman" w:eastAsia="宋体"/>
                <w:color w:val="auto"/>
                <w:sz w:val="24"/>
                <w:szCs w:val="24"/>
                <w:highlight w:val="none"/>
                <w:lang w:val="en-US" w:eastAsia="zh-CN"/>
              </w:rPr>
              <w:t>修善集中供水水源、黄山集中供水水源、百尺镇集中供水水源、韩庄集中供水水源、集店乡集中供水水源、七里栈集中供水水源和常平经济开发区集中供水水源。</w:t>
            </w:r>
          </w:p>
          <w:p w14:paraId="24837A3B">
            <w:pPr>
              <w:adjustRightInd w:val="0"/>
              <w:snapToGrid w:val="0"/>
              <w:spacing w:line="48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距离本项目最近的水源地为韩庄集中供水水源地。该水源地距离本项目</w:t>
            </w:r>
            <w:r>
              <w:rPr>
                <w:rFonts w:hint="default" w:ascii="Times New Roman" w:hAnsi="Times New Roman" w:eastAsia="宋体" w:cs="Times New Roman"/>
                <w:color w:val="auto"/>
                <w:sz w:val="24"/>
                <w:szCs w:val="24"/>
                <w:highlight w:val="none"/>
                <w:lang w:val="en-US" w:eastAsia="zh-CN"/>
              </w:rPr>
              <w:t>最近的风机为</w:t>
            </w:r>
            <w:r>
              <w:rPr>
                <w:rFonts w:hint="eastAsia" w:ascii="Times New Roman" w:hAnsi="Times New Roman" w:cs="Times New Roman"/>
                <w:color w:val="auto"/>
                <w:sz w:val="24"/>
                <w:szCs w:val="24"/>
                <w:highlight w:val="none"/>
                <w:lang w:val="en-US" w:eastAsia="zh-CN"/>
              </w:rPr>
              <w:t>WTG01</w:t>
            </w:r>
            <w:r>
              <w:rPr>
                <w:rFonts w:hint="default" w:ascii="Times New Roman" w:hAnsi="Times New Roman" w:eastAsia="宋体" w:cs="Times New Roman"/>
                <w:color w:val="auto"/>
                <w:sz w:val="24"/>
                <w:szCs w:val="24"/>
                <w:highlight w:val="none"/>
                <w:lang w:val="en-US" w:eastAsia="zh-CN"/>
              </w:rPr>
              <w:t>，距离为</w:t>
            </w:r>
            <w:r>
              <w:rPr>
                <w:rFonts w:hint="eastAsia" w:ascii="Times New Roman" w:hAnsi="Times New Roman" w:cs="Times New Roman"/>
                <w:color w:val="auto"/>
                <w:sz w:val="24"/>
                <w:szCs w:val="24"/>
                <w:highlight w:val="none"/>
                <w:lang w:val="en-US" w:eastAsia="zh-CN"/>
              </w:rPr>
              <w:t>5.6</w:t>
            </w:r>
            <w:r>
              <w:rPr>
                <w:rFonts w:hint="default" w:ascii="Times New Roman" w:hAnsi="Times New Roman" w:eastAsia="宋体" w:cs="Times New Roman"/>
                <w:color w:val="auto"/>
                <w:sz w:val="24"/>
                <w:szCs w:val="24"/>
                <w:highlight w:val="none"/>
                <w:lang w:val="en-US" w:eastAsia="zh-CN"/>
              </w:rPr>
              <w:t>km。</w:t>
            </w:r>
            <w:r>
              <w:rPr>
                <w:rFonts w:hint="default" w:ascii="Times New Roman" w:hAnsi="Times New Roman" w:eastAsia="宋体" w:cs="Times New Roman"/>
                <w:color w:val="auto"/>
                <w:sz w:val="24"/>
                <w:szCs w:val="24"/>
                <w:highlight w:val="none"/>
              </w:rPr>
              <w:t>本项目不在其保护区范围。</w:t>
            </w:r>
          </w:p>
          <w:p w14:paraId="0575C1EF">
            <w:pPr>
              <w:adjustRightInd w:val="0"/>
              <w:snapToGrid w:val="0"/>
              <w:spacing w:line="480" w:lineRule="exact"/>
              <w:ind w:firstLine="480" w:firstLineChars="200"/>
              <w:rPr>
                <w:bCs/>
                <w:color w:val="auto"/>
                <w:kern w:val="0"/>
                <w:sz w:val="24"/>
                <w:highlight w:val="none"/>
              </w:rPr>
            </w:pPr>
            <w:r>
              <w:rPr>
                <w:rFonts w:hint="eastAsia"/>
                <w:bCs/>
                <w:color w:val="auto"/>
                <w:kern w:val="0"/>
                <w:sz w:val="24"/>
                <w:highlight w:val="none"/>
              </w:rPr>
              <w:t>（2）</w:t>
            </w:r>
            <w:r>
              <w:rPr>
                <w:rFonts w:hint="eastAsia" w:ascii="Times New Roman" w:eastAsia="宋体"/>
                <w:bCs/>
                <w:color w:val="auto"/>
                <w:kern w:val="0"/>
                <w:sz w:val="24"/>
                <w:highlight w:val="none"/>
                <w:lang w:val="en-US" w:eastAsia="zh-CN"/>
              </w:rPr>
              <w:t>辛安</w:t>
            </w:r>
            <w:r>
              <w:rPr>
                <w:rFonts w:hint="eastAsia"/>
                <w:bCs/>
                <w:color w:val="auto"/>
                <w:kern w:val="0"/>
                <w:sz w:val="24"/>
                <w:highlight w:val="none"/>
              </w:rPr>
              <w:t>泉域</w:t>
            </w:r>
          </w:p>
          <w:p w14:paraId="0141D2E6">
            <w:pPr>
              <w:adjustRightInd w:val="0"/>
              <w:snapToGrid w:val="0"/>
              <w:spacing w:line="440" w:lineRule="exact"/>
              <w:ind w:firstLine="480" w:firstLineChars="200"/>
              <w:rPr>
                <w:rFonts w:eastAsia="宋体"/>
                <w:color w:val="auto"/>
                <w:sz w:val="24"/>
                <w:szCs w:val="24"/>
                <w:highlight w:val="none"/>
              </w:rPr>
            </w:pPr>
            <w:r>
              <w:rPr>
                <w:rFonts w:hint="eastAsia" w:eastAsia="宋体"/>
                <w:color w:val="auto"/>
                <w:sz w:val="24"/>
                <w:szCs w:val="24"/>
                <w:highlight w:val="none"/>
              </w:rPr>
              <w:t>1</w:t>
            </w:r>
            <w:r>
              <w:rPr>
                <w:rFonts w:hint="eastAsia" w:eastAsia="宋体"/>
                <w:color w:val="auto"/>
                <w:sz w:val="24"/>
                <w:szCs w:val="24"/>
                <w:highlight w:val="none"/>
                <w:lang w:eastAsia="zh-CN"/>
              </w:rPr>
              <w:t>）</w:t>
            </w:r>
            <w:r>
              <w:rPr>
                <w:rFonts w:hint="eastAsia" w:eastAsia="宋体"/>
                <w:color w:val="auto"/>
                <w:sz w:val="24"/>
                <w:szCs w:val="24"/>
                <w:highlight w:val="none"/>
              </w:rPr>
              <w:t>泉域概况</w:t>
            </w:r>
          </w:p>
          <w:p w14:paraId="1B0D5EB9">
            <w:pPr>
              <w:adjustRightInd w:val="0"/>
              <w:snapToGrid w:val="0"/>
              <w:spacing w:line="440" w:lineRule="exact"/>
              <w:ind w:firstLine="480" w:firstLineChars="200"/>
              <w:rPr>
                <w:rFonts w:eastAsia="宋体"/>
                <w:color w:val="auto"/>
                <w:sz w:val="24"/>
                <w:szCs w:val="24"/>
                <w:highlight w:val="none"/>
              </w:rPr>
            </w:pPr>
            <w:r>
              <w:rPr>
                <w:rFonts w:hint="eastAsia" w:eastAsia="宋体"/>
                <w:color w:val="auto"/>
                <w:sz w:val="24"/>
                <w:szCs w:val="24"/>
                <w:highlight w:val="none"/>
              </w:rPr>
              <w:t>辛安泉域位于山西省东南部，包括长治市的武乡、襄垣、沁县、黎城、潞城、平顺、壶关、长子、屯留、长治县，城区、郊区等12个县</w:t>
            </w:r>
            <w:r>
              <w:rPr>
                <w:rFonts w:eastAsia="宋体"/>
                <w:color w:val="auto"/>
                <w:sz w:val="24"/>
                <w:szCs w:val="24"/>
                <w:highlight w:val="none"/>
              </w:rPr>
              <w:t>（市、区)</w:t>
            </w:r>
            <w:r>
              <w:rPr>
                <w:rFonts w:hint="eastAsia" w:eastAsia="宋体"/>
                <w:color w:val="auto"/>
                <w:sz w:val="24"/>
                <w:szCs w:val="24"/>
                <w:highlight w:val="none"/>
              </w:rPr>
              <w:t xml:space="preserve">，还包括晋中地区的榆社县等。 </w:t>
            </w:r>
          </w:p>
          <w:p w14:paraId="6405D7B7">
            <w:pPr>
              <w:adjustRightInd w:val="0"/>
              <w:snapToGrid w:val="0"/>
              <w:spacing w:line="440" w:lineRule="exact"/>
              <w:ind w:firstLine="480" w:firstLineChars="200"/>
              <w:rPr>
                <w:rFonts w:eastAsia="宋体"/>
                <w:color w:val="auto"/>
                <w:sz w:val="24"/>
                <w:szCs w:val="24"/>
                <w:highlight w:val="none"/>
              </w:rPr>
            </w:pPr>
            <w:r>
              <w:rPr>
                <w:rFonts w:hint="eastAsia" w:eastAsia="宋体"/>
                <w:color w:val="auto"/>
                <w:sz w:val="24"/>
                <w:szCs w:val="24"/>
                <w:highlight w:val="none"/>
              </w:rPr>
              <w:t>泉城东部为太行山，西部为太岳山，中部为长治盆地，山区高程1100~ 1500m,部分山峰高达2000m以上，盆地高程700~ 950m。主要河流为浊漳河，属海河</w:t>
            </w:r>
            <w:r>
              <w:rPr>
                <w:rFonts w:hint="eastAsia" w:ascii="Times New Roman" w:eastAsia="宋体"/>
                <w:color w:val="auto"/>
                <w:sz w:val="24"/>
                <w:szCs w:val="24"/>
                <w:highlight w:val="none"/>
                <w:lang w:val="en-US" w:eastAsia="zh-CN"/>
              </w:rPr>
              <w:t>流域</w:t>
            </w:r>
            <w:r>
              <w:rPr>
                <w:rFonts w:hint="eastAsia" w:eastAsia="宋体"/>
                <w:color w:val="auto"/>
                <w:sz w:val="24"/>
                <w:szCs w:val="24"/>
                <w:highlight w:val="none"/>
              </w:rPr>
              <w:t>漳卫河水系，上游分南、西、北三条支流，在襄垣县小坟村汇流后自西向东穿越太行山流向华北平原。</w:t>
            </w:r>
          </w:p>
          <w:p w14:paraId="190AB115">
            <w:pPr>
              <w:adjustRightInd w:val="0"/>
              <w:snapToGrid w:val="0"/>
              <w:spacing w:line="440" w:lineRule="exact"/>
              <w:ind w:firstLine="480" w:firstLineChars="200"/>
              <w:rPr>
                <w:rFonts w:eastAsia="宋体"/>
                <w:color w:val="auto"/>
                <w:sz w:val="24"/>
                <w:szCs w:val="24"/>
                <w:highlight w:val="none"/>
              </w:rPr>
            </w:pPr>
            <w:r>
              <w:rPr>
                <w:rFonts w:hint="eastAsia" w:eastAsia="宋体"/>
                <w:color w:val="auto"/>
                <w:sz w:val="24"/>
                <w:szCs w:val="24"/>
                <w:highlight w:val="none"/>
              </w:rPr>
              <w:t>泉域属温暖半</w:t>
            </w:r>
            <w:r>
              <w:rPr>
                <w:rFonts w:hint="eastAsia" w:ascii="Times New Roman" w:eastAsia="宋体"/>
                <w:color w:val="auto"/>
                <w:sz w:val="24"/>
                <w:szCs w:val="24"/>
                <w:highlight w:val="none"/>
                <w:lang w:val="en-US" w:eastAsia="zh-CN"/>
              </w:rPr>
              <w:t>干旱</w:t>
            </w:r>
            <w:r>
              <w:rPr>
                <w:rFonts w:hint="eastAsia" w:eastAsia="宋体"/>
                <w:color w:val="auto"/>
                <w:sz w:val="24"/>
                <w:szCs w:val="24"/>
                <w:highlight w:val="none"/>
              </w:rPr>
              <w:t>大陆性气候，四季分明，年平均气温9.4</w:t>
            </w:r>
            <w:r>
              <w:rPr>
                <w:rFonts w:hint="default" w:ascii="Times New Roman" w:hAnsi="Times New Roman" w:eastAsia="宋体" w:cs="Times New Roman"/>
                <w:color w:val="auto"/>
                <w:sz w:val="24"/>
                <w:szCs w:val="24"/>
                <w:highlight w:val="none"/>
                <w:lang w:val="en-US" w:eastAsia="zh-CN"/>
              </w:rPr>
              <w:t>℃</w:t>
            </w:r>
            <w:r>
              <w:rPr>
                <w:rFonts w:hint="eastAsia" w:eastAsia="宋体"/>
                <w:color w:val="auto"/>
                <w:sz w:val="24"/>
                <w:szCs w:val="24"/>
                <w:highlight w:val="none"/>
              </w:rPr>
              <w:t>。降水主要集中在夏、秋两季，多年平均降水量569.6mm。</w:t>
            </w:r>
          </w:p>
          <w:p w14:paraId="09BD57D3">
            <w:pPr>
              <w:adjustRightInd w:val="0"/>
              <w:snapToGrid w:val="0"/>
              <w:spacing w:line="440" w:lineRule="exact"/>
              <w:ind w:firstLine="480" w:firstLineChars="200"/>
              <w:rPr>
                <w:rFonts w:eastAsia="宋体"/>
                <w:color w:val="auto"/>
                <w:sz w:val="24"/>
                <w:szCs w:val="24"/>
                <w:highlight w:val="none"/>
              </w:rPr>
            </w:pPr>
            <w:r>
              <w:rPr>
                <w:rFonts w:hint="eastAsia" w:eastAsia="宋体"/>
                <w:color w:val="auto"/>
                <w:sz w:val="24"/>
                <w:szCs w:val="24"/>
                <w:highlight w:val="none"/>
              </w:rPr>
              <w:t>泉域内岩溶地下水主要含水层为奥陶系中统石灰岩、泥灰岩、角砾状灰岩等，其次为寒武系中、上统石灰岩、白云质灰岩等。奥陶系下统白云岩，除排泄区外在区域上为相对隔水层。</w:t>
            </w:r>
          </w:p>
          <w:p w14:paraId="312C6B4B">
            <w:pPr>
              <w:adjustRightInd w:val="0"/>
              <w:snapToGrid w:val="0"/>
              <w:spacing w:line="440" w:lineRule="exact"/>
              <w:ind w:firstLine="480" w:firstLineChars="200"/>
              <w:rPr>
                <w:rFonts w:eastAsia="宋体"/>
                <w:color w:val="auto"/>
                <w:sz w:val="24"/>
                <w:szCs w:val="24"/>
                <w:highlight w:val="none"/>
              </w:rPr>
            </w:pPr>
            <w:r>
              <w:rPr>
                <w:rFonts w:hint="eastAsia" w:eastAsia="宋体"/>
                <w:color w:val="auto"/>
                <w:sz w:val="24"/>
                <w:szCs w:val="24"/>
                <w:highlight w:val="none"/>
              </w:rPr>
              <w:t>大气降水在碳酸盐岩裸露区的</w:t>
            </w:r>
            <w:r>
              <w:rPr>
                <w:rFonts w:hint="eastAsia" w:ascii="Times New Roman" w:eastAsia="宋体"/>
                <w:color w:val="auto"/>
                <w:sz w:val="24"/>
                <w:szCs w:val="24"/>
                <w:highlight w:val="none"/>
                <w:lang w:val="en-US" w:eastAsia="zh-CN"/>
              </w:rPr>
              <w:t>入</w:t>
            </w:r>
            <w:r>
              <w:rPr>
                <w:rFonts w:hint="eastAsia" w:eastAsia="宋体"/>
                <w:color w:val="auto"/>
                <w:sz w:val="24"/>
                <w:szCs w:val="24"/>
                <w:highlight w:val="none"/>
              </w:rPr>
              <w:t>渗是岩溶水主要补给来源，其次是灰岩区河段地表水及水库水的</w:t>
            </w:r>
            <w:r>
              <w:rPr>
                <w:rFonts w:hint="eastAsia" w:eastAsia="宋体"/>
                <w:color w:val="auto"/>
                <w:sz w:val="24"/>
                <w:szCs w:val="24"/>
                <w:highlight w:val="none"/>
                <w:lang w:val="en-US" w:eastAsia="zh-CN"/>
              </w:rPr>
              <w:t>渗漏</w:t>
            </w:r>
            <w:r>
              <w:rPr>
                <w:rFonts w:hint="eastAsia" w:eastAsia="宋体"/>
                <w:color w:val="auto"/>
                <w:sz w:val="24"/>
                <w:szCs w:val="24"/>
                <w:highlight w:val="none"/>
              </w:rPr>
              <w:t>补给。岩溶水总体上由南、西南、西北及北向排泄区汇流，在浊漳河河谷的西流北耽车一带以泉群形式集中排泄，为侵蚀、接触、溢流全排型泉。</w:t>
            </w:r>
          </w:p>
          <w:p w14:paraId="612F49E6">
            <w:pPr>
              <w:adjustRightInd w:val="0"/>
              <w:snapToGrid w:val="0"/>
              <w:spacing w:line="440" w:lineRule="exact"/>
              <w:ind w:firstLine="480" w:firstLineChars="200"/>
              <w:rPr>
                <w:rFonts w:eastAsia="宋体"/>
                <w:color w:val="auto"/>
                <w:sz w:val="24"/>
                <w:szCs w:val="24"/>
                <w:highlight w:val="none"/>
              </w:rPr>
            </w:pPr>
            <w:r>
              <w:rPr>
                <w:rFonts w:hint="eastAsia" w:eastAsia="宋体"/>
                <w:color w:val="auto"/>
                <w:sz w:val="24"/>
                <w:szCs w:val="24"/>
                <w:highlight w:val="none"/>
              </w:rPr>
              <w:t>2</w:t>
            </w:r>
            <w:r>
              <w:rPr>
                <w:rFonts w:hint="eastAsia" w:eastAsia="宋体"/>
                <w:color w:val="auto"/>
                <w:sz w:val="24"/>
                <w:szCs w:val="24"/>
                <w:highlight w:val="none"/>
                <w:lang w:eastAsia="zh-CN"/>
              </w:rPr>
              <w:t>）</w:t>
            </w:r>
            <w:r>
              <w:rPr>
                <w:rFonts w:hint="eastAsia" w:eastAsia="宋体"/>
                <w:color w:val="auto"/>
                <w:sz w:val="24"/>
                <w:szCs w:val="24"/>
                <w:highlight w:val="none"/>
              </w:rPr>
              <w:t>泉域范围</w:t>
            </w:r>
          </w:p>
          <w:p w14:paraId="098BB8DE">
            <w:pPr>
              <w:adjustRightInd w:val="0"/>
              <w:snapToGrid w:val="0"/>
              <w:spacing w:line="440" w:lineRule="exact"/>
              <w:ind w:firstLine="480" w:firstLineChars="200"/>
              <w:rPr>
                <w:rFonts w:eastAsia="宋体"/>
                <w:color w:val="auto"/>
                <w:sz w:val="24"/>
                <w:szCs w:val="24"/>
                <w:highlight w:val="none"/>
              </w:rPr>
            </w:pPr>
            <w:r>
              <w:rPr>
                <w:rFonts w:hint="eastAsia" w:eastAsia="宋体"/>
                <w:color w:val="auto"/>
                <w:sz w:val="24"/>
                <w:szCs w:val="24"/>
                <w:highlight w:val="none"/>
              </w:rPr>
              <w:t>北部及西部边界：泉城北部、西部在构造上处于沁水向斜核部，地表出露二叠、三叠系地层，寒武、奥陶系地层埋深千米以上，岩溶水呈封闭的滞流状态，因此以浊漳河与汾河及沁河的地表分水岭为泉域边界。自北向南由榆社县人头山-辉教北-子金山-分南南。西部沁县与沁源县行政边界，自北向南基本为自分南南-屯留县八泉-长子县良坪西。</w:t>
            </w:r>
          </w:p>
          <w:p w14:paraId="37AE0464">
            <w:pPr>
              <w:adjustRightInd w:val="0"/>
              <w:snapToGrid w:val="0"/>
              <w:spacing w:line="440" w:lineRule="exact"/>
              <w:ind w:firstLine="480" w:firstLineChars="200"/>
              <w:rPr>
                <w:rFonts w:eastAsia="宋体"/>
                <w:color w:val="auto"/>
                <w:sz w:val="24"/>
                <w:szCs w:val="24"/>
                <w:highlight w:val="none"/>
              </w:rPr>
            </w:pPr>
            <w:r>
              <w:rPr>
                <w:rFonts w:hint="eastAsia" w:eastAsia="宋体"/>
                <w:color w:val="auto"/>
                <w:sz w:val="24"/>
                <w:szCs w:val="24"/>
                <w:highlight w:val="none"/>
              </w:rPr>
              <w:t>南部边界：为浊漳河和沁河与丹河的地表分水岭，自西向东基本为长治市与晋城市的行政边界，由老庄沟-色头镇南一金泉山-陵川西马安。</w:t>
            </w:r>
          </w:p>
          <w:p w14:paraId="55E3E0CD">
            <w:pPr>
              <w:adjustRightInd w:val="0"/>
              <w:snapToGrid w:val="0"/>
              <w:spacing w:line="360" w:lineRule="auto"/>
              <w:ind w:firstLine="480" w:firstLineChars="200"/>
              <w:rPr>
                <w:rFonts w:eastAsia="宋体"/>
                <w:color w:val="auto"/>
                <w:sz w:val="24"/>
                <w:szCs w:val="24"/>
                <w:highlight w:val="none"/>
              </w:rPr>
            </w:pPr>
            <w:r>
              <w:rPr>
                <w:rFonts w:hint="eastAsia" w:eastAsia="宋体"/>
                <w:color w:val="auto"/>
                <w:sz w:val="24"/>
                <w:szCs w:val="24"/>
                <w:highlight w:val="none"/>
              </w:rPr>
              <w:t>东部边界：东北段以清漳河与浊漳河地表分水岭及和神烟地下分水岭与娘子关泉域为界。为晋中地区和顺县、左权县与榆社县、长治市武乡县的行政边界。自人头山-榆社红崖头东-左权申家胶。中段：受上遥背斜影响，东部寒武系下统及长城系非可溶岩形成隔水边界。自北向南由申家胶-黎城仟仵-上遥镇-洪井。南段：北端为辛安泉与河北省涉县东湖泉的地下分水岭，自北向南由黎城县洪井东阳关镇-宋家庄；南端为北耽车以下浊漳河河谷一带寒武系下统及长城系非可溶岩地层分布，平顺县虹梯关、赵城一带燕山期闪长岩侵</w:t>
            </w:r>
            <w:r>
              <w:rPr>
                <w:rFonts w:hint="eastAsia" w:ascii="Times New Roman" w:eastAsia="宋体"/>
                <w:color w:val="auto"/>
                <w:sz w:val="24"/>
                <w:szCs w:val="24"/>
                <w:highlight w:val="none"/>
                <w:lang w:val="en-US" w:eastAsia="zh-CN"/>
              </w:rPr>
              <w:t>入</w:t>
            </w:r>
            <w:r>
              <w:rPr>
                <w:rFonts w:hint="eastAsia" w:eastAsia="宋体"/>
                <w:color w:val="auto"/>
                <w:sz w:val="24"/>
                <w:szCs w:val="24"/>
                <w:highlight w:val="none"/>
              </w:rPr>
              <w:t>体构成阻水边界，自北向南由宋家庄-阳高虹梯关东寺头-西安里北西马安。</w:t>
            </w:r>
          </w:p>
          <w:p w14:paraId="32864B09">
            <w:pPr>
              <w:adjustRightInd w:val="0"/>
              <w:snapToGrid w:val="0"/>
              <w:spacing w:line="360" w:lineRule="auto"/>
              <w:ind w:firstLine="480" w:firstLineChars="200"/>
              <w:rPr>
                <w:rFonts w:eastAsia="宋体"/>
                <w:color w:val="auto"/>
                <w:sz w:val="24"/>
                <w:szCs w:val="24"/>
                <w:highlight w:val="none"/>
              </w:rPr>
            </w:pPr>
            <w:r>
              <w:rPr>
                <w:rFonts w:hint="eastAsia" w:eastAsia="宋体"/>
                <w:color w:val="auto"/>
                <w:sz w:val="24"/>
                <w:szCs w:val="24"/>
                <w:highlight w:val="none"/>
              </w:rPr>
              <w:t>3</w:t>
            </w:r>
            <w:r>
              <w:rPr>
                <w:rFonts w:hint="eastAsia" w:eastAsia="宋体"/>
                <w:color w:val="auto"/>
                <w:sz w:val="24"/>
                <w:szCs w:val="24"/>
                <w:highlight w:val="none"/>
                <w:lang w:eastAsia="zh-CN"/>
              </w:rPr>
              <w:t>）</w:t>
            </w:r>
            <w:r>
              <w:rPr>
                <w:rFonts w:hint="eastAsia" w:eastAsia="宋体"/>
                <w:color w:val="auto"/>
                <w:sz w:val="24"/>
                <w:szCs w:val="24"/>
                <w:highlight w:val="none"/>
              </w:rPr>
              <w:t>重点保护区范围</w:t>
            </w:r>
          </w:p>
          <w:p w14:paraId="3FBACAE4">
            <w:pPr>
              <w:adjustRightInd w:val="0"/>
              <w:snapToGrid w:val="0"/>
              <w:spacing w:line="360" w:lineRule="auto"/>
              <w:ind w:firstLine="480" w:firstLineChars="200"/>
              <w:rPr>
                <w:rFonts w:eastAsia="宋体"/>
                <w:color w:val="auto"/>
                <w:sz w:val="24"/>
                <w:szCs w:val="24"/>
                <w:highlight w:val="none"/>
              </w:rPr>
            </w:pPr>
            <w:r>
              <w:rPr>
                <w:rFonts w:hint="eastAsia" w:eastAsia="宋体"/>
                <w:color w:val="auto"/>
                <w:sz w:val="24"/>
                <w:szCs w:val="24"/>
                <w:highlight w:val="none"/>
              </w:rPr>
              <w:t>泉水集中出露带：以浊漳河为轴线，北起黎城县南赵店桥,顺浊漳河谷向下游，至平顺县北耽车，包括河谷两岸地带；西起山西化肥厂排污渠道，两侧宽200m，至辛安桥下河道，面积48km</w:t>
            </w:r>
            <w:r>
              <w:rPr>
                <w:rFonts w:hint="eastAsia" w:eastAsia="宋体"/>
                <w:color w:val="auto"/>
                <w:sz w:val="24"/>
                <w:szCs w:val="24"/>
                <w:highlight w:val="none"/>
                <w:vertAlign w:val="superscript"/>
              </w:rPr>
              <w:t>2</w:t>
            </w:r>
            <w:r>
              <w:rPr>
                <w:rFonts w:hint="eastAsia" w:eastAsia="宋体"/>
                <w:color w:val="auto"/>
                <w:sz w:val="24"/>
                <w:szCs w:val="24"/>
                <w:highlight w:val="none"/>
              </w:rPr>
              <w:t>。</w:t>
            </w:r>
          </w:p>
          <w:p w14:paraId="3F23E6CB">
            <w:pPr>
              <w:adjustRightInd w:val="0"/>
              <w:snapToGrid w:val="0"/>
              <w:spacing w:line="360" w:lineRule="auto"/>
              <w:ind w:firstLine="480" w:firstLineChars="200"/>
              <w:rPr>
                <w:rFonts w:hint="eastAsia" w:eastAsia="宋体"/>
                <w:color w:val="auto"/>
                <w:sz w:val="24"/>
                <w:szCs w:val="24"/>
                <w:highlight w:val="none"/>
              </w:rPr>
            </w:pPr>
            <w:r>
              <w:rPr>
                <w:rFonts w:hint="eastAsia" w:eastAsia="宋体"/>
                <w:color w:val="auto"/>
                <w:sz w:val="24"/>
                <w:szCs w:val="24"/>
                <w:highlight w:val="none"/>
              </w:rPr>
              <w:t>根据辛安泉域范围图，本项目</w:t>
            </w:r>
            <w:r>
              <w:rPr>
                <w:rFonts w:hint="eastAsia" w:ascii="Times New Roman" w:eastAsia="宋体"/>
                <w:color w:val="auto"/>
                <w:sz w:val="24"/>
                <w:szCs w:val="24"/>
                <w:highlight w:val="none"/>
                <w:lang w:val="en-US" w:eastAsia="zh-CN"/>
              </w:rPr>
              <w:t>部分区域在</w:t>
            </w:r>
            <w:r>
              <w:rPr>
                <w:rFonts w:hint="eastAsia" w:eastAsia="宋体"/>
                <w:color w:val="auto"/>
                <w:sz w:val="24"/>
                <w:szCs w:val="24"/>
                <w:highlight w:val="none"/>
              </w:rPr>
              <w:t>辛安泉域范围内</w:t>
            </w:r>
            <w:r>
              <w:rPr>
                <w:rFonts w:hint="eastAsia" w:eastAsia="宋体"/>
                <w:color w:val="auto"/>
                <w:sz w:val="24"/>
                <w:szCs w:val="24"/>
                <w:highlight w:val="none"/>
                <w:lang w:eastAsia="zh-CN"/>
              </w:rPr>
              <w:t>，</w:t>
            </w:r>
            <w:r>
              <w:rPr>
                <w:rFonts w:hint="eastAsia" w:ascii="Times New Roman" w:eastAsia="宋体"/>
                <w:color w:val="auto"/>
                <w:sz w:val="24"/>
                <w:szCs w:val="24"/>
                <w:highlight w:val="none"/>
                <w:lang w:val="en-US" w:eastAsia="zh-CN"/>
              </w:rPr>
              <w:t>与辛安泉域重点保护区不重叠，</w:t>
            </w:r>
            <w:r>
              <w:rPr>
                <w:rFonts w:hint="eastAsia" w:eastAsia="宋体"/>
                <w:color w:val="auto"/>
                <w:sz w:val="24"/>
                <w:szCs w:val="24"/>
                <w:highlight w:val="none"/>
              </w:rPr>
              <w:t>项目与辛安泉域</w:t>
            </w:r>
            <w:r>
              <w:rPr>
                <w:rFonts w:eastAsia="宋体"/>
                <w:color w:val="auto"/>
                <w:sz w:val="24"/>
                <w:szCs w:val="24"/>
                <w:highlight w:val="none"/>
              </w:rPr>
              <w:t>相对位置见附图</w:t>
            </w:r>
            <w:r>
              <w:rPr>
                <w:rFonts w:hint="eastAsia" w:ascii="Times New Roman" w:eastAsia="宋体"/>
                <w:color w:val="auto"/>
                <w:sz w:val="24"/>
                <w:szCs w:val="24"/>
                <w:highlight w:val="none"/>
                <w:lang w:val="en-US" w:eastAsia="zh-CN"/>
              </w:rPr>
              <w:t>12</w:t>
            </w:r>
            <w:r>
              <w:rPr>
                <w:rFonts w:hint="eastAsia" w:eastAsia="宋体"/>
                <w:color w:val="auto"/>
                <w:sz w:val="24"/>
                <w:szCs w:val="24"/>
                <w:highlight w:val="none"/>
              </w:rPr>
              <w:t>。</w:t>
            </w:r>
          </w:p>
          <w:p w14:paraId="1C0E4D5F">
            <w:pPr>
              <w:adjustRightInd w:val="0"/>
              <w:snapToGrid w:val="0"/>
              <w:spacing w:line="480" w:lineRule="exact"/>
              <w:ind w:firstLine="480" w:firstLineChars="200"/>
              <w:rPr>
                <w:bCs/>
                <w:color w:val="auto"/>
                <w:kern w:val="0"/>
                <w:sz w:val="24"/>
                <w:highlight w:val="none"/>
              </w:rPr>
            </w:pPr>
            <w:r>
              <w:rPr>
                <w:rFonts w:hint="eastAsia"/>
                <w:bCs/>
                <w:color w:val="auto"/>
                <w:kern w:val="0"/>
                <w:sz w:val="24"/>
                <w:highlight w:val="none"/>
              </w:rPr>
              <w:t>2、选址</w:t>
            </w:r>
            <w:r>
              <w:rPr>
                <w:rFonts w:hint="eastAsia" w:ascii="Times New Roman" w:eastAsia="宋体"/>
                <w:bCs/>
                <w:color w:val="auto"/>
                <w:kern w:val="0"/>
                <w:sz w:val="24"/>
                <w:highlight w:val="none"/>
                <w:lang w:val="en-US" w:eastAsia="zh-CN"/>
              </w:rPr>
              <w:t>可行性</w:t>
            </w:r>
            <w:r>
              <w:rPr>
                <w:rFonts w:hint="eastAsia"/>
                <w:bCs/>
                <w:color w:val="auto"/>
                <w:kern w:val="0"/>
                <w:sz w:val="24"/>
                <w:highlight w:val="none"/>
              </w:rPr>
              <w:t>情况说明</w:t>
            </w:r>
          </w:p>
          <w:p w14:paraId="6BBAE59D">
            <w:pPr>
              <w:adjustRightInd w:val="0"/>
              <w:snapToGrid w:val="0"/>
              <w:spacing w:line="480" w:lineRule="exact"/>
              <w:ind w:firstLine="480" w:firstLineChars="200"/>
              <w:rPr>
                <w:bCs/>
                <w:color w:val="auto"/>
                <w:kern w:val="0"/>
                <w:sz w:val="24"/>
                <w:highlight w:val="none"/>
              </w:rPr>
            </w:pPr>
            <w:r>
              <w:rPr>
                <w:rFonts w:hint="eastAsia"/>
                <w:bCs/>
                <w:color w:val="auto"/>
                <w:kern w:val="0"/>
                <w:sz w:val="24"/>
                <w:highlight w:val="none"/>
              </w:rPr>
              <w:t>（1）风电机组选型</w:t>
            </w:r>
          </w:p>
          <w:p w14:paraId="7C07A966">
            <w:pPr>
              <w:adjustRightInd w:val="0"/>
              <w:snapToGrid w:val="0"/>
              <w:spacing w:line="480" w:lineRule="exact"/>
              <w:ind w:firstLine="480" w:firstLineChars="200"/>
              <w:rPr>
                <w:bCs/>
                <w:color w:val="auto"/>
                <w:kern w:val="0"/>
                <w:sz w:val="24"/>
                <w:highlight w:val="none"/>
              </w:rPr>
            </w:pPr>
            <w:r>
              <w:rPr>
                <w:rFonts w:hint="eastAsia"/>
                <w:bCs/>
                <w:color w:val="auto"/>
                <w:kern w:val="0"/>
                <w:sz w:val="24"/>
                <w:highlight w:val="none"/>
              </w:rPr>
              <w:t>根据本项目风电场的风能资源条件和工程地质条件，由于风电场可用机位十分有限，并尽量减少施工过程中的生态环境影响。所以本项目选择单机容量为</w:t>
            </w:r>
            <w:r>
              <w:rPr>
                <w:rFonts w:hint="eastAsia" w:eastAsia="宋体"/>
                <w:bCs/>
                <w:color w:val="auto"/>
                <w:kern w:val="0"/>
                <w:sz w:val="24"/>
                <w:highlight w:val="none"/>
                <w:lang w:eastAsia="zh-CN"/>
              </w:rPr>
              <w:t>6.25MW</w:t>
            </w:r>
            <w:r>
              <w:rPr>
                <w:rFonts w:hint="eastAsia"/>
                <w:bCs/>
                <w:color w:val="auto"/>
                <w:kern w:val="0"/>
                <w:sz w:val="24"/>
                <w:highlight w:val="none"/>
              </w:rPr>
              <w:t>级别风机。</w:t>
            </w:r>
          </w:p>
          <w:p w14:paraId="4CFAA783">
            <w:pPr>
              <w:adjustRightInd w:val="0"/>
              <w:snapToGrid w:val="0"/>
              <w:spacing w:line="480" w:lineRule="exact"/>
              <w:ind w:firstLine="480" w:firstLineChars="200"/>
              <w:rPr>
                <w:bCs/>
                <w:color w:val="auto"/>
                <w:kern w:val="0"/>
                <w:sz w:val="24"/>
                <w:highlight w:val="none"/>
              </w:rPr>
            </w:pPr>
            <w:r>
              <w:rPr>
                <w:rFonts w:hint="eastAsia"/>
                <w:bCs/>
                <w:color w:val="auto"/>
                <w:kern w:val="0"/>
                <w:sz w:val="24"/>
                <w:highlight w:val="none"/>
              </w:rPr>
              <w:t>（2）风电机组布置原则</w:t>
            </w:r>
          </w:p>
          <w:p w14:paraId="46F9375D">
            <w:pPr>
              <w:adjustRightInd w:val="0"/>
              <w:snapToGrid w:val="0"/>
              <w:spacing w:line="480" w:lineRule="exact"/>
              <w:ind w:firstLine="480" w:firstLineChars="200"/>
              <w:rPr>
                <w:bCs/>
                <w:color w:val="auto"/>
                <w:kern w:val="0"/>
                <w:sz w:val="24"/>
                <w:highlight w:val="none"/>
              </w:rPr>
            </w:pPr>
            <w:r>
              <w:rPr>
                <w:rFonts w:hint="eastAsia"/>
                <w:bCs/>
                <w:color w:val="auto"/>
                <w:kern w:val="0"/>
                <w:sz w:val="24"/>
                <w:highlight w:val="none"/>
              </w:rPr>
              <w:t>在风机布置时，应以产能最优化，载荷最小化为主要原则，主要应考虑以下原则：</w:t>
            </w:r>
          </w:p>
          <w:p w14:paraId="61CDBE67">
            <w:pPr>
              <w:adjustRightInd w:val="0"/>
              <w:snapToGrid w:val="0"/>
              <w:spacing w:line="480" w:lineRule="exact"/>
              <w:ind w:firstLine="480" w:firstLineChars="200"/>
              <w:rPr>
                <w:bCs/>
                <w:color w:val="auto"/>
                <w:kern w:val="0"/>
                <w:sz w:val="24"/>
                <w:highlight w:val="none"/>
              </w:rPr>
            </w:pPr>
            <w:r>
              <w:rPr>
                <w:rFonts w:hint="eastAsia"/>
                <w:bCs/>
                <w:color w:val="auto"/>
                <w:kern w:val="0"/>
                <w:sz w:val="24"/>
                <w:highlight w:val="none"/>
              </w:rPr>
              <w:t>①根据风向和风能玫瑰图，保证风机间距达到大的发电量，尾流影响减少为原则。从本风电场主风向和主风能分析，风电机组排列应垂直主风能方向。</w:t>
            </w:r>
          </w:p>
          <w:p w14:paraId="2D0E6A88">
            <w:pPr>
              <w:adjustRightInd w:val="0"/>
              <w:snapToGrid w:val="0"/>
              <w:spacing w:line="480" w:lineRule="exact"/>
              <w:ind w:firstLine="480" w:firstLineChars="200"/>
              <w:rPr>
                <w:bCs/>
                <w:color w:val="auto"/>
                <w:kern w:val="0"/>
                <w:sz w:val="24"/>
                <w:highlight w:val="none"/>
              </w:rPr>
            </w:pPr>
            <w:r>
              <w:rPr>
                <w:rFonts w:hint="eastAsia"/>
                <w:bCs/>
                <w:color w:val="auto"/>
                <w:kern w:val="0"/>
                <w:sz w:val="24"/>
                <w:highlight w:val="none"/>
              </w:rPr>
              <w:t>②本工程场址地形为山地。风电机组的布置应根据地形条件，充分利用风电场山梁上的场地，同时结合当地的交通运输和安装条件进行选择机位。</w:t>
            </w:r>
          </w:p>
          <w:p w14:paraId="1D19B994">
            <w:pPr>
              <w:adjustRightInd w:val="0"/>
              <w:snapToGrid w:val="0"/>
              <w:spacing w:line="480" w:lineRule="exact"/>
              <w:ind w:firstLine="480" w:firstLineChars="200"/>
              <w:rPr>
                <w:bCs/>
                <w:color w:val="auto"/>
                <w:kern w:val="0"/>
                <w:sz w:val="24"/>
                <w:highlight w:val="none"/>
              </w:rPr>
            </w:pPr>
            <w:r>
              <w:rPr>
                <w:rFonts w:hint="eastAsia"/>
                <w:bCs/>
                <w:color w:val="auto"/>
                <w:kern w:val="0"/>
                <w:sz w:val="24"/>
                <w:highlight w:val="none"/>
              </w:rPr>
              <w:t>③为充分利用土地，并使风电机组获得最大风能，本项目风电场的风机在保证距离居民区500m以上的安全距离基础上，并能满足风机之间的湍流及尾流影响的条件下，错落布置风机。</w:t>
            </w:r>
          </w:p>
          <w:p w14:paraId="7EF111E4">
            <w:pPr>
              <w:adjustRightInd w:val="0"/>
              <w:snapToGrid w:val="0"/>
              <w:spacing w:line="480" w:lineRule="exact"/>
              <w:ind w:firstLine="480" w:firstLineChars="200"/>
              <w:rPr>
                <w:bCs/>
                <w:color w:val="auto"/>
                <w:kern w:val="0"/>
                <w:sz w:val="24"/>
                <w:highlight w:val="none"/>
              </w:rPr>
            </w:pPr>
            <w:r>
              <w:rPr>
                <w:rFonts w:hint="eastAsia"/>
                <w:bCs/>
                <w:color w:val="auto"/>
                <w:kern w:val="0"/>
                <w:sz w:val="24"/>
                <w:highlight w:val="none"/>
              </w:rPr>
              <w:t>④考虑风电场送变电方案、运输和安装条件，力求减少集电线路的投资。</w:t>
            </w:r>
          </w:p>
          <w:p w14:paraId="371295B4">
            <w:pPr>
              <w:shd w:val="clear"/>
              <w:adjustRightInd w:val="0"/>
              <w:snapToGrid w:val="0"/>
              <w:spacing w:line="480" w:lineRule="exact"/>
              <w:ind w:firstLine="480" w:firstLineChars="200"/>
              <w:rPr>
                <w:rFonts w:hint="eastAsia"/>
                <w:bCs/>
                <w:color w:val="auto"/>
                <w:kern w:val="0"/>
                <w:sz w:val="24"/>
                <w:highlight w:val="none"/>
                <w:lang w:val="en-US" w:eastAsia="zh-CN"/>
              </w:rPr>
            </w:pPr>
            <w:r>
              <w:rPr>
                <w:rFonts w:hint="eastAsia"/>
                <w:bCs/>
                <w:color w:val="auto"/>
                <w:kern w:val="0"/>
                <w:sz w:val="24"/>
                <w:highlight w:val="none"/>
                <w:lang w:val="en-US" w:eastAsia="zh-CN"/>
              </w:rPr>
              <w:t>（3）本项目优化选址过程</w:t>
            </w:r>
          </w:p>
          <w:p w14:paraId="77E6577F">
            <w:pPr>
              <w:adjustRightInd w:val="0"/>
              <w:snapToGrid w:val="0"/>
              <w:spacing w:line="480" w:lineRule="exact"/>
              <w:ind w:firstLine="480" w:firstLineChars="200"/>
              <w:rPr>
                <w:rFonts w:hint="default"/>
                <w:bCs/>
                <w:color w:val="auto"/>
                <w:kern w:val="0"/>
                <w:sz w:val="24"/>
                <w:highlight w:val="none"/>
                <w:lang w:val="en-US" w:eastAsia="zh-CN"/>
              </w:rPr>
            </w:pPr>
            <w:r>
              <w:rPr>
                <w:rFonts w:hint="default"/>
                <w:bCs/>
                <w:color w:val="auto"/>
                <w:kern w:val="0"/>
                <w:sz w:val="24"/>
                <w:highlight w:val="none"/>
                <w:lang w:val="en-US" w:eastAsia="zh-CN"/>
              </w:rPr>
              <w:t>为了合理有效地开发本风电场项目，利用风电场区域2座测风塔进行测风工作，并按照 GB/T18709-2002《风电场风能资源测量方法》及 GB/T18710-2002《风电场风能资源评估方法》，对场地风能资源进行了详细的评估。方案设计过程中充分利用风能资源丰富区域，对于风电场场区内的主要敏感目标包括基本农田、林场、不可用地、生态红线、高压线、已建成风电场机位、村庄等敏感性因素进行避让，同时尽量集中布置风机点位，达到充分利用风电场内风能资源，节约用地，并尽量减少投资。</w:t>
            </w:r>
          </w:p>
          <w:p w14:paraId="2005C2F4">
            <w:pPr>
              <w:adjustRightInd w:val="0"/>
              <w:snapToGrid w:val="0"/>
              <w:spacing w:line="480" w:lineRule="exact"/>
              <w:ind w:firstLine="482" w:firstLineChars="200"/>
              <w:rPr>
                <w:rFonts w:hint="eastAsia"/>
                <w:b/>
                <w:bCs w:val="0"/>
                <w:color w:val="auto"/>
                <w:kern w:val="0"/>
                <w:sz w:val="24"/>
                <w:highlight w:val="none"/>
                <w:lang w:val="en-US" w:eastAsia="zh-CN"/>
              </w:rPr>
            </w:pPr>
            <w:r>
              <w:rPr>
                <w:rFonts w:hint="eastAsia"/>
                <w:b/>
                <w:bCs w:val="0"/>
                <w:color w:val="auto"/>
                <w:kern w:val="0"/>
                <w:sz w:val="24"/>
                <w:highlight w:val="none"/>
                <w:lang w:val="en-US" w:eastAsia="zh-CN"/>
              </w:rPr>
              <w:t>比选方案：</w:t>
            </w:r>
          </w:p>
          <w:p w14:paraId="3C0FE397">
            <w:pPr>
              <w:adjustRightInd w:val="0"/>
              <w:snapToGrid w:val="0"/>
              <w:spacing w:line="480" w:lineRule="exact"/>
              <w:ind w:firstLine="480" w:firstLineChars="200"/>
              <w:rPr>
                <w:rFonts w:hint="default"/>
                <w:bCs/>
                <w:color w:val="auto"/>
                <w:kern w:val="0"/>
                <w:sz w:val="24"/>
                <w:highlight w:val="none"/>
                <w:lang w:val="en-US" w:eastAsia="zh-CN"/>
              </w:rPr>
            </w:pPr>
            <w:r>
              <w:rPr>
                <w:rFonts w:hint="eastAsia"/>
                <w:bCs/>
                <w:color w:val="auto"/>
                <w:kern w:val="0"/>
                <w:sz w:val="24"/>
                <w:highlight w:val="none"/>
                <w:lang w:val="en-US" w:eastAsia="zh-CN"/>
              </w:rPr>
              <w:t>选址阶段，</w:t>
            </w:r>
            <w:r>
              <w:rPr>
                <w:rFonts w:hint="default"/>
                <w:bCs/>
                <w:color w:val="auto"/>
                <w:kern w:val="0"/>
                <w:sz w:val="24"/>
                <w:highlight w:val="none"/>
                <w:lang w:val="en-US" w:eastAsia="zh-CN"/>
              </w:rPr>
              <w:t>本项目选取《壶关县国土空间总体规划（2021-2035 年）》 重点项目库数据中</w:t>
            </w:r>
            <w:r>
              <w:rPr>
                <w:rFonts w:hint="eastAsia" w:ascii="宋体" w:hAnsi="宋体" w:eastAsia="宋体" w:cs="宋体"/>
                <w:bCs/>
                <w:color w:val="auto"/>
                <w:kern w:val="0"/>
                <w:sz w:val="24"/>
                <w:highlight w:val="none"/>
                <w:lang w:val="en-US" w:eastAsia="zh-CN"/>
              </w:rPr>
              <w:t>“中节能壶关县乡村振兴</w:t>
            </w:r>
            <w:r>
              <w:rPr>
                <w:rFonts w:hint="default" w:ascii="Times New Roman" w:hAnsi="Times New Roman" w:eastAsia="宋体" w:cs="Times New Roman"/>
                <w:bCs/>
                <w:color w:val="auto"/>
                <w:kern w:val="0"/>
                <w:sz w:val="24"/>
                <w:highlight w:val="none"/>
                <w:lang w:val="en-US" w:eastAsia="zh-CN"/>
              </w:rPr>
              <w:t>50MW</w:t>
            </w:r>
            <w:r>
              <w:rPr>
                <w:rFonts w:hint="eastAsia" w:ascii="宋体" w:hAnsi="宋体" w:eastAsia="宋体" w:cs="宋体"/>
                <w:bCs/>
                <w:color w:val="auto"/>
                <w:kern w:val="0"/>
                <w:sz w:val="24"/>
                <w:highlight w:val="none"/>
                <w:lang w:val="en-US" w:eastAsia="zh-CN"/>
              </w:rPr>
              <w:t>风电项目”</w:t>
            </w:r>
            <w:r>
              <w:rPr>
                <w:rFonts w:hint="default"/>
                <w:bCs/>
                <w:color w:val="auto"/>
                <w:kern w:val="0"/>
                <w:sz w:val="24"/>
                <w:highlight w:val="none"/>
                <w:lang w:val="en-US" w:eastAsia="zh-CN"/>
              </w:rPr>
              <w:t>的12个机位点以及其他5个风机点，共17台风机组点位进行差额比选。根据风机机组的分布情况、风电场的特点以及风电场工程的场地情况，以及周边自然环境、地形条件等因素最终确定</w:t>
            </w:r>
            <w:r>
              <w:rPr>
                <w:rFonts w:hint="eastAsia"/>
                <w:bCs/>
                <w:color w:val="auto"/>
                <w:kern w:val="0"/>
                <w:sz w:val="24"/>
                <w:highlight w:val="none"/>
                <w:lang w:val="en-US" w:eastAsia="zh-CN"/>
              </w:rPr>
              <w:t>10</w:t>
            </w:r>
            <w:r>
              <w:rPr>
                <w:rFonts w:hint="default"/>
                <w:bCs/>
                <w:color w:val="auto"/>
                <w:kern w:val="0"/>
                <w:sz w:val="24"/>
                <w:highlight w:val="none"/>
                <w:lang w:val="en-US" w:eastAsia="zh-CN"/>
              </w:rPr>
              <w:t>处风能资源较好的点位作为本项目风电机组拟选位置。</w:t>
            </w:r>
          </w:p>
          <w:p w14:paraId="0D5549A1">
            <w:pPr>
              <w:jc w:val="center"/>
              <w:textAlignment w:val="baseline"/>
              <w:rPr>
                <w:rFonts w:hint="eastAsia" w:ascii="黑体" w:hAnsi="黑体" w:eastAsia="黑体" w:cs="Times New Roman"/>
                <w:bCs/>
                <w:color w:val="auto"/>
                <w:szCs w:val="21"/>
                <w:highlight w:val="none"/>
              </w:rPr>
            </w:pPr>
            <w:r>
              <w:rPr>
                <w:rFonts w:ascii="黑体" w:hAnsi="黑体" w:eastAsia="黑体" w:cs="Times New Roman"/>
                <w:bCs/>
                <w:color w:val="auto"/>
                <w:szCs w:val="21"/>
                <w:highlight w:val="none"/>
              </w:rPr>
              <w:t>表4-</w:t>
            </w:r>
            <w:r>
              <w:rPr>
                <w:rFonts w:hint="eastAsia" w:ascii="黑体" w:hAnsi="黑体" w:eastAsia="黑体" w:cs="Times New Roman"/>
                <w:bCs/>
                <w:color w:val="auto"/>
                <w:szCs w:val="21"/>
                <w:highlight w:val="none"/>
                <w:lang w:val="en-US" w:eastAsia="zh-CN"/>
              </w:rPr>
              <w:t>7</w:t>
            </w:r>
            <w:r>
              <w:rPr>
                <w:rFonts w:ascii="黑体" w:hAnsi="黑体" w:eastAsia="黑体" w:cs="Times New Roman"/>
                <w:bCs/>
                <w:color w:val="auto"/>
                <w:szCs w:val="21"/>
                <w:highlight w:val="none"/>
              </w:rPr>
              <w:t xml:space="preserve">  </w:t>
            </w:r>
            <w:r>
              <w:rPr>
                <w:rFonts w:hint="eastAsia" w:ascii="黑体" w:hAnsi="黑体" w:eastAsia="黑体" w:cs="Times New Roman"/>
                <w:bCs/>
                <w:color w:val="auto"/>
                <w:szCs w:val="21"/>
                <w:highlight w:val="none"/>
                <w:lang w:val="en-US" w:eastAsia="zh-CN"/>
              </w:rPr>
              <w:t>风机方案对比</w:t>
            </w:r>
            <w:r>
              <w:rPr>
                <w:rFonts w:ascii="黑体" w:hAnsi="黑体" w:eastAsia="黑体" w:cs="Times New Roman"/>
                <w:bCs/>
                <w:color w:val="auto"/>
                <w:szCs w:val="21"/>
                <w:highlight w:val="none"/>
              </w:rPr>
              <w:t>表</w:t>
            </w:r>
          </w:p>
          <w:tbl>
            <w:tblPr>
              <w:tblStyle w:val="10"/>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49"/>
              <w:gridCol w:w="1013"/>
              <w:gridCol w:w="1021"/>
              <w:gridCol w:w="1378"/>
              <w:gridCol w:w="1106"/>
              <w:gridCol w:w="2415"/>
              <w:gridCol w:w="827"/>
            </w:tblGrid>
            <w:tr w14:paraId="6221BD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24" w:type="pct"/>
                  <w:vAlign w:val="center"/>
                </w:tcPr>
                <w:p w14:paraId="54C10343">
                  <w:pPr>
                    <w:widowControl w:val="0"/>
                    <w:adjustRightInd/>
                    <w:snapToGrid/>
                    <w:spacing w:beforeLines="0" w:afterLines="0" w:line="240" w:lineRule="auto"/>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序号</w:t>
                  </w:r>
                </w:p>
              </w:tc>
              <w:tc>
                <w:tcPr>
                  <w:tcW w:w="619" w:type="pct"/>
                  <w:vAlign w:val="center"/>
                </w:tcPr>
                <w:p w14:paraId="691F851F">
                  <w:pPr>
                    <w:widowControl w:val="0"/>
                    <w:adjustRightInd/>
                    <w:snapToGrid/>
                    <w:spacing w:beforeLines="0" w:afterLines="0" w:line="240" w:lineRule="auto"/>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占地类型</w:t>
                  </w:r>
                </w:p>
              </w:tc>
              <w:tc>
                <w:tcPr>
                  <w:tcW w:w="624" w:type="pct"/>
                  <w:vAlign w:val="center"/>
                </w:tcPr>
                <w:p w14:paraId="42FBD2B0">
                  <w:pPr>
                    <w:widowControl w:val="0"/>
                    <w:adjustRightInd/>
                    <w:snapToGrid/>
                    <w:spacing w:beforeLines="0" w:afterLines="0" w:line="240" w:lineRule="auto"/>
                    <w:jc w:val="center"/>
                    <w:rPr>
                      <w:rFonts w:hint="eastAsia"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距居民点最</w:t>
                  </w:r>
                  <w:r>
                    <w:rPr>
                      <w:rFonts w:hint="eastAsia" w:ascii="Times New Roman" w:hAnsi="Times New Roman" w:eastAsia="宋体" w:cs="Times New Roman"/>
                      <w:color w:val="auto"/>
                      <w:sz w:val="21"/>
                      <w:szCs w:val="21"/>
                      <w:highlight w:val="none"/>
                      <w:lang w:val="en-US" w:eastAsia="zh-CN" w:bidi="ar-SA"/>
                    </w:rPr>
                    <w:t>近距离</w:t>
                  </w:r>
                </w:p>
                <w:p w14:paraId="5DAE9F41">
                  <w:pPr>
                    <w:widowControl w:val="0"/>
                    <w:adjustRightInd/>
                    <w:snapToGrid/>
                    <w:spacing w:beforeLines="0" w:afterLines="0" w:line="240" w:lineRule="auto"/>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（米）</w:t>
                  </w:r>
                </w:p>
              </w:tc>
              <w:tc>
                <w:tcPr>
                  <w:tcW w:w="831" w:type="pct"/>
                  <w:vAlign w:val="center"/>
                </w:tcPr>
                <w:p w14:paraId="6F2AE363">
                  <w:pPr>
                    <w:widowControl w:val="0"/>
                    <w:adjustRightInd/>
                    <w:snapToGrid/>
                    <w:spacing w:beforeLines="0" w:afterLines="0" w:line="240" w:lineRule="auto"/>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海拔（米）</w:t>
                  </w:r>
                </w:p>
              </w:tc>
              <w:tc>
                <w:tcPr>
                  <w:tcW w:w="673" w:type="pct"/>
                  <w:vAlign w:val="center"/>
                </w:tcPr>
                <w:p w14:paraId="04EA15D7">
                  <w:pPr>
                    <w:widowControl w:val="0"/>
                    <w:adjustRightInd/>
                    <w:snapToGrid/>
                    <w:spacing w:beforeLines="0" w:afterLines="0" w:line="240" w:lineRule="auto"/>
                    <w:jc w:val="center"/>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与国</w:t>
                  </w:r>
                  <w:r>
                    <w:rPr>
                      <w:rFonts w:hint="eastAsia" w:ascii="Times New Roman" w:hAnsi="Times New Roman" w:eastAsia="宋体" w:cs="Times New Roman"/>
                      <w:color w:val="auto"/>
                      <w:sz w:val="21"/>
                      <w:szCs w:val="21"/>
                      <w:highlight w:val="none"/>
                      <w:lang w:val="en-US" w:eastAsia="zh-CN" w:bidi="ar-SA"/>
                    </w:rPr>
                    <w:t xml:space="preserve">土空间规划的 </w:t>
                  </w:r>
                </w:p>
                <w:p w14:paraId="2FCCF3BF">
                  <w:pPr>
                    <w:widowControl w:val="0"/>
                    <w:adjustRightInd/>
                    <w:snapToGrid/>
                    <w:spacing w:beforeLines="0" w:afterLines="0" w:line="240" w:lineRule="auto"/>
                    <w:jc w:val="center"/>
                    <w:rPr>
                      <w:rFonts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关系</w:t>
                  </w:r>
                </w:p>
              </w:tc>
              <w:tc>
                <w:tcPr>
                  <w:tcW w:w="1238" w:type="pct"/>
                  <w:vAlign w:val="center"/>
                </w:tcPr>
                <w:p w14:paraId="31BFB4F4">
                  <w:pPr>
                    <w:widowControl w:val="0"/>
                    <w:adjustRightInd/>
                    <w:snapToGrid/>
                    <w:spacing w:beforeLines="0" w:afterLines="0" w:line="240" w:lineRule="auto"/>
                    <w:jc w:val="center"/>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周边敏感因素</w:t>
                  </w:r>
                </w:p>
              </w:tc>
              <w:tc>
                <w:tcPr>
                  <w:tcW w:w="487" w:type="pct"/>
                  <w:vAlign w:val="center"/>
                </w:tcPr>
                <w:p w14:paraId="258AE1DA">
                  <w:pPr>
                    <w:widowControl w:val="0"/>
                    <w:adjustRightInd/>
                    <w:snapToGrid/>
                    <w:spacing w:beforeLines="0" w:afterLines="0" w:line="240" w:lineRule="auto"/>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备注</w:t>
                  </w:r>
                </w:p>
              </w:tc>
            </w:tr>
            <w:tr w14:paraId="73C6B4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24" w:type="pct"/>
                  <w:vAlign w:val="center"/>
                </w:tcPr>
                <w:p w14:paraId="23ECB33E">
                  <w:pPr>
                    <w:widowControl w:val="0"/>
                    <w:adjustRightInd/>
                    <w:snapToGrid/>
                    <w:spacing w:beforeLines="0" w:afterLines="0" w:line="240" w:lineRule="auto"/>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1</w:t>
                  </w:r>
                </w:p>
              </w:tc>
              <w:tc>
                <w:tcPr>
                  <w:tcW w:w="619" w:type="pct"/>
                  <w:vAlign w:val="center"/>
                </w:tcPr>
                <w:p w14:paraId="780BE4C5">
                  <w:pPr>
                    <w:widowControl w:val="0"/>
                    <w:adjustRightInd/>
                    <w:snapToGrid/>
                    <w:spacing w:beforeLines="0" w:afterLines="0" w:line="240" w:lineRule="auto"/>
                    <w:jc w:val="center"/>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其他草</w:t>
                  </w:r>
                  <w:r>
                    <w:rPr>
                      <w:rFonts w:hint="eastAsia" w:ascii="Times New Roman" w:hAnsi="Times New Roman" w:eastAsia="宋体" w:cs="Times New Roman"/>
                      <w:color w:val="auto"/>
                      <w:sz w:val="21"/>
                      <w:szCs w:val="21"/>
                      <w:highlight w:val="none"/>
                      <w:lang w:val="en-US" w:eastAsia="zh-CN" w:bidi="ar-SA"/>
                    </w:rPr>
                    <w:t>地</w:t>
                  </w:r>
                </w:p>
              </w:tc>
              <w:tc>
                <w:tcPr>
                  <w:tcW w:w="624" w:type="pct"/>
                  <w:vAlign w:val="center"/>
                </w:tcPr>
                <w:p w14:paraId="10B91E09">
                  <w:pPr>
                    <w:widowControl w:val="0"/>
                    <w:adjustRightInd/>
                    <w:snapToGrid/>
                    <w:spacing w:beforeLines="0" w:afterLines="0" w:line="240" w:lineRule="auto"/>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810</w:t>
                  </w:r>
                </w:p>
              </w:tc>
              <w:tc>
                <w:tcPr>
                  <w:tcW w:w="831" w:type="pct"/>
                  <w:vAlign w:val="center"/>
                </w:tcPr>
                <w:p w14:paraId="103BB6DD">
                  <w:pPr>
                    <w:widowControl w:val="0"/>
                    <w:adjustRightInd/>
                    <w:snapToGrid/>
                    <w:spacing w:beforeLines="0" w:afterLines="0" w:line="240" w:lineRule="auto"/>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1489</w:t>
                  </w:r>
                </w:p>
              </w:tc>
              <w:tc>
                <w:tcPr>
                  <w:tcW w:w="673" w:type="pct"/>
                  <w:vMerge w:val="restart"/>
                  <w:vAlign w:val="center"/>
                </w:tcPr>
                <w:p w14:paraId="5A598DBA">
                  <w:pPr>
                    <w:widowControl w:val="0"/>
                    <w:adjustRightInd/>
                    <w:snapToGrid/>
                    <w:spacing w:beforeLines="0" w:afterLines="0" w:line="240" w:lineRule="auto"/>
                    <w:jc w:val="center"/>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均不</w:t>
                  </w:r>
                  <w:r>
                    <w:rPr>
                      <w:rFonts w:hint="eastAsia" w:ascii="Times New Roman" w:hAnsi="Times New Roman" w:eastAsia="宋体" w:cs="Times New Roman"/>
                      <w:color w:val="auto"/>
                      <w:sz w:val="21"/>
                      <w:szCs w:val="21"/>
                      <w:highlight w:val="none"/>
                      <w:lang w:val="en-US" w:eastAsia="zh-CN" w:bidi="ar-SA"/>
                    </w:rPr>
                    <w:t>占用永久基本 农田、生态保护红线， 不涉及城 镇开发边 界；均位 于其他用地区</w:t>
                  </w:r>
                </w:p>
                <w:p w14:paraId="0F34CB44">
                  <w:pPr>
                    <w:widowControl w:val="0"/>
                    <w:adjustRightInd/>
                    <w:snapToGrid/>
                    <w:spacing w:beforeLines="0" w:afterLines="0" w:line="240" w:lineRule="auto"/>
                    <w:jc w:val="center"/>
                    <w:rPr>
                      <w:rFonts w:ascii="Times New Roman" w:hAnsi="Times New Roman" w:eastAsia="宋体" w:cs="Times New Roman"/>
                      <w:color w:val="auto"/>
                      <w:sz w:val="21"/>
                      <w:szCs w:val="21"/>
                      <w:highlight w:val="none"/>
                      <w:lang w:val="en-US" w:eastAsia="zh-CN" w:bidi="ar-SA"/>
                    </w:rPr>
                  </w:pPr>
                </w:p>
              </w:tc>
              <w:tc>
                <w:tcPr>
                  <w:tcW w:w="1238" w:type="pct"/>
                  <w:vAlign w:val="center"/>
                </w:tcPr>
                <w:p w14:paraId="6C8648B5">
                  <w:pPr>
                    <w:widowControl w:val="0"/>
                    <w:adjustRightInd/>
                    <w:snapToGrid/>
                    <w:spacing w:beforeLines="0" w:afterLines="0" w:line="240" w:lineRule="auto"/>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无</w:t>
                  </w:r>
                </w:p>
              </w:tc>
              <w:tc>
                <w:tcPr>
                  <w:tcW w:w="487" w:type="pct"/>
                  <w:vAlign w:val="center"/>
                </w:tcPr>
                <w:p w14:paraId="4E714D9B">
                  <w:pPr>
                    <w:widowControl w:val="0"/>
                    <w:adjustRightInd/>
                    <w:snapToGrid/>
                    <w:spacing w:beforeLines="0" w:afterLines="0" w:line="240" w:lineRule="auto"/>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拟选</w:t>
                  </w:r>
                </w:p>
              </w:tc>
            </w:tr>
            <w:tr w14:paraId="6D217E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524" w:type="pct"/>
                  <w:vAlign w:val="center"/>
                </w:tcPr>
                <w:p w14:paraId="3973800F">
                  <w:pPr>
                    <w:widowControl w:val="0"/>
                    <w:adjustRightInd/>
                    <w:snapToGrid/>
                    <w:spacing w:beforeLines="0" w:afterLines="0" w:line="240" w:lineRule="auto"/>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2</w:t>
                  </w:r>
                </w:p>
              </w:tc>
              <w:tc>
                <w:tcPr>
                  <w:tcW w:w="619" w:type="pct"/>
                  <w:vAlign w:val="center"/>
                </w:tcPr>
                <w:p w14:paraId="31ECF245">
                  <w:pPr>
                    <w:widowControl w:val="0"/>
                    <w:adjustRightInd/>
                    <w:snapToGrid/>
                    <w:spacing w:beforeLines="0" w:afterLines="0" w:line="240" w:lineRule="auto"/>
                    <w:jc w:val="both"/>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灌木林地其他林地</w:t>
                  </w:r>
                </w:p>
              </w:tc>
              <w:tc>
                <w:tcPr>
                  <w:tcW w:w="624" w:type="pct"/>
                  <w:vAlign w:val="center"/>
                </w:tcPr>
                <w:p w14:paraId="6A3D775F">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1156</w:t>
                  </w:r>
                </w:p>
              </w:tc>
              <w:tc>
                <w:tcPr>
                  <w:tcW w:w="831" w:type="pct"/>
                  <w:vAlign w:val="center"/>
                </w:tcPr>
                <w:p w14:paraId="5176C923">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1591</w:t>
                  </w:r>
                </w:p>
              </w:tc>
              <w:tc>
                <w:tcPr>
                  <w:tcW w:w="673" w:type="pct"/>
                  <w:vMerge w:val="continue"/>
                  <w:vAlign w:val="center"/>
                </w:tcPr>
                <w:p w14:paraId="1AB56ACA">
                  <w:pPr>
                    <w:widowControl w:val="0"/>
                    <w:adjustRightInd/>
                    <w:snapToGrid/>
                    <w:spacing w:beforeLines="0" w:afterLines="0" w:line="240" w:lineRule="auto"/>
                    <w:jc w:val="center"/>
                    <w:rPr>
                      <w:rFonts w:ascii="Times New Roman" w:hAnsi="Times New Roman" w:eastAsia="宋体" w:cs="Times New Roman"/>
                      <w:color w:val="auto"/>
                      <w:sz w:val="21"/>
                      <w:szCs w:val="21"/>
                      <w:highlight w:val="none"/>
                      <w:lang w:val="en-US" w:eastAsia="zh-CN" w:bidi="ar-SA"/>
                    </w:rPr>
                  </w:pPr>
                </w:p>
              </w:tc>
              <w:tc>
                <w:tcPr>
                  <w:tcW w:w="1238" w:type="pct"/>
                  <w:vAlign w:val="center"/>
                </w:tcPr>
                <w:p w14:paraId="30F5DA28">
                  <w:pPr>
                    <w:widowControl w:val="0"/>
                    <w:adjustRightInd/>
                    <w:snapToGrid/>
                    <w:spacing w:beforeLines="0" w:afterLines="0" w:line="240" w:lineRule="auto"/>
                    <w:jc w:val="center"/>
                    <w:rPr>
                      <w:rFonts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无</w:t>
                  </w:r>
                </w:p>
              </w:tc>
              <w:tc>
                <w:tcPr>
                  <w:tcW w:w="487" w:type="pct"/>
                  <w:vAlign w:val="center"/>
                </w:tcPr>
                <w:p w14:paraId="18CFD9A7">
                  <w:pPr>
                    <w:widowControl w:val="0"/>
                    <w:adjustRightInd/>
                    <w:snapToGrid/>
                    <w:spacing w:beforeLines="0" w:afterLines="0" w:line="240" w:lineRule="auto"/>
                    <w:jc w:val="center"/>
                    <w:rPr>
                      <w:rFonts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拟选</w:t>
                  </w:r>
                </w:p>
              </w:tc>
            </w:tr>
            <w:tr w14:paraId="583A2D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24" w:type="pct"/>
                  <w:vAlign w:val="center"/>
                </w:tcPr>
                <w:p w14:paraId="77651D70">
                  <w:pPr>
                    <w:widowControl w:val="0"/>
                    <w:adjustRightInd/>
                    <w:snapToGrid/>
                    <w:spacing w:beforeLines="0" w:afterLines="0" w:line="240" w:lineRule="auto"/>
                    <w:jc w:val="center"/>
                    <w:rPr>
                      <w:rFonts w:hint="default" w:ascii="Times New Roman" w:hAnsi="Times New Roman" w:eastAsia="宋体" w:cs="Times New Roman"/>
                      <w:bCs/>
                      <w:color w:val="auto"/>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bidi="ar-SA"/>
                    </w:rPr>
                    <w:t>3</w:t>
                  </w:r>
                </w:p>
              </w:tc>
              <w:tc>
                <w:tcPr>
                  <w:tcW w:w="619" w:type="pct"/>
                  <w:vAlign w:val="center"/>
                </w:tcPr>
                <w:p w14:paraId="505ECD7D">
                  <w:pPr>
                    <w:widowControl w:val="0"/>
                    <w:adjustRightInd/>
                    <w:snapToGrid/>
                    <w:spacing w:beforeLines="0" w:afterLines="0" w:line="240" w:lineRule="auto"/>
                    <w:jc w:val="center"/>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乔木林</w:t>
                  </w:r>
                  <w:r>
                    <w:rPr>
                      <w:rFonts w:hint="eastAsia" w:ascii="Times New Roman" w:hAnsi="Times New Roman" w:eastAsia="宋体" w:cs="Times New Roman"/>
                      <w:color w:val="auto"/>
                      <w:sz w:val="21"/>
                      <w:szCs w:val="21"/>
                      <w:highlight w:val="none"/>
                      <w:lang w:val="en-US" w:eastAsia="zh-CN" w:bidi="ar-SA"/>
                    </w:rPr>
                    <w:t>地</w:t>
                  </w:r>
                </w:p>
              </w:tc>
              <w:tc>
                <w:tcPr>
                  <w:tcW w:w="624" w:type="pct"/>
                  <w:vAlign w:val="center"/>
                </w:tcPr>
                <w:p w14:paraId="69CFBC5C">
                  <w:pPr>
                    <w:widowControl w:val="0"/>
                    <w:adjustRightInd/>
                    <w:snapToGrid/>
                    <w:spacing w:beforeLines="0" w:afterLines="0" w:line="240" w:lineRule="auto"/>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810</w:t>
                  </w:r>
                </w:p>
              </w:tc>
              <w:tc>
                <w:tcPr>
                  <w:tcW w:w="831" w:type="pct"/>
                  <w:vAlign w:val="center"/>
                </w:tcPr>
                <w:p w14:paraId="05C0C87B">
                  <w:pPr>
                    <w:widowControl w:val="0"/>
                    <w:adjustRightInd/>
                    <w:snapToGrid/>
                    <w:spacing w:beforeLines="0" w:afterLines="0" w:line="240" w:lineRule="auto"/>
                    <w:jc w:val="center"/>
                    <w:rPr>
                      <w:rFonts w:hint="default" w:ascii="Times New Roman" w:hAnsi="Times New Roman" w:eastAsia="宋体" w:cs="Times New Roman"/>
                      <w:bCs/>
                      <w:color w:val="auto"/>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bidi="ar-SA"/>
                    </w:rPr>
                    <w:t>1478</w:t>
                  </w:r>
                </w:p>
              </w:tc>
              <w:tc>
                <w:tcPr>
                  <w:tcW w:w="673" w:type="pct"/>
                  <w:vMerge w:val="continue"/>
                  <w:vAlign w:val="center"/>
                </w:tcPr>
                <w:p w14:paraId="43966B5D">
                  <w:pPr>
                    <w:widowControl w:val="0"/>
                    <w:adjustRightInd/>
                    <w:snapToGrid/>
                    <w:spacing w:beforeLines="0" w:afterLines="0" w:line="240" w:lineRule="auto"/>
                    <w:jc w:val="center"/>
                    <w:rPr>
                      <w:rFonts w:ascii="Times New Roman" w:hAnsi="Times New Roman" w:eastAsia="宋体" w:cs="Times New Roman"/>
                      <w:color w:val="auto"/>
                      <w:sz w:val="21"/>
                      <w:szCs w:val="21"/>
                      <w:highlight w:val="none"/>
                      <w:lang w:val="en-US" w:eastAsia="zh-CN" w:bidi="ar-SA"/>
                    </w:rPr>
                  </w:pPr>
                </w:p>
              </w:tc>
              <w:tc>
                <w:tcPr>
                  <w:tcW w:w="1238" w:type="pct"/>
                  <w:vAlign w:val="center"/>
                </w:tcPr>
                <w:p w14:paraId="0626FDD7">
                  <w:pPr>
                    <w:widowControl w:val="0"/>
                    <w:adjustRightInd/>
                    <w:snapToGrid/>
                    <w:spacing w:beforeLines="0" w:afterLines="0" w:line="240" w:lineRule="auto"/>
                    <w:jc w:val="center"/>
                    <w:rPr>
                      <w:rFonts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无</w:t>
                  </w:r>
                </w:p>
              </w:tc>
              <w:tc>
                <w:tcPr>
                  <w:tcW w:w="487" w:type="pct"/>
                  <w:vAlign w:val="center"/>
                </w:tcPr>
                <w:p w14:paraId="42698625">
                  <w:pPr>
                    <w:widowControl w:val="0"/>
                    <w:adjustRightInd/>
                    <w:snapToGrid/>
                    <w:spacing w:beforeLines="0" w:afterLines="0" w:line="240" w:lineRule="auto"/>
                    <w:jc w:val="center"/>
                    <w:rPr>
                      <w:rFonts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拟选</w:t>
                  </w:r>
                </w:p>
              </w:tc>
            </w:tr>
            <w:tr w14:paraId="35A0CE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24" w:type="pct"/>
                  <w:vAlign w:val="center"/>
                </w:tcPr>
                <w:p w14:paraId="57EC273F">
                  <w:pPr>
                    <w:widowControl w:val="0"/>
                    <w:adjustRightInd/>
                    <w:snapToGrid/>
                    <w:spacing w:beforeLines="0" w:afterLines="0" w:line="240" w:lineRule="auto"/>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4</w:t>
                  </w:r>
                </w:p>
              </w:tc>
              <w:tc>
                <w:tcPr>
                  <w:tcW w:w="619" w:type="pct"/>
                  <w:vAlign w:val="center"/>
                </w:tcPr>
                <w:p w14:paraId="676AF7D3">
                  <w:pPr>
                    <w:widowControl w:val="0"/>
                    <w:adjustRightInd/>
                    <w:snapToGrid/>
                    <w:spacing w:beforeLines="0" w:afterLines="0" w:line="240" w:lineRule="auto"/>
                    <w:jc w:val="both"/>
                    <w:rPr>
                      <w:rFonts w:hint="default"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灌木林</w:t>
                  </w:r>
                  <w:r>
                    <w:rPr>
                      <w:rFonts w:hint="eastAsia" w:ascii="Times New Roman" w:hAnsi="Times New Roman" w:eastAsia="宋体" w:cs="Times New Roman"/>
                      <w:color w:val="auto"/>
                      <w:sz w:val="21"/>
                      <w:szCs w:val="21"/>
                      <w:highlight w:val="none"/>
                      <w:lang w:val="en-US" w:eastAsia="zh-CN" w:bidi="ar-SA"/>
                    </w:rPr>
                    <w:t>地</w:t>
                  </w:r>
                </w:p>
              </w:tc>
              <w:tc>
                <w:tcPr>
                  <w:tcW w:w="624" w:type="pct"/>
                  <w:vAlign w:val="center"/>
                </w:tcPr>
                <w:p w14:paraId="0B15EC44">
                  <w:pPr>
                    <w:widowControl w:val="0"/>
                    <w:adjustRightInd/>
                    <w:snapToGrid/>
                    <w:spacing w:beforeLines="0" w:afterLines="0" w:line="240" w:lineRule="auto"/>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1390</w:t>
                  </w:r>
                </w:p>
              </w:tc>
              <w:tc>
                <w:tcPr>
                  <w:tcW w:w="831" w:type="pct"/>
                  <w:vAlign w:val="center"/>
                </w:tcPr>
                <w:p w14:paraId="2F769FB5">
                  <w:pPr>
                    <w:widowControl w:val="0"/>
                    <w:adjustRightInd/>
                    <w:snapToGrid/>
                    <w:spacing w:beforeLines="0" w:afterLines="0" w:line="240" w:lineRule="auto"/>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1658</w:t>
                  </w:r>
                </w:p>
              </w:tc>
              <w:tc>
                <w:tcPr>
                  <w:tcW w:w="673" w:type="pct"/>
                  <w:vMerge w:val="continue"/>
                  <w:vAlign w:val="center"/>
                </w:tcPr>
                <w:p w14:paraId="77D3241B">
                  <w:pPr>
                    <w:widowControl w:val="0"/>
                    <w:adjustRightInd/>
                    <w:snapToGrid/>
                    <w:spacing w:beforeLines="0" w:afterLines="0" w:line="240" w:lineRule="auto"/>
                    <w:jc w:val="center"/>
                    <w:rPr>
                      <w:rFonts w:ascii="Times New Roman" w:hAnsi="Times New Roman" w:eastAsia="宋体" w:cs="Times New Roman"/>
                      <w:color w:val="auto"/>
                      <w:sz w:val="21"/>
                      <w:szCs w:val="21"/>
                      <w:highlight w:val="none"/>
                      <w:lang w:val="en-US" w:eastAsia="zh-CN" w:bidi="ar-SA"/>
                    </w:rPr>
                  </w:pPr>
                </w:p>
              </w:tc>
              <w:tc>
                <w:tcPr>
                  <w:tcW w:w="1238" w:type="pct"/>
                  <w:vAlign w:val="center"/>
                </w:tcPr>
                <w:p w14:paraId="4A77A221">
                  <w:pPr>
                    <w:widowControl w:val="0"/>
                    <w:adjustRightInd/>
                    <w:snapToGrid/>
                    <w:spacing w:beforeLines="0" w:afterLines="0" w:line="240" w:lineRule="auto"/>
                    <w:jc w:val="center"/>
                    <w:rPr>
                      <w:rFonts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无</w:t>
                  </w:r>
                </w:p>
              </w:tc>
              <w:tc>
                <w:tcPr>
                  <w:tcW w:w="487" w:type="pct"/>
                  <w:vAlign w:val="center"/>
                </w:tcPr>
                <w:p w14:paraId="7CCE6F9A">
                  <w:pPr>
                    <w:widowControl w:val="0"/>
                    <w:adjustRightInd/>
                    <w:snapToGrid/>
                    <w:spacing w:beforeLines="0" w:afterLines="0" w:line="240" w:lineRule="auto"/>
                    <w:jc w:val="center"/>
                    <w:rPr>
                      <w:rFonts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拟选</w:t>
                  </w:r>
                </w:p>
              </w:tc>
            </w:tr>
            <w:tr w14:paraId="109D32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24" w:type="pct"/>
                  <w:vAlign w:val="center"/>
                </w:tcPr>
                <w:p w14:paraId="4C5DC535">
                  <w:pPr>
                    <w:widowControl w:val="0"/>
                    <w:adjustRightInd/>
                    <w:snapToGrid/>
                    <w:spacing w:beforeLines="0" w:afterLines="0" w:line="240" w:lineRule="auto"/>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5</w:t>
                  </w:r>
                </w:p>
              </w:tc>
              <w:tc>
                <w:tcPr>
                  <w:tcW w:w="619" w:type="pct"/>
                  <w:vAlign w:val="center"/>
                </w:tcPr>
                <w:p w14:paraId="085A4FE2">
                  <w:pPr>
                    <w:widowControl w:val="0"/>
                    <w:adjustRightInd/>
                    <w:snapToGrid/>
                    <w:spacing w:beforeLines="0" w:afterLines="0" w:line="240" w:lineRule="auto"/>
                    <w:jc w:val="both"/>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乔</w:t>
                  </w:r>
                  <w:r>
                    <w:rPr>
                      <w:rFonts w:hint="eastAsia" w:ascii="Times New Roman" w:hAnsi="Times New Roman" w:eastAsia="宋体" w:cs="Times New Roman"/>
                      <w:color w:val="auto"/>
                      <w:sz w:val="21"/>
                      <w:szCs w:val="21"/>
                      <w:highlight w:val="none"/>
                      <w:lang w:val="en-US" w:eastAsia="zh-CN" w:bidi="ar-SA"/>
                    </w:rPr>
                    <w:t>木林地</w:t>
                  </w:r>
                  <w:r>
                    <w:rPr>
                      <w:rFonts w:ascii="Times New Roman" w:hAnsi="Times New Roman" w:eastAsia="宋体" w:cs="Times New Roman"/>
                      <w:color w:val="auto"/>
                      <w:sz w:val="21"/>
                      <w:szCs w:val="21"/>
                      <w:highlight w:val="none"/>
                      <w:lang w:val="en-US" w:eastAsia="zh-CN" w:bidi="ar-SA"/>
                    </w:rPr>
                    <w:t xml:space="preserve"> </w:t>
                  </w:r>
                  <w:r>
                    <w:rPr>
                      <w:rFonts w:hint="eastAsia" w:ascii="Times New Roman" w:hAnsi="Times New Roman" w:eastAsia="宋体" w:cs="Times New Roman"/>
                      <w:color w:val="auto"/>
                      <w:sz w:val="21"/>
                      <w:szCs w:val="21"/>
                      <w:highlight w:val="none"/>
                      <w:lang w:val="en-US" w:eastAsia="zh-CN" w:bidi="ar-SA"/>
                    </w:rPr>
                    <w:t>其他草地</w:t>
                  </w:r>
                </w:p>
              </w:tc>
              <w:tc>
                <w:tcPr>
                  <w:tcW w:w="624" w:type="pct"/>
                  <w:vAlign w:val="center"/>
                </w:tcPr>
                <w:p w14:paraId="53338344">
                  <w:pPr>
                    <w:widowControl w:val="0"/>
                    <w:adjustRightInd/>
                    <w:snapToGrid/>
                    <w:spacing w:beforeLines="0" w:afterLines="0" w:line="240" w:lineRule="auto"/>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1160</w:t>
                  </w:r>
                </w:p>
              </w:tc>
              <w:tc>
                <w:tcPr>
                  <w:tcW w:w="831" w:type="pct"/>
                  <w:vAlign w:val="center"/>
                </w:tcPr>
                <w:p w14:paraId="7656EE5D">
                  <w:pPr>
                    <w:widowControl w:val="0"/>
                    <w:adjustRightInd/>
                    <w:snapToGrid/>
                    <w:spacing w:beforeLines="0" w:afterLines="0" w:line="240" w:lineRule="auto"/>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1636</w:t>
                  </w:r>
                </w:p>
              </w:tc>
              <w:tc>
                <w:tcPr>
                  <w:tcW w:w="673" w:type="pct"/>
                  <w:vMerge w:val="continue"/>
                  <w:vAlign w:val="center"/>
                </w:tcPr>
                <w:p w14:paraId="3D68B57B">
                  <w:pPr>
                    <w:widowControl w:val="0"/>
                    <w:adjustRightInd/>
                    <w:snapToGrid/>
                    <w:spacing w:beforeLines="0" w:afterLines="0" w:line="240" w:lineRule="auto"/>
                    <w:jc w:val="center"/>
                    <w:rPr>
                      <w:rFonts w:ascii="Times New Roman" w:hAnsi="Times New Roman" w:eastAsia="宋体" w:cs="Times New Roman"/>
                      <w:color w:val="auto"/>
                      <w:sz w:val="21"/>
                      <w:szCs w:val="21"/>
                      <w:highlight w:val="none"/>
                      <w:lang w:val="en-US" w:eastAsia="zh-CN" w:bidi="ar-SA"/>
                    </w:rPr>
                  </w:pPr>
                </w:p>
              </w:tc>
              <w:tc>
                <w:tcPr>
                  <w:tcW w:w="1238" w:type="pct"/>
                  <w:vAlign w:val="center"/>
                </w:tcPr>
                <w:p w14:paraId="3F0A92E2">
                  <w:pPr>
                    <w:widowControl w:val="0"/>
                    <w:adjustRightInd/>
                    <w:snapToGrid/>
                    <w:spacing w:beforeLines="0" w:afterLines="0" w:line="240" w:lineRule="auto"/>
                    <w:jc w:val="center"/>
                    <w:rPr>
                      <w:rFonts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无</w:t>
                  </w:r>
                </w:p>
              </w:tc>
              <w:tc>
                <w:tcPr>
                  <w:tcW w:w="487" w:type="pct"/>
                  <w:vAlign w:val="center"/>
                </w:tcPr>
                <w:p w14:paraId="7C713B42">
                  <w:pPr>
                    <w:widowControl w:val="0"/>
                    <w:adjustRightInd/>
                    <w:snapToGrid/>
                    <w:spacing w:beforeLines="0" w:afterLines="0" w:line="240" w:lineRule="auto"/>
                    <w:jc w:val="center"/>
                    <w:rPr>
                      <w:rFonts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拟选</w:t>
                  </w:r>
                </w:p>
              </w:tc>
            </w:tr>
            <w:tr w14:paraId="2C4665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24" w:type="pct"/>
                  <w:vAlign w:val="center"/>
                </w:tcPr>
                <w:p w14:paraId="70E9337D">
                  <w:pPr>
                    <w:widowControl w:val="0"/>
                    <w:adjustRightInd/>
                    <w:snapToGrid/>
                    <w:spacing w:beforeLines="0" w:afterLines="0" w:line="240" w:lineRule="auto"/>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6</w:t>
                  </w:r>
                </w:p>
              </w:tc>
              <w:tc>
                <w:tcPr>
                  <w:tcW w:w="619" w:type="pct"/>
                  <w:vAlign w:val="center"/>
                </w:tcPr>
                <w:p w14:paraId="7D492471">
                  <w:pPr>
                    <w:widowControl w:val="0"/>
                    <w:adjustRightInd/>
                    <w:snapToGrid/>
                    <w:spacing w:beforeLines="0" w:afterLines="0" w:line="240" w:lineRule="auto"/>
                    <w:jc w:val="both"/>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乔木林</w:t>
                  </w:r>
                  <w:r>
                    <w:rPr>
                      <w:rFonts w:hint="eastAsia" w:ascii="Times New Roman" w:hAnsi="Times New Roman" w:eastAsia="宋体" w:cs="Times New Roman"/>
                      <w:color w:val="auto"/>
                      <w:sz w:val="21"/>
                      <w:szCs w:val="21"/>
                      <w:highlight w:val="none"/>
                      <w:lang w:val="en-US" w:eastAsia="zh-CN" w:bidi="ar-SA"/>
                    </w:rPr>
                    <w:t>地</w:t>
                  </w:r>
                </w:p>
              </w:tc>
              <w:tc>
                <w:tcPr>
                  <w:tcW w:w="624" w:type="pct"/>
                  <w:vAlign w:val="center"/>
                </w:tcPr>
                <w:p w14:paraId="1AEA4952">
                  <w:pPr>
                    <w:widowControl w:val="0"/>
                    <w:adjustRightInd/>
                    <w:snapToGrid/>
                    <w:spacing w:beforeLines="0" w:afterLines="0" w:line="240" w:lineRule="auto"/>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670</w:t>
                  </w:r>
                </w:p>
              </w:tc>
              <w:tc>
                <w:tcPr>
                  <w:tcW w:w="831" w:type="pct"/>
                  <w:vAlign w:val="center"/>
                </w:tcPr>
                <w:p w14:paraId="790163C3">
                  <w:pPr>
                    <w:widowControl w:val="0"/>
                    <w:adjustRightInd/>
                    <w:snapToGrid/>
                    <w:spacing w:beforeLines="0" w:afterLines="0" w:line="240" w:lineRule="auto"/>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1585</w:t>
                  </w:r>
                </w:p>
              </w:tc>
              <w:tc>
                <w:tcPr>
                  <w:tcW w:w="673" w:type="pct"/>
                  <w:vMerge w:val="continue"/>
                  <w:vAlign w:val="center"/>
                </w:tcPr>
                <w:p w14:paraId="10E666B9">
                  <w:pPr>
                    <w:widowControl w:val="0"/>
                    <w:adjustRightInd/>
                    <w:snapToGrid/>
                    <w:spacing w:beforeLines="0" w:afterLines="0" w:line="240" w:lineRule="auto"/>
                    <w:jc w:val="center"/>
                    <w:rPr>
                      <w:rFonts w:ascii="Times New Roman" w:hAnsi="Times New Roman" w:eastAsia="宋体" w:cs="Times New Roman"/>
                      <w:color w:val="auto"/>
                      <w:sz w:val="21"/>
                      <w:szCs w:val="21"/>
                      <w:highlight w:val="none"/>
                      <w:lang w:val="en-US" w:eastAsia="zh-CN" w:bidi="ar-SA"/>
                    </w:rPr>
                  </w:pPr>
                </w:p>
              </w:tc>
              <w:tc>
                <w:tcPr>
                  <w:tcW w:w="1238" w:type="pct"/>
                  <w:vAlign w:val="center"/>
                </w:tcPr>
                <w:p w14:paraId="4A5827A1">
                  <w:pPr>
                    <w:widowControl w:val="0"/>
                    <w:adjustRightInd/>
                    <w:snapToGrid/>
                    <w:spacing w:beforeLines="0" w:afterLines="0" w:line="240" w:lineRule="auto"/>
                    <w:jc w:val="center"/>
                    <w:rPr>
                      <w:rFonts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无</w:t>
                  </w:r>
                </w:p>
              </w:tc>
              <w:tc>
                <w:tcPr>
                  <w:tcW w:w="487" w:type="pct"/>
                  <w:vAlign w:val="center"/>
                </w:tcPr>
                <w:p w14:paraId="3B2E4EFE">
                  <w:pPr>
                    <w:widowControl w:val="0"/>
                    <w:adjustRightInd/>
                    <w:snapToGrid/>
                    <w:spacing w:beforeLines="0" w:afterLines="0" w:line="240" w:lineRule="auto"/>
                    <w:jc w:val="center"/>
                    <w:rPr>
                      <w:rFonts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拟选</w:t>
                  </w:r>
                </w:p>
              </w:tc>
            </w:tr>
            <w:tr w14:paraId="314542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24" w:type="pct"/>
                  <w:vAlign w:val="center"/>
                </w:tcPr>
                <w:p w14:paraId="79FD9370">
                  <w:pPr>
                    <w:widowControl w:val="0"/>
                    <w:adjustRightInd/>
                    <w:snapToGrid/>
                    <w:spacing w:beforeLines="0" w:afterLines="0" w:line="240" w:lineRule="auto"/>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7</w:t>
                  </w:r>
                </w:p>
              </w:tc>
              <w:tc>
                <w:tcPr>
                  <w:tcW w:w="619" w:type="pct"/>
                  <w:vAlign w:val="center"/>
                </w:tcPr>
                <w:p w14:paraId="6C287D31">
                  <w:pPr>
                    <w:widowControl w:val="0"/>
                    <w:adjustRightInd/>
                    <w:snapToGrid/>
                    <w:spacing w:beforeLines="0" w:afterLines="0" w:line="240" w:lineRule="auto"/>
                    <w:jc w:val="both"/>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其他草</w:t>
                  </w:r>
                  <w:r>
                    <w:rPr>
                      <w:rFonts w:hint="eastAsia" w:ascii="Times New Roman" w:hAnsi="Times New Roman" w:eastAsia="宋体" w:cs="Times New Roman"/>
                      <w:color w:val="auto"/>
                      <w:sz w:val="21"/>
                      <w:szCs w:val="21"/>
                      <w:highlight w:val="none"/>
                      <w:lang w:val="en-US" w:eastAsia="zh-CN" w:bidi="ar-SA"/>
                    </w:rPr>
                    <w:t>地</w:t>
                  </w:r>
                </w:p>
              </w:tc>
              <w:tc>
                <w:tcPr>
                  <w:tcW w:w="624" w:type="pct"/>
                  <w:vAlign w:val="center"/>
                </w:tcPr>
                <w:p w14:paraId="499B691F">
                  <w:pPr>
                    <w:widowControl w:val="0"/>
                    <w:adjustRightInd/>
                    <w:snapToGrid/>
                    <w:spacing w:beforeLines="0" w:afterLines="0" w:line="240" w:lineRule="auto"/>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1110</w:t>
                  </w:r>
                </w:p>
              </w:tc>
              <w:tc>
                <w:tcPr>
                  <w:tcW w:w="831" w:type="pct"/>
                  <w:vAlign w:val="center"/>
                </w:tcPr>
                <w:p w14:paraId="329ED9F9">
                  <w:pPr>
                    <w:widowControl w:val="0"/>
                    <w:adjustRightInd/>
                    <w:snapToGrid/>
                    <w:spacing w:beforeLines="0" w:afterLines="0" w:line="240" w:lineRule="auto"/>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1739</w:t>
                  </w:r>
                </w:p>
              </w:tc>
              <w:tc>
                <w:tcPr>
                  <w:tcW w:w="673" w:type="pct"/>
                  <w:vMerge w:val="continue"/>
                  <w:vAlign w:val="center"/>
                </w:tcPr>
                <w:p w14:paraId="19E5AD0C">
                  <w:pPr>
                    <w:widowControl w:val="0"/>
                    <w:adjustRightInd/>
                    <w:snapToGrid/>
                    <w:spacing w:beforeLines="0" w:afterLines="0" w:line="240" w:lineRule="auto"/>
                    <w:jc w:val="center"/>
                    <w:rPr>
                      <w:rFonts w:ascii="Times New Roman" w:hAnsi="Times New Roman" w:eastAsia="宋体" w:cs="Times New Roman"/>
                      <w:color w:val="auto"/>
                      <w:sz w:val="21"/>
                      <w:szCs w:val="21"/>
                      <w:highlight w:val="none"/>
                      <w:lang w:val="en-US" w:eastAsia="zh-CN" w:bidi="ar-SA"/>
                    </w:rPr>
                  </w:pPr>
                </w:p>
              </w:tc>
              <w:tc>
                <w:tcPr>
                  <w:tcW w:w="1238" w:type="pct"/>
                  <w:vAlign w:val="center"/>
                </w:tcPr>
                <w:p w14:paraId="1DAF13D6">
                  <w:pPr>
                    <w:widowControl w:val="0"/>
                    <w:adjustRightInd/>
                    <w:snapToGrid/>
                    <w:spacing w:beforeLines="0" w:afterLines="0" w:line="240" w:lineRule="auto"/>
                    <w:jc w:val="center"/>
                    <w:rPr>
                      <w:rFonts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无</w:t>
                  </w:r>
                </w:p>
              </w:tc>
              <w:tc>
                <w:tcPr>
                  <w:tcW w:w="487" w:type="pct"/>
                  <w:vAlign w:val="center"/>
                </w:tcPr>
                <w:p w14:paraId="4A97C2BF">
                  <w:pPr>
                    <w:widowControl w:val="0"/>
                    <w:adjustRightInd/>
                    <w:snapToGrid/>
                    <w:spacing w:beforeLines="0" w:afterLines="0" w:line="240" w:lineRule="auto"/>
                    <w:jc w:val="center"/>
                    <w:rPr>
                      <w:rFonts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拟选</w:t>
                  </w:r>
                </w:p>
              </w:tc>
            </w:tr>
            <w:tr w14:paraId="6608DF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24" w:type="pct"/>
                  <w:vAlign w:val="center"/>
                </w:tcPr>
                <w:p w14:paraId="586737D0">
                  <w:pPr>
                    <w:widowControl w:val="0"/>
                    <w:adjustRightInd/>
                    <w:snapToGrid/>
                    <w:spacing w:beforeLines="0" w:afterLines="0" w:line="240" w:lineRule="auto"/>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8</w:t>
                  </w:r>
                </w:p>
              </w:tc>
              <w:tc>
                <w:tcPr>
                  <w:tcW w:w="619" w:type="pct"/>
                  <w:vAlign w:val="center"/>
                </w:tcPr>
                <w:p w14:paraId="7C38A791">
                  <w:pPr>
                    <w:widowControl w:val="0"/>
                    <w:adjustRightInd/>
                    <w:snapToGrid/>
                    <w:spacing w:beforeLines="0" w:afterLines="0" w:line="240" w:lineRule="auto"/>
                    <w:jc w:val="both"/>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乔木林</w:t>
                  </w:r>
                  <w:r>
                    <w:rPr>
                      <w:rFonts w:hint="eastAsia" w:ascii="Times New Roman" w:hAnsi="Times New Roman" w:eastAsia="宋体" w:cs="Times New Roman"/>
                      <w:color w:val="auto"/>
                      <w:sz w:val="21"/>
                      <w:szCs w:val="21"/>
                      <w:highlight w:val="none"/>
                      <w:lang w:val="en-US" w:eastAsia="zh-CN" w:bidi="ar-SA"/>
                    </w:rPr>
                    <w:t>地</w:t>
                  </w:r>
                </w:p>
              </w:tc>
              <w:tc>
                <w:tcPr>
                  <w:tcW w:w="624" w:type="pct"/>
                  <w:vAlign w:val="center"/>
                </w:tcPr>
                <w:p w14:paraId="6193C252">
                  <w:pPr>
                    <w:widowControl w:val="0"/>
                    <w:adjustRightInd/>
                    <w:snapToGrid/>
                    <w:spacing w:beforeLines="0" w:afterLines="0" w:line="240" w:lineRule="auto"/>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665</w:t>
                  </w:r>
                </w:p>
              </w:tc>
              <w:tc>
                <w:tcPr>
                  <w:tcW w:w="831" w:type="pct"/>
                  <w:vAlign w:val="center"/>
                </w:tcPr>
                <w:p w14:paraId="5A33AF95">
                  <w:pPr>
                    <w:widowControl w:val="0"/>
                    <w:adjustRightInd/>
                    <w:snapToGrid/>
                    <w:spacing w:beforeLines="0" w:afterLines="0" w:line="240" w:lineRule="auto"/>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1411</w:t>
                  </w:r>
                </w:p>
              </w:tc>
              <w:tc>
                <w:tcPr>
                  <w:tcW w:w="673" w:type="pct"/>
                  <w:vMerge w:val="continue"/>
                  <w:vAlign w:val="center"/>
                </w:tcPr>
                <w:p w14:paraId="4180687A">
                  <w:pPr>
                    <w:widowControl w:val="0"/>
                    <w:adjustRightInd/>
                    <w:snapToGrid/>
                    <w:spacing w:beforeLines="0" w:afterLines="0" w:line="240" w:lineRule="auto"/>
                    <w:jc w:val="center"/>
                    <w:rPr>
                      <w:rFonts w:ascii="Times New Roman" w:hAnsi="Times New Roman" w:eastAsia="宋体" w:cs="Times New Roman"/>
                      <w:color w:val="auto"/>
                      <w:sz w:val="21"/>
                      <w:szCs w:val="21"/>
                      <w:highlight w:val="none"/>
                      <w:lang w:val="en-US" w:eastAsia="zh-CN" w:bidi="ar-SA"/>
                    </w:rPr>
                  </w:pPr>
                </w:p>
              </w:tc>
              <w:tc>
                <w:tcPr>
                  <w:tcW w:w="1238" w:type="pct"/>
                  <w:vAlign w:val="center"/>
                </w:tcPr>
                <w:p w14:paraId="7D922874">
                  <w:pPr>
                    <w:widowControl w:val="0"/>
                    <w:adjustRightInd/>
                    <w:snapToGrid/>
                    <w:spacing w:beforeLines="0" w:afterLines="0" w:line="240" w:lineRule="auto"/>
                    <w:jc w:val="center"/>
                    <w:rPr>
                      <w:rFonts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无</w:t>
                  </w:r>
                </w:p>
              </w:tc>
              <w:tc>
                <w:tcPr>
                  <w:tcW w:w="487" w:type="pct"/>
                  <w:vAlign w:val="center"/>
                </w:tcPr>
                <w:p w14:paraId="793F8E5E">
                  <w:pPr>
                    <w:widowControl w:val="0"/>
                    <w:adjustRightInd/>
                    <w:snapToGrid/>
                    <w:spacing w:beforeLines="0" w:afterLines="0" w:line="240" w:lineRule="auto"/>
                    <w:jc w:val="center"/>
                    <w:rPr>
                      <w:rFonts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拟选</w:t>
                  </w:r>
                </w:p>
              </w:tc>
            </w:tr>
            <w:tr w14:paraId="03F874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24" w:type="pct"/>
                  <w:vAlign w:val="center"/>
                </w:tcPr>
                <w:p w14:paraId="4CA57E82">
                  <w:pPr>
                    <w:widowControl w:val="0"/>
                    <w:adjustRightInd/>
                    <w:snapToGrid/>
                    <w:spacing w:beforeLines="0" w:afterLines="0" w:line="240" w:lineRule="auto"/>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9</w:t>
                  </w:r>
                </w:p>
              </w:tc>
              <w:tc>
                <w:tcPr>
                  <w:tcW w:w="619" w:type="pct"/>
                  <w:vAlign w:val="center"/>
                </w:tcPr>
                <w:p w14:paraId="0E805C8B">
                  <w:pPr>
                    <w:widowControl w:val="0"/>
                    <w:adjustRightInd/>
                    <w:snapToGrid/>
                    <w:spacing w:beforeLines="0" w:afterLines="0" w:line="240" w:lineRule="auto"/>
                    <w:jc w:val="both"/>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其他草</w:t>
                  </w:r>
                  <w:r>
                    <w:rPr>
                      <w:rFonts w:hint="eastAsia" w:ascii="Times New Roman" w:hAnsi="Times New Roman" w:eastAsia="宋体" w:cs="Times New Roman"/>
                      <w:color w:val="auto"/>
                      <w:sz w:val="21"/>
                      <w:szCs w:val="21"/>
                      <w:highlight w:val="none"/>
                      <w:lang w:val="en-US" w:eastAsia="zh-CN" w:bidi="ar-SA"/>
                    </w:rPr>
                    <w:t>地</w:t>
                  </w:r>
                </w:p>
              </w:tc>
              <w:tc>
                <w:tcPr>
                  <w:tcW w:w="624" w:type="pct"/>
                  <w:vAlign w:val="center"/>
                </w:tcPr>
                <w:p w14:paraId="77149438">
                  <w:pPr>
                    <w:widowControl w:val="0"/>
                    <w:adjustRightInd/>
                    <w:snapToGrid/>
                    <w:spacing w:beforeLines="0" w:afterLines="0" w:line="240" w:lineRule="auto"/>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730</w:t>
                  </w:r>
                </w:p>
              </w:tc>
              <w:tc>
                <w:tcPr>
                  <w:tcW w:w="831" w:type="pct"/>
                  <w:vAlign w:val="center"/>
                </w:tcPr>
                <w:p w14:paraId="41788C25">
                  <w:pPr>
                    <w:widowControl w:val="0"/>
                    <w:adjustRightInd/>
                    <w:snapToGrid/>
                    <w:spacing w:beforeLines="0" w:afterLines="0" w:line="240" w:lineRule="auto"/>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1412</w:t>
                  </w:r>
                </w:p>
              </w:tc>
              <w:tc>
                <w:tcPr>
                  <w:tcW w:w="673" w:type="pct"/>
                  <w:vMerge w:val="continue"/>
                  <w:vAlign w:val="center"/>
                </w:tcPr>
                <w:p w14:paraId="25D2021F">
                  <w:pPr>
                    <w:widowControl w:val="0"/>
                    <w:adjustRightInd/>
                    <w:snapToGrid/>
                    <w:spacing w:beforeLines="0" w:afterLines="0" w:line="240" w:lineRule="auto"/>
                    <w:jc w:val="center"/>
                    <w:rPr>
                      <w:rFonts w:ascii="Times New Roman" w:hAnsi="Times New Roman" w:eastAsia="宋体" w:cs="Times New Roman"/>
                      <w:color w:val="auto"/>
                      <w:sz w:val="21"/>
                      <w:szCs w:val="21"/>
                      <w:highlight w:val="none"/>
                      <w:lang w:val="en-US" w:eastAsia="zh-CN" w:bidi="ar-SA"/>
                    </w:rPr>
                  </w:pPr>
                </w:p>
              </w:tc>
              <w:tc>
                <w:tcPr>
                  <w:tcW w:w="1238" w:type="pct"/>
                  <w:vAlign w:val="center"/>
                </w:tcPr>
                <w:p w14:paraId="5D9050AD">
                  <w:pPr>
                    <w:widowControl w:val="0"/>
                    <w:adjustRightInd/>
                    <w:snapToGrid/>
                    <w:spacing w:beforeLines="0" w:afterLines="0" w:line="240" w:lineRule="auto"/>
                    <w:jc w:val="center"/>
                    <w:rPr>
                      <w:rFonts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无</w:t>
                  </w:r>
                </w:p>
              </w:tc>
              <w:tc>
                <w:tcPr>
                  <w:tcW w:w="487" w:type="pct"/>
                  <w:vAlign w:val="center"/>
                </w:tcPr>
                <w:p w14:paraId="3580E2FF">
                  <w:pPr>
                    <w:widowControl w:val="0"/>
                    <w:adjustRightInd/>
                    <w:snapToGrid/>
                    <w:spacing w:beforeLines="0" w:afterLines="0" w:line="240" w:lineRule="auto"/>
                    <w:jc w:val="center"/>
                    <w:rPr>
                      <w:rFonts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拟选</w:t>
                  </w:r>
                </w:p>
              </w:tc>
            </w:tr>
            <w:tr w14:paraId="1D6433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24" w:type="pct"/>
                  <w:vAlign w:val="center"/>
                </w:tcPr>
                <w:p w14:paraId="1FF7F0A3">
                  <w:pPr>
                    <w:widowControl w:val="0"/>
                    <w:adjustRightInd/>
                    <w:snapToGrid/>
                    <w:spacing w:beforeLines="0" w:afterLines="0" w:line="240" w:lineRule="auto"/>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10</w:t>
                  </w:r>
                </w:p>
              </w:tc>
              <w:tc>
                <w:tcPr>
                  <w:tcW w:w="619" w:type="pct"/>
                  <w:vAlign w:val="center"/>
                </w:tcPr>
                <w:p w14:paraId="54B4FA3F">
                  <w:pPr>
                    <w:widowControl w:val="0"/>
                    <w:adjustRightInd/>
                    <w:snapToGrid/>
                    <w:spacing w:beforeLines="0" w:afterLines="0" w:line="240" w:lineRule="auto"/>
                    <w:jc w:val="center"/>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乔木林</w:t>
                  </w:r>
                  <w:r>
                    <w:rPr>
                      <w:rFonts w:hint="eastAsia" w:ascii="Times New Roman" w:hAnsi="Times New Roman" w:eastAsia="宋体" w:cs="Times New Roman"/>
                      <w:color w:val="auto"/>
                      <w:sz w:val="21"/>
                      <w:szCs w:val="21"/>
                      <w:highlight w:val="none"/>
                      <w:lang w:val="en-US" w:eastAsia="zh-CN" w:bidi="ar-SA"/>
                    </w:rPr>
                    <w:t>地</w:t>
                  </w:r>
                  <w:r>
                    <w:rPr>
                      <w:rFonts w:ascii="Times New Roman" w:hAnsi="Times New Roman" w:eastAsia="宋体" w:cs="Times New Roman"/>
                      <w:color w:val="auto"/>
                      <w:sz w:val="21"/>
                      <w:szCs w:val="21"/>
                      <w:highlight w:val="none"/>
                      <w:lang w:val="en-US" w:eastAsia="zh-CN" w:bidi="ar-SA"/>
                    </w:rPr>
                    <w:t xml:space="preserve"> </w:t>
                  </w:r>
                </w:p>
              </w:tc>
              <w:tc>
                <w:tcPr>
                  <w:tcW w:w="624" w:type="pct"/>
                  <w:vAlign w:val="center"/>
                </w:tcPr>
                <w:p w14:paraId="110B0B09">
                  <w:pPr>
                    <w:widowControl w:val="0"/>
                    <w:adjustRightInd/>
                    <w:snapToGrid/>
                    <w:spacing w:beforeLines="0" w:afterLines="0" w:line="240" w:lineRule="auto"/>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882</w:t>
                  </w:r>
                </w:p>
              </w:tc>
              <w:tc>
                <w:tcPr>
                  <w:tcW w:w="831" w:type="pct"/>
                  <w:vAlign w:val="center"/>
                </w:tcPr>
                <w:p w14:paraId="10992A21">
                  <w:pPr>
                    <w:widowControl w:val="0"/>
                    <w:adjustRightInd/>
                    <w:snapToGrid/>
                    <w:spacing w:beforeLines="0" w:afterLines="0" w:line="240" w:lineRule="auto"/>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1535</w:t>
                  </w:r>
                </w:p>
              </w:tc>
              <w:tc>
                <w:tcPr>
                  <w:tcW w:w="673" w:type="pct"/>
                  <w:vMerge w:val="continue"/>
                  <w:vAlign w:val="center"/>
                </w:tcPr>
                <w:p w14:paraId="4800A96A">
                  <w:pPr>
                    <w:widowControl w:val="0"/>
                    <w:adjustRightInd/>
                    <w:snapToGrid/>
                    <w:spacing w:beforeLines="0" w:afterLines="0" w:line="240" w:lineRule="auto"/>
                    <w:jc w:val="center"/>
                    <w:rPr>
                      <w:rFonts w:ascii="Times New Roman" w:hAnsi="Times New Roman" w:eastAsia="宋体" w:cs="Times New Roman"/>
                      <w:color w:val="auto"/>
                      <w:sz w:val="21"/>
                      <w:szCs w:val="21"/>
                      <w:highlight w:val="none"/>
                      <w:lang w:val="en-US" w:eastAsia="zh-CN" w:bidi="ar-SA"/>
                    </w:rPr>
                  </w:pPr>
                </w:p>
              </w:tc>
              <w:tc>
                <w:tcPr>
                  <w:tcW w:w="1238" w:type="pct"/>
                  <w:vAlign w:val="center"/>
                </w:tcPr>
                <w:p w14:paraId="05BAAFB3">
                  <w:pPr>
                    <w:widowControl w:val="0"/>
                    <w:adjustRightInd/>
                    <w:snapToGrid/>
                    <w:spacing w:beforeLines="0" w:afterLines="0" w:line="240" w:lineRule="auto"/>
                    <w:jc w:val="center"/>
                    <w:rPr>
                      <w:rFonts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无</w:t>
                  </w:r>
                </w:p>
              </w:tc>
              <w:tc>
                <w:tcPr>
                  <w:tcW w:w="487" w:type="pct"/>
                  <w:vAlign w:val="center"/>
                </w:tcPr>
                <w:p w14:paraId="4AB72F9E">
                  <w:pPr>
                    <w:widowControl w:val="0"/>
                    <w:adjustRightInd/>
                    <w:snapToGrid/>
                    <w:spacing w:beforeLines="0" w:afterLines="0" w:line="240" w:lineRule="auto"/>
                    <w:jc w:val="center"/>
                    <w:rPr>
                      <w:rFonts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拟选</w:t>
                  </w:r>
                </w:p>
              </w:tc>
            </w:tr>
            <w:tr w14:paraId="5D6287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24" w:type="pct"/>
                  <w:vAlign w:val="center"/>
                </w:tcPr>
                <w:p w14:paraId="002219F3">
                  <w:pPr>
                    <w:widowControl w:val="0"/>
                    <w:adjustRightInd/>
                    <w:snapToGrid/>
                    <w:spacing w:beforeLines="0" w:afterLines="0" w:line="240" w:lineRule="auto"/>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11</w:t>
                  </w:r>
                </w:p>
              </w:tc>
              <w:tc>
                <w:tcPr>
                  <w:tcW w:w="619" w:type="pct"/>
                  <w:vAlign w:val="center"/>
                </w:tcPr>
                <w:p w14:paraId="69936A38">
                  <w:pPr>
                    <w:widowControl w:val="0"/>
                    <w:adjustRightInd/>
                    <w:snapToGrid/>
                    <w:spacing w:beforeLines="0" w:afterLines="0" w:line="240" w:lineRule="auto"/>
                    <w:jc w:val="both"/>
                    <w:rPr>
                      <w:rFonts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乔木林地</w:t>
                  </w:r>
                </w:p>
              </w:tc>
              <w:tc>
                <w:tcPr>
                  <w:tcW w:w="624" w:type="pct"/>
                  <w:vAlign w:val="center"/>
                </w:tcPr>
                <w:p w14:paraId="159C741D">
                  <w:pPr>
                    <w:widowControl w:val="0"/>
                    <w:adjustRightInd/>
                    <w:snapToGrid/>
                    <w:spacing w:beforeLines="0" w:afterLines="0" w:line="240" w:lineRule="auto"/>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146</w:t>
                  </w:r>
                </w:p>
              </w:tc>
              <w:tc>
                <w:tcPr>
                  <w:tcW w:w="831" w:type="pct"/>
                  <w:vAlign w:val="center"/>
                </w:tcPr>
                <w:p w14:paraId="2B3C5576">
                  <w:pPr>
                    <w:widowControl w:val="0"/>
                    <w:adjustRightInd/>
                    <w:snapToGrid/>
                    <w:spacing w:beforeLines="0" w:afterLines="0" w:line="240" w:lineRule="auto"/>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1560</w:t>
                  </w:r>
                </w:p>
              </w:tc>
              <w:tc>
                <w:tcPr>
                  <w:tcW w:w="673" w:type="pct"/>
                  <w:vMerge w:val="continue"/>
                  <w:vAlign w:val="center"/>
                </w:tcPr>
                <w:p w14:paraId="6E4EB2F8">
                  <w:pPr>
                    <w:widowControl w:val="0"/>
                    <w:adjustRightInd/>
                    <w:snapToGrid/>
                    <w:spacing w:beforeLines="0" w:afterLines="0" w:line="240" w:lineRule="auto"/>
                    <w:jc w:val="center"/>
                    <w:rPr>
                      <w:rFonts w:ascii="Times New Roman" w:hAnsi="Times New Roman" w:eastAsia="宋体" w:cs="Times New Roman"/>
                      <w:color w:val="auto"/>
                      <w:sz w:val="21"/>
                      <w:szCs w:val="21"/>
                      <w:highlight w:val="none"/>
                      <w:lang w:val="en-US" w:eastAsia="zh-CN" w:bidi="ar-SA"/>
                    </w:rPr>
                  </w:pPr>
                </w:p>
              </w:tc>
              <w:tc>
                <w:tcPr>
                  <w:tcW w:w="1238" w:type="pct"/>
                  <w:vAlign w:val="center"/>
                </w:tcPr>
                <w:p w14:paraId="398CF850">
                  <w:pPr>
                    <w:widowControl w:val="0"/>
                    <w:adjustRightInd/>
                    <w:snapToGrid/>
                    <w:spacing w:beforeLines="0" w:afterLines="0" w:line="240" w:lineRule="auto"/>
                    <w:jc w:val="center"/>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东侧距安口村村庄建</w:t>
                  </w:r>
                  <w:r>
                    <w:rPr>
                      <w:rFonts w:hint="eastAsia" w:ascii="Times New Roman" w:hAnsi="Times New Roman" w:eastAsia="宋体" w:cs="Times New Roman"/>
                      <w:color w:val="auto"/>
                      <w:sz w:val="21"/>
                      <w:szCs w:val="21"/>
                      <w:highlight w:val="none"/>
                      <w:lang w:val="en-US" w:eastAsia="zh-CN" w:bidi="ar-SA"/>
                    </w:rPr>
                    <w:t>设边界过近</w:t>
                  </w:r>
                </w:p>
              </w:tc>
              <w:tc>
                <w:tcPr>
                  <w:tcW w:w="487" w:type="pct"/>
                  <w:vAlign w:val="center"/>
                </w:tcPr>
                <w:p w14:paraId="09A2271E">
                  <w:pPr>
                    <w:widowControl w:val="0"/>
                    <w:adjustRightInd/>
                    <w:snapToGrid/>
                    <w:spacing w:beforeLines="0" w:afterLines="0" w:line="240" w:lineRule="auto"/>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比选</w:t>
                  </w:r>
                </w:p>
              </w:tc>
            </w:tr>
            <w:tr w14:paraId="7B80EF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24" w:type="pct"/>
                  <w:vAlign w:val="center"/>
                </w:tcPr>
                <w:p w14:paraId="24CA1321">
                  <w:pPr>
                    <w:widowControl w:val="0"/>
                    <w:adjustRightInd/>
                    <w:snapToGrid/>
                    <w:spacing w:beforeLines="0" w:afterLines="0" w:line="240" w:lineRule="auto"/>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12</w:t>
                  </w:r>
                </w:p>
              </w:tc>
              <w:tc>
                <w:tcPr>
                  <w:tcW w:w="619" w:type="pct"/>
                  <w:vAlign w:val="center"/>
                </w:tcPr>
                <w:p w14:paraId="4EE2E89D">
                  <w:pPr>
                    <w:widowControl w:val="0"/>
                    <w:adjustRightInd/>
                    <w:snapToGrid/>
                    <w:spacing w:beforeLines="0" w:afterLines="0" w:line="240" w:lineRule="auto"/>
                    <w:jc w:val="center"/>
                    <w:rPr>
                      <w:rFonts w:hint="default"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乔木林</w:t>
                  </w:r>
                  <w:r>
                    <w:rPr>
                      <w:rFonts w:hint="eastAsia" w:ascii="Times New Roman" w:hAnsi="Times New Roman" w:eastAsia="宋体" w:cs="Times New Roman"/>
                      <w:color w:val="auto"/>
                      <w:sz w:val="21"/>
                      <w:szCs w:val="21"/>
                      <w:highlight w:val="none"/>
                      <w:lang w:val="en-US" w:eastAsia="zh-CN" w:bidi="ar-SA"/>
                    </w:rPr>
                    <w:t>地其他林地</w:t>
                  </w:r>
                </w:p>
              </w:tc>
              <w:tc>
                <w:tcPr>
                  <w:tcW w:w="624" w:type="pct"/>
                  <w:vAlign w:val="center"/>
                </w:tcPr>
                <w:p w14:paraId="12B8B3DC">
                  <w:pPr>
                    <w:widowControl w:val="0"/>
                    <w:adjustRightInd/>
                    <w:snapToGrid/>
                    <w:spacing w:beforeLines="0" w:afterLines="0" w:line="240" w:lineRule="auto"/>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540</w:t>
                  </w:r>
                </w:p>
              </w:tc>
              <w:tc>
                <w:tcPr>
                  <w:tcW w:w="831" w:type="pct"/>
                  <w:vAlign w:val="center"/>
                </w:tcPr>
                <w:p w14:paraId="780991CD">
                  <w:pPr>
                    <w:widowControl w:val="0"/>
                    <w:adjustRightInd/>
                    <w:snapToGrid/>
                    <w:spacing w:beforeLines="0" w:afterLines="0" w:line="240" w:lineRule="auto"/>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1535</w:t>
                  </w:r>
                </w:p>
              </w:tc>
              <w:tc>
                <w:tcPr>
                  <w:tcW w:w="673" w:type="pct"/>
                  <w:vMerge w:val="continue"/>
                  <w:vAlign w:val="center"/>
                </w:tcPr>
                <w:p w14:paraId="1E0BE840">
                  <w:pPr>
                    <w:widowControl w:val="0"/>
                    <w:adjustRightInd/>
                    <w:snapToGrid/>
                    <w:spacing w:beforeLines="0" w:afterLines="0" w:line="240" w:lineRule="auto"/>
                    <w:jc w:val="center"/>
                    <w:rPr>
                      <w:rFonts w:ascii="Times New Roman" w:hAnsi="Times New Roman" w:eastAsia="宋体" w:cs="Times New Roman"/>
                      <w:color w:val="auto"/>
                      <w:sz w:val="21"/>
                      <w:szCs w:val="21"/>
                      <w:highlight w:val="none"/>
                      <w:lang w:val="en-US" w:eastAsia="zh-CN" w:bidi="ar-SA"/>
                    </w:rPr>
                  </w:pPr>
                </w:p>
              </w:tc>
              <w:tc>
                <w:tcPr>
                  <w:tcW w:w="1238" w:type="pct"/>
                  <w:vMerge w:val="restart"/>
                  <w:vAlign w:val="center"/>
                </w:tcPr>
                <w:p w14:paraId="5839BCB8">
                  <w:pPr>
                    <w:widowControl w:val="0"/>
                    <w:adjustRightInd/>
                    <w:snapToGrid/>
                    <w:spacing w:beforeLines="0" w:afterLines="0" w:line="240" w:lineRule="auto"/>
                    <w:jc w:val="center"/>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 xml:space="preserve">东侧紧邻安口村养猪 </w:t>
                  </w:r>
                </w:p>
                <w:p w14:paraId="5F23C34E">
                  <w:pPr>
                    <w:widowControl w:val="0"/>
                    <w:adjustRightInd/>
                    <w:snapToGrid/>
                    <w:spacing w:beforeLines="0" w:afterLines="0" w:line="240" w:lineRule="auto"/>
                    <w:jc w:val="center"/>
                    <w:rPr>
                      <w:rFonts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厂；且</w:t>
                  </w:r>
                  <w:r>
                    <w:rPr>
                      <w:rFonts w:hint="default" w:ascii="Times New Roman" w:hAnsi="Times New Roman" w:eastAsia="宋体" w:cs="Times New Roman"/>
                      <w:color w:val="auto"/>
                      <w:sz w:val="21"/>
                      <w:szCs w:val="21"/>
                      <w:highlight w:val="none"/>
                      <w:lang w:val="en-US" w:eastAsia="zh-CN" w:bidi="ar-SA"/>
                    </w:rPr>
                    <w:t>12</w:t>
                  </w:r>
                  <w:r>
                    <w:rPr>
                      <w:rFonts w:hint="eastAsia" w:ascii="Times New Roman" w:hAnsi="Times New Roman" w:eastAsia="宋体" w:cs="Times New Roman"/>
                      <w:color w:val="auto"/>
                      <w:sz w:val="21"/>
                      <w:szCs w:val="21"/>
                      <w:highlight w:val="none"/>
                      <w:lang w:val="en-US" w:eastAsia="zh-CN" w:bidi="ar-SA"/>
                    </w:rPr>
                    <w:t>和</w:t>
                  </w:r>
                  <w:r>
                    <w:rPr>
                      <w:rFonts w:hint="default" w:ascii="Times New Roman" w:hAnsi="Times New Roman" w:eastAsia="宋体" w:cs="Times New Roman"/>
                      <w:color w:val="auto"/>
                      <w:sz w:val="21"/>
                      <w:szCs w:val="21"/>
                      <w:highlight w:val="none"/>
                      <w:lang w:val="en-US" w:eastAsia="zh-CN" w:bidi="ar-SA"/>
                    </w:rPr>
                    <w:t>13</w:t>
                  </w:r>
                  <w:r>
                    <w:rPr>
                      <w:rFonts w:hint="eastAsia" w:ascii="Times New Roman" w:hAnsi="Times New Roman" w:eastAsia="宋体" w:cs="Times New Roman"/>
                      <w:color w:val="auto"/>
                      <w:sz w:val="21"/>
                      <w:szCs w:val="21"/>
                      <w:highlight w:val="none"/>
                      <w:lang w:val="en-US" w:eastAsia="zh-CN" w:bidi="ar-SA"/>
                    </w:rPr>
                    <w:t>的列间距约</w:t>
                  </w:r>
                  <w:r>
                    <w:rPr>
                      <w:rFonts w:hint="default" w:ascii="Times New Roman" w:hAnsi="Times New Roman" w:eastAsia="宋体" w:cs="Times New Roman"/>
                      <w:color w:val="auto"/>
                      <w:sz w:val="21"/>
                      <w:szCs w:val="21"/>
                      <w:highlight w:val="none"/>
                      <w:lang w:val="en-US" w:eastAsia="zh-CN" w:bidi="ar-SA"/>
                    </w:rPr>
                    <w:t>491</w:t>
                  </w:r>
                  <w:r>
                    <w:rPr>
                      <w:rFonts w:hint="eastAsia" w:ascii="Times New Roman" w:hAnsi="Times New Roman" w:eastAsia="宋体" w:cs="Times New Roman"/>
                      <w:color w:val="auto"/>
                      <w:sz w:val="21"/>
                      <w:szCs w:val="21"/>
                      <w:highlight w:val="none"/>
                      <w:lang w:val="en-US" w:eastAsia="zh-CN" w:bidi="ar-SA"/>
                    </w:rPr>
                    <w:t>米，不满足 《风电场工程微观选址技术规范》</w:t>
                  </w:r>
                </w:p>
                <w:p w14:paraId="1E73C8A4">
                  <w:pPr>
                    <w:widowControl w:val="0"/>
                    <w:adjustRightInd/>
                    <w:snapToGrid/>
                    <w:spacing w:beforeLines="0" w:afterLines="0" w:line="240" w:lineRule="auto"/>
                    <w:jc w:val="both"/>
                    <w:rPr>
                      <w:rFonts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w:t>
                  </w:r>
                  <w:r>
                    <w:rPr>
                      <w:rFonts w:hint="default" w:ascii="Times New Roman" w:hAnsi="Times New Roman" w:eastAsia="宋体" w:cs="Times New Roman"/>
                      <w:color w:val="auto"/>
                      <w:sz w:val="21"/>
                      <w:szCs w:val="21"/>
                      <w:highlight w:val="none"/>
                      <w:lang w:val="en-US" w:eastAsia="zh-CN" w:bidi="ar-SA"/>
                    </w:rPr>
                    <w:t>NB/T10103-2018</w:t>
                  </w:r>
                  <w:r>
                    <w:rPr>
                      <w:rFonts w:hint="eastAsia" w:ascii="Times New Roman" w:hAnsi="Times New Roman" w:eastAsia="宋体" w:cs="Times New Roman"/>
                      <w:color w:val="auto"/>
                      <w:sz w:val="21"/>
                      <w:szCs w:val="21"/>
                      <w:highlight w:val="none"/>
                      <w:lang w:val="en-US" w:eastAsia="zh-CN" w:bidi="ar-SA"/>
                    </w:rPr>
                    <w:t xml:space="preserve">） </w:t>
                  </w:r>
                </w:p>
                <w:p w14:paraId="1316D835">
                  <w:pPr>
                    <w:widowControl w:val="0"/>
                    <w:adjustRightInd/>
                    <w:snapToGrid/>
                    <w:spacing w:beforeLines="0" w:afterLines="0" w:line="240" w:lineRule="auto"/>
                    <w:jc w:val="center"/>
                    <w:rPr>
                      <w:rFonts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行列间距要求</w:t>
                  </w:r>
                </w:p>
              </w:tc>
              <w:tc>
                <w:tcPr>
                  <w:tcW w:w="487" w:type="pct"/>
                  <w:vAlign w:val="center"/>
                </w:tcPr>
                <w:p w14:paraId="00ACCBCC">
                  <w:pPr>
                    <w:widowControl w:val="0"/>
                    <w:adjustRightInd/>
                    <w:snapToGrid/>
                    <w:spacing w:beforeLines="0" w:afterLines="0" w:line="240" w:lineRule="auto"/>
                    <w:jc w:val="center"/>
                    <w:rPr>
                      <w:rFonts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比选</w:t>
                  </w:r>
                </w:p>
              </w:tc>
            </w:tr>
            <w:tr w14:paraId="6F0342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24" w:type="pct"/>
                  <w:vAlign w:val="center"/>
                </w:tcPr>
                <w:p w14:paraId="65309DF2">
                  <w:pPr>
                    <w:widowControl w:val="0"/>
                    <w:adjustRightInd/>
                    <w:snapToGrid/>
                    <w:spacing w:beforeLines="0" w:afterLines="0" w:line="240" w:lineRule="auto"/>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13</w:t>
                  </w:r>
                </w:p>
              </w:tc>
              <w:tc>
                <w:tcPr>
                  <w:tcW w:w="619" w:type="pct"/>
                  <w:vAlign w:val="center"/>
                </w:tcPr>
                <w:p w14:paraId="09DEA6BD">
                  <w:pPr>
                    <w:widowControl w:val="0"/>
                    <w:adjustRightInd/>
                    <w:snapToGrid/>
                    <w:spacing w:beforeLines="0" w:afterLines="0" w:line="240" w:lineRule="auto"/>
                    <w:jc w:val="both"/>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乔木林</w:t>
                  </w:r>
                  <w:r>
                    <w:rPr>
                      <w:rFonts w:hint="eastAsia" w:ascii="Times New Roman" w:hAnsi="Times New Roman" w:eastAsia="宋体" w:cs="Times New Roman"/>
                      <w:color w:val="auto"/>
                      <w:sz w:val="21"/>
                      <w:szCs w:val="21"/>
                      <w:highlight w:val="none"/>
                      <w:lang w:val="en-US" w:eastAsia="zh-CN" w:bidi="ar-SA"/>
                    </w:rPr>
                    <w:t>地其他草地</w:t>
                  </w:r>
                </w:p>
              </w:tc>
              <w:tc>
                <w:tcPr>
                  <w:tcW w:w="624" w:type="pct"/>
                  <w:vAlign w:val="center"/>
                </w:tcPr>
                <w:p w14:paraId="08762CA4">
                  <w:pPr>
                    <w:widowControl w:val="0"/>
                    <w:adjustRightInd/>
                    <w:snapToGrid/>
                    <w:spacing w:beforeLines="0" w:afterLines="0" w:line="240" w:lineRule="auto"/>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755</w:t>
                  </w:r>
                </w:p>
              </w:tc>
              <w:tc>
                <w:tcPr>
                  <w:tcW w:w="831" w:type="pct"/>
                  <w:vAlign w:val="center"/>
                </w:tcPr>
                <w:p w14:paraId="7E2C1499">
                  <w:pPr>
                    <w:widowControl w:val="0"/>
                    <w:adjustRightInd/>
                    <w:snapToGrid/>
                    <w:spacing w:beforeLines="0" w:afterLines="0" w:line="240" w:lineRule="auto"/>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1535</w:t>
                  </w:r>
                </w:p>
              </w:tc>
              <w:tc>
                <w:tcPr>
                  <w:tcW w:w="673" w:type="pct"/>
                  <w:vMerge w:val="continue"/>
                  <w:vAlign w:val="center"/>
                </w:tcPr>
                <w:p w14:paraId="3D8086E8">
                  <w:pPr>
                    <w:widowControl w:val="0"/>
                    <w:adjustRightInd/>
                    <w:snapToGrid/>
                    <w:spacing w:beforeLines="0" w:afterLines="0" w:line="240" w:lineRule="auto"/>
                    <w:jc w:val="center"/>
                    <w:rPr>
                      <w:rFonts w:ascii="Times New Roman" w:hAnsi="Times New Roman" w:eastAsia="宋体" w:cs="Times New Roman"/>
                      <w:color w:val="auto"/>
                      <w:sz w:val="21"/>
                      <w:szCs w:val="21"/>
                      <w:highlight w:val="none"/>
                      <w:lang w:val="en-US" w:eastAsia="zh-CN" w:bidi="ar-SA"/>
                    </w:rPr>
                  </w:pPr>
                </w:p>
              </w:tc>
              <w:tc>
                <w:tcPr>
                  <w:tcW w:w="1238" w:type="pct"/>
                  <w:vMerge w:val="continue"/>
                  <w:vAlign w:val="center"/>
                </w:tcPr>
                <w:p w14:paraId="5618EA7B">
                  <w:pPr>
                    <w:widowControl w:val="0"/>
                    <w:adjustRightInd/>
                    <w:snapToGrid/>
                    <w:spacing w:beforeLines="0" w:afterLines="0" w:line="240" w:lineRule="auto"/>
                    <w:jc w:val="center"/>
                    <w:rPr>
                      <w:rFonts w:ascii="Times New Roman" w:hAnsi="Times New Roman" w:eastAsia="宋体" w:cs="Times New Roman"/>
                      <w:color w:val="auto"/>
                      <w:sz w:val="21"/>
                      <w:szCs w:val="21"/>
                      <w:highlight w:val="none"/>
                      <w:lang w:val="en-US" w:eastAsia="zh-CN" w:bidi="ar-SA"/>
                    </w:rPr>
                  </w:pPr>
                </w:p>
              </w:tc>
              <w:tc>
                <w:tcPr>
                  <w:tcW w:w="487" w:type="pct"/>
                  <w:vAlign w:val="center"/>
                </w:tcPr>
                <w:p w14:paraId="4F21C005">
                  <w:pPr>
                    <w:widowControl w:val="0"/>
                    <w:adjustRightInd/>
                    <w:snapToGrid/>
                    <w:spacing w:beforeLines="0" w:afterLines="0" w:line="240" w:lineRule="auto"/>
                    <w:jc w:val="center"/>
                    <w:rPr>
                      <w:rFonts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比选</w:t>
                  </w:r>
                </w:p>
              </w:tc>
            </w:tr>
            <w:tr w14:paraId="6AB83C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24" w:type="pct"/>
                  <w:vAlign w:val="center"/>
                </w:tcPr>
                <w:p w14:paraId="6E74AC39">
                  <w:pPr>
                    <w:widowControl w:val="0"/>
                    <w:adjustRightInd/>
                    <w:snapToGrid/>
                    <w:spacing w:beforeLines="0" w:afterLines="0" w:line="240" w:lineRule="auto"/>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14</w:t>
                  </w:r>
                </w:p>
              </w:tc>
              <w:tc>
                <w:tcPr>
                  <w:tcW w:w="619" w:type="pct"/>
                  <w:vAlign w:val="center"/>
                </w:tcPr>
                <w:p w14:paraId="124E63F3">
                  <w:pPr>
                    <w:widowControl w:val="0"/>
                    <w:adjustRightInd/>
                    <w:snapToGrid/>
                    <w:spacing w:beforeLines="0" w:afterLines="0" w:line="240" w:lineRule="auto"/>
                    <w:jc w:val="both"/>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乔木林</w:t>
                  </w:r>
                  <w:r>
                    <w:rPr>
                      <w:rFonts w:hint="eastAsia" w:ascii="Times New Roman" w:hAnsi="Times New Roman" w:eastAsia="宋体" w:cs="Times New Roman"/>
                      <w:color w:val="auto"/>
                      <w:sz w:val="21"/>
                      <w:szCs w:val="21"/>
                      <w:highlight w:val="none"/>
                      <w:lang w:val="en-US" w:eastAsia="zh-CN" w:bidi="ar-SA"/>
                    </w:rPr>
                    <w:t>地其他草地</w:t>
                  </w:r>
                </w:p>
              </w:tc>
              <w:tc>
                <w:tcPr>
                  <w:tcW w:w="624" w:type="pct"/>
                  <w:vAlign w:val="center"/>
                </w:tcPr>
                <w:p w14:paraId="4DF71BFA">
                  <w:pPr>
                    <w:widowControl w:val="0"/>
                    <w:adjustRightInd/>
                    <w:snapToGrid/>
                    <w:spacing w:beforeLines="0" w:afterLines="0" w:line="240" w:lineRule="auto"/>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575</w:t>
                  </w:r>
                </w:p>
              </w:tc>
              <w:tc>
                <w:tcPr>
                  <w:tcW w:w="831" w:type="pct"/>
                  <w:vAlign w:val="center"/>
                </w:tcPr>
                <w:p w14:paraId="4883B83A">
                  <w:pPr>
                    <w:widowControl w:val="0"/>
                    <w:adjustRightInd/>
                    <w:snapToGrid/>
                    <w:spacing w:beforeLines="0" w:afterLines="0" w:line="240" w:lineRule="auto"/>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1498</w:t>
                  </w:r>
                </w:p>
              </w:tc>
              <w:tc>
                <w:tcPr>
                  <w:tcW w:w="673" w:type="pct"/>
                  <w:vMerge w:val="continue"/>
                  <w:vAlign w:val="center"/>
                </w:tcPr>
                <w:p w14:paraId="01996263">
                  <w:pPr>
                    <w:widowControl w:val="0"/>
                    <w:adjustRightInd/>
                    <w:snapToGrid/>
                    <w:spacing w:beforeLines="0" w:afterLines="0" w:line="240" w:lineRule="auto"/>
                    <w:jc w:val="center"/>
                    <w:rPr>
                      <w:rFonts w:ascii="Times New Roman" w:hAnsi="Times New Roman" w:eastAsia="宋体" w:cs="Times New Roman"/>
                      <w:color w:val="auto"/>
                      <w:sz w:val="21"/>
                      <w:szCs w:val="21"/>
                      <w:highlight w:val="none"/>
                      <w:lang w:val="en-US" w:eastAsia="zh-CN" w:bidi="ar-SA"/>
                    </w:rPr>
                  </w:pPr>
                </w:p>
              </w:tc>
              <w:tc>
                <w:tcPr>
                  <w:tcW w:w="1238" w:type="pct"/>
                  <w:vAlign w:val="center"/>
                </w:tcPr>
                <w:p w14:paraId="5D74044C">
                  <w:pPr>
                    <w:widowControl w:val="0"/>
                    <w:adjustRightInd/>
                    <w:snapToGrid/>
                    <w:spacing w:beforeLines="0" w:afterLines="0" w:line="240" w:lineRule="auto"/>
                    <w:jc w:val="center"/>
                    <w:rPr>
                      <w:rFonts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本地块所占地类及周边地类多为乔木林地，对项目生态、经济与实施效率产生一定影响。</w:t>
                  </w:r>
                </w:p>
              </w:tc>
              <w:tc>
                <w:tcPr>
                  <w:tcW w:w="487" w:type="pct"/>
                  <w:vAlign w:val="center"/>
                </w:tcPr>
                <w:p w14:paraId="16E01285">
                  <w:pPr>
                    <w:widowControl w:val="0"/>
                    <w:adjustRightInd/>
                    <w:snapToGrid/>
                    <w:spacing w:beforeLines="0" w:afterLines="0" w:line="240" w:lineRule="auto"/>
                    <w:jc w:val="center"/>
                    <w:rPr>
                      <w:rFonts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比选</w:t>
                  </w:r>
                </w:p>
              </w:tc>
            </w:tr>
            <w:tr w14:paraId="56C32E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24" w:type="pct"/>
                  <w:vAlign w:val="center"/>
                </w:tcPr>
                <w:p w14:paraId="4D754AFA">
                  <w:pPr>
                    <w:widowControl w:val="0"/>
                    <w:adjustRightInd/>
                    <w:snapToGrid/>
                    <w:spacing w:beforeLines="0" w:afterLines="0" w:line="240" w:lineRule="auto"/>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15</w:t>
                  </w:r>
                </w:p>
              </w:tc>
              <w:tc>
                <w:tcPr>
                  <w:tcW w:w="619" w:type="pct"/>
                  <w:vAlign w:val="center"/>
                </w:tcPr>
                <w:p w14:paraId="48B6A96B">
                  <w:pPr>
                    <w:widowControl w:val="0"/>
                    <w:adjustRightInd/>
                    <w:snapToGrid/>
                    <w:spacing w:beforeLines="0" w:afterLines="0" w:line="240" w:lineRule="auto"/>
                    <w:jc w:val="center"/>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乔木林</w:t>
                  </w:r>
                  <w:r>
                    <w:rPr>
                      <w:rFonts w:hint="eastAsia" w:ascii="Times New Roman" w:hAnsi="Times New Roman" w:eastAsia="宋体" w:cs="Times New Roman"/>
                      <w:color w:val="auto"/>
                      <w:sz w:val="21"/>
                      <w:szCs w:val="21"/>
                      <w:highlight w:val="none"/>
                      <w:lang w:val="en-US" w:eastAsia="zh-CN" w:bidi="ar-SA"/>
                    </w:rPr>
                    <w:t>地</w:t>
                  </w:r>
                  <w:r>
                    <w:rPr>
                      <w:rFonts w:ascii="Times New Roman" w:hAnsi="Times New Roman" w:eastAsia="宋体" w:cs="Times New Roman"/>
                      <w:color w:val="auto"/>
                      <w:sz w:val="21"/>
                      <w:szCs w:val="21"/>
                      <w:highlight w:val="none"/>
                      <w:lang w:val="en-US" w:eastAsia="zh-CN" w:bidi="ar-SA"/>
                    </w:rPr>
                    <w:t xml:space="preserve"> </w:t>
                  </w:r>
                </w:p>
              </w:tc>
              <w:tc>
                <w:tcPr>
                  <w:tcW w:w="624" w:type="pct"/>
                  <w:vAlign w:val="center"/>
                </w:tcPr>
                <w:p w14:paraId="18F76561">
                  <w:pPr>
                    <w:widowControl w:val="0"/>
                    <w:adjustRightInd/>
                    <w:snapToGrid/>
                    <w:spacing w:beforeLines="0" w:afterLines="0" w:line="240" w:lineRule="auto"/>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1304</w:t>
                  </w:r>
                </w:p>
              </w:tc>
              <w:tc>
                <w:tcPr>
                  <w:tcW w:w="831" w:type="pct"/>
                  <w:vAlign w:val="center"/>
                </w:tcPr>
                <w:p w14:paraId="7C8A3D78">
                  <w:pPr>
                    <w:widowControl w:val="0"/>
                    <w:adjustRightInd/>
                    <w:snapToGrid/>
                    <w:spacing w:beforeLines="0" w:afterLines="0" w:line="240" w:lineRule="auto"/>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1520</w:t>
                  </w:r>
                </w:p>
              </w:tc>
              <w:tc>
                <w:tcPr>
                  <w:tcW w:w="673" w:type="pct"/>
                  <w:vMerge w:val="continue"/>
                  <w:vAlign w:val="center"/>
                </w:tcPr>
                <w:p w14:paraId="5D5920B5">
                  <w:pPr>
                    <w:widowControl w:val="0"/>
                    <w:adjustRightInd/>
                    <w:snapToGrid/>
                    <w:spacing w:beforeLines="0" w:afterLines="0" w:line="240" w:lineRule="auto"/>
                    <w:jc w:val="center"/>
                    <w:rPr>
                      <w:rFonts w:ascii="Times New Roman" w:hAnsi="Times New Roman" w:eastAsia="宋体" w:cs="Times New Roman"/>
                      <w:color w:val="auto"/>
                      <w:sz w:val="21"/>
                      <w:szCs w:val="21"/>
                      <w:highlight w:val="none"/>
                      <w:lang w:val="en-US" w:eastAsia="zh-CN" w:bidi="ar-SA"/>
                    </w:rPr>
                  </w:pPr>
                </w:p>
              </w:tc>
              <w:tc>
                <w:tcPr>
                  <w:tcW w:w="1238" w:type="pct"/>
                  <w:vAlign w:val="center"/>
                </w:tcPr>
                <w:p w14:paraId="43835BA0">
                  <w:pPr>
                    <w:widowControl w:val="0"/>
                    <w:adjustRightInd/>
                    <w:snapToGrid/>
                    <w:spacing w:beforeLines="0" w:afterLines="0" w:line="240" w:lineRule="auto"/>
                    <w:jc w:val="center"/>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位于</w:t>
                  </w:r>
                  <w:r>
                    <w:rPr>
                      <w:rFonts w:hint="default" w:ascii="Times New Roman" w:hAnsi="Times New Roman" w:eastAsia="宋体" w:cs="Times New Roman"/>
                      <w:color w:val="auto"/>
                      <w:sz w:val="21"/>
                      <w:szCs w:val="21"/>
                      <w:highlight w:val="none"/>
                      <w:lang w:val="en-US" w:eastAsia="zh-CN" w:bidi="ar-SA"/>
                    </w:rPr>
                    <w:t>2</w:t>
                  </w:r>
                  <w:r>
                    <w:rPr>
                      <w:rFonts w:hint="eastAsia" w:ascii="Times New Roman" w:hAnsi="Times New Roman" w:eastAsia="宋体" w:cs="Times New Roman"/>
                      <w:color w:val="auto"/>
                      <w:sz w:val="21"/>
                      <w:szCs w:val="21"/>
                      <w:highlight w:val="none"/>
                      <w:lang w:val="en-US" w:eastAsia="zh-CN" w:bidi="ar-SA"/>
                    </w:rPr>
                    <w:t>和</w:t>
                  </w:r>
                  <w:r>
                    <w:rPr>
                      <w:rFonts w:hint="default" w:ascii="Times New Roman" w:hAnsi="Times New Roman" w:eastAsia="宋体" w:cs="Times New Roman"/>
                      <w:color w:val="auto"/>
                      <w:sz w:val="21"/>
                      <w:szCs w:val="21"/>
                      <w:highlight w:val="none"/>
                      <w:lang w:val="en-US" w:eastAsia="zh-CN" w:bidi="ar-SA"/>
                    </w:rPr>
                    <w:t>3</w:t>
                  </w:r>
                  <w:r>
                    <w:rPr>
                      <w:rFonts w:hint="eastAsia" w:ascii="Times New Roman" w:hAnsi="Times New Roman" w:eastAsia="宋体" w:cs="Times New Roman"/>
                      <w:color w:val="auto"/>
                      <w:sz w:val="21"/>
                      <w:szCs w:val="21"/>
                      <w:highlight w:val="none"/>
                      <w:lang w:val="en-US" w:eastAsia="zh-CN" w:bidi="ar-SA"/>
                    </w:rPr>
                    <w:t>号风机中间，距</w:t>
                  </w:r>
                  <w:r>
                    <w:rPr>
                      <w:rFonts w:hint="default" w:ascii="Times New Roman" w:hAnsi="Times New Roman" w:eastAsia="宋体" w:cs="Times New Roman"/>
                      <w:color w:val="auto"/>
                      <w:sz w:val="21"/>
                      <w:szCs w:val="21"/>
                      <w:highlight w:val="none"/>
                      <w:lang w:val="en-US" w:eastAsia="zh-CN" w:bidi="ar-SA"/>
                    </w:rPr>
                    <w:t>2</w:t>
                  </w:r>
                  <w:r>
                    <w:rPr>
                      <w:rFonts w:hint="eastAsia" w:ascii="Times New Roman" w:hAnsi="Times New Roman" w:eastAsia="宋体" w:cs="Times New Roman"/>
                      <w:color w:val="auto"/>
                      <w:sz w:val="21"/>
                      <w:szCs w:val="21"/>
                      <w:highlight w:val="none"/>
                      <w:lang w:val="en-US" w:eastAsia="zh-CN" w:bidi="ar-SA"/>
                    </w:rPr>
                    <w:t>号风机</w:t>
                  </w:r>
                  <w:r>
                    <w:rPr>
                      <w:rFonts w:hint="default" w:ascii="Times New Roman" w:hAnsi="Times New Roman" w:eastAsia="宋体" w:cs="Times New Roman"/>
                      <w:color w:val="auto"/>
                      <w:sz w:val="21"/>
                      <w:szCs w:val="21"/>
                      <w:highlight w:val="none"/>
                      <w:lang w:val="en-US" w:eastAsia="zh-CN" w:bidi="ar-SA"/>
                    </w:rPr>
                    <w:t xml:space="preserve">304 </w:t>
                  </w:r>
                </w:p>
                <w:p w14:paraId="11D3BCAB">
                  <w:pPr>
                    <w:widowControl w:val="0"/>
                    <w:adjustRightInd/>
                    <w:snapToGrid/>
                    <w:spacing w:beforeLines="0" w:afterLines="0" w:line="240" w:lineRule="auto"/>
                    <w:jc w:val="both"/>
                    <w:rPr>
                      <w:rFonts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米左右，不满足《风电场工程微观选址技术规范》 （</w:t>
                  </w:r>
                  <w:r>
                    <w:rPr>
                      <w:rFonts w:hint="default" w:ascii="Times New Roman" w:hAnsi="Times New Roman" w:eastAsia="宋体" w:cs="Times New Roman"/>
                      <w:color w:val="auto"/>
                      <w:sz w:val="21"/>
                      <w:szCs w:val="21"/>
                      <w:highlight w:val="none"/>
                      <w:lang w:val="en-US" w:eastAsia="zh-CN" w:bidi="ar-SA"/>
                    </w:rPr>
                    <w:t>NB/T10103-2018</w:t>
                  </w:r>
                  <w:r>
                    <w:rPr>
                      <w:rFonts w:hint="eastAsia" w:ascii="Times New Roman" w:hAnsi="Times New Roman" w:eastAsia="宋体" w:cs="Times New Roman"/>
                      <w:color w:val="auto"/>
                      <w:sz w:val="21"/>
                      <w:szCs w:val="21"/>
                      <w:highlight w:val="none"/>
                      <w:lang w:val="en-US" w:eastAsia="zh-CN" w:bidi="ar-SA"/>
                    </w:rPr>
                    <w:t>）</w:t>
                  </w:r>
                </w:p>
                <w:p w14:paraId="2F14B268">
                  <w:pPr>
                    <w:widowControl w:val="0"/>
                    <w:adjustRightInd/>
                    <w:snapToGrid/>
                    <w:spacing w:beforeLines="0" w:afterLines="0" w:line="240" w:lineRule="auto"/>
                    <w:jc w:val="center"/>
                    <w:rPr>
                      <w:rFonts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行列间距要求</w:t>
                  </w:r>
                </w:p>
              </w:tc>
              <w:tc>
                <w:tcPr>
                  <w:tcW w:w="487" w:type="pct"/>
                  <w:vAlign w:val="center"/>
                </w:tcPr>
                <w:p w14:paraId="1C189939">
                  <w:pPr>
                    <w:widowControl w:val="0"/>
                    <w:adjustRightInd/>
                    <w:snapToGrid/>
                    <w:spacing w:beforeLines="0" w:afterLines="0" w:line="240" w:lineRule="auto"/>
                    <w:jc w:val="center"/>
                    <w:rPr>
                      <w:rFonts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比选</w:t>
                  </w:r>
                </w:p>
              </w:tc>
            </w:tr>
            <w:tr w14:paraId="04C89A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24" w:type="pct"/>
                  <w:vAlign w:val="center"/>
                </w:tcPr>
                <w:p w14:paraId="44B616FB">
                  <w:pPr>
                    <w:widowControl w:val="0"/>
                    <w:adjustRightInd/>
                    <w:snapToGrid/>
                    <w:spacing w:beforeLines="0" w:afterLines="0" w:line="240" w:lineRule="auto"/>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16</w:t>
                  </w:r>
                </w:p>
              </w:tc>
              <w:tc>
                <w:tcPr>
                  <w:tcW w:w="619" w:type="pct"/>
                  <w:vAlign w:val="center"/>
                </w:tcPr>
                <w:p w14:paraId="0D19EB9A">
                  <w:pPr>
                    <w:widowControl w:val="0"/>
                    <w:adjustRightInd/>
                    <w:snapToGrid/>
                    <w:spacing w:beforeLines="0" w:afterLines="0" w:line="240" w:lineRule="auto"/>
                    <w:jc w:val="both"/>
                    <w:rPr>
                      <w:rFonts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乔木林地</w:t>
                  </w:r>
                </w:p>
              </w:tc>
              <w:tc>
                <w:tcPr>
                  <w:tcW w:w="624" w:type="pct"/>
                  <w:vAlign w:val="center"/>
                </w:tcPr>
                <w:p w14:paraId="2CAB928E">
                  <w:pPr>
                    <w:widowControl w:val="0"/>
                    <w:adjustRightInd/>
                    <w:snapToGrid/>
                    <w:spacing w:beforeLines="0" w:afterLines="0" w:line="240" w:lineRule="auto"/>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478</w:t>
                  </w:r>
                </w:p>
              </w:tc>
              <w:tc>
                <w:tcPr>
                  <w:tcW w:w="831" w:type="pct"/>
                  <w:vAlign w:val="center"/>
                </w:tcPr>
                <w:p w14:paraId="1AF866C2">
                  <w:pPr>
                    <w:widowControl w:val="0"/>
                    <w:adjustRightInd/>
                    <w:snapToGrid/>
                    <w:spacing w:beforeLines="0" w:afterLines="0" w:line="240" w:lineRule="auto"/>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1535</w:t>
                  </w:r>
                </w:p>
              </w:tc>
              <w:tc>
                <w:tcPr>
                  <w:tcW w:w="673" w:type="pct"/>
                  <w:vMerge w:val="continue"/>
                  <w:vAlign w:val="center"/>
                </w:tcPr>
                <w:p w14:paraId="6A5A0046">
                  <w:pPr>
                    <w:widowControl w:val="0"/>
                    <w:adjustRightInd/>
                    <w:snapToGrid/>
                    <w:spacing w:beforeLines="0" w:afterLines="0" w:line="240" w:lineRule="auto"/>
                    <w:jc w:val="center"/>
                    <w:rPr>
                      <w:rFonts w:ascii="Times New Roman" w:hAnsi="Times New Roman" w:eastAsia="宋体" w:cs="Times New Roman"/>
                      <w:color w:val="auto"/>
                      <w:sz w:val="21"/>
                      <w:szCs w:val="21"/>
                      <w:highlight w:val="none"/>
                      <w:lang w:val="en-US" w:eastAsia="zh-CN" w:bidi="ar-SA"/>
                    </w:rPr>
                  </w:pPr>
                </w:p>
              </w:tc>
              <w:tc>
                <w:tcPr>
                  <w:tcW w:w="1238" w:type="pct"/>
                  <w:vAlign w:val="center"/>
                </w:tcPr>
                <w:p w14:paraId="4A9E5EF0">
                  <w:pPr>
                    <w:widowControl w:val="0"/>
                    <w:adjustRightInd/>
                    <w:snapToGrid/>
                    <w:spacing w:beforeLines="0" w:afterLines="0" w:line="240" w:lineRule="auto"/>
                    <w:jc w:val="center"/>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风机东侧</w:t>
                  </w:r>
                  <w:r>
                    <w:rPr>
                      <w:rFonts w:hint="default" w:ascii="Times New Roman" w:hAnsi="Times New Roman" w:eastAsia="宋体" w:cs="Times New Roman"/>
                      <w:color w:val="auto"/>
                      <w:sz w:val="21"/>
                      <w:szCs w:val="21"/>
                      <w:highlight w:val="none"/>
                      <w:lang w:val="en-US" w:eastAsia="zh-CN" w:bidi="ar-SA"/>
                    </w:rPr>
                    <w:t>340</w:t>
                  </w:r>
                  <w:r>
                    <w:rPr>
                      <w:rFonts w:hint="eastAsia" w:ascii="Times New Roman" w:hAnsi="Times New Roman" w:eastAsia="宋体" w:cs="Times New Roman"/>
                      <w:color w:val="auto"/>
                      <w:sz w:val="21"/>
                      <w:szCs w:val="21"/>
                      <w:highlight w:val="none"/>
                      <w:lang w:val="en-US" w:eastAsia="zh-CN" w:bidi="ar-SA"/>
                    </w:rPr>
                    <w:t xml:space="preserve">米左右 </w:t>
                  </w:r>
                </w:p>
                <w:p w14:paraId="687CFD95">
                  <w:pPr>
                    <w:widowControl w:val="0"/>
                    <w:adjustRightInd/>
                    <w:snapToGrid/>
                    <w:spacing w:beforeLines="0" w:afterLines="0" w:line="240" w:lineRule="auto"/>
                    <w:jc w:val="center"/>
                    <w:rPr>
                      <w:rFonts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分布有种植设施用地， 不满足本项目测算的</w:t>
                  </w:r>
                  <w:r>
                    <w:rPr>
                      <w:rFonts w:hint="default" w:ascii="Times New Roman" w:hAnsi="Times New Roman" w:eastAsia="宋体" w:cs="Times New Roman"/>
                      <w:color w:val="auto"/>
                      <w:sz w:val="21"/>
                      <w:szCs w:val="21"/>
                      <w:highlight w:val="none"/>
                      <w:lang w:val="en-US" w:eastAsia="zh-CN" w:bidi="ar-SA"/>
                    </w:rPr>
                    <w:t>360m</w:t>
                  </w:r>
                  <w:r>
                    <w:rPr>
                      <w:rFonts w:hint="eastAsia" w:ascii="Times New Roman" w:hAnsi="Times New Roman" w:eastAsia="宋体" w:cs="Times New Roman"/>
                      <w:color w:val="auto"/>
                      <w:sz w:val="21"/>
                      <w:szCs w:val="21"/>
                      <w:highlight w:val="none"/>
                      <w:lang w:val="en-US" w:eastAsia="zh-CN" w:bidi="ar-SA"/>
                    </w:rPr>
                    <w:t>光影影响距离；距离县级规划“中节能三期四期”项目的其中一个风机位置</w:t>
                  </w:r>
                  <w:r>
                    <w:rPr>
                      <w:rFonts w:hint="default" w:ascii="Times New Roman" w:hAnsi="Times New Roman" w:eastAsia="宋体" w:cs="Times New Roman"/>
                      <w:color w:val="auto"/>
                      <w:sz w:val="21"/>
                      <w:szCs w:val="21"/>
                      <w:highlight w:val="none"/>
                      <w:lang w:val="en-US" w:eastAsia="zh-CN" w:bidi="ar-SA"/>
                    </w:rPr>
                    <w:t>83</w:t>
                  </w:r>
                  <w:r>
                    <w:rPr>
                      <w:rFonts w:hint="eastAsia" w:ascii="Times New Roman" w:hAnsi="Times New Roman" w:eastAsia="宋体" w:cs="Times New Roman"/>
                      <w:color w:val="auto"/>
                      <w:sz w:val="21"/>
                      <w:szCs w:val="21"/>
                      <w:highlight w:val="none"/>
                      <w:lang w:val="en-US" w:eastAsia="zh-CN" w:bidi="ar-SA"/>
                    </w:rPr>
                    <w:t>米，不满足《风电场工程微</w:t>
                  </w:r>
                </w:p>
                <w:p w14:paraId="51EB7C08">
                  <w:pPr>
                    <w:widowControl w:val="0"/>
                    <w:adjustRightInd/>
                    <w:snapToGrid/>
                    <w:spacing w:beforeLines="0" w:afterLines="0" w:line="240" w:lineRule="auto"/>
                    <w:jc w:val="center"/>
                    <w:rPr>
                      <w:rFonts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 xml:space="preserve">观选址技术规范》 </w:t>
                  </w:r>
                </w:p>
                <w:p w14:paraId="25523002">
                  <w:pPr>
                    <w:widowControl w:val="0"/>
                    <w:adjustRightInd/>
                    <w:snapToGrid/>
                    <w:spacing w:beforeLines="0" w:afterLines="0" w:line="240" w:lineRule="auto"/>
                    <w:jc w:val="center"/>
                    <w:rPr>
                      <w:rFonts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w:t>
                  </w:r>
                  <w:r>
                    <w:rPr>
                      <w:rFonts w:hint="default" w:ascii="Times New Roman" w:hAnsi="Times New Roman" w:eastAsia="宋体" w:cs="Times New Roman"/>
                      <w:color w:val="auto"/>
                      <w:sz w:val="21"/>
                      <w:szCs w:val="21"/>
                      <w:highlight w:val="none"/>
                      <w:lang w:val="en-US" w:eastAsia="zh-CN" w:bidi="ar-SA"/>
                    </w:rPr>
                    <w:t>NB/T10103-2018</w:t>
                  </w:r>
                  <w:r>
                    <w:rPr>
                      <w:rFonts w:hint="eastAsia" w:ascii="Times New Roman" w:hAnsi="Times New Roman" w:eastAsia="宋体" w:cs="Times New Roman"/>
                      <w:color w:val="auto"/>
                      <w:sz w:val="21"/>
                      <w:szCs w:val="21"/>
                      <w:highlight w:val="none"/>
                      <w:lang w:val="en-US" w:eastAsia="zh-CN" w:bidi="ar-SA"/>
                    </w:rPr>
                    <w:t xml:space="preserve">） </w:t>
                  </w:r>
                </w:p>
                <w:p w14:paraId="248D9627">
                  <w:pPr>
                    <w:widowControl w:val="0"/>
                    <w:adjustRightInd/>
                    <w:snapToGrid/>
                    <w:spacing w:beforeLines="0" w:afterLines="0" w:line="240" w:lineRule="auto"/>
                    <w:jc w:val="center"/>
                    <w:rPr>
                      <w:rFonts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行列间距要求</w:t>
                  </w:r>
                </w:p>
              </w:tc>
              <w:tc>
                <w:tcPr>
                  <w:tcW w:w="487" w:type="pct"/>
                  <w:vAlign w:val="center"/>
                </w:tcPr>
                <w:p w14:paraId="18BF2679">
                  <w:pPr>
                    <w:widowControl w:val="0"/>
                    <w:adjustRightInd/>
                    <w:snapToGrid/>
                    <w:spacing w:beforeLines="0" w:afterLines="0" w:line="240" w:lineRule="auto"/>
                    <w:jc w:val="center"/>
                    <w:rPr>
                      <w:rFonts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比选</w:t>
                  </w:r>
                </w:p>
              </w:tc>
            </w:tr>
            <w:tr w14:paraId="1A6799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24" w:type="pct"/>
                  <w:vAlign w:val="center"/>
                </w:tcPr>
                <w:p w14:paraId="3716DA0B">
                  <w:pPr>
                    <w:widowControl w:val="0"/>
                    <w:adjustRightInd/>
                    <w:snapToGrid/>
                    <w:spacing w:beforeLines="0" w:afterLines="0" w:line="240" w:lineRule="auto"/>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17</w:t>
                  </w:r>
                </w:p>
              </w:tc>
              <w:tc>
                <w:tcPr>
                  <w:tcW w:w="619" w:type="pct"/>
                  <w:vAlign w:val="center"/>
                </w:tcPr>
                <w:p w14:paraId="5F5C8460">
                  <w:pPr>
                    <w:widowControl w:val="0"/>
                    <w:adjustRightInd/>
                    <w:snapToGrid/>
                    <w:spacing w:beforeLines="0" w:afterLines="0" w:line="240" w:lineRule="auto"/>
                    <w:jc w:val="both"/>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乔木林</w:t>
                  </w:r>
                  <w:r>
                    <w:rPr>
                      <w:rFonts w:hint="eastAsia" w:ascii="Times New Roman" w:hAnsi="Times New Roman" w:eastAsia="宋体" w:cs="Times New Roman"/>
                      <w:color w:val="auto"/>
                      <w:sz w:val="21"/>
                      <w:szCs w:val="21"/>
                      <w:highlight w:val="none"/>
                      <w:lang w:val="en-US" w:eastAsia="zh-CN" w:bidi="ar-SA"/>
                    </w:rPr>
                    <w:t>地其他林地</w:t>
                  </w:r>
                </w:p>
              </w:tc>
              <w:tc>
                <w:tcPr>
                  <w:tcW w:w="624" w:type="pct"/>
                  <w:vAlign w:val="center"/>
                </w:tcPr>
                <w:p w14:paraId="0DA30F26">
                  <w:pPr>
                    <w:widowControl w:val="0"/>
                    <w:adjustRightInd/>
                    <w:snapToGrid/>
                    <w:spacing w:beforeLines="0" w:afterLines="0" w:line="240" w:lineRule="auto"/>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495</w:t>
                  </w:r>
                </w:p>
              </w:tc>
              <w:tc>
                <w:tcPr>
                  <w:tcW w:w="831" w:type="pct"/>
                  <w:vAlign w:val="center"/>
                </w:tcPr>
                <w:p w14:paraId="11D6F010">
                  <w:pPr>
                    <w:widowControl w:val="0"/>
                    <w:adjustRightInd/>
                    <w:snapToGrid/>
                    <w:spacing w:beforeLines="0" w:afterLines="0" w:line="240" w:lineRule="auto"/>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1470</w:t>
                  </w:r>
                </w:p>
              </w:tc>
              <w:tc>
                <w:tcPr>
                  <w:tcW w:w="673" w:type="pct"/>
                  <w:vMerge w:val="continue"/>
                  <w:vAlign w:val="center"/>
                </w:tcPr>
                <w:p w14:paraId="79742F94">
                  <w:pPr>
                    <w:widowControl w:val="0"/>
                    <w:adjustRightInd/>
                    <w:snapToGrid/>
                    <w:spacing w:beforeLines="0" w:afterLines="0" w:line="240" w:lineRule="auto"/>
                    <w:jc w:val="center"/>
                    <w:rPr>
                      <w:rFonts w:ascii="Times New Roman" w:hAnsi="Times New Roman" w:eastAsia="宋体" w:cs="Times New Roman"/>
                      <w:color w:val="auto"/>
                      <w:sz w:val="21"/>
                      <w:szCs w:val="21"/>
                      <w:highlight w:val="none"/>
                      <w:lang w:val="en-US" w:eastAsia="zh-CN" w:bidi="ar-SA"/>
                    </w:rPr>
                  </w:pPr>
                </w:p>
              </w:tc>
              <w:tc>
                <w:tcPr>
                  <w:tcW w:w="1238" w:type="pct"/>
                  <w:vAlign w:val="center"/>
                </w:tcPr>
                <w:p w14:paraId="5810672D">
                  <w:pPr>
                    <w:widowControl w:val="0"/>
                    <w:adjustRightInd/>
                    <w:snapToGrid/>
                    <w:spacing w:beforeLines="0" w:afterLines="0" w:line="240" w:lineRule="auto"/>
                    <w:jc w:val="center"/>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距</w:t>
                  </w:r>
                  <w:r>
                    <w:rPr>
                      <w:rFonts w:hint="default" w:ascii="Times New Roman" w:hAnsi="Times New Roman" w:eastAsia="宋体" w:cs="Times New Roman"/>
                      <w:color w:val="auto"/>
                      <w:sz w:val="21"/>
                      <w:szCs w:val="21"/>
                      <w:highlight w:val="none"/>
                      <w:lang w:val="en-US" w:eastAsia="zh-CN" w:bidi="ar-SA"/>
                    </w:rPr>
                    <w:t>8</w:t>
                  </w:r>
                  <w:r>
                    <w:rPr>
                      <w:rFonts w:hint="eastAsia" w:ascii="Times New Roman" w:hAnsi="Times New Roman" w:eastAsia="宋体" w:cs="Times New Roman"/>
                      <w:color w:val="auto"/>
                      <w:sz w:val="21"/>
                      <w:szCs w:val="21"/>
                      <w:highlight w:val="none"/>
                      <w:lang w:val="en-US" w:eastAsia="zh-CN" w:bidi="ar-SA"/>
                    </w:rPr>
                    <w:t xml:space="preserve">号风机距离过近 </w:t>
                  </w:r>
                </w:p>
                <w:p w14:paraId="0CF0B8A8">
                  <w:pPr>
                    <w:widowControl w:val="0"/>
                    <w:adjustRightInd/>
                    <w:snapToGrid/>
                    <w:spacing w:beforeLines="0" w:afterLines="0" w:line="240" w:lineRule="auto"/>
                    <w:jc w:val="center"/>
                    <w:rPr>
                      <w:rFonts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约</w:t>
                  </w:r>
                  <w:r>
                    <w:rPr>
                      <w:rFonts w:hint="default" w:ascii="Times New Roman" w:hAnsi="Times New Roman" w:eastAsia="宋体" w:cs="Times New Roman"/>
                      <w:color w:val="auto"/>
                      <w:sz w:val="21"/>
                      <w:szCs w:val="21"/>
                      <w:highlight w:val="none"/>
                      <w:lang w:val="en-US" w:eastAsia="zh-CN" w:bidi="ar-SA"/>
                    </w:rPr>
                    <w:t>327</w:t>
                  </w:r>
                  <w:r>
                    <w:rPr>
                      <w:rFonts w:hint="eastAsia" w:ascii="Times New Roman" w:hAnsi="Times New Roman" w:eastAsia="宋体" w:cs="Times New Roman"/>
                      <w:color w:val="auto"/>
                      <w:sz w:val="21"/>
                      <w:szCs w:val="21"/>
                      <w:highlight w:val="none"/>
                      <w:lang w:val="en-US" w:eastAsia="zh-CN" w:bidi="ar-SA"/>
                    </w:rPr>
                    <w:t xml:space="preserve">米；不满足《风 </w:t>
                  </w:r>
                </w:p>
                <w:p w14:paraId="735EF305">
                  <w:pPr>
                    <w:widowControl w:val="0"/>
                    <w:adjustRightInd/>
                    <w:snapToGrid/>
                    <w:spacing w:beforeLines="0" w:afterLines="0" w:line="240" w:lineRule="auto"/>
                    <w:jc w:val="center"/>
                    <w:rPr>
                      <w:rFonts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电场工程微观选址技</w:t>
                  </w:r>
                </w:p>
                <w:p w14:paraId="0540B0E4">
                  <w:pPr>
                    <w:widowControl w:val="0"/>
                    <w:adjustRightInd/>
                    <w:snapToGrid/>
                    <w:spacing w:beforeLines="0" w:afterLines="0" w:line="240" w:lineRule="auto"/>
                    <w:jc w:val="both"/>
                    <w:rPr>
                      <w:rFonts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术规范》 （</w:t>
                  </w:r>
                  <w:r>
                    <w:rPr>
                      <w:rFonts w:hint="default" w:ascii="Times New Roman" w:hAnsi="Times New Roman" w:eastAsia="宋体" w:cs="Times New Roman"/>
                      <w:color w:val="auto"/>
                      <w:sz w:val="21"/>
                      <w:szCs w:val="21"/>
                      <w:highlight w:val="none"/>
                      <w:lang w:val="en-US" w:eastAsia="zh-CN" w:bidi="ar-SA"/>
                    </w:rPr>
                    <w:t>NB/T10103-2018</w:t>
                  </w:r>
                  <w:r>
                    <w:rPr>
                      <w:rFonts w:hint="eastAsia" w:ascii="Times New Roman" w:hAnsi="Times New Roman" w:eastAsia="宋体" w:cs="Times New Roman"/>
                      <w:color w:val="auto"/>
                      <w:sz w:val="21"/>
                      <w:szCs w:val="21"/>
                      <w:highlight w:val="none"/>
                      <w:lang w:val="en-US" w:eastAsia="zh-CN" w:bidi="ar-SA"/>
                    </w:rPr>
                    <w:t xml:space="preserve">） </w:t>
                  </w:r>
                </w:p>
                <w:p w14:paraId="24E24F3B">
                  <w:pPr>
                    <w:widowControl w:val="0"/>
                    <w:adjustRightInd/>
                    <w:snapToGrid/>
                    <w:spacing w:beforeLines="0" w:afterLines="0" w:line="240" w:lineRule="auto"/>
                    <w:jc w:val="center"/>
                    <w:rPr>
                      <w:rFonts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行列间距要求</w:t>
                  </w:r>
                </w:p>
              </w:tc>
              <w:tc>
                <w:tcPr>
                  <w:tcW w:w="487" w:type="pct"/>
                  <w:vAlign w:val="center"/>
                </w:tcPr>
                <w:p w14:paraId="62CED099">
                  <w:pPr>
                    <w:widowControl w:val="0"/>
                    <w:adjustRightInd/>
                    <w:snapToGrid/>
                    <w:spacing w:beforeLines="0" w:afterLines="0" w:line="240" w:lineRule="auto"/>
                    <w:jc w:val="center"/>
                    <w:rPr>
                      <w:rFonts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比选</w:t>
                  </w:r>
                </w:p>
              </w:tc>
            </w:tr>
            <w:tr w14:paraId="78B44E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24" w:type="pct"/>
                  <w:vAlign w:val="center"/>
                </w:tcPr>
                <w:p w14:paraId="6B11D402">
                  <w:pPr>
                    <w:widowControl w:val="0"/>
                    <w:adjustRightInd/>
                    <w:snapToGrid/>
                    <w:spacing w:beforeLines="0" w:afterLines="0" w:line="240" w:lineRule="auto"/>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结论</w:t>
                  </w:r>
                </w:p>
              </w:tc>
              <w:tc>
                <w:tcPr>
                  <w:tcW w:w="619" w:type="pct"/>
                  <w:vAlign w:val="center"/>
                </w:tcPr>
                <w:p w14:paraId="34C4D743">
                  <w:pPr>
                    <w:widowControl w:val="0"/>
                    <w:adjustRightInd/>
                    <w:snapToGrid/>
                    <w:spacing w:beforeLines="0" w:afterLines="0" w:line="240" w:lineRule="auto"/>
                    <w:jc w:val="both"/>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基本一致</w:t>
                  </w:r>
                </w:p>
              </w:tc>
              <w:tc>
                <w:tcPr>
                  <w:tcW w:w="624" w:type="pct"/>
                  <w:vAlign w:val="center"/>
                </w:tcPr>
                <w:p w14:paraId="40285F9D">
                  <w:pPr>
                    <w:widowControl w:val="0"/>
                    <w:adjustRightInd/>
                    <w:snapToGrid/>
                    <w:spacing w:beforeLines="0" w:afterLines="0" w:line="240" w:lineRule="auto"/>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11号风机距居民点过近，不满足相关要求。其余12、14、16、17 与其他风机相比</w:t>
                  </w:r>
                  <w:r>
                    <w:rPr>
                      <w:rFonts w:hint="eastAsia" w:cs="Times New Roman"/>
                      <w:color w:val="auto"/>
                      <w:sz w:val="21"/>
                      <w:szCs w:val="21"/>
                      <w:highlight w:val="none"/>
                      <w:lang w:val="en-US" w:eastAsia="zh-CN" w:bidi="ar-SA"/>
                    </w:rPr>
                    <w:t>，</w:t>
                  </w:r>
                  <w:r>
                    <w:rPr>
                      <w:rFonts w:hint="eastAsia" w:ascii="Times New Roman" w:hAnsi="Times New Roman" w:eastAsia="宋体" w:cs="Times New Roman"/>
                      <w:color w:val="auto"/>
                      <w:sz w:val="21"/>
                      <w:szCs w:val="21"/>
                      <w:highlight w:val="none"/>
                      <w:lang w:val="en-US" w:eastAsia="zh-CN" w:bidi="ar-SA"/>
                    </w:rPr>
                    <w:t xml:space="preserve">距居 </w:t>
                  </w:r>
                </w:p>
                <w:p w14:paraId="19E556E3">
                  <w:pPr>
                    <w:widowControl w:val="0"/>
                    <w:adjustRightInd/>
                    <w:snapToGrid/>
                    <w:spacing w:beforeLines="0" w:afterLines="0" w:line="240" w:lineRule="auto"/>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 xml:space="preserve">民点距离较近，距离方面 </w:t>
                  </w:r>
                </w:p>
                <w:p w14:paraId="0A82AD32">
                  <w:pPr>
                    <w:widowControl w:val="0"/>
                    <w:adjustRightInd/>
                    <w:snapToGrid/>
                    <w:spacing w:beforeLines="0" w:afterLines="0" w:line="240" w:lineRule="auto"/>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不是最优选择。</w:t>
                  </w:r>
                </w:p>
              </w:tc>
              <w:tc>
                <w:tcPr>
                  <w:tcW w:w="831" w:type="pct"/>
                  <w:vAlign w:val="center"/>
                </w:tcPr>
                <w:p w14:paraId="6A43C94C">
                  <w:pPr>
                    <w:widowControl w:val="0"/>
                    <w:adjustRightInd/>
                    <w:snapToGrid/>
                    <w:spacing w:beforeLines="0" w:afterLines="0" w:line="240" w:lineRule="auto"/>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 xml:space="preserve">海拔均位于 </w:t>
                  </w:r>
                </w:p>
                <w:p w14:paraId="3279B092">
                  <w:pPr>
                    <w:widowControl w:val="0"/>
                    <w:adjustRightInd/>
                    <w:snapToGrid/>
                    <w:spacing w:beforeLines="0" w:afterLines="0" w:line="240" w:lineRule="auto"/>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1400-18 00米之间，基本 一致</w:t>
                  </w:r>
                </w:p>
                <w:p w14:paraId="4A6208A6">
                  <w:pPr>
                    <w:widowControl w:val="0"/>
                    <w:adjustRightInd/>
                    <w:snapToGrid/>
                    <w:spacing w:beforeLines="0" w:afterLines="0" w:line="240" w:lineRule="auto"/>
                    <w:jc w:val="center"/>
                    <w:rPr>
                      <w:rFonts w:hint="eastAsia" w:ascii="Times New Roman" w:hAnsi="Times New Roman" w:eastAsia="宋体" w:cs="Times New Roman"/>
                      <w:color w:val="auto"/>
                      <w:sz w:val="21"/>
                      <w:szCs w:val="21"/>
                      <w:highlight w:val="none"/>
                      <w:lang w:val="en-US" w:eastAsia="zh-CN" w:bidi="ar-SA"/>
                    </w:rPr>
                  </w:pPr>
                </w:p>
              </w:tc>
              <w:tc>
                <w:tcPr>
                  <w:tcW w:w="673" w:type="pct"/>
                  <w:vAlign w:val="center"/>
                </w:tcPr>
                <w:p w14:paraId="73A6C739">
                  <w:pPr>
                    <w:widowControl w:val="0"/>
                    <w:adjustRightInd/>
                    <w:snapToGrid/>
                    <w:spacing w:beforeLines="0" w:afterLines="0" w:line="240" w:lineRule="auto"/>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一致</w:t>
                  </w:r>
                </w:p>
              </w:tc>
              <w:tc>
                <w:tcPr>
                  <w:tcW w:w="1238" w:type="pct"/>
                  <w:vAlign w:val="center"/>
                </w:tcPr>
                <w:p w14:paraId="039E4233">
                  <w:pPr>
                    <w:widowControl w:val="0"/>
                    <w:adjustRightInd/>
                    <w:snapToGrid/>
                    <w:spacing w:beforeLines="0" w:afterLines="0" w:line="240" w:lineRule="auto"/>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 xml:space="preserve">11、15、16、17 风机 </w:t>
                  </w:r>
                </w:p>
                <w:p w14:paraId="6E9029BC">
                  <w:pPr>
                    <w:widowControl w:val="0"/>
                    <w:adjustRightInd/>
                    <w:snapToGrid/>
                    <w:spacing w:beforeLines="0" w:afterLines="0" w:line="240" w:lineRule="auto"/>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周边存在敏感要素，不是最优选择。</w:t>
                  </w:r>
                </w:p>
                <w:p w14:paraId="121FC200">
                  <w:pPr>
                    <w:widowControl w:val="0"/>
                    <w:adjustRightInd/>
                    <w:snapToGrid/>
                    <w:spacing w:beforeLines="0" w:afterLines="0" w:line="240" w:lineRule="auto"/>
                    <w:jc w:val="center"/>
                    <w:rPr>
                      <w:rFonts w:hint="eastAsia" w:ascii="Times New Roman" w:hAnsi="Times New Roman" w:eastAsia="宋体" w:cs="Times New Roman"/>
                      <w:color w:val="auto"/>
                      <w:sz w:val="21"/>
                      <w:szCs w:val="21"/>
                      <w:highlight w:val="none"/>
                      <w:lang w:val="en-US" w:eastAsia="zh-CN" w:bidi="ar-SA"/>
                    </w:rPr>
                  </w:pPr>
                </w:p>
              </w:tc>
              <w:tc>
                <w:tcPr>
                  <w:tcW w:w="487" w:type="pct"/>
                  <w:vAlign w:val="center"/>
                </w:tcPr>
                <w:p w14:paraId="54E5DCFB">
                  <w:pPr>
                    <w:widowControl w:val="0"/>
                    <w:adjustRightInd/>
                    <w:snapToGrid/>
                    <w:spacing w:beforeLines="0" w:afterLines="0" w:line="240" w:lineRule="auto"/>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 xml:space="preserve">综合比较 1-10 </w:t>
                  </w:r>
                </w:p>
                <w:p w14:paraId="368C4354">
                  <w:pPr>
                    <w:widowControl w:val="0"/>
                    <w:adjustRightInd/>
                    <w:snapToGrid/>
                    <w:spacing w:beforeLines="0" w:afterLines="0" w:line="240" w:lineRule="auto"/>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 xml:space="preserve">号风机优于 11-17 </w:t>
                  </w:r>
                </w:p>
                <w:p w14:paraId="06ED25C6">
                  <w:pPr>
                    <w:widowControl w:val="0"/>
                    <w:adjustRightInd/>
                    <w:snapToGrid/>
                    <w:spacing w:beforeLines="0" w:afterLines="0" w:line="240" w:lineRule="auto"/>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号风机</w:t>
                  </w:r>
                </w:p>
                <w:p w14:paraId="092F2B43">
                  <w:pPr>
                    <w:widowControl w:val="0"/>
                    <w:adjustRightInd/>
                    <w:snapToGrid/>
                    <w:spacing w:beforeLines="0" w:afterLines="0" w:line="240" w:lineRule="auto"/>
                    <w:jc w:val="center"/>
                    <w:rPr>
                      <w:rFonts w:hint="eastAsia" w:ascii="Times New Roman" w:hAnsi="Times New Roman" w:eastAsia="宋体" w:cs="Times New Roman"/>
                      <w:color w:val="auto"/>
                      <w:sz w:val="21"/>
                      <w:szCs w:val="21"/>
                      <w:highlight w:val="none"/>
                      <w:lang w:val="en-US" w:eastAsia="zh-CN" w:bidi="ar-SA"/>
                    </w:rPr>
                  </w:pPr>
                </w:p>
              </w:tc>
            </w:tr>
          </w:tbl>
          <w:p w14:paraId="771561B5">
            <w:pPr>
              <w:adjustRightInd w:val="0"/>
              <w:snapToGrid w:val="0"/>
              <w:spacing w:line="480" w:lineRule="exact"/>
              <w:ind w:firstLine="480" w:firstLineChars="200"/>
              <w:rPr>
                <w:rFonts w:hint="default"/>
                <w:bCs/>
                <w:color w:val="auto"/>
                <w:kern w:val="0"/>
                <w:sz w:val="24"/>
                <w:highlight w:val="none"/>
                <w:lang w:val="en-US" w:eastAsia="zh-CN"/>
              </w:rPr>
            </w:pPr>
            <w:r>
              <w:rPr>
                <w:rFonts w:hint="eastAsia"/>
                <w:bCs/>
                <w:color w:val="auto"/>
                <w:kern w:val="0"/>
                <w:sz w:val="24"/>
                <w:highlight w:val="none"/>
                <w:lang w:val="en-US" w:eastAsia="zh-CN"/>
              </w:rPr>
              <w:t>由于风机设备厂家技术升级，主推机型升级为6.25MW风力发电机型，因此对风电机组方案进一步优化，最终在10个点位里择优选用8个点位，剔除了8号和10号风机机位。</w:t>
            </w:r>
          </w:p>
          <w:p w14:paraId="2812EF0E">
            <w:pPr>
              <w:adjustRightInd w:val="0"/>
              <w:snapToGrid w:val="0"/>
              <w:spacing w:line="480" w:lineRule="exact"/>
              <w:ind w:firstLine="480" w:firstLineChars="200"/>
              <w:rPr>
                <w:bCs/>
                <w:color w:val="auto"/>
                <w:kern w:val="0"/>
                <w:sz w:val="24"/>
                <w:highlight w:val="none"/>
              </w:rPr>
            </w:pPr>
            <w:r>
              <w:rPr>
                <w:rFonts w:hint="eastAsia"/>
                <w:bCs/>
                <w:color w:val="auto"/>
                <w:kern w:val="0"/>
                <w:sz w:val="24"/>
                <w:highlight w:val="none"/>
                <w:lang w:val="en-US" w:eastAsia="zh-CN"/>
              </w:rPr>
              <w:t>3</w:t>
            </w:r>
            <w:r>
              <w:rPr>
                <w:rFonts w:hint="eastAsia"/>
                <w:bCs/>
                <w:color w:val="auto"/>
                <w:kern w:val="0"/>
                <w:sz w:val="24"/>
                <w:highlight w:val="none"/>
              </w:rPr>
              <w:t>、选址环境合理性</w:t>
            </w:r>
          </w:p>
          <w:p w14:paraId="006AB844">
            <w:pPr>
              <w:adjustRightInd w:val="0"/>
              <w:snapToGrid w:val="0"/>
              <w:spacing w:line="480" w:lineRule="exact"/>
              <w:ind w:firstLine="480" w:firstLineChars="200"/>
              <w:rPr>
                <w:rFonts w:hint="default" w:ascii="Times New Roman" w:hAnsi="Times New Roman" w:eastAsia="宋体" w:cs="Times New Roman"/>
                <w:bCs/>
                <w:color w:val="auto"/>
                <w:kern w:val="0"/>
                <w:sz w:val="24"/>
                <w:highlight w:val="none"/>
              </w:rPr>
            </w:pPr>
            <w:r>
              <w:rPr>
                <w:rFonts w:hint="default" w:ascii="Times New Roman" w:hAnsi="Times New Roman" w:eastAsia="宋体" w:cs="Times New Roman"/>
                <w:bCs/>
                <w:color w:val="auto"/>
                <w:kern w:val="0"/>
                <w:sz w:val="24"/>
                <w:highlight w:val="none"/>
              </w:rPr>
              <w:t>本项目环境制约因素主要体现在占用生态保护红线和国家二级公益林两方面：</w:t>
            </w:r>
          </w:p>
          <w:p w14:paraId="23689369">
            <w:pPr>
              <w:adjustRightInd w:val="0"/>
              <w:snapToGrid w:val="0"/>
              <w:spacing w:line="480" w:lineRule="exact"/>
              <w:ind w:firstLine="480" w:firstLineChars="200"/>
              <w:rPr>
                <w:rFonts w:hint="default" w:ascii="Times New Roman" w:hAnsi="Times New Roman" w:eastAsia="宋体" w:cs="Times New Roman"/>
                <w:bCs/>
                <w:color w:val="auto"/>
                <w:kern w:val="0"/>
                <w:sz w:val="24"/>
                <w:highlight w:val="none"/>
              </w:rPr>
            </w:pPr>
            <w:r>
              <w:rPr>
                <w:rFonts w:hint="eastAsia" w:ascii="Times New Roman" w:hAnsi="Times New Roman" w:eastAsia="宋体" w:cs="Times New Roman"/>
                <w:bCs/>
                <w:color w:val="auto"/>
                <w:kern w:val="0"/>
                <w:sz w:val="24"/>
                <w:highlight w:val="none"/>
                <w:lang w:eastAsia="zh-CN"/>
              </w:rPr>
              <w:t>（</w:t>
            </w:r>
            <w:r>
              <w:rPr>
                <w:rFonts w:hint="eastAsia" w:ascii="Times New Roman" w:hAnsi="Times New Roman" w:eastAsia="宋体" w:cs="Times New Roman"/>
                <w:bCs/>
                <w:color w:val="auto"/>
                <w:kern w:val="0"/>
                <w:sz w:val="24"/>
                <w:highlight w:val="none"/>
                <w:lang w:val="en-US" w:eastAsia="zh-CN"/>
              </w:rPr>
              <w:t>1</w:t>
            </w:r>
            <w:r>
              <w:rPr>
                <w:rFonts w:hint="eastAsia" w:ascii="Times New Roman" w:hAnsi="Times New Roman" w:eastAsia="宋体" w:cs="Times New Roman"/>
                <w:bCs/>
                <w:color w:val="auto"/>
                <w:kern w:val="0"/>
                <w:sz w:val="24"/>
                <w:highlight w:val="none"/>
                <w:lang w:eastAsia="zh-CN"/>
              </w:rPr>
              <w:t>）</w:t>
            </w:r>
            <w:r>
              <w:rPr>
                <w:rFonts w:hint="default" w:ascii="Times New Roman" w:hAnsi="Times New Roman" w:eastAsia="宋体" w:cs="Times New Roman"/>
                <w:bCs/>
                <w:color w:val="auto"/>
                <w:kern w:val="0"/>
                <w:sz w:val="24"/>
                <w:highlight w:val="none"/>
              </w:rPr>
              <w:t>生态保护红线占用情况</w:t>
            </w:r>
          </w:p>
          <w:p w14:paraId="14F8EAB1">
            <w:pPr>
              <w:adjustRightInd w:val="0"/>
              <w:snapToGrid w:val="0"/>
              <w:spacing w:line="480" w:lineRule="exact"/>
              <w:ind w:firstLine="480" w:firstLineChars="200"/>
              <w:rPr>
                <w:rFonts w:hint="default" w:ascii="Times New Roman" w:hAnsi="Times New Roman" w:eastAsia="宋体" w:cs="Times New Roman"/>
                <w:bCs/>
                <w:color w:val="auto"/>
                <w:kern w:val="0"/>
                <w:sz w:val="24"/>
                <w:highlight w:val="none"/>
              </w:rPr>
            </w:pPr>
            <w:r>
              <w:rPr>
                <w:rFonts w:hint="default" w:ascii="Times New Roman" w:hAnsi="Times New Roman" w:eastAsia="宋体" w:cs="Times New Roman"/>
                <w:bCs/>
                <w:color w:val="auto"/>
                <w:kern w:val="0"/>
                <w:sz w:val="24"/>
                <w:highlight w:val="none"/>
              </w:rPr>
              <w:t>涉及占用生态保护红线的工程内容包括集电线路和风机吊装平台。其中集电线路永久占地已取得壶关县自然资源局出具的项目符合生态保护红线内允许有限人为活动的认定意见；吊装平台临时用地已通过</w:t>
            </w:r>
            <w:r>
              <w:rPr>
                <w:rFonts w:hint="eastAsia" w:ascii="宋体" w:hAnsi="宋体" w:eastAsia="宋体" w:cs="宋体"/>
                <w:bCs/>
                <w:color w:val="auto"/>
                <w:kern w:val="0"/>
                <w:sz w:val="24"/>
                <w:highlight w:val="none"/>
              </w:rPr>
              <w:t>“必须且不可避让”</w:t>
            </w:r>
            <w:r>
              <w:rPr>
                <w:rFonts w:hint="default" w:ascii="Times New Roman" w:hAnsi="Times New Roman" w:eastAsia="宋体" w:cs="Times New Roman"/>
                <w:bCs/>
                <w:color w:val="auto"/>
                <w:kern w:val="0"/>
                <w:sz w:val="24"/>
                <w:highlight w:val="none"/>
              </w:rPr>
              <w:t>生态保护红线专家论证。在严格落实各项管控与生态修复措施后，项目对生态保护红线的影响总体可控，生态环境影响处于可接受范围内。</w:t>
            </w:r>
          </w:p>
          <w:p w14:paraId="013D4248">
            <w:pPr>
              <w:adjustRightInd w:val="0"/>
              <w:snapToGrid w:val="0"/>
              <w:spacing w:line="480" w:lineRule="exact"/>
              <w:ind w:firstLine="480" w:firstLineChars="200"/>
              <w:rPr>
                <w:rFonts w:hint="default" w:ascii="Times New Roman" w:hAnsi="Times New Roman" w:eastAsia="宋体" w:cs="Times New Roman"/>
                <w:bCs/>
                <w:color w:val="auto"/>
                <w:kern w:val="0"/>
                <w:sz w:val="24"/>
                <w:highlight w:val="none"/>
              </w:rPr>
            </w:pPr>
            <w:r>
              <w:rPr>
                <w:rFonts w:hint="eastAsia" w:ascii="Times New Roman" w:hAnsi="Times New Roman" w:eastAsia="宋体" w:cs="Times New Roman"/>
                <w:bCs/>
                <w:color w:val="auto"/>
                <w:kern w:val="0"/>
                <w:sz w:val="24"/>
                <w:highlight w:val="none"/>
                <w:lang w:eastAsia="zh-CN"/>
              </w:rPr>
              <w:t>（</w:t>
            </w:r>
            <w:r>
              <w:rPr>
                <w:rFonts w:hint="eastAsia" w:ascii="Times New Roman" w:hAnsi="Times New Roman" w:eastAsia="宋体" w:cs="Times New Roman"/>
                <w:bCs/>
                <w:color w:val="auto"/>
                <w:kern w:val="0"/>
                <w:sz w:val="24"/>
                <w:highlight w:val="none"/>
                <w:lang w:val="en-US" w:eastAsia="zh-CN"/>
              </w:rPr>
              <w:t>2</w:t>
            </w:r>
            <w:r>
              <w:rPr>
                <w:rFonts w:hint="eastAsia" w:ascii="Times New Roman" w:hAnsi="Times New Roman" w:eastAsia="宋体" w:cs="Times New Roman"/>
                <w:bCs/>
                <w:color w:val="auto"/>
                <w:kern w:val="0"/>
                <w:sz w:val="24"/>
                <w:highlight w:val="none"/>
                <w:lang w:eastAsia="zh-CN"/>
              </w:rPr>
              <w:t>）</w:t>
            </w:r>
            <w:r>
              <w:rPr>
                <w:rFonts w:hint="default" w:ascii="Times New Roman" w:hAnsi="Times New Roman" w:eastAsia="宋体" w:cs="Times New Roman"/>
                <w:bCs/>
                <w:color w:val="auto"/>
                <w:kern w:val="0"/>
                <w:sz w:val="24"/>
                <w:highlight w:val="none"/>
              </w:rPr>
              <w:t>国家二级公益林占用情况</w:t>
            </w:r>
          </w:p>
          <w:p w14:paraId="31896742">
            <w:pPr>
              <w:adjustRightInd w:val="0"/>
              <w:snapToGrid w:val="0"/>
              <w:spacing w:line="480" w:lineRule="exact"/>
              <w:ind w:firstLine="480" w:firstLineChars="200"/>
              <w:rPr>
                <w:rFonts w:hint="default" w:ascii="Times New Roman" w:hAnsi="Times New Roman" w:eastAsia="宋体" w:cs="Times New Roman"/>
                <w:bCs/>
                <w:color w:val="auto"/>
                <w:kern w:val="0"/>
                <w:sz w:val="24"/>
                <w:highlight w:val="none"/>
              </w:rPr>
            </w:pPr>
            <w:r>
              <w:rPr>
                <w:rFonts w:hint="default" w:ascii="Times New Roman" w:hAnsi="Times New Roman" w:eastAsia="宋体" w:cs="Times New Roman"/>
                <w:bCs/>
                <w:color w:val="auto"/>
                <w:kern w:val="0"/>
                <w:sz w:val="24"/>
                <w:highlight w:val="none"/>
              </w:rPr>
              <w:t>永久占用部分已取得山西省林业和草原局核发的使用林地草原审核同意书（晋林资许准〔2025〕539号），临时占用区域已编制土地复垦方案，施工结束后将依据临时用地管理规定及时实施植被恢复，确保公益林生态功能得到有效补偿与恢复，最大限度减轻项目实施对其影响。</w:t>
            </w:r>
          </w:p>
          <w:p w14:paraId="700DDD96">
            <w:pPr>
              <w:adjustRightInd w:val="0"/>
              <w:snapToGrid w:val="0"/>
              <w:spacing w:line="480" w:lineRule="exact"/>
              <w:ind w:firstLine="480" w:firstLineChars="200"/>
              <w:rPr>
                <w:rFonts w:hint="default" w:ascii="Times New Roman" w:hAnsi="Times New Roman" w:eastAsia="宋体" w:cs="Times New Roman"/>
                <w:bCs/>
                <w:color w:val="auto"/>
                <w:kern w:val="0"/>
                <w:sz w:val="24"/>
                <w:highlight w:val="none"/>
              </w:rPr>
            </w:pPr>
            <w:r>
              <w:rPr>
                <w:rFonts w:hint="default" w:ascii="Times New Roman" w:hAnsi="Times New Roman" w:eastAsia="宋体" w:cs="Times New Roman"/>
                <w:bCs/>
                <w:color w:val="auto"/>
                <w:kern w:val="0"/>
                <w:sz w:val="24"/>
                <w:highlight w:val="none"/>
              </w:rPr>
              <w:t>此外，本项目位于</w:t>
            </w:r>
            <w:r>
              <w:rPr>
                <w:rFonts w:hint="eastAsia" w:ascii="宋体" w:hAnsi="宋体" w:eastAsia="宋体" w:cs="宋体"/>
                <w:bCs/>
                <w:color w:val="auto"/>
                <w:kern w:val="0"/>
                <w:sz w:val="24"/>
                <w:highlight w:val="none"/>
              </w:rPr>
              <w:t>“三线一单”生</w:t>
            </w:r>
            <w:r>
              <w:rPr>
                <w:rFonts w:hint="default" w:ascii="Times New Roman" w:hAnsi="Times New Roman" w:eastAsia="宋体" w:cs="Times New Roman"/>
                <w:bCs/>
                <w:color w:val="auto"/>
                <w:kern w:val="0"/>
                <w:sz w:val="24"/>
                <w:highlight w:val="none"/>
              </w:rPr>
              <w:t>态环境分区管控体系中的一般管控单元与优先保护单元，符合相关单元准入要求。评价范围内不涉及自然保护区、风景名胜区、世界文化和自然遗产地、水源地保护区及泉域重点保护区。风机周边500米范围内无声环境保护目标。综合来看，本项目选址环境合理、可行。</w:t>
            </w:r>
          </w:p>
          <w:p w14:paraId="6593B80A">
            <w:pPr>
              <w:adjustRightInd w:val="0"/>
              <w:snapToGrid w:val="0"/>
              <w:spacing w:line="480" w:lineRule="exact"/>
              <w:ind w:firstLine="480" w:firstLineChars="200"/>
              <w:rPr>
                <w:bCs/>
                <w:color w:val="auto"/>
                <w:kern w:val="0"/>
                <w:sz w:val="24"/>
                <w:highlight w:val="none"/>
              </w:rPr>
            </w:pPr>
          </w:p>
        </w:tc>
      </w:tr>
    </w:tbl>
    <w:p w14:paraId="5D1403B0">
      <w:pPr>
        <w:pStyle w:val="9"/>
        <w:jc w:val="center"/>
        <w:rPr>
          <w:rFonts w:hint="eastAsia" w:ascii="黑体" w:hAnsi="黑体" w:eastAsia="黑体"/>
          <w:snapToGrid w:val="0"/>
          <w:color w:val="auto"/>
          <w:sz w:val="36"/>
          <w:szCs w:val="36"/>
          <w:highlight w:val="none"/>
        </w:rPr>
        <w:sectPr>
          <w:pgSz w:w="11906" w:h="16838"/>
          <w:pgMar w:top="1440" w:right="1800" w:bottom="1440" w:left="1800" w:header="851" w:footer="1077" w:gutter="0"/>
          <w:pgBorders>
            <w:top w:val="none" w:sz="0" w:space="0"/>
            <w:left w:val="none" w:sz="0" w:space="0"/>
            <w:bottom w:val="none" w:sz="0" w:space="0"/>
            <w:right w:val="none" w:sz="0" w:space="0"/>
          </w:pgBorders>
          <w:cols w:space="425" w:num="1"/>
          <w:docGrid w:linePitch="312" w:charSpace="0"/>
        </w:sectPr>
      </w:pPr>
    </w:p>
    <w:p w14:paraId="4B57227D">
      <w:pPr>
        <w:pStyle w:val="9"/>
        <w:jc w:val="center"/>
        <w:outlineLvl w:val="0"/>
        <w:rPr>
          <w:rFonts w:hint="eastAsia"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t>五、主要生态环境保护措施</w:t>
      </w:r>
    </w:p>
    <w:tbl>
      <w:tblPr>
        <w:tblStyle w:val="10"/>
        <w:tblW w:w="921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9205"/>
      </w:tblGrid>
      <w:tr w14:paraId="08B826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90" w:hRule="atLeast"/>
          <w:jc w:val="center"/>
        </w:trPr>
        <w:tc>
          <w:tcPr>
            <w:tcW w:w="753" w:type="dxa"/>
            <w:tcMar>
              <w:left w:w="28" w:type="dxa"/>
              <w:right w:w="28" w:type="dxa"/>
            </w:tcMar>
            <w:vAlign w:val="center"/>
          </w:tcPr>
          <w:p w14:paraId="68D2FA43">
            <w:pPr>
              <w:adjustRightInd w:val="0"/>
              <w:snapToGrid w:val="0"/>
              <w:jc w:val="center"/>
              <w:rPr>
                <w:rFonts w:hint="eastAsia" w:ascii="宋体" w:hAnsi="宋体"/>
                <w:bCs/>
                <w:color w:val="auto"/>
                <w:sz w:val="24"/>
                <w:highlight w:val="none"/>
              </w:rPr>
            </w:pPr>
            <w:r>
              <w:rPr>
                <w:rFonts w:hint="eastAsia" w:ascii="宋体" w:hAnsi="宋体" w:cs="宋体"/>
                <w:bCs/>
                <w:color w:val="auto"/>
                <w:spacing w:val="10"/>
                <w:sz w:val="24"/>
                <w:highlight w:val="none"/>
              </w:rPr>
              <w:t>施工期生态环境保护措施</w:t>
            </w:r>
          </w:p>
        </w:tc>
        <w:tc>
          <w:tcPr>
            <w:tcW w:w="8457" w:type="dxa"/>
          </w:tcPr>
          <w:p w14:paraId="00D7C8EA">
            <w:pPr>
              <w:spacing w:line="480" w:lineRule="exact"/>
              <w:ind w:firstLine="520" w:firstLineChars="200"/>
              <w:rPr>
                <w:bCs/>
                <w:color w:val="auto"/>
                <w:spacing w:val="10"/>
                <w:sz w:val="24"/>
                <w:highlight w:val="none"/>
              </w:rPr>
            </w:pPr>
            <w:r>
              <w:rPr>
                <w:bCs/>
                <w:color w:val="auto"/>
                <w:spacing w:val="10"/>
                <w:sz w:val="24"/>
                <w:highlight w:val="none"/>
              </w:rPr>
              <w:t>1、大气污染防治措施</w:t>
            </w:r>
          </w:p>
          <w:p w14:paraId="7143740C">
            <w:pPr>
              <w:spacing w:line="480" w:lineRule="exact"/>
              <w:ind w:firstLine="520" w:firstLineChars="200"/>
              <w:rPr>
                <w:bCs/>
                <w:color w:val="auto"/>
                <w:spacing w:val="10"/>
                <w:sz w:val="24"/>
                <w:highlight w:val="none"/>
              </w:rPr>
            </w:pPr>
            <w:r>
              <w:rPr>
                <w:rFonts w:hint="eastAsia"/>
                <w:bCs/>
                <w:color w:val="auto"/>
                <w:spacing w:val="10"/>
                <w:sz w:val="24"/>
                <w:highlight w:val="none"/>
              </w:rPr>
              <w:t>本项目施工期对环境空气的影响主要表现在施工扬尘、施工机械车辆尾气、少量的备用柴油发电机组废气。</w:t>
            </w:r>
          </w:p>
          <w:p w14:paraId="43C7F5A8">
            <w:pPr>
              <w:spacing w:line="480" w:lineRule="exact"/>
              <w:ind w:firstLine="520" w:firstLineChars="200"/>
              <w:rPr>
                <w:bCs/>
                <w:color w:val="auto"/>
                <w:spacing w:val="10"/>
                <w:sz w:val="24"/>
                <w:highlight w:val="none"/>
              </w:rPr>
            </w:pPr>
            <w:r>
              <w:rPr>
                <w:rFonts w:hint="eastAsia"/>
                <w:bCs/>
                <w:color w:val="auto"/>
                <w:spacing w:val="10"/>
                <w:sz w:val="24"/>
                <w:highlight w:val="none"/>
              </w:rPr>
              <w:t>（1）施工扬尘</w:t>
            </w:r>
          </w:p>
          <w:p w14:paraId="692818CD">
            <w:pPr>
              <w:spacing w:line="480" w:lineRule="exact"/>
              <w:ind w:firstLine="520" w:firstLineChars="200"/>
              <w:rPr>
                <w:bCs/>
                <w:color w:val="auto"/>
                <w:spacing w:val="10"/>
                <w:sz w:val="24"/>
                <w:highlight w:val="none"/>
              </w:rPr>
            </w:pPr>
            <w:r>
              <w:rPr>
                <w:rFonts w:hint="eastAsia"/>
                <w:bCs/>
                <w:color w:val="auto"/>
                <w:spacing w:val="10"/>
                <w:sz w:val="24"/>
                <w:highlight w:val="none"/>
              </w:rPr>
              <w:t>本项目在施工过程中当遵循《山西省深入推进扬尘污染防治工作方案》（晋环委办函〔2022〕4号），《山西省空气质量再提升2022-</w:t>
            </w:r>
            <w:r>
              <w:rPr>
                <w:rFonts w:hint="eastAsia" w:eastAsia="宋体"/>
                <w:bCs/>
                <w:color w:val="auto"/>
                <w:spacing w:val="10"/>
                <w:sz w:val="24"/>
                <w:highlight w:val="none"/>
                <w:lang w:eastAsia="zh-CN"/>
              </w:rPr>
              <w:t>2024年</w:t>
            </w:r>
            <w:r>
              <w:rPr>
                <w:rFonts w:hint="eastAsia"/>
                <w:bCs/>
                <w:color w:val="auto"/>
                <w:spacing w:val="10"/>
                <w:sz w:val="24"/>
                <w:highlight w:val="none"/>
              </w:rPr>
              <w:t>行动计划》（晋政办发〔2022〕95号）文件对施工扬尘的控制要求，严格落实建筑施工扬尘整治“六个百分百”措施（工地周边100%围挡、路面100%硬化、出入车辆100%清洗、物料堆放100%覆盖、工地100%湿法作业、渣土车辆100%苫盖），环评提出防治措施和要求见下表。</w:t>
            </w:r>
          </w:p>
          <w:p w14:paraId="424C6A75">
            <w:pPr>
              <w:pStyle w:val="26"/>
              <w:spacing w:before="0" w:line="240" w:lineRule="auto"/>
              <w:rPr>
                <w:rFonts w:hint="eastAsia" w:ascii="黑体" w:hAnsi="黑体" w:eastAsia="黑体" w:cs="黑体"/>
                <w:color w:val="auto"/>
                <w:sz w:val="21"/>
                <w:szCs w:val="21"/>
                <w:highlight w:val="none"/>
              </w:rPr>
            </w:pPr>
            <w:r>
              <w:rPr>
                <w:rFonts w:ascii="Times New Roman" w:hAnsi="Times New Roman" w:eastAsia="宋体"/>
                <w:color w:val="auto"/>
                <w:sz w:val="21"/>
                <w:szCs w:val="21"/>
                <w:highlight w:val="none"/>
              </w:rPr>
              <w:t>表</w:t>
            </w:r>
            <w:r>
              <w:rPr>
                <w:rFonts w:hint="eastAsia" w:ascii="黑体" w:hAnsi="黑体" w:eastAsia="黑体" w:cs="黑体"/>
                <w:color w:val="auto"/>
                <w:sz w:val="21"/>
                <w:szCs w:val="21"/>
                <w:highlight w:val="none"/>
              </w:rPr>
              <w:t>5-1</w:t>
            </w:r>
            <w:r>
              <w:rPr>
                <w:rFonts w:ascii="Times New Roman" w:hAnsi="Times New Roman" w:eastAsia="宋体"/>
                <w:color w:val="auto"/>
                <w:sz w:val="21"/>
                <w:szCs w:val="21"/>
                <w:highlight w:val="none"/>
              </w:rPr>
              <w:t xml:space="preserve">  </w:t>
            </w:r>
            <w:r>
              <w:rPr>
                <w:rFonts w:hint="eastAsia" w:ascii="黑体" w:hAnsi="黑体" w:eastAsia="黑体" w:cs="黑体"/>
                <w:color w:val="auto"/>
                <w:sz w:val="21"/>
                <w:szCs w:val="21"/>
                <w:highlight w:val="none"/>
              </w:rPr>
              <w:t>建筑工地扬尘控制措施及达标要求</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93"/>
              <w:gridCol w:w="1161"/>
              <w:gridCol w:w="7105"/>
            </w:tblGrid>
            <w:tr w14:paraId="000C13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87" w:type="pct"/>
                </w:tcPr>
                <w:p w14:paraId="089CD942">
                  <w:pPr>
                    <w:pStyle w:val="22"/>
                    <w:spacing w:before="24" w:after="24"/>
                    <w:rPr>
                      <w:rFonts w:ascii="Times New Roman"/>
                      <w:color w:val="auto"/>
                      <w:sz w:val="21"/>
                      <w:highlight w:val="none"/>
                    </w:rPr>
                  </w:pPr>
                  <w:r>
                    <w:rPr>
                      <w:rFonts w:ascii="Times New Roman"/>
                      <w:color w:val="auto"/>
                      <w:sz w:val="21"/>
                      <w:highlight w:val="none"/>
                    </w:rPr>
                    <w:t>序号</w:t>
                  </w:r>
                </w:p>
              </w:tc>
              <w:tc>
                <w:tcPr>
                  <w:tcW w:w="648" w:type="pct"/>
                </w:tcPr>
                <w:p w14:paraId="044768C9">
                  <w:pPr>
                    <w:pStyle w:val="22"/>
                    <w:spacing w:before="24" w:after="24"/>
                    <w:rPr>
                      <w:rFonts w:ascii="Times New Roman"/>
                      <w:color w:val="auto"/>
                      <w:sz w:val="21"/>
                      <w:highlight w:val="none"/>
                    </w:rPr>
                  </w:pPr>
                  <w:r>
                    <w:rPr>
                      <w:rFonts w:ascii="Times New Roman"/>
                      <w:color w:val="auto"/>
                      <w:sz w:val="21"/>
                      <w:highlight w:val="none"/>
                    </w:rPr>
                    <w:t>控制措施</w:t>
                  </w:r>
                </w:p>
              </w:tc>
              <w:tc>
                <w:tcPr>
                  <w:tcW w:w="3965" w:type="pct"/>
                </w:tcPr>
                <w:p w14:paraId="428B9626">
                  <w:pPr>
                    <w:pStyle w:val="22"/>
                    <w:spacing w:before="24" w:after="24"/>
                    <w:rPr>
                      <w:rFonts w:ascii="Times New Roman"/>
                      <w:color w:val="auto"/>
                      <w:sz w:val="21"/>
                      <w:highlight w:val="none"/>
                    </w:rPr>
                  </w:pPr>
                  <w:r>
                    <w:rPr>
                      <w:rFonts w:ascii="Times New Roman"/>
                      <w:color w:val="auto"/>
                      <w:sz w:val="21"/>
                      <w:highlight w:val="none"/>
                    </w:rPr>
                    <w:t>基本要求</w:t>
                  </w:r>
                </w:p>
              </w:tc>
            </w:tr>
            <w:tr w14:paraId="5A4140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87" w:type="pct"/>
                  <w:vMerge w:val="restart"/>
                  <w:vAlign w:val="center"/>
                </w:tcPr>
                <w:p w14:paraId="6A4D9FEE">
                  <w:pPr>
                    <w:pStyle w:val="22"/>
                    <w:spacing w:before="24" w:after="24"/>
                    <w:rPr>
                      <w:rFonts w:ascii="Times New Roman"/>
                      <w:color w:val="auto"/>
                      <w:sz w:val="21"/>
                      <w:highlight w:val="none"/>
                    </w:rPr>
                  </w:pPr>
                  <w:r>
                    <w:rPr>
                      <w:rFonts w:ascii="Times New Roman"/>
                      <w:color w:val="auto"/>
                      <w:sz w:val="21"/>
                      <w:highlight w:val="none"/>
                    </w:rPr>
                    <w:t>1</w:t>
                  </w:r>
                </w:p>
              </w:tc>
              <w:tc>
                <w:tcPr>
                  <w:tcW w:w="648" w:type="pct"/>
                  <w:vMerge w:val="restart"/>
                  <w:vAlign w:val="center"/>
                </w:tcPr>
                <w:p w14:paraId="3EFD4C52">
                  <w:pPr>
                    <w:pStyle w:val="22"/>
                    <w:spacing w:before="24" w:after="24"/>
                    <w:rPr>
                      <w:rFonts w:ascii="Times New Roman"/>
                      <w:color w:val="auto"/>
                      <w:sz w:val="21"/>
                      <w:highlight w:val="none"/>
                    </w:rPr>
                  </w:pPr>
                  <w:r>
                    <w:rPr>
                      <w:rFonts w:ascii="Times New Roman"/>
                      <w:color w:val="auto"/>
                      <w:sz w:val="21"/>
                      <w:highlight w:val="none"/>
                    </w:rPr>
                    <w:t>道路硬化与管理</w:t>
                  </w:r>
                </w:p>
              </w:tc>
              <w:tc>
                <w:tcPr>
                  <w:tcW w:w="3965" w:type="pct"/>
                  <w:vAlign w:val="center"/>
                </w:tcPr>
                <w:p w14:paraId="1665CB9F">
                  <w:pPr>
                    <w:pStyle w:val="22"/>
                    <w:spacing w:before="24" w:after="24"/>
                    <w:jc w:val="both"/>
                    <w:rPr>
                      <w:rFonts w:ascii="Times New Roman"/>
                      <w:color w:val="auto"/>
                      <w:sz w:val="21"/>
                      <w:highlight w:val="none"/>
                    </w:rPr>
                  </w:pPr>
                  <w:r>
                    <w:rPr>
                      <w:rFonts w:ascii="Times New Roman"/>
                      <w:color w:val="auto"/>
                      <w:sz w:val="21"/>
                      <w:highlight w:val="none"/>
                    </w:rPr>
                    <w:t>1.工地路面100%硬化。</w:t>
                  </w:r>
                </w:p>
              </w:tc>
            </w:tr>
            <w:tr w14:paraId="32A06A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87" w:type="pct"/>
                  <w:vMerge w:val="continue"/>
                  <w:vAlign w:val="center"/>
                </w:tcPr>
                <w:p w14:paraId="14530DCB">
                  <w:pPr>
                    <w:pStyle w:val="22"/>
                    <w:spacing w:before="24" w:after="24"/>
                    <w:rPr>
                      <w:rFonts w:ascii="Times New Roman"/>
                      <w:color w:val="auto"/>
                      <w:sz w:val="21"/>
                      <w:highlight w:val="none"/>
                    </w:rPr>
                  </w:pPr>
                </w:p>
              </w:tc>
              <w:tc>
                <w:tcPr>
                  <w:tcW w:w="648" w:type="pct"/>
                  <w:vMerge w:val="continue"/>
                  <w:vAlign w:val="center"/>
                </w:tcPr>
                <w:p w14:paraId="5144E230">
                  <w:pPr>
                    <w:pStyle w:val="22"/>
                    <w:spacing w:before="24" w:after="24"/>
                    <w:rPr>
                      <w:rFonts w:ascii="Times New Roman"/>
                      <w:color w:val="auto"/>
                      <w:sz w:val="21"/>
                      <w:highlight w:val="none"/>
                    </w:rPr>
                  </w:pPr>
                </w:p>
              </w:tc>
              <w:tc>
                <w:tcPr>
                  <w:tcW w:w="3965" w:type="pct"/>
                  <w:vAlign w:val="center"/>
                </w:tcPr>
                <w:p w14:paraId="5AA6232D">
                  <w:pPr>
                    <w:pStyle w:val="22"/>
                    <w:spacing w:before="24" w:after="24"/>
                    <w:jc w:val="both"/>
                    <w:rPr>
                      <w:rFonts w:ascii="Times New Roman"/>
                      <w:color w:val="auto"/>
                      <w:sz w:val="21"/>
                      <w:highlight w:val="none"/>
                    </w:rPr>
                  </w:pPr>
                  <w:r>
                    <w:rPr>
                      <w:rFonts w:ascii="Times New Roman"/>
                      <w:color w:val="auto"/>
                      <w:sz w:val="21"/>
                      <w:highlight w:val="none"/>
                    </w:rPr>
                    <w:t>2.任何时候车行道路上都不能有明显的尘土。</w:t>
                  </w:r>
                </w:p>
              </w:tc>
            </w:tr>
            <w:tr w14:paraId="3E9F4A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387" w:type="pct"/>
                  <w:vMerge w:val="continue"/>
                  <w:vAlign w:val="center"/>
                </w:tcPr>
                <w:p w14:paraId="4F12A7AE">
                  <w:pPr>
                    <w:pStyle w:val="22"/>
                    <w:spacing w:before="24" w:after="24"/>
                    <w:rPr>
                      <w:rFonts w:ascii="Times New Roman"/>
                      <w:color w:val="auto"/>
                      <w:sz w:val="21"/>
                      <w:highlight w:val="none"/>
                    </w:rPr>
                  </w:pPr>
                </w:p>
              </w:tc>
              <w:tc>
                <w:tcPr>
                  <w:tcW w:w="648" w:type="pct"/>
                  <w:vMerge w:val="continue"/>
                  <w:vAlign w:val="center"/>
                </w:tcPr>
                <w:p w14:paraId="19B7A850">
                  <w:pPr>
                    <w:pStyle w:val="22"/>
                    <w:spacing w:before="24" w:after="24"/>
                    <w:rPr>
                      <w:rFonts w:ascii="Times New Roman"/>
                      <w:color w:val="auto"/>
                      <w:sz w:val="21"/>
                      <w:highlight w:val="none"/>
                    </w:rPr>
                  </w:pPr>
                </w:p>
              </w:tc>
              <w:tc>
                <w:tcPr>
                  <w:tcW w:w="3965" w:type="pct"/>
                  <w:vAlign w:val="center"/>
                </w:tcPr>
                <w:p w14:paraId="35C0C055">
                  <w:pPr>
                    <w:pStyle w:val="22"/>
                    <w:spacing w:before="24" w:after="24"/>
                    <w:jc w:val="both"/>
                    <w:rPr>
                      <w:rFonts w:ascii="Times New Roman"/>
                      <w:color w:val="auto"/>
                      <w:sz w:val="21"/>
                      <w:highlight w:val="none"/>
                    </w:rPr>
                  </w:pPr>
                  <w:r>
                    <w:rPr>
                      <w:rFonts w:ascii="Times New Roman"/>
                      <w:color w:val="auto"/>
                      <w:sz w:val="21"/>
                      <w:highlight w:val="none"/>
                    </w:rPr>
                    <w:t>3.道路清扫时必须采取洒水措施。</w:t>
                  </w:r>
                </w:p>
              </w:tc>
            </w:tr>
            <w:tr w14:paraId="09A353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87" w:type="pct"/>
                  <w:vMerge w:val="restart"/>
                  <w:vAlign w:val="center"/>
                </w:tcPr>
                <w:p w14:paraId="7FF457DA">
                  <w:pPr>
                    <w:pStyle w:val="22"/>
                    <w:spacing w:before="24" w:after="24"/>
                    <w:rPr>
                      <w:rFonts w:ascii="Times New Roman"/>
                      <w:color w:val="auto"/>
                      <w:sz w:val="21"/>
                      <w:highlight w:val="none"/>
                    </w:rPr>
                  </w:pPr>
                  <w:r>
                    <w:rPr>
                      <w:rFonts w:ascii="Times New Roman"/>
                      <w:color w:val="auto"/>
                      <w:sz w:val="21"/>
                      <w:highlight w:val="none"/>
                    </w:rPr>
                    <w:t>2</w:t>
                  </w:r>
                </w:p>
              </w:tc>
              <w:tc>
                <w:tcPr>
                  <w:tcW w:w="648" w:type="pct"/>
                  <w:vMerge w:val="restart"/>
                  <w:vAlign w:val="center"/>
                </w:tcPr>
                <w:p w14:paraId="5BDB3B62">
                  <w:pPr>
                    <w:pStyle w:val="22"/>
                    <w:spacing w:before="24" w:after="24"/>
                    <w:rPr>
                      <w:rFonts w:ascii="Times New Roman"/>
                      <w:color w:val="auto"/>
                      <w:sz w:val="21"/>
                      <w:highlight w:val="none"/>
                    </w:rPr>
                  </w:pPr>
                  <w:r>
                    <w:rPr>
                      <w:rFonts w:ascii="Times New Roman"/>
                      <w:color w:val="auto"/>
                      <w:sz w:val="21"/>
                      <w:highlight w:val="none"/>
                    </w:rPr>
                    <w:t>边界围挡</w:t>
                  </w:r>
                </w:p>
              </w:tc>
              <w:tc>
                <w:tcPr>
                  <w:tcW w:w="3965" w:type="pct"/>
                  <w:vAlign w:val="center"/>
                </w:tcPr>
                <w:p w14:paraId="0481FBBE">
                  <w:pPr>
                    <w:pStyle w:val="22"/>
                    <w:spacing w:before="24" w:after="24"/>
                    <w:jc w:val="both"/>
                    <w:rPr>
                      <w:rFonts w:ascii="Times New Roman"/>
                      <w:color w:val="auto"/>
                      <w:sz w:val="21"/>
                      <w:highlight w:val="none"/>
                    </w:rPr>
                  </w:pPr>
                  <w:r>
                    <w:rPr>
                      <w:rFonts w:ascii="Times New Roman"/>
                      <w:color w:val="auto"/>
                      <w:sz w:val="21"/>
                      <w:highlight w:val="none"/>
                    </w:rPr>
                    <w:t>1、围挡高度不低于2m，围挡下方设置不低于20cm高的防溢座以防止粉尘流失；</w:t>
                  </w:r>
                </w:p>
              </w:tc>
            </w:tr>
            <w:tr w14:paraId="7B8371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87" w:type="pct"/>
                  <w:vMerge w:val="continue"/>
                  <w:vAlign w:val="center"/>
                </w:tcPr>
                <w:p w14:paraId="59B53DC9">
                  <w:pPr>
                    <w:pStyle w:val="22"/>
                    <w:spacing w:before="24" w:after="24"/>
                    <w:rPr>
                      <w:rFonts w:ascii="Times New Roman"/>
                      <w:color w:val="auto"/>
                      <w:sz w:val="21"/>
                      <w:highlight w:val="none"/>
                    </w:rPr>
                  </w:pPr>
                </w:p>
              </w:tc>
              <w:tc>
                <w:tcPr>
                  <w:tcW w:w="648" w:type="pct"/>
                  <w:vMerge w:val="continue"/>
                  <w:vAlign w:val="center"/>
                </w:tcPr>
                <w:p w14:paraId="191026BB">
                  <w:pPr>
                    <w:pStyle w:val="22"/>
                    <w:spacing w:before="24" w:after="24"/>
                    <w:rPr>
                      <w:rFonts w:ascii="Times New Roman"/>
                      <w:color w:val="auto"/>
                      <w:sz w:val="21"/>
                      <w:highlight w:val="none"/>
                    </w:rPr>
                  </w:pPr>
                </w:p>
              </w:tc>
              <w:tc>
                <w:tcPr>
                  <w:tcW w:w="3965" w:type="pct"/>
                  <w:vAlign w:val="center"/>
                </w:tcPr>
                <w:p w14:paraId="1BAA9E31">
                  <w:pPr>
                    <w:pStyle w:val="22"/>
                    <w:spacing w:before="24" w:after="24"/>
                    <w:jc w:val="both"/>
                    <w:rPr>
                      <w:rFonts w:ascii="Times New Roman"/>
                      <w:color w:val="auto"/>
                      <w:sz w:val="21"/>
                      <w:highlight w:val="none"/>
                    </w:rPr>
                  </w:pPr>
                  <w:r>
                    <w:rPr>
                      <w:rFonts w:ascii="Times New Roman"/>
                      <w:color w:val="auto"/>
                      <w:sz w:val="21"/>
                      <w:highlight w:val="none"/>
                    </w:rPr>
                    <w:t>2、围挡必须是由金属、混凝土、塑料等硬质材料制作；拆迁工程在建筑拆除期间，应在建筑结构外侧设置防尘布。</w:t>
                  </w:r>
                </w:p>
              </w:tc>
            </w:tr>
            <w:tr w14:paraId="4FC32A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87" w:type="pct"/>
                  <w:vMerge w:val="continue"/>
                  <w:vAlign w:val="center"/>
                </w:tcPr>
                <w:p w14:paraId="7CA62213">
                  <w:pPr>
                    <w:pStyle w:val="22"/>
                    <w:spacing w:before="24" w:after="24"/>
                    <w:rPr>
                      <w:rFonts w:ascii="Times New Roman"/>
                      <w:color w:val="auto"/>
                      <w:sz w:val="21"/>
                      <w:highlight w:val="none"/>
                    </w:rPr>
                  </w:pPr>
                </w:p>
              </w:tc>
              <w:tc>
                <w:tcPr>
                  <w:tcW w:w="648" w:type="pct"/>
                  <w:vMerge w:val="continue"/>
                  <w:vAlign w:val="center"/>
                </w:tcPr>
                <w:p w14:paraId="0C76265F">
                  <w:pPr>
                    <w:pStyle w:val="22"/>
                    <w:spacing w:before="24" w:after="24"/>
                    <w:rPr>
                      <w:rFonts w:ascii="Times New Roman"/>
                      <w:color w:val="auto"/>
                      <w:sz w:val="21"/>
                      <w:highlight w:val="none"/>
                    </w:rPr>
                  </w:pPr>
                </w:p>
              </w:tc>
              <w:tc>
                <w:tcPr>
                  <w:tcW w:w="3965" w:type="pct"/>
                  <w:vAlign w:val="center"/>
                </w:tcPr>
                <w:p w14:paraId="2BAABA8B">
                  <w:pPr>
                    <w:pStyle w:val="22"/>
                    <w:spacing w:before="24" w:after="24"/>
                    <w:jc w:val="both"/>
                    <w:rPr>
                      <w:rFonts w:ascii="Times New Roman"/>
                      <w:color w:val="auto"/>
                      <w:sz w:val="21"/>
                      <w:highlight w:val="none"/>
                    </w:rPr>
                  </w:pPr>
                  <w:r>
                    <w:rPr>
                      <w:rFonts w:ascii="Times New Roman"/>
                      <w:color w:val="auto"/>
                      <w:sz w:val="21"/>
                      <w:highlight w:val="none"/>
                    </w:rPr>
                    <w:t>3、任意两块围挡以及围挡与防溢座的拼接处都不能有大于0.5cm的缝隙，围挡不得有明显破损的漏洞。</w:t>
                  </w:r>
                </w:p>
              </w:tc>
            </w:tr>
            <w:tr w14:paraId="0A899E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387" w:type="pct"/>
                  <w:vMerge w:val="restart"/>
                  <w:vAlign w:val="center"/>
                </w:tcPr>
                <w:p w14:paraId="0D437A8D">
                  <w:pPr>
                    <w:pStyle w:val="22"/>
                    <w:spacing w:before="24" w:after="24"/>
                    <w:rPr>
                      <w:rFonts w:ascii="Times New Roman"/>
                      <w:color w:val="auto"/>
                      <w:sz w:val="21"/>
                      <w:highlight w:val="none"/>
                    </w:rPr>
                  </w:pPr>
                  <w:r>
                    <w:rPr>
                      <w:rFonts w:ascii="Times New Roman"/>
                      <w:color w:val="auto"/>
                      <w:sz w:val="21"/>
                      <w:highlight w:val="none"/>
                    </w:rPr>
                    <w:t>3</w:t>
                  </w:r>
                </w:p>
              </w:tc>
              <w:tc>
                <w:tcPr>
                  <w:tcW w:w="648" w:type="pct"/>
                  <w:vMerge w:val="restart"/>
                  <w:vAlign w:val="center"/>
                </w:tcPr>
                <w:p w14:paraId="70C13036">
                  <w:pPr>
                    <w:pStyle w:val="22"/>
                    <w:spacing w:before="24" w:after="24"/>
                    <w:rPr>
                      <w:rFonts w:ascii="Times New Roman"/>
                      <w:color w:val="auto"/>
                      <w:sz w:val="21"/>
                      <w:highlight w:val="none"/>
                    </w:rPr>
                  </w:pPr>
                  <w:r>
                    <w:rPr>
                      <w:rFonts w:ascii="Times New Roman"/>
                      <w:color w:val="auto"/>
                      <w:sz w:val="21"/>
                      <w:highlight w:val="none"/>
                    </w:rPr>
                    <w:t>裸露地（含土方）覆盖</w:t>
                  </w:r>
                </w:p>
              </w:tc>
              <w:tc>
                <w:tcPr>
                  <w:tcW w:w="3965" w:type="pct"/>
                  <w:vAlign w:val="center"/>
                </w:tcPr>
                <w:p w14:paraId="3E638246">
                  <w:pPr>
                    <w:pStyle w:val="22"/>
                    <w:spacing w:before="24" w:after="24"/>
                    <w:jc w:val="both"/>
                    <w:rPr>
                      <w:rFonts w:ascii="Times New Roman"/>
                      <w:color w:val="auto"/>
                      <w:sz w:val="21"/>
                      <w:highlight w:val="none"/>
                    </w:rPr>
                  </w:pPr>
                  <w:r>
                    <w:rPr>
                      <w:rFonts w:ascii="Times New Roman"/>
                      <w:color w:val="auto"/>
                      <w:sz w:val="21"/>
                      <w:highlight w:val="none"/>
                    </w:rPr>
                    <w:t>1、每一块独立裸露地面80%以上的面积都应采取覆盖措施；</w:t>
                  </w:r>
                </w:p>
              </w:tc>
            </w:tr>
            <w:tr w14:paraId="730C6A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87" w:type="pct"/>
                  <w:vMerge w:val="continue"/>
                  <w:vAlign w:val="center"/>
                </w:tcPr>
                <w:p w14:paraId="5C967EB8">
                  <w:pPr>
                    <w:pStyle w:val="22"/>
                    <w:spacing w:before="24" w:after="24"/>
                    <w:rPr>
                      <w:rFonts w:ascii="Times New Roman"/>
                      <w:color w:val="auto"/>
                      <w:sz w:val="21"/>
                      <w:highlight w:val="none"/>
                    </w:rPr>
                  </w:pPr>
                </w:p>
              </w:tc>
              <w:tc>
                <w:tcPr>
                  <w:tcW w:w="648" w:type="pct"/>
                  <w:vMerge w:val="continue"/>
                </w:tcPr>
                <w:p w14:paraId="14882D97">
                  <w:pPr>
                    <w:pStyle w:val="22"/>
                    <w:spacing w:before="24" w:after="24"/>
                    <w:rPr>
                      <w:rFonts w:ascii="Times New Roman"/>
                      <w:color w:val="auto"/>
                      <w:sz w:val="21"/>
                      <w:highlight w:val="none"/>
                    </w:rPr>
                  </w:pPr>
                </w:p>
              </w:tc>
              <w:tc>
                <w:tcPr>
                  <w:tcW w:w="3965" w:type="pct"/>
                  <w:vAlign w:val="center"/>
                </w:tcPr>
                <w:p w14:paraId="4749BE0A">
                  <w:pPr>
                    <w:pStyle w:val="22"/>
                    <w:spacing w:before="24" w:after="24"/>
                    <w:jc w:val="both"/>
                    <w:rPr>
                      <w:rFonts w:ascii="Times New Roman"/>
                      <w:color w:val="auto"/>
                      <w:sz w:val="21"/>
                      <w:highlight w:val="none"/>
                    </w:rPr>
                  </w:pPr>
                  <w:r>
                    <w:rPr>
                      <w:rFonts w:ascii="Times New Roman"/>
                      <w:color w:val="auto"/>
                      <w:sz w:val="21"/>
                      <w:highlight w:val="none"/>
                    </w:rPr>
                    <w:t>2、覆盖措施的完好率必须在90%以上；</w:t>
                  </w:r>
                </w:p>
              </w:tc>
            </w:tr>
            <w:tr w14:paraId="6DB620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87" w:type="pct"/>
                  <w:vMerge w:val="continue"/>
                  <w:vAlign w:val="center"/>
                </w:tcPr>
                <w:p w14:paraId="3E66A33B">
                  <w:pPr>
                    <w:pStyle w:val="22"/>
                    <w:spacing w:before="24" w:after="24"/>
                    <w:rPr>
                      <w:rFonts w:ascii="Times New Roman"/>
                      <w:color w:val="auto"/>
                      <w:sz w:val="21"/>
                      <w:highlight w:val="none"/>
                    </w:rPr>
                  </w:pPr>
                </w:p>
              </w:tc>
              <w:tc>
                <w:tcPr>
                  <w:tcW w:w="648" w:type="pct"/>
                  <w:vMerge w:val="continue"/>
                </w:tcPr>
                <w:p w14:paraId="0290E37B">
                  <w:pPr>
                    <w:pStyle w:val="22"/>
                    <w:spacing w:before="24" w:after="24"/>
                    <w:rPr>
                      <w:rFonts w:ascii="Times New Roman"/>
                      <w:color w:val="auto"/>
                      <w:sz w:val="21"/>
                      <w:highlight w:val="none"/>
                    </w:rPr>
                  </w:pPr>
                </w:p>
              </w:tc>
              <w:tc>
                <w:tcPr>
                  <w:tcW w:w="3965" w:type="pct"/>
                  <w:vAlign w:val="center"/>
                </w:tcPr>
                <w:p w14:paraId="0B739F62">
                  <w:pPr>
                    <w:pStyle w:val="22"/>
                    <w:spacing w:before="24" w:after="24"/>
                    <w:jc w:val="both"/>
                    <w:rPr>
                      <w:rFonts w:ascii="Times New Roman"/>
                      <w:color w:val="auto"/>
                      <w:sz w:val="21"/>
                      <w:highlight w:val="none"/>
                    </w:rPr>
                  </w:pPr>
                  <w:r>
                    <w:rPr>
                      <w:rFonts w:ascii="Times New Roman"/>
                      <w:color w:val="auto"/>
                      <w:sz w:val="21"/>
                      <w:highlight w:val="none"/>
                    </w:rPr>
                    <w:t>3、覆盖措施包括：钢板、防尘网（布）、绿化、化学抑尘剂，或达到同等效率的覆盖措施。</w:t>
                  </w:r>
                </w:p>
              </w:tc>
            </w:tr>
            <w:tr w14:paraId="40EA13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87" w:type="pct"/>
                  <w:vMerge w:val="restart"/>
                  <w:vAlign w:val="center"/>
                </w:tcPr>
                <w:p w14:paraId="7F167EFB">
                  <w:pPr>
                    <w:pStyle w:val="22"/>
                    <w:spacing w:before="24" w:after="24"/>
                    <w:rPr>
                      <w:rFonts w:ascii="Times New Roman"/>
                      <w:color w:val="auto"/>
                      <w:sz w:val="21"/>
                      <w:highlight w:val="none"/>
                    </w:rPr>
                  </w:pPr>
                  <w:r>
                    <w:rPr>
                      <w:rFonts w:ascii="Times New Roman"/>
                      <w:color w:val="auto"/>
                      <w:sz w:val="21"/>
                      <w:highlight w:val="none"/>
                    </w:rPr>
                    <w:t>4</w:t>
                  </w:r>
                </w:p>
              </w:tc>
              <w:tc>
                <w:tcPr>
                  <w:tcW w:w="648" w:type="pct"/>
                  <w:vMerge w:val="restart"/>
                  <w:vAlign w:val="center"/>
                </w:tcPr>
                <w:p w14:paraId="1D125E98">
                  <w:pPr>
                    <w:pStyle w:val="22"/>
                    <w:spacing w:before="24" w:after="24"/>
                    <w:rPr>
                      <w:rFonts w:ascii="Times New Roman"/>
                      <w:color w:val="auto"/>
                      <w:sz w:val="21"/>
                      <w:highlight w:val="none"/>
                    </w:rPr>
                  </w:pPr>
                  <w:r>
                    <w:rPr>
                      <w:rFonts w:ascii="Times New Roman"/>
                      <w:color w:val="auto"/>
                      <w:sz w:val="21"/>
                      <w:highlight w:val="none"/>
                    </w:rPr>
                    <w:t>易扬尘物料覆盖</w:t>
                  </w:r>
                </w:p>
              </w:tc>
              <w:tc>
                <w:tcPr>
                  <w:tcW w:w="3965" w:type="pct"/>
                  <w:vAlign w:val="center"/>
                </w:tcPr>
                <w:p w14:paraId="64C3A6FD">
                  <w:pPr>
                    <w:pStyle w:val="22"/>
                    <w:spacing w:before="24" w:after="24"/>
                    <w:jc w:val="both"/>
                    <w:rPr>
                      <w:rFonts w:ascii="Times New Roman"/>
                      <w:color w:val="auto"/>
                      <w:sz w:val="21"/>
                      <w:highlight w:val="none"/>
                    </w:rPr>
                  </w:pPr>
                  <w:r>
                    <w:rPr>
                      <w:rFonts w:ascii="Times New Roman"/>
                      <w:color w:val="auto"/>
                      <w:sz w:val="21"/>
                      <w:highlight w:val="none"/>
                    </w:rPr>
                    <w:t>1、所有砂石、灰土、灰浆等易扬尘物料都必须以不透水的隔尘布完全覆盖或放置在顶部和四周均有遮蔽的范围内；</w:t>
                  </w:r>
                </w:p>
              </w:tc>
            </w:tr>
            <w:tr w14:paraId="7D0465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387" w:type="pct"/>
                  <w:vMerge w:val="continue"/>
                  <w:vAlign w:val="center"/>
                </w:tcPr>
                <w:p w14:paraId="6EF9E172">
                  <w:pPr>
                    <w:pStyle w:val="22"/>
                    <w:spacing w:before="24" w:after="24"/>
                    <w:rPr>
                      <w:rFonts w:ascii="Times New Roman"/>
                      <w:color w:val="auto"/>
                      <w:sz w:val="21"/>
                      <w:highlight w:val="none"/>
                    </w:rPr>
                  </w:pPr>
                </w:p>
              </w:tc>
              <w:tc>
                <w:tcPr>
                  <w:tcW w:w="648" w:type="pct"/>
                  <w:vMerge w:val="continue"/>
                  <w:vAlign w:val="center"/>
                </w:tcPr>
                <w:p w14:paraId="034AC01D">
                  <w:pPr>
                    <w:pStyle w:val="22"/>
                    <w:spacing w:before="24" w:after="24"/>
                    <w:rPr>
                      <w:rFonts w:ascii="Times New Roman"/>
                      <w:color w:val="auto"/>
                      <w:sz w:val="21"/>
                      <w:highlight w:val="none"/>
                    </w:rPr>
                  </w:pPr>
                </w:p>
              </w:tc>
              <w:tc>
                <w:tcPr>
                  <w:tcW w:w="3965" w:type="pct"/>
                  <w:vAlign w:val="center"/>
                </w:tcPr>
                <w:p w14:paraId="65B8C903">
                  <w:pPr>
                    <w:pStyle w:val="22"/>
                    <w:spacing w:before="24" w:after="24"/>
                    <w:jc w:val="both"/>
                    <w:rPr>
                      <w:rFonts w:ascii="Times New Roman"/>
                      <w:color w:val="auto"/>
                      <w:sz w:val="21"/>
                      <w:highlight w:val="none"/>
                    </w:rPr>
                  </w:pPr>
                  <w:r>
                    <w:rPr>
                      <w:rFonts w:ascii="Times New Roman"/>
                      <w:color w:val="auto"/>
                      <w:sz w:val="21"/>
                      <w:highlight w:val="none"/>
                    </w:rPr>
                    <w:t>2、防尘布或遮蔽装置的完好率必须大于95%；</w:t>
                  </w:r>
                </w:p>
              </w:tc>
            </w:tr>
            <w:tr w14:paraId="50D6C1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87" w:type="pct"/>
                  <w:vMerge w:val="continue"/>
                  <w:vAlign w:val="center"/>
                </w:tcPr>
                <w:p w14:paraId="2CC77D9B">
                  <w:pPr>
                    <w:pStyle w:val="22"/>
                    <w:spacing w:before="24" w:after="24"/>
                    <w:rPr>
                      <w:rFonts w:ascii="Times New Roman"/>
                      <w:color w:val="auto"/>
                      <w:sz w:val="21"/>
                      <w:highlight w:val="none"/>
                    </w:rPr>
                  </w:pPr>
                </w:p>
              </w:tc>
              <w:tc>
                <w:tcPr>
                  <w:tcW w:w="648" w:type="pct"/>
                  <w:vMerge w:val="continue"/>
                  <w:vAlign w:val="center"/>
                </w:tcPr>
                <w:p w14:paraId="7C2A7FD7">
                  <w:pPr>
                    <w:pStyle w:val="22"/>
                    <w:spacing w:before="24" w:after="24"/>
                    <w:rPr>
                      <w:rFonts w:ascii="Times New Roman"/>
                      <w:color w:val="auto"/>
                      <w:sz w:val="21"/>
                      <w:highlight w:val="none"/>
                    </w:rPr>
                  </w:pPr>
                </w:p>
              </w:tc>
              <w:tc>
                <w:tcPr>
                  <w:tcW w:w="3965" w:type="pct"/>
                  <w:vAlign w:val="center"/>
                </w:tcPr>
                <w:p w14:paraId="057767D3">
                  <w:pPr>
                    <w:pStyle w:val="22"/>
                    <w:spacing w:before="24" w:after="24"/>
                    <w:jc w:val="both"/>
                    <w:rPr>
                      <w:rFonts w:ascii="Times New Roman"/>
                      <w:color w:val="auto"/>
                      <w:sz w:val="21"/>
                      <w:highlight w:val="none"/>
                    </w:rPr>
                  </w:pPr>
                  <w:r>
                    <w:rPr>
                      <w:rFonts w:ascii="Times New Roman"/>
                      <w:color w:val="auto"/>
                      <w:sz w:val="21"/>
                      <w:highlight w:val="none"/>
                    </w:rPr>
                    <w:t>3、小批量且在8小时之内投入使用的物料除外。</w:t>
                  </w:r>
                </w:p>
              </w:tc>
            </w:tr>
            <w:tr w14:paraId="7A92D5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87" w:type="pct"/>
                  <w:vAlign w:val="center"/>
                </w:tcPr>
                <w:p w14:paraId="59DA6462">
                  <w:pPr>
                    <w:pStyle w:val="22"/>
                    <w:spacing w:before="24" w:after="24"/>
                    <w:rPr>
                      <w:rFonts w:ascii="Times New Roman"/>
                      <w:color w:val="auto"/>
                      <w:sz w:val="21"/>
                      <w:highlight w:val="none"/>
                    </w:rPr>
                  </w:pPr>
                  <w:r>
                    <w:rPr>
                      <w:rFonts w:ascii="Times New Roman"/>
                      <w:color w:val="auto"/>
                      <w:sz w:val="21"/>
                      <w:highlight w:val="none"/>
                    </w:rPr>
                    <w:t>5</w:t>
                  </w:r>
                </w:p>
              </w:tc>
              <w:tc>
                <w:tcPr>
                  <w:tcW w:w="648" w:type="pct"/>
                  <w:vAlign w:val="center"/>
                </w:tcPr>
                <w:p w14:paraId="2A49E1CA">
                  <w:pPr>
                    <w:pStyle w:val="22"/>
                    <w:spacing w:before="24" w:after="24"/>
                    <w:rPr>
                      <w:rFonts w:ascii="Times New Roman"/>
                      <w:color w:val="auto"/>
                      <w:sz w:val="21"/>
                      <w:highlight w:val="none"/>
                    </w:rPr>
                  </w:pPr>
                  <w:r>
                    <w:rPr>
                      <w:rFonts w:ascii="Times New Roman"/>
                      <w:color w:val="auto"/>
                      <w:sz w:val="21"/>
                      <w:highlight w:val="none"/>
                    </w:rPr>
                    <w:t>持续洒水降尘措施</w:t>
                  </w:r>
                </w:p>
              </w:tc>
              <w:tc>
                <w:tcPr>
                  <w:tcW w:w="3965" w:type="pct"/>
                  <w:vAlign w:val="center"/>
                </w:tcPr>
                <w:p w14:paraId="6F67C238">
                  <w:pPr>
                    <w:pStyle w:val="22"/>
                    <w:spacing w:before="24" w:after="24"/>
                    <w:jc w:val="both"/>
                    <w:rPr>
                      <w:rFonts w:ascii="Times New Roman"/>
                      <w:color w:val="auto"/>
                      <w:sz w:val="21"/>
                      <w:highlight w:val="none"/>
                    </w:rPr>
                  </w:pPr>
                  <w:r>
                    <w:rPr>
                      <w:rFonts w:ascii="Times New Roman"/>
                      <w:color w:val="auto"/>
                      <w:sz w:val="21"/>
                      <w:highlight w:val="none"/>
                    </w:rPr>
                    <w:t>施工现场定期喷洒，保证地面湿润，不起尘；拆迁现场应当有专人负责保洁工作，配备洒水设备，定期洒水清扫。</w:t>
                  </w:r>
                </w:p>
              </w:tc>
            </w:tr>
            <w:tr w14:paraId="6895F5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87" w:type="pct"/>
                  <w:vMerge w:val="restart"/>
                  <w:vAlign w:val="center"/>
                </w:tcPr>
                <w:p w14:paraId="6E0C02A4">
                  <w:pPr>
                    <w:pStyle w:val="22"/>
                    <w:spacing w:before="24" w:after="24"/>
                    <w:rPr>
                      <w:rFonts w:ascii="Times New Roman"/>
                      <w:color w:val="auto"/>
                      <w:sz w:val="21"/>
                      <w:highlight w:val="none"/>
                    </w:rPr>
                  </w:pPr>
                  <w:r>
                    <w:rPr>
                      <w:rFonts w:ascii="Times New Roman"/>
                      <w:color w:val="auto"/>
                      <w:sz w:val="21"/>
                      <w:highlight w:val="none"/>
                    </w:rPr>
                    <w:t>6</w:t>
                  </w:r>
                </w:p>
              </w:tc>
              <w:tc>
                <w:tcPr>
                  <w:tcW w:w="648" w:type="pct"/>
                  <w:vMerge w:val="restart"/>
                  <w:vAlign w:val="center"/>
                </w:tcPr>
                <w:p w14:paraId="5DCE3A4C">
                  <w:pPr>
                    <w:pStyle w:val="22"/>
                    <w:spacing w:before="24" w:after="24"/>
                    <w:rPr>
                      <w:rFonts w:ascii="Times New Roman"/>
                      <w:color w:val="auto"/>
                      <w:sz w:val="21"/>
                      <w:highlight w:val="none"/>
                    </w:rPr>
                  </w:pPr>
                  <w:r>
                    <w:rPr>
                      <w:rFonts w:ascii="Times New Roman"/>
                      <w:color w:val="auto"/>
                      <w:sz w:val="21"/>
                      <w:highlight w:val="none"/>
                    </w:rPr>
                    <w:t>运输车辆</w:t>
                  </w:r>
                </w:p>
                <w:p w14:paraId="4B9F6507">
                  <w:pPr>
                    <w:pStyle w:val="22"/>
                    <w:spacing w:before="24" w:after="24"/>
                    <w:rPr>
                      <w:rFonts w:ascii="Times New Roman"/>
                      <w:color w:val="auto"/>
                      <w:sz w:val="21"/>
                      <w:highlight w:val="none"/>
                    </w:rPr>
                  </w:pPr>
                  <w:r>
                    <w:rPr>
                      <w:rFonts w:ascii="Times New Roman"/>
                      <w:color w:val="auto"/>
                      <w:sz w:val="21"/>
                      <w:highlight w:val="none"/>
                    </w:rPr>
                    <w:t>冲洗装置</w:t>
                  </w:r>
                </w:p>
              </w:tc>
              <w:tc>
                <w:tcPr>
                  <w:tcW w:w="3965" w:type="pct"/>
                  <w:vAlign w:val="center"/>
                </w:tcPr>
                <w:p w14:paraId="3CF39B34">
                  <w:pPr>
                    <w:pStyle w:val="22"/>
                    <w:spacing w:before="24" w:after="24"/>
                    <w:jc w:val="both"/>
                    <w:rPr>
                      <w:rFonts w:ascii="Times New Roman"/>
                      <w:color w:val="auto"/>
                      <w:sz w:val="21"/>
                      <w:highlight w:val="none"/>
                    </w:rPr>
                  </w:pPr>
                  <w:r>
                    <w:rPr>
                      <w:rFonts w:ascii="Times New Roman"/>
                      <w:color w:val="auto"/>
                      <w:sz w:val="21"/>
                      <w:highlight w:val="none"/>
                    </w:rPr>
                    <w:t xml:space="preserve">1、运输车辆驶出工地前，应对车轮、车身、车槽帮等部门进行清理或清洗以保证车辆清洁上路； </w:t>
                  </w:r>
                </w:p>
              </w:tc>
            </w:tr>
            <w:tr w14:paraId="610666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387" w:type="pct"/>
                  <w:vMerge w:val="continue"/>
                </w:tcPr>
                <w:p w14:paraId="5BFEDB3E">
                  <w:pPr>
                    <w:pStyle w:val="22"/>
                    <w:spacing w:before="24" w:after="24"/>
                    <w:rPr>
                      <w:rFonts w:ascii="Times New Roman"/>
                      <w:color w:val="auto"/>
                      <w:sz w:val="21"/>
                      <w:highlight w:val="none"/>
                    </w:rPr>
                  </w:pPr>
                </w:p>
              </w:tc>
              <w:tc>
                <w:tcPr>
                  <w:tcW w:w="648" w:type="pct"/>
                  <w:vMerge w:val="continue"/>
                </w:tcPr>
                <w:p w14:paraId="5B2DBADB">
                  <w:pPr>
                    <w:pStyle w:val="22"/>
                    <w:spacing w:before="24" w:after="24"/>
                    <w:rPr>
                      <w:rFonts w:ascii="Times New Roman"/>
                      <w:color w:val="auto"/>
                      <w:sz w:val="21"/>
                      <w:highlight w:val="none"/>
                    </w:rPr>
                  </w:pPr>
                </w:p>
              </w:tc>
              <w:tc>
                <w:tcPr>
                  <w:tcW w:w="3965" w:type="pct"/>
                  <w:vAlign w:val="center"/>
                </w:tcPr>
                <w:p w14:paraId="04663B87">
                  <w:pPr>
                    <w:pStyle w:val="22"/>
                    <w:spacing w:before="24" w:after="24"/>
                    <w:jc w:val="both"/>
                    <w:rPr>
                      <w:rFonts w:ascii="Times New Roman"/>
                      <w:color w:val="auto"/>
                      <w:sz w:val="21"/>
                      <w:highlight w:val="none"/>
                    </w:rPr>
                  </w:pPr>
                  <w:r>
                    <w:rPr>
                      <w:rFonts w:ascii="Times New Roman"/>
                      <w:color w:val="auto"/>
                      <w:sz w:val="21"/>
                      <w:highlight w:val="none"/>
                    </w:rPr>
                    <w:t>2、洗车喷嘴静水压不低于0.5Mpa；</w:t>
                  </w:r>
                </w:p>
              </w:tc>
            </w:tr>
            <w:tr w14:paraId="14712B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87" w:type="pct"/>
                  <w:vMerge w:val="continue"/>
                </w:tcPr>
                <w:p w14:paraId="4DA8B8B1">
                  <w:pPr>
                    <w:pStyle w:val="22"/>
                    <w:spacing w:before="24" w:after="24"/>
                    <w:rPr>
                      <w:rFonts w:ascii="Times New Roman"/>
                      <w:color w:val="auto"/>
                      <w:sz w:val="21"/>
                      <w:highlight w:val="none"/>
                    </w:rPr>
                  </w:pPr>
                </w:p>
              </w:tc>
              <w:tc>
                <w:tcPr>
                  <w:tcW w:w="648" w:type="pct"/>
                  <w:vMerge w:val="continue"/>
                </w:tcPr>
                <w:p w14:paraId="5CC24986">
                  <w:pPr>
                    <w:pStyle w:val="22"/>
                    <w:spacing w:before="24" w:after="24"/>
                    <w:rPr>
                      <w:rFonts w:ascii="Times New Roman"/>
                      <w:color w:val="auto"/>
                      <w:sz w:val="21"/>
                      <w:highlight w:val="none"/>
                    </w:rPr>
                  </w:pPr>
                </w:p>
              </w:tc>
              <w:tc>
                <w:tcPr>
                  <w:tcW w:w="3965" w:type="pct"/>
                  <w:vAlign w:val="center"/>
                </w:tcPr>
                <w:p w14:paraId="248B70C0">
                  <w:pPr>
                    <w:pStyle w:val="22"/>
                    <w:spacing w:before="24" w:after="24"/>
                    <w:jc w:val="both"/>
                    <w:rPr>
                      <w:rFonts w:ascii="Times New Roman"/>
                      <w:color w:val="auto"/>
                      <w:sz w:val="21"/>
                      <w:highlight w:val="none"/>
                    </w:rPr>
                  </w:pPr>
                  <w:r>
                    <w:rPr>
                      <w:rFonts w:ascii="Times New Roman"/>
                      <w:color w:val="auto"/>
                      <w:sz w:val="21"/>
                      <w:highlight w:val="none"/>
                    </w:rPr>
                    <w:t>3、洗车污水经处理后重复使用，回用率不得低于90%，回用水水质良好，悬浮物浓度不应大于150mg/L；</w:t>
                  </w:r>
                </w:p>
              </w:tc>
            </w:tr>
            <w:tr w14:paraId="6DE9E7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87" w:type="pct"/>
                  <w:vMerge w:val="continue"/>
                </w:tcPr>
                <w:p w14:paraId="54A92358">
                  <w:pPr>
                    <w:pStyle w:val="22"/>
                    <w:spacing w:before="24" w:after="24"/>
                    <w:rPr>
                      <w:rFonts w:ascii="Times New Roman"/>
                      <w:color w:val="auto"/>
                      <w:sz w:val="21"/>
                      <w:highlight w:val="none"/>
                    </w:rPr>
                  </w:pPr>
                </w:p>
              </w:tc>
              <w:tc>
                <w:tcPr>
                  <w:tcW w:w="648" w:type="pct"/>
                  <w:vMerge w:val="continue"/>
                </w:tcPr>
                <w:p w14:paraId="77BDCDB1">
                  <w:pPr>
                    <w:pStyle w:val="22"/>
                    <w:spacing w:before="24" w:after="24"/>
                    <w:rPr>
                      <w:rFonts w:ascii="Times New Roman"/>
                      <w:color w:val="auto"/>
                      <w:sz w:val="21"/>
                      <w:highlight w:val="none"/>
                    </w:rPr>
                  </w:pPr>
                </w:p>
              </w:tc>
              <w:tc>
                <w:tcPr>
                  <w:tcW w:w="3965" w:type="pct"/>
                  <w:vAlign w:val="center"/>
                </w:tcPr>
                <w:p w14:paraId="478900A0">
                  <w:pPr>
                    <w:pStyle w:val="22"/>
                    <w:spacing w:before="24" w:after="24"/>
                    <w:jc w:val="both"/>
                    <w:rPr>
                      <w:rFonts w:ascii="Times New Roman"/>
                      <w:color w:val="auto"/>
                      <w:sz w:val="21"/>
                      <w:highlight w:val="none"/>
                    </w:rPr>
                  </w:pPr>
                  <w:r>
                    <w:rPr>
                      <w:rFonts w:ascii="Times New Roman"/>
                      <w:color w:val="auto"/>
                      <w:sz w:val="21"/>
                      <w:highlight w:val="none"/>
                    </w:rPr>
                    <w:t>4、施工场所车辆入口和出口30m以内部分的路面上不应有明显的泥印，以及砂石、灰土等易扬尘物料；</w:t>
                  </w:r>
                </w:p>
              </w:tc>
            </w:tr>
            <w:tr w14:paraId="454DA9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87" w:type="pct"/>
                  <w:vMerge w:val="continue"/>
                </w:tcPr>
                <w:p w14:paraId="416C5A43">
                  <w:pPr>
                    <w:pStyle w:val="22"/>
                    <w:spacing w:before="24" w:after="24"/>
                    <w:rPr>
                      <w:rFonts w:ascii="Times New Roman"/>
                      <w:color w:val="auto"/>
                      <w:sz w:val="21"/>
                      <w:highlight w:val="none"/>
                    </w:rPr>
                  </w:pPr>
                </w:p>
              </w:tc>
              <w:tc>
                <w:tcPr>
                  <w:tcW w:w="648" w:type="pct"/>
                  <w:vMerge w:val="continue"/>
                </w:tcPr>
                <w:p w14:paraId="74CF8817">
                  <w:pPr>
                    <w:pStyle w:val="22"/>
                    <w:spacing w:before="24" w:after="24"/>
                    <w:rPr>
                      <w:rFonts w:ascii="Times New Roman"/>
                      <w:color w:val="auto"/>
                      <w:sz w:val="21"/>
                      <w:highlight w:val="none"/>
                    </w:rPr>
                  </w:pPr>
                </w:p>
              </w:tc>
              <w:tc>
                <w:tcPr>
                  <w:tcW w:w="3965" w:type="pct"/>
                  <w:vAlign w:val="center"/>
                </w:tcPr>
                <w:p w14:paraId="58A4CCB2">
                  <w:pPr>
                    <w:pStyle w:val="22"/>
                    <w:spacing w:before="24" w:after="24"/>
                    <w:jc w:val="both"/>
                    <w:rPr>
                      <w:rFonts w:ascii="Times New Roman"/>
                      <w:color w:val="auto"/>
                      <w:sz w:val="21"/>
                      <w:highlight w:val="none"/>
                    </w:rPr>
                  </w:pPr>
                  <w:r>
                    <w:rPr>
                      <w:rFonts w:ascii="Times New Roman"/>
                      <w:color w:val="auto"/>
                      <w:sz w:val="21"/>
                      <w:highlight w:val="none"/>
                    </w:rPr>
                    <w:t>5、污水处理产生的污泥，应设有专门的处置系统；</w:t>
                  </w:r>
                </w:p>
              </w:tc>
            </w:tr>
            <w:tr w14:paraId="1608A4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387" w:type="pct"/>
                  <w:vMerge w:val="continue"/>
                </w:tcPr>
                <w:p w14:paraId="4F73F41F">
                  <w:pPr>
                    <w:pStyle w:val="22"/>
                    <w:spacing w:before="24" w:after="24"/>
                    <w:rPr>
                      <w:rFonts w:ascii="Times New Roman"/>
                      <w:color w:val="auto"/>
                      <w:sz w:val="21"/>
                      <w:highlight w:val="none"/>
                    </w:rPr>
                  </w:pPr>
                </w:p>
              </w:tc>
              <w:tc>
                <w:tcPr>
                  <w:tcW w:w="648" w:type="pct"/>
                  <w:vMerge w:val="continue"/>
                </w:tcPr>
                <w:p w14:paraId="2E6916AA">
                  <w:pPr>
                    <w:pStyle w:val="22"/>
                    <w:spacing w:before="24" w:after="24"/>
                    <w:rPr>
                      <w:rFonts w:ascii="Times New Roman"/>
                      <w:color w:val="auto"/>
                      <w:sz w:val="21"/>
                      <w:highlight w:val="none"/>
                    </w:rPr>
                  </w:pPr>
                </w:p>
              </w:tc>
              <w:tc>
                <w:tcPr>
                  <w:tcW w:w="3965" w:type="pct"/>
                  <w:vAlign w:val="center"/>
                </w:tcPr>
                <w:p w14:paraId="10974397">
                  <w:pPr>
                    <w:pStyle w:val="22"/>
                    <w:spacing w:before="24" w:after="24"/>
                    <w:jc w:val="both"/>
                    <w:rPr>
                      <w:rFonts w:hint="eastAsia" w:ascii="Times New Roman" w:eastAsia="宋体"/>
                      <w:color w:val="auto"/>
                      <w:sz w:val="21"/>
                      <w:highlight w:val="none"/>
                      <w:lang w:eastAsia="zh-CN"/>
                    </w:rPr>
                  </w:pPr>
                  <w:r>
                    <w:rPr>
                      <w:rFonts w:ascii="Times New Roman"/>
                      <w:color w:val="auto"/>
                      <w:sz w:val="21"/>
                      <w:highlight w:val="none"/>
                    </w:rPr>
                    <w:t>6、无法达到相关排放标准的洗车污水不得直接排入环境或市政下水系统</w:t>
                  </w:r>
                  <w:r>
                    <w:rPr>
                      <w:rFonts w:hint="eastAsia" w:ascii="Times New Roman"/>
                      <w:color w:val="auto"/>
                      <w:sz w:val="21"/>
                      <w:highlight w:val="none"/>
                      <w:lang w:eastAsia="zh-CN"/>
                    </w:rPr>
                    <w:t>。</w:t>
                  </w:r>
                </w:p>
              </w:tc>
            </w:tr>
          </w:tbl>
          <w:p w14:paraId="64993972">
            <w:pPr>
              <w:spacing w:line="480" w:lineRule="exact"/>
              <w:ind w:firstLine="520" w:firstLineChars="200"/>
              <w:rPr>
                <w:bCs/>
                <w:color w:val="auto"/>
                <w:spacing w:val="10"/>
                <w:sz w:val="24"/>
                <w:highlight w:val="none"/>
              </w:rPr>
            </w:pPr>
            <w:r>
              <w:rPr>
                <w:rFonts w:hint="eastAsia"/>
                <w:bCs/>
                <w:color w:val="auto"/>
                <w:spacing w:val="10"/>
                <w:sz w:val="24"/>
                <w:highlight w:val="none"/>
              </w:rPr>
              <w:t>（2）机动车和非道路移动机械</w:t>
            </w:r>
          </w:p>
          <w:p w14:paraId="653DC5AB">
            <w:pPr>
              <w:spacing w:line="480" w:lineRule="exact"/>
              <w:ind w:firstLine="520" w:firstLineChars="200"/>
              <w:rPr>
                <w:bCs/>
                <w:color w:val="auto"/>
                <w:spacing w:val="10"/>
                <w:sz w:val="24"/>
                <w:highlight w:val="none"/>
              </w:rPr>
            </w:pPr>
            <w:r>
              <w:rPr>
                <w:rFonts w:hint="eastAsia"/>
                <w:bCs/>
                <w:color w:val="auto"/>
                <w:spacing w:val="10"/>
                <w:sz w:val="24"/>
                <w:highlight w:val="none"/>
              </w:rPr>
              <w:t>本次环评提出以下机动车和非道路移动机械环保措施及管控要求。</w:t>
            </w:r>
          </w:p>
          <w:p w14:paraId="0DD5299C">
            <w:pPr>
              <w:spacing w:line="480" w:lineRule="exact"/>
              <w:ind w:firstLine="520" w:firstLineChars="200"/>
              <w:rPr>
                <w:bCs/>
                <w:color w:val="auto"/>
                <w:spacing w:val="10"/>
                <w:sz w:val="24"/>
                <w:highlight w:val="none"/>
              </w:rPr>
            </w:pPr>
            <w:r>
              <w:rPr>
                <w:rFonts w:hint="eastAsia"/>
                <w:bCs/>
                <w:color w:val="auto"/>
                <w:spacing w:val="10"/>
                <w:sz w:val="24"/>
                <w:highlight w:val="none"/>
              </w:rPr>
              <w:t>①在运输车辆的选择上，尽可能选择轻型汽油车、柴油车等新型燃料环保友好型车辆，并保证相关车辆通过机动车排放检验机构的定期检测。经检验合格的，方可上道路行驶。</w:t>
            </w:r>
          </w:p>
          <w:p w14:paraId="45A9FC25">
            <w:pPr>
              <w:spacing w:line="480" w:lineRule="exact"/>
              <w:ind w:firstLine="520" w:firstLineChars="200"/>
              <w:rPr>
                <w:bCs/>
                <w:color w:val="auto"/>
                <w:spacing w:val="10"/>
                <w:sz w:val="24"/>
                <w:highlight w:val="none"/>
              </w:rPr>
            </w:pPr>
            <w:r>
              <w:rPr>
                <w:rFonts w:hint="eastAsia"/>
                <w:bCs/>
                <w:color w:val="auto"/>
                <w:spacing w:val="10"/>
                <w:sz w:val="24"/>
                <w:highlight w:val="none"/>
              </w:rPr>
              <w:t>②对于非道路移动机械，应当定期对作业机械进行排放检验和维修养护；</w:t>
            </w:r>
          </w:p>
          <w:p w14:paraId="253AF34E">
            <w:pPr>
              <w:spacing w:line="480" w:lineRule="exact"/>
              <w:ind w:firstLine="520" w:firstLineChars="200"/>
              <w:rPr>
                <w:bCs/>
                <w:color w:val="auto"/>
                <w:spacing w:val="10"/>
                <w:sz w:val="24"/>
                <w:highlight w:val="none"/>
              </w:rPr>
            </w:pPr>
            <w:r>
              <w:rPr>
                <w:rFonts w:hint="eastAsia"/>
                <w:bCs/>
                <w:color w:val="auto"/>
                <w:spacing w:val="10"/>
                <w:sz w:val="24"/>
                <w:highlight w:val="none"/>
              </w:rPr>
              <w:t>在非道路移动机械集中停放地、维修地、使用地等对非道路移动机械的大气污染物排放状况进行监督检查，排放不合格的，不得继续使用。</w:t>
            </w:r>
          </w:p>
          <w:p w14:paraId="6194C556">
            <w:pPr>
              <w:spacing w:line="480" w:lineRule="exact"/>
              <w:ind w:firstLine="520" w:firstLineChars="200"/>
              <w:rPr>
                <w:bCs/>
                <w:color w:val="auto"/>
                <w:spacing w:val="10"/>
                <w:sz w:val="24"/>
                <w:highlight w:val="none"/>
              </w:rPr>
            </w:pPr>
            <w:r>
              <w:rPr>
                <w:rFonts w:hint="eastAsia"/>
                <w:bCs/>
                <w:color w:val="auto"/>
                <w:spacing w:val="10"/>
                <w:sz w:val="24"/>
                <w:highlight w:val="none"/>
              </w:rPr>
              <w:t>非道路移动机械未安装污染控制装置或者污染控制装置不符合要求，不能达标排放的，应当加装或者更换符合要求的污染控制装置。</w:t>
            </w:r>
          </w:p>
          <w:p w14:paraId="23635174">
            <w:pPr>
              <w:spacing w:line="480" w:lineRule="exact"/>
              <w:ind w:firstLine="520" w:firstLineChars="200"/>
              <w:rPr>
                <w:bCs/>
                <w:color w:val="auto"/>
                <w:spacing w:val="10"/>
                <w:sz w:val="24"/>
                <w:highlight w:val="none"/>
              </w:rPr>
            </w:pPr>
            <w:r>
              <w:rPr>
                <w:rFonts w:hint="eastAsia"/>
                <w:bCs/>
                <w:color w:val="auto"/>
                <w:spacing w:val="10"/>
                <w:sz w:val="24"/>
                <w:highlight w:val="none"/>
              </w:rPr>
              <w:t>③施工场地出入口应设置车辆冲洗平台，对运输车辆的轮胎及车身进行冲洗，严禁不冲洗上路导致施工物料泼洒。</w:t>
            </w:r>
          </w:p>
          <w:p w14:paraId="3438A77B">
            <w:pPr>
              <w:spacing w:line="480" w:lineRule="exact"/>
              <w:ind w:firstLine="520" w:firstLineChars="200"/>
              <w:rPr>
                <w:bCs/>
                <w:color w:val="auto"/>
                <w:spacing w:val="10"/>
                <w:sz w:val="24"/>
                <w:highlight w:val="none"/>
              </w:rPr>
            </w:pPr>
            <w:r>
              <w:rPr>
                <w:bCs/>
                <w:color w:val="auto"/>
                <w:spacing w:val="10"/>
                <w:sz w:val="24"/>
                <w:highlight w:val="none"/>
              </w:rPr>
              <w:t>2、水污染防治措施</w:t>
            </w:r>
          </w:p>
          <w:p w14:paraId="7C7DF970">
            <w:pPr>
              <w:spacing w:line="480" w:lineRule="exact"/>
              <w:ind w:firstLine="520" w:firstLineChars="200"/>
              <w:rPr>
                <w:bCs/>
                <w:color w:val="auto"/>
                <w:spacing w:val="10"/>
                <w:sz w:val="24"/>
                <w:highlight w:val="none"/>
              </w:rPr>
            </w:pPr>
            <w:r>
              <w:rPr>
                <w:rFonts w:hint="eastAsia"/>
                <w:bCs/>
                <w:color w:val="auto"/>
                <w:spacing w:val="10"/>
                <w:sz w:val="24"/>
                <w:highlight w:val="none"/>
              </w:rPr>
              <w:t>（1）施工期设备清洗废水及养护废水防治措施</w:t>
            </w:r>
          </w:p>
          <w:p w14:paraId="07D74323">
            <w:pPr>
              <w:spacing w:line="480" w:lineRule="exact"/>
              <w:ind w:firstLine="520" w:firstLineChars="200"/>
              <w:rPr>
                <w:bCs/>
                <w:color w:val="auto"/>
                <w:spacing w:val="10"/>
                <w:sz w:val="24"/>
                <w:highlight w:val="none"/>
              </w:rPr>
            </w:pPr>
            <w:r>
              <w:rPr>
                <w:rFonts w:hint="eastAsia"/>
                <w:bCs/>
                <w:color w:val="auto"/>
                <w:spacing w:val="10"/>
                <w:sz w:val="24"/>
                <w:highlight w:val="none"/>
              </w:rPr>
              <w:t>①施工单位应严格执行《建设工程施工地文明施工及环境管理暂行规定》，对施工废水进行妥善处理，严禁施工废水乱排、乱流，做到文明施工。</w:t>
            </w:r>
          </w:p>
          <w:p w14:paraId="68375C85">
            <w:pPr>
              <w:spacing w:line="480" w:lineRule="exact"/>
              <w:ind w:firstLine="520" w:firstLineChars="200"/>
              <w:rPr>
                <w:bCs/>
                <w:color w:val="auto"/>
                <w:spacing w:val="10"/>
                <w:sz w:val="24"/>
                <w:highlight w:val="none"/>
              </w:rPr>
            </w:pPr>
            <w:r>
              <w:rPr>
                <w:rFonts w:hint="eastAsia"/>
                <w:bCs/>
                <w:color w:val="auto"/>
                <w:spacing w:val="10"/>
                <w:sz w:val="24"/>
                <w:highlight w:val="none"/>
              </w:rPr>
              <w:t>②加强管理，严格控制施工范围，土方和物料采用篷布遮盖。</w:t>
            </w:r>
          </w:p>
          <w:p w14:paraId="2EE54D1C">
            <w:pPr>
              <w:spacing w:line="480" w:lineRule="exact"/>
              <w:ind w:firstLine="520" w:firstLineChars="200"/>
              <w:rPr>
                <w:bCs/>
                <w:color w:val="auto"/>
                <w:spacing w:val="10"/>
                <w:sz w:val="24"/>
                <w:highlight w:val="none"/>
              </w:rPr>
            </w:pPr>
            <w:r>
              <w:rPr>
                <w:rFonts w:hint="eastAsia"/>
                <w:bCs/>
                <w:color w:val="auto"/>
                <w:spacing w:val="10"/>
                <w:sz w:val="24"/>
                <w:highlight w:val="none"/>
              </w:rPr>
              <w:t>③运输过程中，运输车辆配备挡板，用苫布遮盖，所有车辆严格在规定的线路上行驶，不得随意驶入施工场地或施工便道以外的区域。</w:t>
            </w:r>
          </w:p>
          <w:p w14:paraId="2DCBE924">
            <w:pPr>
              <w:spacing w:line="480" w:lineRule="exact"/>
              <w:ind w:firstLine="520" w:firstLineChars="200"/>
              <w:rPr>
                <w:bCs/>
                <w:color w:val="auto"/>
                <w:spacing w:val="10"/>
                <w:sz w:val="24"/>
                <w:highlight w:val="none"/>
              </w:rPr>
            </w:pPr>
            <w:r>
              <w:rPr>
                <w:rFonts w:hint="eastAsia"/>
                <w:bCs/>
                <w:color w:val="auto"/>
                <w:spacing w:val="10"/>
                <w:sz w:val="24"/>
                <w:highlight w:val="none"/>
              </w:rPr>
              <w:t>④施工单位要做好施工临建区周围的拦挡措施，同时要落实文明施工原则，不漫排施工废水。</w:t>
            </w:r>
          </w:p>
          <w:p w14:paraId="02BBC5E0">
            <w:pPr>
              <w:spacing w:line="480" w:lineRule="exact"/>
              <w:ind w:firstLine="520" w:firstLineChars="200"/>
              <w:rPr>
                <w:bCs/>
                <w:color w:val="auto"/>
                <w:spacing w:val="10"/>
                <w:sz w:val="24"/>
                <w:highlight w:val="none"/>
              </w:rPr>
            </w:pPr>
            <w:r>
              <w:rPr>
                <w:rFonts w:hint="eastAsia"/>
                <w:bCs/>
                <w:color w:val="auto"/>
                <w:spacing w:val="10"/>
                <w:sz w:val="24"/>
                <w:highlight w:val="none"/>
              </w:rPr>
              <w:t>⑤施工期使用商用混凝土，所有砂石料考虑外购，不设搅拌站，施工单位设置简易排水系统，并设置简易沉淀池，使产生的施工废水经沉淀处理后回用于抑尘洒水。</w:t>
            </w:r>
          </w:p>
          <w:p w14:paraId="78A2D3E6">
            <w:pPr>
              <w:spacing w:line="480" w:lineRule="exact"/>
              <w:ind w:firstLine="520" w:firstLineChars="200"/>
              <w:rPr>
                <w:bCs/>
                <w:color w:val="auto"/>
                <w:spacing w:val="10"/>
                <w:sz w:val="24"/>
                <w:highlight w:val="none"/>
              </w:rPr>
            </w:pPr>
            <w:r>
              <w:rPr>
                <w:rFonts w:hint="eastAsia"/>
                <w:bCs/>
                <w:color w:val="auto"/>
                <w:spacing w:val="10"/>
                <w:sz w:val="24"/>
                <w:highlight w:val="none"/>
              </w:rPr>
              <w:t>（2）施工人员生活污水防治措施</w:t>
            </w:r>
          </w:p>
          <w:p w14:paraId="19A8213C">
            <w:pPr>
              <w:spacing w:line="480" w:lineRule="exact"/>
              <w:ind w:firstLine="520" w:firstLineChars="200"/>
              <w:rPr>
                <w:bCs/>
                <w:color w:val="auto"/>
                <w:spacing w:val="10"/>
                <w:sz w:val="24"/>
                <w:highlight w:val="none"/>
              </w:rPr>
            </w:pPr>
            <w:r>
              <w:rPr>
                <w:rFonts w:hint="eastAsia"/>
                <w:bCs/>
                <w:color w:val="auto"/>
                <w:spacing w:val="10"/>
                <w:sz w:val="24"/>
                <w:highlight w:val="none"/>
              </w:rPr>
              <w:t>①施工临建区设简易沉淀池，生活污水经收集沉淀后回用于施工场地内洒水抑尘，严禁直接排入附近地表水或随意倾倒。</w:t>
            </w:r>
          </w:p>
          <w:p w14:paraId="620FBCF5">
            <w:pPr>
              <w:spacing w:line="480" w:lineRule="exact"/>
              <w:ind w:firstLine="520" w:firstLineChars="200"/>
              <w:rPr>
                <w:bCs/>
                <w:color w:val="auto"/>
                <w:spacing w:val="10"/>
                <w:sz w:val="24"/>
                <w:highlight w:val="none"/>
              </w:rPr>
            </w:pPr>
            <w:r>
              <w:rPr>
                <w:rFonts w:hint="eastAsia"/>
                <w:bCs/>
                <w:color w:val="auto"/>
                <w:spacing w:val="10"/>
                <w:sz w:val="24"/>
                <w:highlight w:val="none"/>
              </w:rPr>
              <w:t>②施工人员就近租用当地民房，产生的生活污水量很少，施工人员产生的生活污水纳入当地居民生活污水处理系统。</w:t>
            </w:r>
          </w:p>
          <w:p w14:paraId="10D0EBC2">
            <w:pPr>
              <w:spacing w:line="480" w:lineRule="exact"/>
              <w:ind w:firstLine="520" w:firstLineChars="200"/>
              <w:rPr>
                <w:bCs/>
                <w:color w:val="auto"/>
                <w:spacing w:val="10"/>
                <w:sz w:val="24"/>
                <w:highlight w:val="none"/>
              </w:rPr>
            </w:pPr>
            <w:r>
              <w:rPr>
                <w:bCs/>
                <w:color w:val="auto"/>
                <w:spacing w:val="10"/>
                <w:sz w:val="24"/>
                <w:highlight w:val="none"/>
              </w:rPr>
              <w:t>3、固体废物处置措施</w:t>
            </w:r>
          </w:p>
          <w:p w14:paraId="39F12268">
            <w:pPr>
              <w:widowControl/>
              <w:spacing w:line="480" w:lineRule="exact"/>
              <w:ind w:firstLine="480" w:firstLineChars="200"/>
              <w:rPr>
                <w:color w:val="auto"/>
                <w:sz w:val="24"/>
                <w:highlight w:val="none"/>
              </w:rPr>
            </w:pPr>
            <w:r>
              <w:rPr>
                <w:color w:val="auto"/>
                <w:sz w:val="24"/>
                <w:highlight w:val="none"/>
              </w:rPr>
              <w:t>为避免施工垃圾及生活垃圾对环境造成影响，在工程施工前应作好施工机构及施工人员的环保培训。明确要求施工过程中的建筑垃圾及生活垃圾应分别收集堆放，并妥善处理，及时清运或定期运至环卫部门指定的地点处置。</w:t>
            </w:r>
          </w:p>
          <w:p w14:paraId="72C1BAB5">
            <w:pPr>
              <w:widowControl/>
              <w:spacing w:line="480" w:lineRule="exact"/>
              <w:ind w:firstLine="480" w:firstLineChars="200"/>
              <w:rPr>
                <w:color w:val="auto"/>
                <w:sz w:val="24"/>
                <w:highlight w:val="none"/>
              </w:rPr>
            </w:pPr>
            <w:r>
              <w:rPr>
                <w:rFonts w:hint="eastAsia"/>
                <w:color w:val="auto"/>
                <w:sz w:val="24"/>
                <w:highlight w:val="none"/>
              </w:rPr>
              <w:t>施工垃圾主要为废弃的不能被利用的建筑垃圾，将建筑垃圾清运到环卫部门规定的地点合理处置，并接受环卫部门的监督管理；生活垃圾集中收集，统一由环卫部门处理；施工期土石方挖填平衡，剩余土石方均用于道路平整、绿化覆土，不产生废弃土石方。</w:t>
            </w:r>
          </w:p>
          <w:p w14:paraId="0D24A42C">
            <w:pPr>
              <w:spacing w:line="480" w:lineRule="exact"/>
              <w:ind w:firstLine="480" w:firstLineChars="200"/>
              <w:rPr>
                <w:color w:val="auto"/>
                <w:sz w:val="24"/>
                <w:highlight w:val="none"/>
              </w:rPr>
            </w:pPr>
            <w:r>
              <w:rPr>
                <w:color w:val="auto"/>
                <w:sz w:val="24"/>
                <w:highlight w:val="none"/>
              </w:rPr>
              <w:t>4、噪声污染防治措施</w:t>
            </w:r>
          </w:p>
          <w:p w14:paraId="51BAED8C">
            <w:pPr>
              <w:spacing w:line="480" w:lineRule="exact"/>
              <w:ind w:firstLine="436" w:firstLineChars="182"/>
              <w:textAlignment w:val="baseline"/>
              <w:rPr>
                <w:color w:val="auto"/>
                <w:sz w:val="24"/>
                <w:highlight w:val="none"/>
              </w:rPr>
            </w:pPr>
            <w:r>
              <w:rPr>
                <w:rFonts w:hint="eastAsia"/>
                <w:color w:val="auto"/>
                <w:sz w:val="24"/>
                <w:highlight w:val="none"/>
              </w:rPr>
              <w:t>（1）制定严格合理的施工计划，集中安排高噪声施工阶段，便于合理控制；</w:t>
            </w:r>
          </w:p>
          <w:p w14:paraId="1FCCCF91">
            <w:pPr>
              <w:spacing w:line="480" w:lineRule="exact"/>
              <w:ind w:firstLine="436" w:firstLineChars="182"/>
              <w:textAlignment w:val="baseline"/>
              <w:rPr>
                <w:rFonts w:hint="eastAsia" w:eastAsia="宋体"/>
                <w:color w:val="auto"/>
                <w:sz w:val="24"/>
                <w:highlight w:val="none"/>
                <w:lang w:eastAsia="zh-CN"/>
              </w:rPr>
            </w:pPr>
            <w:r>
              <w:rPr>
                <w:rFonts w:hint="eastAsia"/>
                <w:color w:val="auto"/>
                <w:sz w:val="24"/>
                <w:highlight w:val="none"/>
              </w:rPr>
              <w:t>（2）施工应在施工场地周围设置围栏，尽量减少建设期声环境影响</w:t>
            </w:r>
            <w:r>
              <w:rPr>
                <w:rFonts w:hint="eastAsia" w:eastAsia="宋体"/>
                <w:color w:val="auto"/>
                <w:sz w:val="24"/>
                <w:highlight w:val="none"/>
                <w:lang w:eastAsia="zh-CN"/>
              </w:rPr>
              <w:t>；</w:t>
            </w:r>
          </w:p>
          <w:p w14:paraId="7B47E1F7">
            <w:pPr>
              <w:spacing w:line="480" w:lineRule="exact"/>
              <w:ind w:firstLine="436" w:firstLineChars="182"/>
              <w:textAlignment w:val="baseline"/>
              <w:rPr>
                <w:color w:val="auto"/>
                <w:sz w:val="24"/>
                <w:highlight w:val="none"/>
              </w:rPr>
            </w:pPr>
            <w:r>
              <w:rPr>
                <w:rFonts w:hint="eastAsia"/>
                <w:color w:val="auto"/>
                <w:sz w:val="24"/>
                <w:highlight w:val="none"/>
              </w:rPr>
              <w:t>（3）避免在同一地点安排大量动力机械设备，以避免局部声级过高；施工设备选型上应尽量采用低噪声设备；对动力机械设备进行定期的维修、养护，因设备常因松动部件的震动或消声器破坏而加大其工作时的声级；尽量少用哨子、喇叭等指挥作业，减少人为噪声；</w:t>
            </w:r>
          </w:p>
          <w:p w14:paraId="0FB4AF07">
            <w:pPr>
              <w:spacing w:line="480" w:lineRule="exact"/>
              <w:ind w:firstLine="436" w:firstLineChars="182"/>
              <w:textAlignment w:val="baseline"/>
              <w:rPr>
                <w:color w:val="auto"/>
                <w:sz w:val="24"/>
                <w:highlight w:val="none"/>
              </w:rPr>
            </w:pPr>
            <w:r>
              <w:rPr>
                <w:rFonts w:hint="eastAsia"/>
                <w:color w:val="auto"/>
                <w:sz w:val="24"/>
                <w:highlight w:val="none"/>
              </w:rPr>
              <w:t>（4）施工单位在施工过程中应严格执行《建筑施工厂界环境噪声排放标准》（GB12523-20</w:t>
            </w:r>
            <w:r>
              <w:rPr>
                <w:rFonts w:hint="eastAsia" w:ascii="Times New Roman" w:eastAsia="宋体"/>
                <w:color w:val="auto"/>
                <w:sz w:val="24"/>
                <w:highlight w:val="none"/>
                <w:lang w:val="en-US" w:eastAsia="zh-CN"/>
              </w:rPr>
              <w:t>25</w:t>
            </w:r>
            <w:r>
              <w:rPr>
                <w:rFonts w:hint="eastAsia"/>
                <w:color w:val="auto"/>
                <w:sz w:val="24"/>
                <w:highlight w:val="none"/>
              </w:rPr>
              <w:t>）的要求，加强施工噪声的管理，做到预防为主，文明施工，最大程度减轻施工噪声对周围环境的影响。同时，依法限制夜间施工，如因工艺特殊情况要求，需在夜间施工而可能对周边居民产生环境噪声污染时，应按《中华人民共和国噪声污染防治法》的规定，取得县级以上人民政府或者其有关主管部门的证明，并公告附近居民。</w:t>
            </w:r>
          </w:p>
          <w:p w14:paraId="21AB6168">
            <w:pPr>
              <w:spacing w:line="480" w:lineRule="exact"/>
              <w:ind w:firstLine="436" w:firstLineChars="182"/>
              <w:textAlignment w:val="baseline"/>
              <w:rPr>
                <w:color w:val="auto"/>
                <w:sz w:val="24"/>
                <w:highlight w:val="none"/>
              </w:rPr>
            </w:pPr>
            <w:r>
              <w:rPr>
                <w:rFonts w:hint="eastAsia"/>
                <w:color w:val="auto"/>
                <w:sz w:val="24"/>
                <w:highlight w:val="none"/>
              </w:rPr>
              <w:t>在采取以上噪声防治措施后，可有效降低施工噪声对周围环境的影响。</w:t>
            </w:r>
          </w:p>
          <w:p w14:paraId="46C49FA8">
            <w:pPr>
              <w:spacing w:line="480" w:lineRule="exact"/>
              <w:ind w:firstLine="480" w:firstLineChars="200"/>
              <w:rPr>
                <w:color w:val="auto"/>
                <w:sz w:val="24"/>
                <w:highlight w:val="none"/>
              </w:rPr>
            </w:pPr>
            <w:r>
              <w:rPr>
                <w:color w:val="auto"/>
                <w:sz w:val="24"/>
                <w:highlight w:val="none"/>
              </w:rPr>
              <w:t>5、生态防护措施</w:t>
            </w:r>
          </w:p>
          <w:p w14:paraId="002DD7D0">
            <w:pPr>
              <w:spacing w:line="480" w:lineRule="exact"/>
              <w:ind w:firstLine="436" w:firstLineChars="182"/>
              <w:textAlignment w:val="baseline"/>
              <w:rPr>
                <w:bCs/>
                <w:color w:val="auto"/>
                <w:sz w:val="24"/>
                <w:highlight w:val="none"/>
              </w:rPr>
            </w:pPr>
            <w:bookmarkStart w:id="6" w:name="_Hlk132382754"/>
            <w:r>
              <w:rPr>
                <w:rFonts w:hint="eastAsia"/>
                <w:bCs/>
                <w:color w:val="auto"/>
                <w:sz w:val="24"/>
                <w:highlight w:val="none"/>
              </w:rPr>
              <w:t>风电场的生态影响防护与恢复措施主要以施工期为主，生态恢复与防护措施要围绕风电场存在的水土流失问题，因地制宜，因害设防。</w:t>
            </w:r>
          </w:p>
          <w:p w14:paraId="1BAB5B89">
            <w:pPr>
              <w:spacing w:line="480" w:lineRule="exact"/>
              <w:ind w:firstLine="436" w:firstLineChars="182"/>
              <w:textAlignment w:val="baseline"/>
              <w:rPr>
                <w:rFonts w:hint="eastAsia"/>
                <w:bCs/>
                <w:color w:val="auto"/>
                <w:sz w:val="24"/>
                <w:highlight w:val="none"/>
                <w:lang w:val="en-US" w:eastAsia="zh-CN"/>
              </w:rPr>
            </w:pPr>
            <w:r>
              <w:rPr>
                <w:rFonts w:hint="eastAsia"/>
                <w:bCs/>
                <w:color w:val="auto"/>
                <w:sz w:val="24"/>
                <w:highlight w:val="none"/>
              </w:rPr>
              <w:t>依据“山西省林业和草原局关于印发《山西省重点区域生态保护和修复项目技术指南（试行）》的通知”（晋林办生﹝2022﹞30号）和《恢复植被和林业生产条件、树木补种标准（试行）》（晋林规范发〔2022〕1号），本项目生态恢复植物措施坚持适地适树（适草）原则，优先选用乡土树种（草种），按照“附录B山西省重点区域生态保护和修复项目主要适宜树种”选择油松、</w:t>
            </w:r>
            <w:r>
              <w:rPr>
                <w:rFonts w:hint="eastAsia"/>
                <w:bCs/>
                <w:color w:val="auto"/>
                <w:sz w:val="24"/>
                <w:highlight w:val="none"/>
                <w:lang w:val="en-US" w:eastAsia="zh-CN"/>
              </w:rPr>
              <w:t>刺槐</w:t>
            </w:r>
            <w:r>
              <w:rPr>
                <w:rFonts w:hint="eastAsia"/>
                <w:bCs/>
                <w:color w:val="auto"/>
                <w:sz w:val="24"/>
                <w:highlight w:val="none"/>
              </w:rPr>
              <w:t>、</w:t>
            </w:r>
            <w:r>
              <w:rPr>
                <w:rFonts w:hint="eastAsia"/>
                <w:bCs/>
                <w:color w:val="auto"/>
                <w:sz w:val="24"/>
                <w:highlight w:val="none"/>
                <w:lang w:val="en-US" w:eastAsia="zh-CN"/>
              </w:rPr>
              <w:t>连翘、</w:t>
            </w:r>
            <w:r>
              <w:rPr>
                <w:rFonts w:hint="eastAsia"/>
                <w:bCs/>
                <w:color w:val="auto"/>
                <w:sz w:val="24"/>
                <w:highlight w:val="none"/>
              </w:rPr>
              <w:t>白羊</w:t>
            </w:r>
            <w:r>
              <w:rPr>
                <w:rFonts w:hint="eastAsia"/>
                <w:bCs/>
                <w:color w:val="auto"/>
                <w:sz w:val="24"/>
                <w:highlight w:val="none"/>
                <w:lang w:val="en-US" w:eastAsia="zh-CN"/>
              </w:rPr>
              <w:t xml:space="preserve">                         </w:t>
            </w:r>
            <w:r>
              <w:rPr>
                <w:rFonts w:hint="eastAsia"/>
                <w:bCs/>
                <w:color w:val="auto"/>
                <w:sz w:val="24"/>
                <w:highlight w:val="none"/>
              </w:rPr>
              <w:t>草作为恢复树种（草种）</w:t>
            </w:r>
            <w:r>
              <w:rPr>
                <w:rFonts w:hint="eastAsia" w:eastAsia="宋体"/>
                <w:bCs/>
                <w:color w:val="auto"/>
                <w:sz w:val="24"/>
                <w:highlight w:val="none"/>
                <w:lang w:eastAsia="zh-CN"/>
              </w:rPr>
              <w:t>。</w:t>
            </w:r>
            <w:r>
              <w:rPr>
                <w:rFonts w:hint="eastAsia" w:ascii="Times New Roman" w:eastAsia="宋体"/>
                <w:bCs/>
                <w:color w:val="auto"/>
                <w:sz w:val="24"/>
                <w:highlight w:val="none"/>
                <w:lang w:val="en-US" w:eastAsia="zh-CN"/>
              </w:rPr>
              <w:t xml:space="preserve"> </w:t>
            </w:r>
          </w:p>
          <w:p w14:paraId="5FC3F192">
            <w:pPr>
              <w:spacing w:line="480" w:lineRule="exact"/>
              <w:ind w:firstLine="436" w:firstLineChars="182"/>
              <w:textAlignment w:val="baseline"/>
              <w:rPr>
                <w:rFonts w:hint="eastAsia"/>
                <w:bCs/>
                <w:color w:val="auto"/>
                <w:sz w:val="24"/>
                <w:highlight w:val="none"/>
                <w:lang w:val="en-US" w:eastAsia="zh-CN"/>
              </w:rPr>
            </w:pPr>
            <w:r>
              <w:rPr>
                <w:rFonts w:hint="eastAsia" w:eastAsia="宋体"/>
                <w:bCs/>
                <w:color w:val="auto"/>
                <w:sz w:val="24"/>
                <w:highlight w:val="none"/>
                <w:lang w:eastAsia="zh-CN"/>
              </w:rPr>
              <w:t>本项目临时占地涉及其他草地、灌木林地、乔木林地、其他林地</w:t>
            </w:r>
            <w:r>
              <w:rPr>
                <w:rFonts w:hint="eastAsia" w:ascii="Times New Roman" w:eastAsia="宋体"/>
                <w:bCs/>
                <w:color w:val="auto"/>
                <w:sz w:val="24"/>
                <w:highlight w:val="none"/>
                <w:lang w:val="en-US" w:eastAsia="zh-CN"/>
              </w:rPr>
              <w:t>和农村道路</w:t>
            </w:r>
            <w:r>
              <w:rPr>
                <w:rFonts w:hint="eastAsia" w:eastAsia="宋体"/>
                <w:bCs/>
                <w:color w:val="auto"/>
                <w:sz w:val="24"/>
                <w:highlight w:val="none"/>
                <w:lang w:eastAsia="zh-CN"/>
              </w:rPr>
              <w:t>，恢复质量标准执行《土地复垦质量控制标准》（TD/T 1036-2013）；施工期坡面固土按照《裸露坡面植被恢复技术规范》（GB/T38360-2019）要求落实。</w:t>
            </w:r>
            <w:r>
              <w:rPr>
                <w:rFonts w:hint="eastAsia" w:ascii="Times New Roman" w:eastAsia="宋体"/>
                <w:bCs/>
                <w:color w:val="auto"/>
                <w:sz w:val="24"/>
                <w:highlight w:val="none"/>
                <w:lang w:val="en-US" w:eastAsia="zh-CN"/>
              </w:rPr>
              <w:t xml:space="preserve">  </w:t>
            </w:r>
          </w:p>
          <w:p w14:paraId="79BCE9A0">
            <w:pPr>
              <w:spacing w:line="480" w:lineRule="exact"/>
              <w:ind w:firstLine="436" w:firstLineChars="182"/>
              <w:textAlignment w:val="baseline"/>
              <w:rPr>
                <w:bCs/>
                <w:color w:val="auto"/>
                <w:sz w:val="24"/>
                <w:highlight w:val="none"/>
              </w:rPr>
            </w:pPr>
            <w:r>
              <w:rPr>
                <w:rFonts w:hint="eastAsia"/>
                <w:bCs/>
                <w:color w:val="auto"/>
                <w:sz w:val="24"/>
                <w:highlight w:val="none"/>
              </w:rPr>
              <w:t>本工程的生态防护与恢复措施体系分为</w:t>
            </w:r>
            <w:r>
              <w:rPr>
                <w:rFonts w:hint="eastAsia" w:ascii="Times New Roman" w:eastAsia="宋体"/>
                <w:bCs/>
                <w:color w:val="auto"/>
                <w:sz w:val="24"/>
                <w:highlight w:val="none"/>
                <w:lang w:val="en-US" w:eastAsia="zh-CN"/>
              </w:rPr>
              <w:t>三</w:t>
            </w:r>
            <w:r>
              <w:rPr>
                <w:rFonts w:hint="eastAsia"/>
                <w:bCs/>
                <w:color w:val="auto"/>
                <w:sz w:val="24"/>
                <w:highlight w:val="none"/>
              </w:rPr>
              <w:t>个防治区，即风电机组防治区、集电线路防治区</w:t>
            </w:r>
            <w:r>
              <w:rPr>
                <w:rFonts w:hint="eastAsia" w:ascii="Times New Roman" w:eastAsia="宋体"/>
                <w:bCs/>
                <w:color w:val="auto"/>
                <w:sz w:val="24"/>
                <w:highlight w:val="none"/>
                <w:lang w:val="en-US" w:eastAsia="zh-CN"/>
              </w:rPr>
              <w:t>和</w:t>
            </w:r>
            <w:r>
              <w:rPr>
                <w:rFonts w:hint="eastAsia"/>
                <w:bCs/>
                <w:color w:val="auto"/>
                <w:sz w:val="24"/>
                <w:highlight w:val="none"/>
              </w:rPr>
              <w:t>施工临建防治区。根据本工程特点，结合区域自然和社会经济条件，本工程采取的主要防治措施包括施工临时防护措施、工程措施和植物措施等。本项目各防治区生态保护措施平面布置见附图15。</w:t>
            </w:r>
          </w:p>
          <w:bookmarkEnd w:id="6"/>
          <w:p w14:paraId="5F5B9FA0">
            <w:pPr>
              <w:spacing w:line="480" w:lineRule="exact"/>
              <w:ind w:firstLine="420"/>
              <w:textAlignment w:val="baseline"/>
              <w:rPr>
                <w:color w:val="auto"/>
                <w:sz w:val="24"/>
                <w:highlight w:val="none"/>
              </w:rPr>
            </w:pPr>
            <w:r>
              <w:rPr>
                <w:rFonts w:hint="eastAsia"/>
                <w:color w:val="auto"/>
                <w:sz w:val="24"/>
                <w:highlight w:val="none"/>
              </w:rPr>
              <w:t>（1）风电机组防治区</w:t>
            </w:r>
          </w:p>
          <w:p w14:paraId="4D2D68CC">
            <w:pPr>
              <w:adjustRightInd w:val="0"/>
              <w:snapToGrid w:val="0"/>
              <w:spacing w:line="440" w:lineRule="exact"/>
              <w:ind w:firstLine="480" w:firstLineChars="200"/>
              <w:rPr>
                <w:rFonts w:eastAsia="宋体"/>
                <w:color w:val="auto"/>
                <w:sz w:val="24"/>
                <w:highlight w:val="none"/>
              </w:rPr>
            </w:pPr>
            <w:r>
              <w:rPr>
                <w:rFonts w:eastAsia="宋体"/>
                <w:color w:val="auto"/>
                <w:sz w:val="24"/>
                <w:highlight w:val="none"/>
              </w:rPr>
              <w:t>表土剥离：施工前对该区域进行表土剥离，剥离厚度30cm，呈棱台形堆放；</w:t>
            </w:r>
            <w:r>
              <w:rPr>
                <w:rFonts w:hint="eastAsia" w:eastAsia="宋体"/>
                <w:color w:val="auto"/>
                <w:sz w:val="24"/>
                <w:highlight w:val="none"/>
              </w:rPr>
              <w:t>平台边坡坡脚采用干砌石结合植生袋挡护；</w:t>
            </w:r>
            <w:r>
              <w:rPr>
                <w:rFonts w:eastAsia="宋体"/>
                <w:color w:val="auto"/>
                <w:sz w:val="24"/>
                <w:highlight w:val="none"/>
              </w:rPr>
              <w:t>施工结束后将底土回填平整，上覆表土；多余土石方回用于平台夯实，严禁就地弃土弃石或随意倾倒。</w:t>
            </w:r>
          </w:p>
          <w:p w14:paraId="4308599F">
            <w:pPr>
              <w:adjustRightInd w:val="0"/>
              <w:snapToGrid w:val="0"/>
              <w:spacing w:line="440" w:lineRule="exact"/>
              <w:ind w:firstLine="480" w:firstLineChars="200"/>
              <w:rPr>
                <w:rFonts w:eastAsia="宋体"/>
                <w:color w:val="auto"/>
                <w:sz w:val="24"/>
                <w:highlight w:val="none"/>
              </w:rPr>
            </w:pPr>
            <w:r>
              <w:rPr>
                <w:rFonts w:eastAsia="宋体"/>
                <w:color w:val="auto"/>
                <w:sz w:val="24"/>
                <w:highlight w:val="none"/>
              </w:rPr>
              <w:t>临时措施：基础开挖产生的表土和底层土方须分类就近堆存，土方临时堆场采取表面拍实处理并在表面遮盖防尘网，四周设编织袋挡土堰挡护。</w:t>
            </w:r>
          </w:p>
          <w:p w14:paraId="5B6803C1">
            <w:pPr>
              <w:adjustRightInd w:val="0"/>
              <w:snapToGrid w:val="0"/>
              <w:spacing w:line="440" w:lineRule="exact"/>
              <w:ind w:firstLine="480" w:firstLineChars="200"/>
              <w:rPr>
                <w:rFonts w:hint="eastAsia" w:eastAsia="宋体"/>
                <w:color w:val="auto"/>
                <w:sz w:val="24"/>
                <w:highlight w:val="none"/>
                <w:lang w:val="en-US" w:eastAsia="zh-CN"/>
              </w:rPr>
            </w:pPr>
            <w:r>
              <w:rPr>
                <w:rFonts w:eastAsia="宋体"/>
                <w:color w:val="auto"/>
                <w:sz w:val="24"/>
                <w:highlight w:val="none"/>
              </w:rPr>
              <w:t>植物措施：施工结束后平整吊装区，回填表土</w:t>
            </w:r>
            <w:r>
              <w:rPr>
                <w:rFonts w:hint="eastAsia" w:eastAsia="宋体"/>
                <w:color w:val="auto"/>
                <w:sz w:val="24"/>
                <w:highlight w:val="none"/>
                <w:lang w:eastAsia="zh-CN"/>
              </w:rPr>
              <w:t>，</w:t>
            </w:r>
            <w:r>
              <w:rPr>
                <w:rFonts w:eastAsia="宋体"/>
                <w:color w:val="auto"/>
                <w:sz w:val="24"/>
                <w:highlight w:val="none"/>
                <w:lang w:val="en-US" w:eastAsia="zh-CN"/>
              </w:rPr>
              <w:t>选择刺槐与连翘混交栽植。</w:t>
            </w:r>
            <w:r>
              <w:rPr>
                <w:rFonts w:eastAsia="宋体"/>
                <w:color w:val="auto"/>
                <w:sz w:val="24"/>
                <w:highlight w:val="none"/>
              </w:rPr>
              <w:t>恢复植被</w:t>
            </w:r>
            <w:r>
              <w:rPr>
                <w:rFonts w:hint="eastAsia" w:ascii="Times New Roman" w:eastAsia="宋体"/>
                <w:color w:val="auto"/>
                <w:sz w:val="24"/>
                <w:highlight w:val="none"/>
                <w:lang w:val="en-US" w:eastAsia="zh-CN"/>
              </w:rPr>
              <w:t>2.7460</w:t>
            </w:r>
            <w:r>
              <w:rPr>
                <w:rFonts w:hint="eastAsia" w:eastAsia="宋体"/>
                <w:color w:val="auto"/>
                <w:sz w:val="24"/>
                <w:highlight w:val="none"/>
                <w:lang w:val="en-US" w:eastAsia="zh-CN"/>
              </w:rPr>
              <w:t>h</w:t>
            </w:r>
            <w:r>
              <w:rPr>
                <w:rFonts w:eastAsia="宋体"/>
                <w:color w:val="auto"/>
                <w:sz w:val="24"/>
                <w:highlight w:val="none"/>
              </w:rPr>
              <w:t>m</w:t>
            </w:r>
            <w:r>
              <w:rPr>
                <w:rFonts w:eastAsia="宋体"/>
                <w:color w:val="auto"/>
                <w:sz w:val="24"/>
                <w:highlight w:val="none"/>
                <w:vertAlign w:val="superscript"/>
              </w:rPr>
              <w:t>2</w:t>
            </w:r>
            <w:r>
              <w:rPr>
                <w:rFonts w:eastAsia="宋体"/>
                <w:color w:val="auto"/>
                <w:sz w:val="24"/>
                <w:highlight w:val="none"/>
              </w:rPr>
              <w:t>。</w:t>
            </w:r>
            <w:r>
              <w:rPr>
                <w:rFonts w:eastAsia="宋体"/>
                <w:color w:val="auto"/>
                <w:sz w:val="24"/>
                <w:highlight w:val="none"/>
                <w:lang w:val="en-US" w:eastAsia="zh-CN"/>
              </w:rPr>
              <w:t>栽植株行距为</w:t>
            </w:r>
            <w:r>
              <w:rPr>
                <w:rFonts w:hint="default" w:eastAsia="宋体"/>
                <w:color w:val="auto"/>
                <w:sz w:val="24"/>
                <w:highlight w:val="none"/>
                <w:lang w:val="en-US" w:eastAsia="zh-CN"/>
              </w:rPr>
              <w:t>2m</w:t>
            </w:r>
            <w:r>
              <w:rPr>
                <w:rFonts w:hint="eastAsia" w:eastAsia="宋体"/>
                <w:color w:val="auto"/>
                <w:sz w:val="24"/>
                <w:highlight w:val="none"/>
                <w:lang w:val="en-US" w:eastAsia="zh-CN"/>
              </w:rPr>
              <w:t>×</w:t>
            </w:r>
            <w:r>
              <w:rPr>
                <w:rFonts w:hint="default" w:eastAsia="宋体"/>
                <w:color w:val="auto"/>
                <w:sz w:val="24"/>
                <w:highlight w:val="none"/>
                <w:lang w:val="en-US" w:eastAsia="zh-CN"/>
              </w:rPr>
              <w:t>3m</w:t>
            </w:r>
            <w:r>
              <w:rPr>
                <w:rFonts w:hint="eastAsia" w:eastAsia="宋体"/>
                <w:color w:val="auto"/>
                <w:sz w:val="24"/>
                <w:highlight w:val="none"/>
                <w:lang w:val="en-US" w:eastAsia="zh-CN"/>
              </w:rPr>
              <w:t>，采用块状汇交的方式，刺槐与连翘的配置比例为</w:t>
            </w:r>
            <w:r>
              <w:rPr>
                <w:rFonts w:hint="default" w:eastAsia="宋体"/>
                <w:color w:val="auto"/>
                <w:sz w:val="24"/>
                <w:highlight w:val="none"/>
                <w:lang w:val="en-US" w:eastAsia="zh-CN"/>
              </w:rPr>
              <w:t>5</w:t>
            </w:r>
            <w:r>
              <w:rPr>
                <w:rFonts w:hint="eastAsia" w:eastAsia="宋体"/>
                <w:color w:val="auto"/>
                <w:sz w:val="24"/>
                <w:highlight w:val="none"/>
                <w:lang w:val="en-US" w:eastAsia="zh-CN"/>
              </w:rPr>
              <w:t>：</w:t>
            </w:r>
            <w:r>
              <w:rPr>
                <w:rFonts w:hint="default" w:eastAsia="宋体"/>
                <w:color w:val="auto"/>
                <w:sz w:val="24"/>
                <w:highlight w:val="none"/>
                <w:lang w:val="en-US" w:eastAsia="zh-CN"/>
              </w:rPr>
              <w:t>5</w:t>
            </w:r>
            <w:r>
              <w:rPr>
                <w:rFonts w:hint="eastAsia" w:eastAsia="宋体"/>
                <w:color w:val="auto"/>
                <w:sz w:val="24"/>
                <w:highlight w:val="none"/>
                <w:lang w:val="en-US" w:eastAsia="zh-CN"/>
              </w:rPr>
              <w:t>。树苗规格均需选择</w:t>
            </w:r>
            <w:r>
              <w:rPr>
                <w:rFonts w:hint="default" w:eastAsia="宋体"/>
                <w:color w:val="auto"/>
                <w:sz w:val="24"/>
                <w:highlight w:val="none"/>
                <w:lang w:val="en-US" w:eastAsia="zh-CN"/>
              </w:rPr>
              <w:t>2</w:t>
            </w:r>
            <w:r>
              <w:rPr>
                <w:rFonts w:hint="eastAsia" w:eastAsia="宋体"/>
                <w:color w:val="auto"/>
                <w:sz w:val="24"/>
                <w:highlight w:val="none"/>
                <w:lang w:val="en-US" w:eastAsia="zh-CN"/>
              </w:rPr>
              <w:t>年生树苗，刺槐树苗胸径不小于</w:t>
            </w:r>
            <w:r>
              <w:rPr>
                <w:rFonts w:hint="default" w:eastAsia="宋体"/>
                <w:color w:val="auto"/>
                <w:sz w:val="24"/>
                <w:highlight w:val="none"/>
                <w:lang w:val="en-US" w:eastAsia="zh-CN"/>
              </w:rPr>
              <w:t>1cm</w:t>
            </w:r>
            <w:r>
              <w:rPr>
                <w:rFonts w:hint="eastAsia" w:eastAsia="宋体"/>
                <w:color w:val="auto"/>
                <w:sz w:val="24"/>
                <w:highlight w:val="none"/>
                <w:lang w:val="en-US" w:eastAsia="zh-CN"/>
              </w:rPr>
              <w:t>，株高不小于</w:t>
            </w:r>
            <w:r>
              <w:rPr>
                <w:rFonts w:hint="default" w:eastAsia="宋体"/>
                <w:color w:val="auto"/>
                <w:sz w:val="24"/>
                <w:highlight w:val="none"/>
                <w:lang w:val="en-US" w:eastAsia="zh-CN"/>
              </w:rPr>
              <w:t>1m</w:t>
            </w:r>
            <w:r>
              <w:rPr>
                <w:rFonts w:hint="eastAsia" w:eastAsia="宋体"/>
                <w:color w:val="auto"/>
                <w:sz w:val="24"/>
                <w:highlight w:val="none"/>
                <w:lang w:val="en-US" w:eastAsia="zh-CN"/>
              </w:rPr>
              <w:t>；连翘树苗地径不小于</w:t>
            </w:r>
            <w:r>
              <w:rPr>
                <w:rFonts w:hint="default" w:eastAsia="宋体"/>
                <w:color w:val="auto"/>
                <w:sz w:val="24"/>
                <w:highlight w:val="none"/>
                <w:lang w:val="en-US" w:eastAsia="zh-CN"/>
              </w:rPr>
              <w:t>0.5cm</w:t>
            </w:r>
            <w:r>
              <w:rPr>
                <w:rFonts w:hint="eastAsia" w:eastAsia="宋体"/>
                <w:color w:val="auto"/>
                <w:sz w:val="24"/>
                <w:highlight w:val="none"/>
                <w:lang w:val="en-US" w:eastAsia="zh-CN"/>
              </w:rPr>
              <w:t>，株高不小于</w:t>
            </w:r>
            <w:r>
              <w:rPr>
                <w:rFonts w:hint="default" w:eastAsia="宋体"/>
                <w:color w:val="auto"/>
                <w:sz w:val="24"/>
                <w:highlight w:val="none"/>
                <w:lang w:val="en-US" w:eastAsia="zh-CN"/>
              </w:rPr>
              <w:t>0.8m</w:t>
            </w:r>
            <w:r>
              <w:rPr>
                <w:rFonts w:hint="eastAsia" w:eastAsia="宋体"/>
                <w:color w:val="auto"/>
                <w:sz w:val="24"/>
                <w:highlight w:val="none"/>
                <w:lang w:val="en-US" w:eastAsia="zh-CN"/>
              </w:rPr>
              <w:t>。共需栽植刺槐2288株，连翘 2288株，考虑成活率等其他因素，增加15%的补栽比例，增加刺槐补栽株</w:t>
            </w:r>
            <w:r>
              <w:rPr>
                <w:rFonts w:hint="eastAsia" w:ascii="Times New Roman" w:eastAsia="宋体"/>
                <w:color w:val="auto"/>
                <w:sz w:val="24"/>
                <w:highlight w:val="none"/>
                <w:lang w:val="en-US" w:eastAsia="zh-CN"/>
              </w:rPr>
              <w:t>数</w:t>
            </w:r>
            <w:r>
              <w:rPr>
                <w:rFonts w:hint="eastAsia" w:eastAsia="宋体"/>
                <w:color w:val="auto"/>
                <w:sz w:val="24"/>
                <w:highlight w:val="none"/>
                <w:lang w:val="en-US" w:eastAsia="zh-CN"/>
              </w:rPr>
              <w:t>343株，连翘补栽株</w:t>
            </w:r>
            <w:r>
              <w:rPr>
                <w:rFonts w:hint="eastAsia" w:ascii="Times New Roman" w:eastAsia="宋体"/>
                <w:color w:val="auto"/>
                <w:sz w:val="24"/>
                <w:highlight w:val="none"/>
                <w:lang w:val="en-US" w:eastAsia="zh-CN"/>
              </w:rPr>
              <w:t>数</w:t>
            </w:r>
            <w:r>
              <w:rPr>
                <w:rFonts w:hint="eastAsia" w:eastAsia="宋体"/>
                <w:color w:val="auto"/>
                <w:sz w:val="24"/>
                <w:highlight w:val="none"/>
                <w:lang w:val="en-US" w:eastAsia="zh-CN"/>
              </w:rPr>
              <w:t>343株。合计预算总植树株</w:t>
            </w:r>
            <w:r>
              <w:rPr>
                <w:rFonts w:hint="eastAsia" w:ascii="Times New Roman" w:eastAsia="宋体"/>
                <w:color w:val="auto"/>
                <w:sz w:val="24"/>
                <w:highlight w:val="none"/>
                <w:lang w:val="en-US" w:eastAsia="zh-CN"/>
              </w:rPr>
              <w:t>数</w:t>
            </w:r>
            <w:r>
              <w:rPr>
                <w:rFonts w:hint="eastAsia" w:eastAsia="宋体"/>
                <w:color w:val="auto"/>
                <w:sz w:val="24"/>
                <w:highlight w:val="none"/>
                <w:lang w:val="en-US" w:eastAsia="zh-CN"/>
              </w:rPr>
              <w:t>5262株，其中刺槐26</w:t>
            </w:r>
            <w:r>
              <w:rPr>
                <w:rFonts w:hint="eastAsia"/>
                <w:color w:val="auto"/>
                <w:sz w:val="24"/>
                <w:highlight w:val="none"/>
                <w:lang w:val="en-US" w:eastAsia="zh-CN"/>
              </w:rPr>
              <w:t>3</w:t>
            </w:r>
            <w:r>
              <w:rPr>
                <w:rFonts w:hint="eastAsia" w:eastAsia="宋体"/>
                <w:color w:val="auto"/>
                <w:sz w:val="24"/>
                <w:highlight w:val="none"/>
                <w:lang w:val="en-US" w:eastAsia="zh-CN"/>
              </w:rPr>
              <w:t>1株，连翘26</w:t>
            </w:r>
            <w:r>
              <w:rPr>
                <w:rFonts w:hint="eastAsia"/>
                <w:color w:val="auto"/>
                <w:sz w:val="24"/>
                <w:highlight w:val="none"/>
                <w:lang w:val="en-US" w:eastAsia="zh-CN"/>
              </w:rPr>
              <w:t>3</w:t>
            </w:r>
            <w:r>
              <w:rPr>
                <w:rFonts w:hint="eastAsia" w:eastAsia="宋体"/>
                <w:color w:val="auto"/>
                <w:sz w:val="24"/>
                <w:highlight w:val="none"/>
                <w:lang w:val="en-US" w:eastAsia="zh-CN"/>
              </w:rPr>
              <w:t>1株。</w:t>
            </w:r>
          </w:p>
          <w:p w14:paraId="5EBD3BB5">
            <w:pPr>
              <w:adjustRightInd w:val="0"/>
              <w:snapToGrid w:val="0"/>
              <w:spacing w:line="440" w:lineRule="exact"/>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 xml:space="preserve">1）近自然地貌重塑 </w:t>
            </w:r>
          </w:p>
          <w:p w14:paraId="3CC05CAD">
            <w:pPr>
              <w:adjustRightInd w:val="0"/>
              <w:snapToGrid w:val="0"/>
              <w:spacing w:line="440" w:lineRule="exact"/>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 xml:space="preserve">本项目临时用地施工完成后，及时拆卸设备、清理地表垃圾和杂物，根据地形特征科学划分地块，对地块进行平整，削高填低；对平整后的板结底土进行松挖，松挖深度60cm，松挖后对石块等杂物进行清理，对大土块进行破碎；在地形坡度小于 6°的项目区，采用穴状整地方式，依据植树密度挖植树穴。采取上述措施后，可以做到科学重塑项目区临时用地地形地貌，恢复至近自然地貌。 </w:t>
            </w:r>
          </w:p>
          <w:p w14:paraId="4E52B86F">
            <w:pPr>
              <w:adjustRightInd w:val="0"/>
              <w:snapToGrid w:val="0"/>
              <w:spacing w:line="440" w:lineRule="exact"/>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 xml:space="preserve">2）生态系统重建 </w:t>
            </w:r>
          </w:p>
          <w:p w14:paraId="73647742">
            <w:pPr>
              <w:adjustRightInd w:val="0"/>
              <w:snapToGrid w:val="0"/>
              <w:spacing w:line="440" w:lineRule="exact"/>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 xml:space="preserve">重建项目区生态系统，因地制宜选择树种，提高生态恢复成效和质量。本项目选择根系丰富的树种，结合当地常见树种，选择刺槐与连翘混交栽植。刺槐喜较干燥而凉爽的气候、耐旱、耐贫瘠土壤，根系发达，保持水土能力突出；连翘宜山地栽植，耐荫、耐寒、耐旱，且有一定的经济价值。生态系统重建尽量选择在春秋两季，采用裸根栽植，栽植时保持苗木立直，苗木根系充分伸展，填土一半后提苗踩实，再填土踩实，最后覆上虚土。 </w:t>
            </w:r>
          </w:p>
          <w:p w14:paraId="603AF2EB">
            <w:pPr>
              <w:adjustRightInd w:val="0"/>
              <w:snapToGrid w:val="0"/>
              <w:spacing w:line="440" w:lineRule="exact"/>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 xml:space="preserve">3）生态系统养护 </w:t>
            </w:r>
          </w:p>
          <w:p w14:paraId="51A149DD">
            <w:pPr>
              <w:adjustRightInd w:val="0"/>
              <w:snapToGrid w:val="0"/>
              <w:spacing w:line="440" w:lineRule="exact"/>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 xml:space="preserve">为保证植被恢复，在建植初期，植物尚处于生长初期的适应和缓苗阶段，因此需要一定时期的养护，然后逐渐进入免养护的自然发展阶段。养护内容包括浇水、追肥、病虫害防治、苗木支护和补植等。 </w:t>
            </w:r>
          </w:p>
          <w:p w14:paraId="4BA1EA13">
            <w:pPr>
              <w:adjustRightInd w:val="0"/>
              <w:snapToGrid w:val="0"/>
              <w:spacing w:line="440" w:lineRule="exact"/>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综上所述，临时用地采取科学的复垦和生态恢复措施后，区域内生态系统质量和稳定性得到很大程度的恢复，减缓了对项目区生态功能的影响。</w:t>
            </w:r>
          </w:p>
          <w:p w14:paraId="1C2B35F3">
            <w:pPr>
              <w:spacing w:line="480" w:lineRule="exact"/>
              <w:ind w:firstLine="420"/>
              <w:textAlignment w:val="baseline"/>
              <w:rPr>
                <w:color w:val="auto"/>
                <w:sz w:val="24"/>
                <w:highlight w:val="none"/>
              </w:rPr>
            </w:pPr>
            <w:r>
              <w:rPr>
                <w:rFonts w:hint="eastAsia"/>
                <w:color w:val="auto"/>
                <w:sz w:val="24"/>
                <w:highlight w:val="none"/>
              </w:rPr>
              <w:t>（2）集电线路防治区</w:t>
            </w:r>
          </w:p>
          <w:p w14:paraId="473685BA">
            <w:pPr>
              <w:adjustRightInd w:val="0"/>
              <w:snapToGrid w:val="0"/>
              <w:spacing w:line="440" w:lineRule="exact"/>
              <w:ind w:firstLine="480" w:firstLineChars="200"/>
              <w:rPr>
                <w:rFonts w:eastAsia="宋体"/>
                <w:color w:val="auto"/>
                <w:sz w:val="24"/>
                <w:highlight w:val="none"/>
              </w:rPr>
            </w:pPr>
            <w:r>
              <w:rPr>
                <w:rFonts w:eastAsia="宋体"/>
                <w:color w:val="auto"/>
                <w:sz w:val="24"/>
                <w:highlight w:val="none"/>
              </w:rPr>
              <w:t>表土剥离：施工前对该区域进行表土剥离，剥离厚度30cm，呈棱台形堆放；施工结束后将底土回填平整，上覆表土。</w:t>
            </w:r>
          </w:p>
          <w:p w14:paraId="2D82EFFD">
            <w:pPr>
              <w:adjustRightInd w:val="0"/>
              <w:snapToGrid w:val="0"/>
              <w:spacing w:line="440" w:lineRule="exact"/>
              <w:ind w:firstLine="480" w:firstLineChars="200"/>
              <w:rPr>
                <w:rFonts w:eastAsia="宋体"/>
                <w:color w:val="auto"/>
                <w:sz w:val="24"/>
                <w:highlight w:val="none"/>
              </w:rPr>
            </w:pPr>
            <w:r>
              <w:rPr>
                <w:rFonts w:eastAsia="宋体"/>
                <w:color w:val="auto"/>
                <w:sz w:val="24"/>
                <w:highlight w:val="none"/>
              </w:rPr>
              <w:t>临时措施：</w:t>
            </w:r>
            <w:r>
              <w:rPr>
                <w:rFonts w:hint="eastAsia" w:eastAsia="宋体"/>
                <w:color w:val="auto"/>
                <w:sz w:val="24"/>
                <w:highlight w:val="none"/>
              </w:rPr>
              <w:t>基础</w:t>
            </w:r>
            <w:r>
              <w:rPr>
                <w:rFonts w:eastAsia="宋体"/>
                <w:color w:val="auto"/>
                <w:sz w:val="24"/>
                <w:highlight w:val="none"/>
              </w:rPr>
              <w:t>开挖产生的表土和底层土方须分类就近堆存，土方临时堆场采取表面拍实处理并在表面遮盖防尘网，四周设编织袋挡土堰挡护。</w:t>
            </w:r>
          </w:p>
          <w:p w14:paraId="2457753C">
            <w:pPr>
              <w:adjustRightInd w:val="0"/>
              <w:snapToGrid w:val="0"/>
              <w:spacing w:line="440" w:lineRule="exact"/>
              <w:ind w:firstLine="480" w:firstLineChars="200"/>
              <w:rPr>
                <w:rFonts w:hint="eastAsia" w:eastAsia="宋体"/>
                <w:color w:val="auto"/>
                <w:sz w:val="24"/>
                <w:highlight w:val="none"/>
                <w:lang w:eastAsia="zh-CN"/>
              </w:rPr>
            </w:pPr>
            <w:r>
              <w:rPr>
                <w:rFonts w:eastAsia="宋体"/>
                <w:color w:val="auto"/>
                <w:sz w:val="24"/>
                <w:highlight w:val="none"/>
              </w:rPr>
              <w:t>植物措施：施工结束后回填表土，平整开挖区</w:t>
            </w:r>
            <w:r>
              <w:rPr>
                <w:rFonts w:hint="eastAsia" w:eastAsia="宋体"/>
                <w:color w:val="auto"/>
                <w:sz w:val="24"/>
                <w:highlight w:val="none"/>
              </w:rPr>
              <w:t>，铁塔下方不适合栽植乔灌木（从安全角度考虑），塔基施工占用旱地区域进行土地复垦，恢复旱地面积</w:t>
            </w:r>
            <w:r>
              <w:rPr>
                <w:rFonts w:hint="eastAsia" w:eastAsia="宋体"/>
                <w:color w:val="auto"/>
                <w:sz w:val="24"/>
                <w:highlight w:val="none"/>
                <w:lang w:val="en-US" w:eastAsia="zh-CN"/>
              </w:rPr>
              <w:t>0.1094h</w:t>
            </w:r>
            <w:r>
              <w:rPr>
                <w:rFonts w:hint="eastAsia" w:eastAsia="宋体"/>
                <w:color w:val="auto"/>
                <w:sz w:val="24"/>
                <w:highlight w:val="none"/>
              </w:rPr>
              <w:t>m</w:t>
            </w:r>
            <w:r>
              <w:rPr>
                <w:rFonts w:hint="eastAsia" w:eastAsia="宋体"/>
                <w:color w:val="auto"/>
                <w:sz w:val="24"/>
                <w:highlight w:val="none"/>
                <w:vertAlign w:val="superscript"/>
              </w:rPr>
              <w:t>2</w:t>
            </w:r>
            <w:r>
              <w:rPr>
                <w:rFonts w:hint="eastAsia" w:eastAsia="宋体"/>
                <w:color w:val="auto"/>
                <w:sz w:val="24"/>
                <w:highlight w:val="none"/>
              </w:rPr>
              <w:t>，由当地村民来年播种；塔基占用</w:t>
            </w:r>
            <w:r>
              <w:rPr>
                <w:rFonts w:hint="eastAsia" w:ascii="Times New Roman" w:eastAsia="宋体"/>
                <w:color w:val="auto"/>
                <w:sz w:val="24"/>
                <w:highlight w:val="none"/>
                <w:lang w:val="en-US" w:eastAsia="zh-CN"/>
              </w:rPr>
              <w:t>林</w:t>
            </w:r>
            <w:r>
              <w:rPr>
                <w:rFonts w:hint="eastAsia" w:eastAsia="宋体"/>
                <w:color w:val="auto"/>
                <w:sz w:val="24"/>
                <w:highlight w:val="none"/>
              </w:rPr>
              <w:t>地区域通过撒播草籽的方式进行植被恢复，恢复面积</w:t>
            </w:r>
            <w:r>
              <w:rPr>
                <w:rFonts w:hint="eastAsia" w:ascii="Times New Roman" w:eastAsia="宋体"/>
                <w:color w:val="auto"/>
                <w:sz w:val="24"/>
                <w:highlight w:val="none"/>
                <w:lang w:val="en-US" w:eastAsia="zh-CN"/>
              </w:rPr>
              <w:t>0.</w:t>
            </w:r>
            <w:r>
              <w:rPr>
                <w:rFonts w:hint="eastAsia"/>
                <w:color w:val="auto"/>
                <w:sz w:val="24"/>
                <w:highlight w:val="none"/>
                <w:lang w:val="en-US" w:eastAsia="zh-CN"/>
              </w:rPr>
              <w:t>2794</w:t>
            </w:r>
            <w:r>
              <w:rPr>
                <w:rFonts w:hint="eastAsia" w:eastAsia="宋体"/>
                <w:color w:val="auto"/>
                <w:sz w:val="24"/>
                <w:highlight w:val="none"/>
                <w:lang w:val="en-US" w:eastAsia="zh-CN"/>
              </w:rPr>
              <w:t>h</w:t>
            </w:r>
            <w:r>
              <w:rPr>
                <w:rFonts w:hint="eastAsia" w:eastAsia="宋体"/>
                <w:color w:val="auto"/>
                <w:sz w:val="24"/>
                <w:highlight w:val="none"/>
              </w:rPr>
              <w:t>m</w:t>
            </w:r>
            <w:r>
              <w:rPr>
                <w:rFonts w:hint="eastAsia" w:eastAsia="宋体"/>
                <w:color w:val="auto"/>
                <w:sz w:val="24"/>
                <w:highlight w:val="none"/>
                <w:vertAlign w:val="superscript"/>
              </w:rPr>
              <w:t>2</w:t>
            </w:r>
            <w:r>
              <w:rPr>
                <w:rFonts w:hint="eastAsia" w:eastAsia="宋体"/>
                <w:color w:val="auto"/>
                <w:sz w:val="24"/>
                <w:highlight w:val="none"/>
              </w:rPr>
              <w:t>，草种选择本地草种白羊草，播种密度40kg/hm²，需草籽</w:t>
            </w:r>
            <w:r>
              <w:rPr>
                <w:rFonts w:hint="eastAsia"/>
                <w:color w:val="auto"/>
                <w:sz w:val="24"/>
                <w:highlight w:val="none"/>
                <w:lang w:val="en-US" w:eastAsia="zh-CN"/>
              </w:rPr>
              <w:t>11.176</w:t>
            </w:r>
            <w:r>
              <w:rPr>
                <w:rFonts w:hint="eastAsia" w:eastAsia="宋体"/>
                <w:color w:val="auto"/>
                <w:sz w:val="24"/>
                <w:highlight w:val="none"/>
              </w:rPr>
              <w:t>kg，共需草籽量</w:t>
            </w:r>
            <w:r>
              <w:rPr>
                <w:rFonts w:hint="eastAsia"/>
                <w:color w:val="auto"/>
                <w:sz w:val="24"/>
                <w:highlight w:val="none"/>
                <w:lang w:val="en-US" w:eastAsia="zh-CN"/>
              </w:rPr>
              <w:t>11.399</w:t>
            </w:r>
            <w:r>
              <w:rPr>
                <w:rFonts w:hint="eastAsia" w:eastAsia="宋体"/>
                <w:color w:val="auto"/>
                <w:sz w:val="24"/>
                <w:highlight w:val="none"/>
              </w:rPr>
              <w:t>kg（考虑2%的损耗），按工程量调整系数1.05考虑，需草籽</w:t>
            </w:r>
            <w:r>
              <w:rPr>
                <w:rFonts w:hint="eastAsia"/>
                <w:color w:val="auto"/>
                <w:sz w:val="24"/>
                <w:highlight w:val="none"/>
                <w:lang w:val="en-US" w:eastAsia="zh-CN"/>
              </w:rPr>
              <w:t>11.735</w:t>
            </w:r>
            <w:r>
              <w:rPr>
                <w:rFonts w:hint="eastAsia" w:eastAsia="宋体"/>
                <w:color w:val="auto"/>
                <w:sz w:val="24"/>
                <w:highlight w:val="none"/>
              </w:rPr>
              <w:t>kg。占用</w:t>
            </w:r>
            <w:r>
              <w:rPr>
                <w:rFonts w:hint="eastAsia" w:eastAsia="宋体"/>
                <w:color w:val="auto"/>
                <w:sz w:val="24"/>
                <w:highlight w:val="none"/>
                <w:lang w:val="en-US" w:eastAsia="zh-CN"/>
              </w:rPr>
              <w:t>其他草地</w:t>
            </w:r>
            <w:r>
              <w:rPr>
                <w:rFonts w:hint="eastAsia" w:eastAsia="宋体"/>
                <w:color w:val="auto"/>
                <w:sz w:val="24"/>
                <w:highlight w:val="none"/>
              </w:rPr>
              <w:t>区域通过撒播草籽的方式进行植被恢复，恢复面积</w:t>
            </w:r>
            <w:r>
              <w:rPr>
                <w:rFonts w:hint="eastAsia" w:ascii="Times New Roman" w:eastAsia="宋体"/>
                <w:color w:val="auto"/>
                <w:sz w:val="24"/>
                <w:highlight w:val="none"/>
                <w:lang w:val="en-US" w:eastAsia="zh-CN"/>
              </w:rPr>
              <w:t>0.2670</w:t>
            </w:r>
            <w:r>
              <w:rPr>
                <w:rFonts w:hint="eastAsia" w:eastAsia="宋体"/>
                <w:color w:val="auto"/>
                <w:sz w:val="24"/>
                <w:highlight w:val="none"/>
                <w:lang w:val="en-US" w:eastAsia="zh-CN"/>
              </w:rPr>
              <w:t>h</w:t>
            </w:r>
            <w:r>
              <w:rPr>
                <w:rFonts w:hint="eastAsia" w:eastAsia="宋体"/>
                <w:color w:val="auto"/>
                <w:sz w:val="24"/>
                <w:highlight w:val="none"/>
              </w:rPr>
              <w:t>m</w:t>
            </w:r>
            <w:r>
              <w:rPr>
                <w:rFonts w:hint="eastAsia" w:eastAsia="宋体"/>
                <w:color w:val="auto"/>
                <w:sz w:val="24"/>
                <w:highlight w:val="none"/>
                <w:vertAlign w:val="superscript"/>
              </w:rPr>
              <w:t>2</w:t>
            </w:r>
            <w:r>
              <w:rPr>
                <w:rFonts w:hint="eastAsia" w:eastAsia="宋体"/>
                <w:color w:val="auto"/>
                <w:sz w:val="24"/>
                <w:highlight w:val="none"/>
              </w:rPr>
              <w:t>，草种选择本地草种白羊草，播种密度40kg/hm²，需草籽</w:t>
            </w:r>
            <w:r>
              <w:rPr>
                <w:rFonts w:hint="eastAsia" w:eastAsia="宋体"/>
                <w:color w:val="auto"/>
                <w:sz w:val="24"/>
                <w:highlight w:val="none"/>
                <w:lang w:val="en-US" w:eastAsia="zh-CN"/>
              </w:rPr>
              <w:t>10.68</w:t>
            </w:r>
            <w:r>
              <w:rPr>
                <w:rFonts w:hint="eastAsia" w:eastAsia="宋体"/>
                <w:color w:val="auto"/>
                <w:sz w:val="24"/>
                <w:highlight w:val="none"/>
              </w:rPr>
              <w:t>kg，共需草籽量</w:t>
            </w:r>
            <w:r>
              <w:rPr>
                <w:rFonts w:hint="eastAsia" w:eastAsia="宋体"/>
                <w:color w:val="auto"/>
                <w:sz w:val="24"/>
                <w:highlight w:val="none"/>
                <w:lang w:val="en-US" w:eastAsia="zh-CN"/>
              </w:rPr>
              <w:t>10.9</w:t>
            </w:r>
            <w:r>
              <w:rPr>
                <w:rFonts w:hint="eastAsia" w:eastAsia="宋体"/>
                <w:color w:val="auto"/>
                <w:sz w:val="24"/>
                <w:highlight w:val="none"/>
              </w:rPr>
              <w:t>kg（考虑2%的损耗），按工程量调整系数1.05考虑，需草籽</w:t>
            </w:r>
            <w:r>
              <w:rPr>
                <w:rFonts w:hint="eastAsia" w:eastAsia="宋体"/>
                <w:color w:val="auto"/>
                <w:sz w:val="24"/>
                <w:highlight w:val="none"/>
                <w:lang w:val="en-US" w:eastAsia="zh-CN"/>
              </w:rPr>
              <w:t>11.</w:t>
            </w:r>
            <w:r>
              <w:rPr>
                <w:rFonts w:hint="eastAsia"/>
                <w:color w:val="auto"/>
                <w:sz w:val="24"/>
                <w:highlight w:val="none"/>
                <w:lang w:val="en-US" w:eastAsia="zh-CN"/>
              </w:rPr>
              <w:t>4</w:t>
            </w:r>
            <w:r>
              <w:rPr>
                <w:rFonts w:hint="eastAsia" w:eastAsia="宋体"/>
                <w:color w:val="auto"/>
                <w:sz w:val="24"/>
                <w:highlight w:val="none"/>
              </w:rPr>
              <w:t>kg</w:t>
            </w:r>
            <w:r>
              <w:rPr>
                <w:rFonts w:hint="eastAsia" w:eastAsia="宋体"/>
                <w:color w:val="auto"/>
                <w:sz w:val="24"/>
                <w:highlight w:val="none"/>
                <w:lang w:eastAsia="zh-CN"/>
              </w:rPr>
              <w:t>。</w:t>
            </w:r>
          </w:p>
          <w:p w14:paraId="5D39A39D">
            <w:pPr>
              <w:adjustRightInd w:val="0"/>
              <w:snapToGrid w:val="0"/>
              <w:spacing w:line="440" w:lineRule="exact"/>
              <w:ind w:firstLine="480" w:firstLineChars="200"/>
              <w:rPr>
                <w:rFonts w:eastAsia="宋体"/>
                <w:bCs/>
                <w:color w:val="auto"/>
                <w:sz w:val="24"/>
                <w:highlight w:val="none"/>
              </w:rPr>
            </w:pPr>
            <w:r>
              <w:rPr>
                <w:rFonts w:hint="eastAsia" w:eastAsia="宋体"/>
                <w:bCs/>
                <w:color w:val="auto"/>
                <w:sz w:val="24"/>
                <w:highlight w:val="none"/>
                <w:lang w:eastAsia="zh-CN"/>
              </w:rPr>
              <w:t>（</w:t>
            </w:r>
            <w:r>
              <w:rPr>
                <w:rFonts w:hint="eastAsia" w:eastAsia="宋体"/>
                <w:bCs/>
                <w:color w:val="auto"/>
                <w:sz w:val="24"/>
                <w:highlight w:val="none"/>
                <w:lang w:val="en-US" w:eastAsia="zh-CN"/>
              </w:rPr>
              <w:t>3</w:t>
            </w:r>
            <w:r>
              <w:rPr>
                <w:rFonts w:hint="eastAsia" w:eastAsia="宋体"/>
                <w:bCs/>
                <w:color w:val="auto"/>
                <w:sz w:val="24"/>
                <w:highlight w:val="none"/>
                <w:lang w:eastAsia="zh-CN"/>
              </w:rPr>
              <w:t>）</w:t>
            </w:r>
            <w:r>
              <w:rPr>
                <w:rFonts w:eastAsia="宋体"/>
                <w:bCs/>
                <w:color w:val="auto"/>
                <w:sz w:val="24"/>
                <w:highlight w:val="none"/>
              </w:rPr>
              <w:t>施工临建区防治区</w:t>
            </w:r>
          </w:p>
          <w:p w14:paraId="5150EC37">
            <w:pPr>
              <w:adjustRightInd w:val="0"/>
              <w:snapToGrid w:val="0"/>
              <w:spacing w:line="440" w:lineRule="exact"/>
              <w:ind w:firstLine="480" w:firstLineChars="200"/>
              <w:rPr>
                <w:rFonts w:eastAsia="宋体"/>
                <w:color w:val="auto"/>
                <w:sz w:val="24"/>
                <w:highlight w:val="none"/>
              </w:rPr>
            </w:pPr>
            <w:r>
              <w:rPr>
                <w:rFonts w:eastAsia="宋体"/>
                <w:color w:val="auto"/>
                <w:sz w:val="24"/>
                <w:highlight w:val="none"/>
              </w:rPr>
              <w:t>表土剥离：施工前对该区域进行表土剥离，剥离厚度30cm，呈棱台形堆放；施工结束后将底土回填平整，上覆表土。</w:t>
            </w:r>
          </w:p>
          <w:p w14:paraId="7170DE00">
            <w:pPr>
              <w:adjustRightInd w:val="0"/>
              <w:snapToGrid w:val="0"/>
              <w:spacing w:line="440" w:lineRule="exact"/>
              <w:ind w:firstLine="480" w:firstLineChars="200"/>
              <w:rPr>
                <w:rFonts w:eastAsia="宋体"/>
                <w:color w:val="auto"/>
                <w:sz w:val="24"/>
                <w:highlight w:val="none"/>
              </w:rPr>
            </w:pPr>
            <w:r>
              <w:rPr>
                <w:rFonts w:eastAsia="宋体"/>
                <w:color w:val="auto"/>
                <w:sz w:val="24"/>
                <w:highlight w:val="none"/>
              </w:rPr>
              <w:t>临时措施：基础开挖产生的表土和底层土方须分类就近堆存，土方临时堆场采取表面拍实处理并在表面遮盖防尘网，四周设编织袋挡土堰挡护。</w:t>
            </w:r>
          </w:p>
          <w:p w14:paraId="6C464E77">
            <w:pPr>
              <w:adjustRightInd w:val="0"/>
              <w:snapToGrid w:val="0"/>
              <w:spacing w:line="440" w:lineRule="exact"/>
              <w:ind w:firstLine="480" w:firstLineChars="200"/>
              <w:rPr>
                <w:rFonts w:hint="eastAsia" w:eastAsia="宋体"/>
                <w:bCs/>
                <w:color w:val="auto"/>
                <w:sz w:val="24"/>
                <w:highlight w:val="none"/>
              </w:rPr>
            </w:pPr>
            <w:r>
              <w:rPr>
                <w:rFonts w:eastAsia="宋体"/>
                <w:color w:val="auto"/>
                <w:sz w:val="24"/>
                <w:highlight w:val="none"/>
              </w:rPr>
              <w:t>植物措施：施工结束后及时进行土地平整，表土回填，</w:t>
            </w:r>
            <w:r>
              <w:rPr>
                <w:rFonts w:hint="eastAsia" w:eastAsia="宋体"/>
                <w:color w:val="auto"/>
                <w:sz w:val="24"/>
                <w:highlight w:val="none"/>
              </w:rPr>
              <w:t>通过</w:t>
            </w:r>
            <w:r>
              <w:rPr>
                <w:rFonts w:eastAsia="宋体"/>
                <w:color w:val="auto"/>
                <w:sz w:val="24"/>
                <w:highlight w:val="none"/>
              </w:rPr>
              <w:t>播撒草籽进行植被恢复，恢复植被</w:t>
            </w:r>
            <w:r>
              <w:rPr>
                <w:rFonts w:hint="eastAsia" w:eastAsia="宋体"/>
                <w:color w:val="auto"/>
                <w:sz w:val="24"/>
                <w:highlight w:val="none"/>
              </w:rPr>
              <w:t>24</w:t>
            </w:r>
            <w:r>
              <w:rPr>
                <w:rFonts w:eastAsia="宋体"/>
                <w:color w:val="auto"/>
                <w:sz w:val="24"/>
                <w:highlight w:val="none"/>
              </w:rPr>
              <w:t>00m</w:t>
            </w:r>
            <w:r>
              <w:rPr>
                <w:rFonts w:eastAsia="宋体"/>
                <w:color w:val="auto"/>
                <w:sz w:val="24"/>
                <w:highlight w:val="none"/>
                <w:vertAlign w:val="superscript"/>
              </w:rPr>
              <w:t>2</w:t>
            </w:r>
            <w:r>
              <w:rPr>
                <w:rFonts w:eastAsia="宋体"/>
                <w:color w:val="auto"/>
                <w:sz w:val="24"/>
                <w:highlight w:val="none"/>
              </w:rPr>
              <w:t>。草种选择本地草</w:t>
            </w:r>
            <w:r>
              <w:rPr>
                <w:rFonts w:hint="eastAsia" w:eastAsia="宋体"/>
                <w:color w:val="auto"/>
                <w:sz w:val="24"/>
                <w:highlight w:val="none"/>
              </w:rPr>
              <w:t>种白羊草</w:t>
            </w:r>
            <w:r>
              <w:rPr>
                <w:rFonts w:eastAsia="宋体"/>
                <w:color w:val="auto"/>
                <w:sz w:val="24"/>
                <w:highlight w:val="none"/>
              </w:rPr>
              <w:t>，播种密度40kg/hm²，共需草籽</w:t>
            </w:r>
            <w:r>
              <w:rPr>
                <w:rFonts w:hint="eastAsia" w:eastAsia="宋体"/>
                <w:color w:val="auto"/>
                <w:sz w:val="24"/>
                <w:highlight w:val="none"/>
              </w:rPr>
              <w:t>9.6</w:t>
            </w:r>
            <w:r>
              <w:rPr>
                <w:rFonts w:eastAsia="宋体"/>
                <w:color w:val="auto"/>
                <w:sz w:val="24"/>
                <w:highlight w:val="none"/>
              </w:rPr>
              <w:t>kg，需草籽量</w:t>
            </w:r>
            <w:r>
              <w:rPr>
                <w:rFonts w:hint="eastAsia" w:eastAsia="宋体"/>
                <w:color w:val="auto"/>
                <w:sz w:val="24"/>
                <w:highlight w:val="none"/>
              </w:rPr>
              <w:t>9.8</w:t>
            </w:r>
            <w:r>
              <w:rPr>
                <w:rFonts w:eastAsia="宋体"/>
                <w:color w:val="auto"/>
                <w:sz w:val="24"/>
                <w:highlight w:val="none"/>
              </w:rPr>
              <w:t>kg（考虑2%的损耗），按工程量调整系数1.05考虑，需草籽</w:t>
            </w:r>
            <w:r>
              <w:rPr>
                <w:rFonts w:hint="eastAsia" w:eastAsia="宋体"/>
                <w:color w:val="auto"/>
                <w:sz w:val="24"/>
                <w:highlight w:val="none"/>
              </w:rPr>
              <w:t>10.3</w:t>
            </w:r>
            <w:r>
              <w:rPr>
                <w:rFonts w:eastAsia="宋体"/>
                <w:color w:val="auto"/>
                <w:sz w:val="24"/>
                <w:highlight w:val="none"/>
              </w:rPr>
              <w:t>kg。</w:t>
            </w:r>
          </w:p>
          <w:p w14:paraId="52451F20">
            <w:pPr>
              <w:spacing w:line="480" w:lineRule="exact"/>
              <w:ind w:firstLine="420"/>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6、对生态红线的减缓和保护措施</w:t>
            </w:r>
          </w:p>
          <w:p w14:paraId="45FD9087">
            <w:pPr>
              <w:spacing w:line="480" w:lineRule="exact"/>
              <w:ind w:firstLine="420"/>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针对风机吊装平台临时占用生态红线及集电线路穿越生态红线区域的情况，提出以下措施切实降低对太行山水源涵养生态保护红线的影响：</w:t>
            </w:r>
          </w:p>
          <w:p w14:paraId="4CBBCF37">
            <w:pPr>
              <w:spacing w:line="480" w:lineRule="exact"/>
              <w:ind w:firstLine="420"/>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（1）预先划定作业边界：施工前，须采用物理围栏或醒目标识（如彩旗、界桩）精确界定吊装平台和塔基临时用地范围，严禁任何人员和设备越界施工。</w:t>
            </w:r>
          </w:p>
          <w:p w14:paraId="7D34CC47">
            <w:pPr>
              <w:spacing w:line="480" w:lineRule="exact"/>
              <w:ind w:firstLine="420"/>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（2）严格限定施工时段：应合理安排施工计划，避开雨季及野生动物活动敏感期（如繁殖季、迁徙期），最大限度减少对生态系统的持续性干扰。</w:t>
            </w:r>
          </w:p>
          <w:p w14:paraId="2BCD1750">
            <w:pPr>
              <w:spacing w:line="480" w:lineRule="exact"/>
              <w:ind w:firstLine="420"/>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（3）规范施工活动：施工车辆及设备须按预设路线行驶，禁止随意碾压红线内其他区域。施工材料应集中堆放在已划定的临时占地范围内，并采取防冲刷、防流失措施。</w:t>
            </w:r>
          </w:p>
          <w:p w14:paraId="27951B10">
            <w:pPr>
              <w:spacing w:line="480" w:lineRule="exact"/>
              <w:ind w:firstLine="420"/>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（4）严控施工范围：实际施工范围不得超过临时用地红线，禁止以任何形式扩大作业面或增设临时设施。</w:t>
            </w:r>
          </w:p>
          <w:p w14:paraId="45B89060">
            <w:pPr>
              <w:spacing w:line="480" w:lineRule="exact"/>
              <w:ind w:firstLine="420"/>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5）风机施工过程中同步实施截水沟、排水沟、沉沙池等工程，对裸露坡面及堆土及时采用防尘网苫盖，并于雨季来临前完成所有裸露地表临时覆盖或植被初步恢复；塔基进行精细化施工，采用低影响施工工艺，优先选用小型化、模块化机械设备，减少对地表植被和土壤结构的破坏，线路穿越段应采用高跨设计，减少林木砍伐。</w:t>
            </w:r>
          </w:p>
          <w:p w14:paraId="618B332E">
            <w:pPr>
              <w:spacing w:line="480" w:lineRule="exact"/>
              <w:ind w:firstLine="420"/>
              <w:textAlignment w:val="baseline"/>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val="en-US" w:eastAsia="zh-CN"/>
              </w:rPr>
              <w:t>施工期间严格保护周边原生植被，严禁砍伐、破坏红线范围内其他林木。</w:t>
            </w:r>
          </w:p>
          <w:p w14:paraId="064DBBE1">
            <w:pPr>
              <w:spacing w:line="480" w:lineRule="exact"/>
              <w:ind w:firstLine="420"/>
              <w:textAlignment w:val="baseline"/>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lang w:val="en-US" w:eastAsia="zh-CN"/>
              </w:rPr>
              <w:t>施工结束后，须立即依据土地复垦与生态修复方案，采用本地乡土植物物种，对临时占地区域进行植被重建与生态修复，重点选用具有水源涵养功能的树种与草灌组合，确保区域水源涵养功能不降低。</w:t>
            </w:r>
          </w:p>
          <w:p w14:paraId="7FA97662">
            <w:pPr>
              <w:spacing w:line="480" w:lineRule="exact"/>
              <w:ind w:firstLine="420"/>
              <w:textAlignment w:val="baseline"/>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lang w:val="en-US" w:eastAsia="zh-CN"/>
              </w:rPr>
              <w:t>建立生态监测机制，定期评估水源涵养功能恢复情况，确保不降低区域生态功能。</w:t>
            </w:r>
          </w:p>
          <w:p w14:paraId="4307B7B8">
            <w:pPr>
              <w:keepNext w:val="0"/>
              <w:keepLines w:val="0"/>
              <w:widowControl w:val="0"/>
              <w:suppressLineNumbers w:val="0"/>
              <w:autoSpaceDE w:val="0"/>
              <w:autoSpaceDN w:val="0"/>
              <w:adjustRightInd w:val="0"/>
              <w:snapToGrid w:val="0"/>
              <w:spacing w:before="0" w:beforeLines="0" w:beforeAutospacing="0" w:after="0" w:afterLines="0" w:afterAutospacing="0" w:line="480" w:lineRule="exact"/>
              <w:ind w:left="0" w:right="0" w:firstLine="504" w:firstLineChars="200"/>
              <w:jc w:val="both"/>
              <w:rPr>
                <w:rFonts w:hint="default" w:ascii="Times New Roman" w:hAnsi="Times New Roman" w:eastAsia="宋体" w:cs="Times New Roman"/>
                <w:b w:val="0"/>
                <w:bCs/>
                <w:color w:val="auto"/>
                <w:spacing w:val="6"/>
                <w:kern w:val="0"/>
                <w:sz w:val="24"/>
                <w:szCs w:val="21"/>
                <w:highlight w:val="none"/>
                <w:lang w:val="en-US" w:eastAsia="zh-CN" w:bidi="ar-SA"/>
              </w:rPr>
            </w:pPr>
            <w:r>
              <w:rPr>
                <w:rFonts w:hint="eastAsia" w:ascii="Times New Roman" w:hAnsi="Times New Roman" w:eastAsia="宋体" w:cs="Times New Roman"/>
                <w:b w:val="0"/>
                <w:bCs/>
                <w:color w:val="auto"/>
                <w:spacing w:val="6"/>
                <w:kern w:val="0"/>
                <w:sz w:val="24"/>
                <w:szCs w:val="21"/>
                <w:highlight w:val="none"/>
                <w:lang w:val="en-US" w:eastAsia="zh-CN" w:bidi="ar-SA"/>
              </w:rPr>
              <w:t>7、</w:t>
            </w:r>
            <w:r>
              <w:rPr>
                <w:rFonts w:hint="default" w:ascii="Times New Roman" w:hAnsi="Times New Roman" w:eastAsia="宋体" w:cs="Times New Roman"/>
                <w:b w:val="0"/>
                <w:bCs/>
                <w:color w:val="auto"/>
                <w:spacing w:val="6"/>
                <w:kern w:val="0"/>
                <w:sz w:val="24"/>
                <w:szCs w:val="21"/>
                <w:highlight w:val="none"/>
                <w:lang w:val="en-US" w:eastAsia="zh-CN" w:bidi="ar-SA"/>
              </w:rPr>
              <w:t>国家二级公益林的补偿措施和恢复措施</w:t>
            </w:r>
          </w:p>
          <w:p w14:paraId="72A651E4">
            <w:pPr>
              <w:spacing w:line="480" w:lineRule="exact"/>
              <w:ind w:firstLine="420"/>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（1）施工管控与监督</w:t>
            </w:r>
          </w:p>
          <w:p w14:paraId="0E3A1D99">
            <w:pPr>
              <w:spacing w:line="480" w:lineRule="exact"/>
              <w:ind w:firstLine="420"/>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严格划定施工活动边界，禁止施工车辆及人员随意进入林区，切实保护公益林原生植被不受损伤。同时，组织施工人员开展公益林保护相关法律法规培训，强化生态保护意识。全过程委托专业生态监理单位实施监督，对违规行为及时纠正并记录，确保施工行为规范有序。</w:t>
            </w:r>
          </w:p>
          <w:p w14:paraId="4972FC2A">
            <w:pPr>
              <w:spacing w:line="480" w:lineRule="exact"/>
              <w:ind w:firstLine="420"/>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（2）永久占用补偿措施</w:t>
            </w:r>
          </w:p>
          <w:p w14:paraId="6BD8D0F1">
            <w:pPr>
              <w:spacing w:line="480" w:lineRule="exact"/>
              <w:ind w:firstLine="420"/>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针对永久占用的0.0902公顷国家二级公益林，建设单位将严格依照林业主管部门要求，及时足额缴纳森林植被恢复费，并确保按照</w:t>
            </w:r>
            <w:r>
              <w:rPr>
                <w:rFonts w:hint="eastAsia" w:ascii="宋体" w:hAnsi="宋体" w:eastAsia="宋体" w:cs="宋体"/>
                <w:color w:val="auto"/>
                <w:sz w:val="24"/>
                <w:szCs w:val="24"/>
                <w:highlight w:val="none"/>
                <w:lang w:val="en-US" w:eastAsia="zh-CN"/>
              </w:rPr>
              <w:t>“占一补一”</w:t>
            </w:r>
            <w:r>
              <w:rPr>
                <w:rFonts w:hint="default" w:ascii="Times New Roman" w:hAnsi="Times New Roman" w:eastAsia="宋体" w:cs="Times New Roman"/>
                <w:color w:val="auto"/>
                <w:sz w:val="24"/>
                <w:szCs w:val="24"/>
                <w:highlight w:val="none"/>
                <w:lang w:val="en-US" w:eastAsia="zh-CN"/>
              </w:rPr>
              <w:t>原则落实面积补偿，保障公益林总量不减少、生态功能可持续。</w:t>
            </w:r>
          </w:p>
          <w:p w14:paraId="62343C67">
            <w:pPr>
              <w:spacing w:line="480" w:lineRule="exact"/>
              <w:ind w:firstLine="420"/>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（3）临时占用恢复措施</w:t>
            </w:r>
          </w:p>
          <w:p w14:paraId="3C047D1F">
            <w:pPr>
              <w:spacing w:line="480" w:lineRule="exact"/>
              <w:ind w:firstLine="420"/>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针对临时占用的0.4597公顷国家二级公益林，建设单位已委托第三方编制完成土地复垦方案。施工结束后，</w:t>
            </w:r>
            <w:r>
              <w:rPr>
                <w:rFonts w:hint="eastAsia" w:ascii="Times New Roman" w:hAnsi="Times New Roman" w:eastAsia="宋体" w:cs="Times New Roman"/>
                <w:color w:val="auto"/>
                <w:sz w:val="24"/>
                <w:szCs w:val="24"/>
                <w:highlight w:val="none"/>
                <w:lang w:val="en-US" w:eastAsia="zh-CN"/>
              </w:rPr>
              <w:t>应</w:t>
            </w:r>
            <w:r>
              <w:rPr>
                <w:rFonts w:hint="default" w:ascii="Times New Roman" w:hAnsi="Times New Roman" w:eastAsia="宋体" w:cs="Times New Roman"/>
                <w:color w:val="auto"/>
                <w:sz w:val="24"/>
                <w:szCs w:val="24"/>
                <w:highlight w:val="none"/>
                <w:lang w:val="en-US" w:eastAsia="zh-CN"/>
              </w:rPr>
              <w:t>立即依据方案开展系统性植被恢复，选用本地适生树种与灌草组合，确保受损林地在结构与功能上得到有效恢复，实现公益林面积的生态</w:t>
            </w:r>
            <w:r>
              <w:rPr>
                <w:rFonts w:hint="eastAsia" w:ascii="Times New Roman" w:hAnsi="Times New Roman" w:eastAsia="宋体" w:cs="Times New Roman"/>
                <w:color w:val="auto"/>
                <w:sz w:val="24"/>
                <w:szCs w:val="24"/>
                <w:highlight w:val="none"/>
                <w:lang w:val="en-US" w:eastAsia="zh-CN"/>
              </w:rPr>
              <w:t>恢复</w:t>
            </w:r>
            <w:r>
              <w:rPr>
                <w:rFonts w:hint="default" w:ascii="Times New Roman" w:hAnsi="Times New Roman" w:eastAsia="宋体" w:cs="Times New Roman"/>
                <w:color w:val="auto"/>
                <w:sz w:val="24"/>
                <w:szCs w:val="24"/>
                <w:highlight w:val="none"/>
                <w:lang w:val="en-US" w:eastAsia="zh-CN"/>
              </w:rPr>
              <w:t>。</w:t>
            </w:r>
          </w:p>
          <w:p w14:paraId="6FFA0999">
            <w:pPr>
              <w:spacing w:line="480" w:lineRule="exact"/>
              <w:ind w:firstLine="420"/>
              <w:textAlignment w:val="baseline"/>
              <w:rPr>
                <w:color w:val="auto"/>
                <w:sz w:val="24"/>
                <w:highlight w:val="none"/>
              </w:rPr>
            </w:pPr>
            <w:r>
              <w:rPr>
                <w:rFonts w:hint="eastAsia"/>
                <w:color w:val="auto"/>
                <w:sz w:val="24"/>
                <w:highlight w:val="none"/>
                <w:lang w:val="en-US" w:eastAsia="zh-CN"/>
              </w:rPr>
              <w:t>8</w:t>
            </w:r>
            <w:r>
              <w:rPr>
                <w:rFonts w:hint="eastAsia"/>
                <w:color w:val="auto"/>
                <w:sz w:val="24"/>
                <w:highlight w:val="none"/>
              </w:rPr>
              <w:t>、管理措施</w:t>
            </w:r>
          </w:p>
          <w:p w14:paraId="664F2F30">
            <w:pPr>
              <w:spacing w:line="480" w:lineRule="exact"/>
              <w:ind w:firstLine="420"/>
              <w:textAlignment w:val="baseline"/>
              <w:rPr>
                <w:color w:val="auto"/>
                <w:sz w:val="24"/>
                <w:highlight w:val="none"/>
              </w:rPr>
            </w:pPr>
            <w:r>
              <w:rPr>
                <w:rFonts w:hint="eastAsia"/>
                <w:color w:val="auto"/>
                <w:sz w:val="24"/>
                <w:highlight w:val="none"/>
              </w:rPr>
              <w:t>本项目的水土流失主要发生在施工过程中，施工中扰动原地貌，产生大量的松散堆积物，如不采取有效的防护，在大风和暴雨条件下，松散堆积物和开挖面极易产生水土流失。因此，施工过程中的水土流失具有易流失和流失量大的特点，必须进行预防，预防措施包括以下几方面：</w:t>
            </w:r>
          </w:p>
          <w:p w14:paraId="06D220FA">
            <w:pPr>
              <w:spacing w:line="480" w:lineRule="exact"/>
              <w:ind w:firstLine="420"/>
              <w:textAlignment w:val="baseline"/>
              <w:rPr>
                <w:color w:val="auto"/>
                <w:sz w:val="24"/>
                <w:highlight w:val="none"/>
              </w:rPr>
            </w:pPr>
            <w:r>
              <w:rPr>
                <w:rFonts w:hint="eastAsia"/>
                <w:color w:val="auto"/>
                <w:sz w:val="24"/>
                <w:highlight w:val="none"/>
              </w:rPr>
              <w:t>（1）合理安排施工期，场地平整、开挖等土建施工尽量避开雨季；</w:t>
            </w:r>
          </w:p>
          <w:p w14:paraId="4647D6CF">
            <w:pPr>
              <w:spacing w:line="480" w:lineRule="exact"/>
              <w:ind w:firstLine="420"/>
              <w:textAlignment w:val="baseline"/>
              <w:rPr>
                <w:color w:val="auto"/>
                <w:sz w:val="24"/>
                <w:highlight w:val="none"/>
              </w:rPr>
            </w:pPr>
            <w:r>
              <w:rPr>
                <w:rFonts w:hint="eastAsia"/>
                <w:color w:val="auto"/>
                <w:sz w:val="24"/>
                <w:highlight w:val="none"/>
              </w:rPr>
              <w:t>（2）大风天气对易起尘场所如堆土体、开挖区等采取遮盖、洒水等措施；</w:t>
            </w:r>
          </w:p>
          <w:p w14:paraId="4D08A1AF">
            <w:pPr>
              <w:spacing w:line="480" w:lineRule="exact"/>
              <w:ind w:firstLine="420"/>
              <w:textAlignment w:val="baseline"/>
              <w:rPr>
                <w:color w:val="auto"/>
                <w:sz w:val="24"/>
                <w:highlight w:val="none"/>
              </w:rPr>
            </w:pPr>
            <w:r>
              <w:rPr>
                <w:rFonts w:hint="eastAsia"/>
                <w:color w:val="auto"/>
                <w:sz w:val="24"/>
                <w:highlight w:val="none"/>
              </w:rPr>
              <w:t>（3）施工期间尽量减小施工占地，减小对原有地表植被的破坏面积；</w:t>
            </w:r>
          </w:p>
          <w:p w14:paraId="5F2F9249">
            <w:pPr>
              <w:spacing w:line="480" w:lineRule="exact"/>
              <w:ind w:firstLine="420"/>
              <w:textAlignment w:val="baseline"/>
              <w:rPr>
                <w:color w:val="auto"/>
                <w:sz w:val="24"/>
                <w:highlight w:val="none"/>
              </w:rPr>
            </w:pPr>
            <w:r>
              <w:rPr>
                <w:rFonts w:hint="eastAsia"/>
                <w:color w:val="auto"/>
                <w:sz w:val="24"/>
                <w:highlight w:val="none"/>
              </w:rPr>
              <w:t>（4）挖方首先用于回填，对于不能立即回填的，其堆放场所要做好防护措施；</w:t>
            </w:r>
          </w:p>
          <w:p w14:paraId="3F0BE0F2">
            <w:pPr>
              <w:spacing w:line="480" w:lineRule="exact"/>
              <w:ind w:firstLine="420"/>
              <w:textAlignment w:val="baseline"/>
              <w:rPr>
                <w:color w:val="auto"/>
                <w:sz w:val="24"/>
                <w:highlight w:val="none"/>
              </w:rPr>
            </w:pPr>
            <w:r>
              <w:rPr>
                <w:rFonts w:hint="eastAsia"/>
                <w:color w:val="auto"/>
                <w:sz w:val="24"/>
                <w:highlight w:val="none"/>
              </w:rPr>
              <w:t>（5）施工废水要集中处理，加以利用，防止造成水土流失；</w:t>
            </w:r>
          </w:p>
          <w:p w14:paraId="45C1895E">
            <w:pPr>
              <w:spacing w:line="480" w:lineRule="exact"/>
              <w:ind w:firstLine="420"/>
              <w:textAlignment w:val="baseline"/>
              <w:rPr>
                <w:color w:val="auto"/>
                <w:sz w:val="24"/>
                <w:highlight w:val="none"/>
              </w:rPr>
            </w:pPr>
            <w:r>
              <w:rPr>
                <w:rFonts w:hint="eastAsia"/>
                <w:color w:val="auto"/>
                <w:sz w:val="24"/>
                <w:highlight w:val="none"/>
              </w:rPr>
              <w:t>（6）施工期产生的建筑垃圾，要及时清运，堆放至指定的场所进行妥善处置；</w:t>
            </w:r>
          </w:p>
          <w:p w14:paraId="2CBFB2BE">
            <w:pPr>
              <w:spacing w:line="480" w:lineRule="exact"/>
              <w:ind w:firstLine="420"/>
              <w:textAlignment w:val="baseline"/>
              <w:rPr>
                <w:color w:val="auto"/>
                <w:sz w:val="24"/>
                <w:highlight w:val="none"/>
              </w:rPr>
            </w:pPr>
            <w:r>
              <w:rPr>
                <w:rFonts w:hint="eastAsia"/>
                <w:color w:val="auto"/>
                <w:sz w:val="24"/>
                <w:highlight w:val="none"/>
              </w:rPr>
              <w:t>（7）对已实施的水土流失防治措施，应加强管护，建立行之有效的管护制度，使之尽快发挥水土保持效益。</w:t>
            </w:r>
          </w:p>
          <w:p w14:paraId="5138E376">
            <w:pPr>
              <w:spacing w:line="480" w:lineRule="exact"/>
              <w:ind w:firstLine="480" w:firstLineChars="200"/>
              <w:textAlignment w:val="baseline"/>
              <w:rPr>
                <w:color w:val="auto"/>
                <w:sz w:val="24"/>
                <w:highlight w:val="none"/>
              </w:rPr>
            </w:pPr>
            <w:r>
              <w:rPr>
                <w:rFonts w:hint="eastAsia"/>
                <w:color w:val="auto"/>
                <w:sz w:val="24"/>
                <w:highlight w:val="none"/>
                <w:lang w:val="en-US" w:eastAsia="zh-CN"/>
              </w:rPr>
              <w:t>8</w:t>
            </w:r>
            <w:r>
              <w:rPr>
                <w:rFonts w:hint="eastAsia"/>
                <w:color w:val="auto"/>
                <w:sz w:val="24"/>
                <w:highlight w:val="none"/>
              </w:rPr>
              <w:t>、施工期环境监理</w:t>
            </w:r>
          </w:p>
          <w:p w14:paraId="0E7B07CD">
            <w:pPr>
              <w:pStyle w:val="23"/>
              <w:spacing w:line="480" w:lineRule="exact"/>
              <w:rPr>
                <w:color w:val="auto"/>
                <w:kern w:val="2"/>
                <w:szCs w:val="24"/>
                <w:highlight w:val="none"/>
              </w:rPr>
            </w:pPr>
            <w:r>
              <w:rPr>
                <w:color w:val="auto"/>
                <w:kern w:val="2"/>
                <w:szCs w:val="24"/>
                <w:highlight w:val="none"/>
              </w:rPr>
              <w:t>本项目施工期监理要求见下表。</w:t>
            </w:r>
          </w:p>
          <w:p w14:paraId="20E70676">
            <w:pPr>
              <w:pStyle w:val="20"/>
              <w:rPr>
                <w:color w:val="auto"/>
                <w:highlight w:val="none"/>
              </w:rPr>
            </w:pPr>
            <w:r>
              <w:rPr>
                <w:color w:val="auto"/>
                <w:highlight w:val="none"/>
              </w:rPr>
              <w:t>表</w:t>
            </w:r>
            <w:r>
              <w:rPr>
                <w:rFonts w:hint="eastAsia" w:ascii="黑体" w:hAnsi="黑体" w:eastAsia="黑体" w:cs="黑体"/>
                <w:color w:val="auto"/>
                <w:highlight w:val="none"/>
              </w:rPr>
              <w:t>5-2</w:t>
            </w:r>
            <w:r>
              <w:rPr>
                <w:color w:val="auto"/>
                <w:highlight w:val="none"/>
              </w:rPr>
              <w:t xml:space="preserve">    施工期环境监理内容表</w:t>
            </w:r>
          </w:p>
          <w:tbl>
            <w:tblPr>
              <w:tblStyle w:val="10"/>
              <w:tblW w:w="895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657"/>
              <w:gridCol w:w="563"/>
              <w:gridCol w:w="1045"/>
              <w:gridCol w:w="6694"/>
            </w:tblGrid>
            <w:tr w14:paraId="076321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367" w:type="pct"/>
                  <w:vAlign w:val="center"/>
                </w:tcPr>
                <w:p w14:paraId="59EF9F2D">
                  <w:pPr>
                    <w:pStyle w:val="22"/>
                    <w:spacing w:beforeLines="0" w:afterLines="0" w:line="240" w:lineRule="auto"/>
                    <w:rPr>
                      <w:rFonts w:ascii="Times New Roman"/>
                      <w:color w:val="auto"/>
                      <w:sz w:val="21"/>
                      <w:highlight w:val="none"/>
                    </w:rPr>
                  </w:pPr>
                  <w:r>
                    <w:rPr>
                      <w:rFonts w:ascii="Times New Roman"/>
                      <w:color w:val="auto"/>
                      <w:sz w:val="21"/>
                      <w:highlight w:val="none"/>
                    </w:rPr>
                    <w:t>时段</w:t>
                  </w:r>
                </w:p>
              </w:tc>
              <w:tc>
                <w:tcPr>
                  <w:tcW w:w="314" w:type="pct"/>
                  <w:vAlign w:val="center"/>
                </w:tcPr>
                <w:p w14:paraId="58BA7808">
                  <w:pPr>
                    <w:pStyle w:val="22"/>
                    <w:spacing w:beforeLines="0" w:afterLines="0" w:line="240" w:lineRule="auto"/>
                    <w:rPr>
                      <w:rFonts w:ascii="Times New Roman"/>
                      <w:color w:val="auto"/>
                      <w:sz w:val="21"/>
                      <w:highlight w:val="none"/>
                    </w:rPr>
                  </w:pPr>
                  <w:r>
                    <w:rPr>
                      <w:rFonts w:ascii="Times New Roman"/>
                      <w:color w:val="auto"/>
                      <w:sz w:val="21"/>
                      <w:highlight w:val="none"/>
                    </w:rPr>
                    <w:t>类型</w:t>
                  </w:r>
                </w:p>
              </w:tc>
              <w:tc>
                <w:tcPr>
                  <w:tcW w:w="583" w:type="pct"/>
                  <w:vAlign w:val="center"/>
                </w:tcPr>
                <w:p w14:paraId="049BC053">
                  <w:pPr>
                    <w:pStyle w:val="22"/>
                    <w:spacing w:beforeLines="0" w:afterLines="0" w:line="240" w:lineRule="auto"/>
                    <w:rPr>
                      <w:rFonts w:ascii="Times New Roman"/>
                      <w:color w:val="auto"/>
                      <w:sz w:val="21"/>
                      <w:highlight w:val="none"/>
                    </w:rPr>
                  </w:pPr>
                  <w:r>
                    <w:rPr>
                      <w:rFonts w:ascii="Times New Roman"/>
                      <w:color w:val="auto"/>
                      <w:sz w:val="21"/>
                      <w:highlight w:val="none"/>
                    </w:rPr>
                    <w:t>监理重点</w:t>
                  </w:r>
                </w:p>
              </w:tc>
              <w:tc>
                <w:tcPr>
                  <w:tcW w:w="3736" w:type="pct"/>
                  <w:vAlign w:val="center"/>
                </w:tcPr>
                <w:p w14:paraId="662DD577">
                  <w:pPr>
                    <w:pStyle w:val="22"/>
                    <w:spacing w:beforeLines="0" w:afterLines="0" w:line="240" w:lineRule="auto"/>
                    <w:rPr>
                      <w:rFonts w:ascii="Times New Roman"/>
                      <w:color w:val="auto"/>
                      <w:sz w:val="21"/>
                      <w:highlight w:val="none"/>
                    </w:rPr>
                  </w:pPr>
                  <w:r>
                    <w:rPr>
                      <w:rFonts w:ascii="Times New Roman"/>
                      <w:color w:val="auto"/>
                      <w:sz w:val="21"/>
                      <w:highlight w:val="none"/>
                    </w:rPr>
                    <w:t>监理内容</w:t>
                  </w:r>
                </w:p>
              </w:tc>
            </w:tr>
            <w:tr w14:paraId="6382DF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367" w:type="pct"/>
                  <w:vMerge w:val="restart"/>
                  <w:vAlign w:val="center"/>
                </w:tcPr>
                <w:p w14:paraId="010CF5F4">
                  <w:pPr>
                    <w:pStyle w:val="22"/>
                    <w:spacing w:beforeLines="0" w:afterLines="0" w:line="240" w:lineRule="auto"/>
                    <w:rPr>
                      <w:rFonts w:ascii="Times New Roman"/>
                      <w:color w:val="auto"/>
                      <w:sz w:val="21"/>
                      <w:highlight w:val="none"/>
                    </w:rPr>
                  </w:pPr>
                  <w:r>
                    <w:rPr>
                      <w:rFonts w:ascii="Times New Roman"/>
                      <w:color w:val="auto"/>
                      <w:sz w:val="21"/>
                      <w:highlight w:val="none"/>
                    </w:rPr>
                    <w:t>施</w:t>
                  </w:r>
                </w:p>
                <w:p w14:paraId="69443F6B">
                  <w:pPr>
                    <w:pStyle w:val="22"/>
                    <w:spacing w:beforeLines="0" w:afterLines="0" w:line="240" w:lineRule="auto"/>
                    <w:rPr>
                      <w:rFonts w:ascii="Times New Roman"/>
                      <w:color w:val="auto"/>
                      <w:sz w:val="21"/>
                      <w:highlight w:val="none"/>
                    </w:rPr>
                  </w:pPr>
                  <w:r>
                    <w:rPr>
                      <w:rFonts w:ascii="Times New Roman"/>
                      <w:color w:val="auto"/>
                      <w:sz w:val="21"/>
                      <w:highlight w:val="none"/>
                    </w:rPr>
                    <w:t>工</w:t>
                  </w:r>
                </w:p>
                <w:p w14:paraId="7A41EB66">
                  <w:pPr>
                    <w:pStyle w:val="22"/>
                    <w:spacing w:beforeLines="0" w:afterLines="0" w:line="240" w:lineRule="auto"/>
                    <w:rPr>
                      <w:rFonts w:ascii="Times New Roman"/>
                      <w:color w:val="auto"/>
                      <w:sz w:val="21"/>
                      <w:highlight w:val="none"/>
                    </w:rPr>
                  </w:pPr>
                  <w:r>
                    <w:rPr>
                      <w:rFonts w:ascii="Times New Roman"/>
                      <w:color w:val="auto"/>
                      <w:sz w:val="21"/>
                      <w:highlight w:val="none"/>
                    </w:rPr>
                    <w:t>期</w:t>
                  </w:r>
                </w:p>
              </w:tc>
              <w:tc>
                <w:tcPr>
                  <w:tcW w:w="314" w:type="pct"/>
                  <w:vMerge w:val="restart"/>
                  <w:vAlign w:val="center"/>
                </w:tcPr>
                <w:p w14:paraId="4DF09334">
                  <w:pPr>
                    <w:pStyle w:val="22"/>
                    <w:spacing w:beforeLines="0" w:afterLines="0" w:line="240" w:lineRule="auto"/>
                    <w:rPr>
                      <w:rFonts w:ascii="Times New Roman"/>
                      <w:color w:val="auto"/>
                      <w:sz w:val="21"/>
                      <w:highlight w:val="none"/>
                    </w:rPr>
                  </w:pPr>
                  <w:r>
                    <w:rPr>
                      <w:rFonts w:ascii="Times New Roman"/>
                      <w:color w:val="auto"/>
                      <w:sz w:val="21"/>
                      <w:highlight w:val="none"/>
                    </w:rPr>
                    <w:t>扬尘</w:t>
                  </w:r>
                </w:p>
              </w:tc>
              <w:tc>
                <w:tcPr>
                  <w:tcW w:w="583" w:type="pct"/>
                  <w:vMerge w:val="restart"/>
                  <w:vAlign w:val="center"/>
                </w:tcPr>
                <w:p w14:paraId="214C0224">
                  <w:pPr>
                    <w:pStyle w:val="22"/>
                    <w:spacing w:beforeLines="0" w:afterLines="0" w:line="240" w:lineRule="auto"/>
                    <w:rPr>
                      <w:rFonts w:ascii="Times New Roman"/>
                      <w:color w:val="auto"/>
                      <w:sz w:val="21"/>
                      <w:highlight w:val="none"/>
                    </w:rPr>
                  </w:pPr>
                  <w:r>
                    <w:rPr>
                      <w:rFonts w:ascii="Times New Roman"/>
                      <w:color w:val="auto"/>
                      <w:sz w:val="21"/>
                      <w:highlight w:val="none"/>
                    </w:rPr>
                    <w:t>挖填方、场地平整、运输车辆</w:t>
                  </w:r>
                </w:p>
              </w:tc>
              <w:tc>
                <w:tcPr>
                  <w:tcW w:w="3736" w:type="pct"/>
                  <w:vAlign w:val="center"/>
                </w:tcPr>
                <w:p w14:paraId="7BFAE728">
                  <w:pPr>
                    <w:pStyle w:val="22"/>
                    <w:spacing w:beforeLines="0" w:afterLines="0" w:line="240" w:lineRule="auto"/>
                    <w:jc w:val="both"/>
                    <w:rPr>
                      <w:rFonts w:ascii="Times New Roman"/>
                      <w:color w:val="auto"/>
                      <w:sz w:val="21"/>
                      <w:highlight w:val="none"/>
                    </w:rPr>
                  </w:pPr>
                  <w:r>
                    <w:rPr>
                      <w:rFonts w:ascii="Times New Roman"/>
                      <w:color w:val="auto"/>
                      <w:sz w:val="21"/>
                      <w:highlight w:val="none"/>
                    </w:rPr>
                    <w:t>土方堆放点要相对集中，易产生扬尘的堆放材料应采取覆盖措施，大风时停止施工；</w:t>
                  </w:r>
                </w:p>
              </w:tc>
            </w:tr>
            <w:tr w14:paraId="5C1919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367" w:type="pct"/>
                  <w:vMerge w:val="continue"/>
                  <w:vAlign w:val="center"/>
                </w:tcPr>
                <w:p w14:paraId="2ECC7460">
                  <w:pPr>
                    <w:pStyle w:val="22"/>
                    <w:spacing w:beforeLines="0" w:afterLines="0" w:line="240" w:lineRule="auto"/>
                    <w:rPr>
                      <w:rFonts w:ascii="Times New Roman"/>
                      <w:color w:val="auto"/>
                      <w:sz w:val="21"/>
                      <w:highlight w:val="none"/>
                    </w:rPr>
                  </w:pPr>
                </w:p>
              </w:tc>
              <w:tc>
                <w:tcPr>
                  <w:tcW w:w="314" w:type="pct"/>
                  <w:vMerge w:val="continue"/>
                  <w:vAlign w:val="center"/>
                </w:tcPr>
                <w:p w14:paraId="74995001">
                  <w:pPr>
                    <w:pStyle w:val="22"/>
                    <w:spacing w:beforeLines="0" w:afterLines="0" w:line="240" w:lineRule="auto"/>
                    <w:rPr>
                      <w:rFonts w:ascii="Times New Roman"/>
                      <w:color w:val="auto"/>
                      <w:sz w:val="21"/>
                      <w:highlight w:val="none"/>
                    </w:rPr>
                  </w:pPr>
                </w:p>
              </w:tc>
              <w:tc>
                <w:tcPr>
                  <w:tcW w:w="583" w:type="pct"/>
                  <w:vMerge w:val="continue"/>
                  <w:vAlign w:val="center"/>
                </w:tcPr>
                <w:p w14:paraId="389F1AFE">
                  <w:pPr>
                    <w:pStyle w:val="22"/>
                    <w:spacing w:beforeLines="0" w:afterLines="0" w:line="240" w:lineRule="auto"/>
                    <w:rPr>
                      <w:rFonts w:ascii="Times New Roman"/>
                      <w:color w:val="auto"/>
                      <w:sz w:val="21"/>
                      <w:highlight w:val="none"/>
                    </w:rPr>
                  </w:pPr>
                </w:p>
              </w:tc>
              <w:tc>
                <w:tcPr>
                  <w:tcW w:w="3736" w:type="pct"/>
                  <w:vAlign w:val="center"/>
                </w:tcPr>
                <w:p w14:paraId="4ADB5A04">
                  <w:pPr>
                    <w:pStyle w:val="22"/>
                    <w:spacing w:beforeLines="0" w:afterLines="0" w:line="240" w:lineRule="auto"/>
                    <w:jc w:val="both"/>
                    <w:rPr>
                      <w:rFonts w:ascii="Times New Roman"/>
                      <w:color w:val="auto"/>
                      <w:sz w:val="21"/>
                      <w:highlight w:val="none"/>
                    </w:rPr>
                  </w:pPr>
                  <w:r>
                    <w:rPr>
                      <w:rFonts w:ascii="Times New Roman"/>
                      <w:color w:val="auto"/>
                      <w:sz w:val="21"/>
                      <w:highlight w:val="none"/>
                    </w:rPr>
                    <w:t>规范运输路线，合理安排运输时间，加盖篷布；</w:t>
                  </w:r>
                </w:p>
              </w:tc>
            </w:tr>
            <w:tr w14:paraId="36E292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367" w:type="pct"/>
                  <w:vMerge w:val="continue"/>
                  <w:vAlign w:val="center"/>
                </w:tcPr>
                <w:p w14:paraId="4A00B3B4">
                  <w:pPr>
                    <w:pStyle w:val="22"/>
                    <w:spacing w:beforeLines="0" w:afterLines="0" w:line="240" w:lineRule="auto"/>
                    <w:rPr>
                      <w:rFonts w:ascii="Times New Roman"/>
                      <w:color w:val="auto"/>
                      <w:sz w:val="21"/>
                      <w:highlight w:val="none"/>
                    </w:rPr>
                  </w:pPr>
                </w:p>
              </w:tc>
              <w:tc>
                <w:tcPr>
                  <w:tcW w:w="314" w:type="pct"/>
                  <w:vMerge w:val="continue"/>
                  <w:vAlign w:val="center"/>
                </w:tcPr>
                <w:p w14:paraId="17FAEA7E">
                  <w:pPr>
                    <w:pStyle w:val="22"/>
                    <w:spacing w:beforeLines="0" w:afterLines="0" w:line="240" w:lineRule="auto"/>
                    <w:rPr>
                      <w:rFonts w:ascii="Times New Roman"/>
                      <w:color w:val="auto"/>
                      <w:sz w:val="21"/>
                      <w:highlight w:val="none"/>
                    </w:rPr>
                  </w:pPr>
                </w:p>
              </w:tc>
              <w:tc>
                <w:tcPr>
                  <w:tcW w:w="583" w:type="pct"/>
                  <w:vMerge w:val="continue"/>
                  <w:vAlign w:val="center"/>
                </w:tcPr>
                <w:p w14:paraId="10029F0C">
                  <w:pPr>
                    <w:pStyle w:val="22"/>
                    <w:spacing w:beforeLines="0" w:afterLines="0" w:line="240" w:lineRule="auto"/>
                    <w:rPr>
                      <w:rFonts w:ascii="Times New Roman"/>
                      <w:color w:val="auto"/>
                      <w:sz w:val="21"/>
                      <w:highlight w:val="none"/>
                    </w:rPr>
                  </w:pPr>
                </w:p>
              </w:tc>
              <w:tc>
                <w:tcPr>
                  <w:tcW w:w="3736" w:type="pct"/>
                  <w:vAlign w:val="center"/>
                </w:tcPr>
                <w:p w14:paraId="4F9C3679">
                  <w:pPr>
                    <w:pStyle w:val="22"/>
                    <w:spacing w:beforeLines="0" w:afterLines="0" w:line="240" w:lineRule="auto"/>
                    <w:jc w:val="both"/>
                    <w:rPr>
                      <w:rFonts w:ascii="Times New Roman"/>
                      <w:color w:val="auto"/>
                      <w:sz w:val="21"/>
                      <w:highlight w:val="none"/>
                    </w:rPr>
                  </w:pPr>
                  <w:r>
                    <w:rPr>
                      <w:rFonts w:ascii="Times New Roman"/>
                      <w:color w:val="auto"/>
                      <w:sz w:val="21"/>
                      <w:highlight w:val="none"/>
                    </w:rPr>
                    <w:t>定期洒水，定期清理，保证地面湿润不易起尘。</w:t>
                  </w:r>
                </w:p>
              </w:tc>
            </w:tr>
            <w:tr w14:paraId="553755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367" w:type="pct"/>
                  <w:vMerge w:val="continue"/>
                  <w:vAlign w:val="center"/>
                </w:tcPr>
                <w:p w14:paraId="2D24C4F0">
                  <w:pPr>
                    <w:pStyle w:val="22"/>
                    <w:spacing w:beforeLines="0" w:afterLines="0" w:line="240" w:lineRule="auto"/>
                    <w:rPr>
                      <w:rFonts w:ascii="Times New Roman"/>
                      <w:color w:val="auto"/>
                      <w:sz w:val="21"/>
                      <w:highlight w:val="none"/>
                    </w:rPr>
                  </w:pPr>
                </w:p>
              </w:tc>
              <w:tc>
                <w:tcPr>
                  <w:tcW w:w="314" w:type="pct"/>
                  <w:vAlign w:val="center"/>
                </w:tcPr>
                <w:p w14:paraId="76A40852">
                  <w:pPr>
                    <w:pStyle w:val="22"/>
                    <w:spacing w:beforeLines="0" w:afterLines="0" w:line="240" w:lineRule="auto"/>
                    <w:rPr>
                      <w:rFonts w:ascii="Times New Roman"/>
                      <w:color w:val="auto"/>
                      <w:sz w:val="21"/>
                      <w:highlight w:val="none"/>
                    </w:rPr>
                  </w:pPr>
                  <w:r>
                    <w:rPr>
                      <w:rFonts w:ascii="Times New Roman"/>
                      <w:color w:val="auto"/>
                      <w:sz w:val="21"/>
                      <w:highlight w:val="none"/>
                    </w:rPr>
                    <w:t>噪声</w:t>
                  </w:r>
                </w:p>
              </w:tc>
              <w:tc>
                <w:tcPr>
                  <w:tcW w:w="583" w:type="pct"/>
                  <w:vAlign w:val="center"/>
                </w:tcPr>
                <w:p w14:paraId="0DE02987">
                  <w:pPr>
                    <w:pStyle w:val="22"/>
                    <w:spacing w:beforeLines="0" w:afterLines="0" w:line="240" w:lineRule="auto"/>
                    <w:rPr>
                      <w:rFonts w:ascii="Times New Roman"/>
                      <w:color w:val="auto"/>
                      <w:sz w:val="21"/>
                      <w:highlight w:val="none"/>
                    </w:rPr>
                  </w:pPr>
                  <w:r>
                    <w:rPr>
                      <w:rFonts w:ascii="Times New Roman"/>
                      <w:color w:val="auto"/>
                      <w:sz w:val="21"/>
                      <w:highlight w:val="none"/>
                    </w:rPr>
                    <w:t>施工机械设备</w:t>
                  </w:r>
                </w:p>
              </w:tc>
              <w:tc>
                <w:tcPr>
                  <w:tcW w:w="3736" w:type="pct"/>
                  <w:vAlign w:val="center"/>
                </w:tcPr>
                <w:p w14:paraId="6BA5DDB5">
                  <w:pPr>
                    <w:pStyle w:val="22"/>
                    <w:spacing w:beforeLines="0" w:afterLines="0" w:line="240" w:lineRule="auto"/>
                    <w:jc w:val="both"/>
                    <w:rPr>
                      <w:rFonts w:ascii="Times New Roman"/>
                      <w:color w:val="auto"/>
                      <w:sz w:val="21"/>
                      <w:highlight w:val="none"/>
                    </w:rPr>
                  </w:pPr>
                  <w:r>
                    <w:rPr>
                      <w:rFonts w:ascii="Times New Roman"/>
                      <w:color w:val="auto"/>
                      <w:sz w:val="21"/>
                      <w:highlight w:val="none"/>
                    </w:rPr>
                    <w:t>合理安排作业时间，经常对设备进行检修维护，夜间应停止施工，尽量减少施工噪声影响。</w:t>
                  </w:r>
                </w:p>
              </w:tc>
            </w:tr>
            <w:tr w14:paraId="3B4183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367" w:type="pct"/>
                  <w:vMerge w:val="continue"/>
                  <w:vAlign w:val="center"/>
                </w:tcPr>
                <w:p w14:paraId="46D41294">
                  <w:pPr>
                    <w:pStyle w:val="22"/>
                    <w:spacing w:beforeLines="0" w:afterLines="0" w:line="240" w:lineRule="auto"/>
                    <w:rPr>
                      <w:rFonts w:ascii="Times New Roman"/>
                      <w:color w:val="auto"/>
                      <w:sz w:val="21"/>
                      <w:highlight w:val="none"/>
                    </w:rPr>
                  </w:pPr>
                </w:p>
              </w:tc>
              <w:tc>
                <w:tcPr>
                  <w:tcW w:w="314" w:type="pct"/>
                  <w:vAlign w:val="center"/>
                </w:tcPr>
                <w:p w14:paraId="50D9A084">
                  <w:pPr>
                    <w:pStyle w:val="22"/>
                    <w:spacing w:beforeLines="0" w:afterLines="0" w:line="240" w:lineRule="auto"/>
                    <w:rPr>
                      <w:rFonts w:ascii="Times New Roman"/>
                      <w:color w:val="auto"/>
                      <w:sz w:val="21"/>
                      <w:highlight w:val="none"/>
                    </w:rPr>
                  </w:pPr>
                  <w:r>
                    <w:rPr>
                      <w:rFonts w:ascii="Times New Roman"/>
                      <w:color w:val="auto"/>
                      <w:sz w:val="21"/>
                      <w:highlight w:val="none"/>
                    </w:rPr>
                    <w:t>废水</w:t>
                  </w:r>
                </w:p>
              </w:tc>
              <w:tc>
                <w:tcPr>
                  <w:tcW w:w="583" w:type="pct"/>
                  <w:vAlign w:val="center"/>
                </w:tcPr>
                <w:p w14:paraId="47EFBF3F">
                  <w:pPr>
                    <w:pStyle w:val="22"/>
                    <w:spacing w:beforeLines="0" w:afterLines="0" w:line="240" w:lineRule="auto"/>
                    <w:rPr>
                      <w:rFonts w:ascii="Times New Roman"/>
                      <w:color w:val="auto"/>
                      <w:sz w:val="21"/>
                      <w:highlight w:val="none"/>
                    </w:rPr>
                  </w:pPr>
                  <w:r>
                    <w:rPr>
                      <w:rFonts w:ascii="Times New Roman"/>
                      <w:color w:val="auto"/>
                      <w:sz w:val="21"/>
                      <w:highlight w:val="none"/>
                    </w:rPr>
                    <w:t>生活污水</w:t>
                  </w:r>
                </w:p>
              </w:tc>
              <w:tc>
                <w:tcPr>
                  <w:tcW w:w="3736" w:type="pct"/>
                  <w:vAlign w:val="center"/>
                </w:tcPr>
                <w:p w14:paraId="53889ED0">
                  <w:pPr>
                    <w:pStyle w:val="22"/>
                    <w:spacing w:beforeLines="0" w:afterLines="0" w:line="240" w:lineRule="auto"/>
                    <w:jc w:val="both"/>
                    <w:rPr>
                      <w:rFonts w:ascii="Times New Roman"/>
                      <w:color w:val="auto"/>
                      <w:sz w:val="21"/>
                      <w:highlight w:val="none"/>
                    </w:rPr>
                  </w:pPr>
                  <w:r>
                    <w:rPr>
                      <w:rFonts w:ascii="Times New Roman"/>
                      <w:color w:val="auto"/>
                      <w:sz w:val="21"/>
                      <w:highlight w:val="none"/>
                    </w:rPr>
                    <w:t>设沉淀池，废水经收集沉淀后可用于降尘洒水等；严禁随地泼洒污水，保持生活区卫生；严禁将施工废水、生活污水、生活垃圾等排入农田。</w:t>
                  </w:r>
                </w:p>
              </w:tc>
            </w:tr>
            <w:tr w14:paraId="2DD3C0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367" w:type="pct"/>
                  <w:vMerge w:val="continue"/>
                  <w:vAlign w:val="center"/>
                </w:tcPr>
                <w:p w14:paraId="5B70F5AB">
                  <w:pPr>
                    <w:pStyle w:val="22"/>
                    <w:spacing w:beforeLines="0" w:afterLines="0" w:line="240" w:lineRule="auto"/>
                    <w:rPr>
                      <w:rFonts w:ascii="Times New Roman"/>
                      <w:color w:val="auto"/>
                      <w:sz w:val="21"/>
                      <w:highlight w:val="none"/>
                    </w:rPr>
                  </w:pPr>
                </w:p>
              </w:tc>
              <w:tc>
                <w:tcPr>
                  <w:tcW w:w="314" w:type="pct"/>
                  <w:vAlign w:val="center"/>
                </w:tcPr>
                <w:p w14:paraId="178D97E3">
                  <w:pPr>
                    <w:pStyle w:val="22"/>
                    <w:spacing w:beforeLines="0" w:afterLines="0" w:line="240" w:lineRule="auto"/>
                    <w:rPr>
                      <w:rFonts w:ascii="Times New Roman"/>
                      <w:color w:val="auto"/>
                      <w:sz w:val="21"/>
                      <w:highlight w:val="none"/>
                    </w:rPr>
                  </w:pPr>
                  <w:r>
                    <w:rPr>
                      <w:rFonts w:ascii="Times New Roman"/>
                      <w:color w:val="auto"/>
                      <w:sz w:val="21"/>
                      <w:highlight w:val="none"/>
                    </w:rPr>
                    <w:t>固废</w:t>
                  </w:r>
                </w:p>
              </w:tc>
              <w:tc>
                <w:tcPr>
                  <w:tcW w:w="583" w:type="pct"/>
                  <w:vAlign w:val="center"/>
                </w:tcPr>
                <w:p w14:paraId="2E088F1F">
                  <w:pPr>
                    <w:pStyle w:val="22"/>
                    <w:spacing w:beforeLines="0" w:afterLines="0" w:line="240" w:lineRule="auto"/>
                    <w:rPr>
                      <w:rFonts w:ascii="Times New Roman"/>
                      <w:color w:val="auto"/>
                      <w:sz w:val="21"/>
                      <w:highlight w:val="none"/>
                    </w:rPr>
                  </w:pPr>
                  <w:r>
                    <w:rPr>
                      <w:rFonts w:ascii="Times New Roman"/>
                      <w:color w:val="auto"/>
                      <w:sz w:val="21"/>
                      <w:highlight w:val="none"/>
                    </w:rPr>
                    <w:t>生活垃圾</w:t>
                  </w:r>
                </w:p>
              </w:tc>
              <w:tc>
                <w:tcPr>
                  <w:tcW w:w="3736" w:type="pct"/>
                  <w:vAlign w:val="center"/>
                </w:tcPr>
                <w:p w14:paraId="19675FD2">
                  <w:pPr>
                    <w:pStyle w:val="22"/>
                    <w:spacing w:beforeLines="0" w:afterLines="0" w:line="240" w:lineRule="auto"/>
                    <w:jc w:val="both"/>
                    <w:rPr>
                      <w:rFonts w:ascii="Times New Roman"/>
                      <w:color w:val="auto"/>
                      <w:sz w:val="21"/>
                      <w:highlight w:val="none"/>
                    </w:rPr>
                  </w:pPr>
                  <w:r>
                    <w:rPr>
                      <w:rFonts w:ascii="Times New Roman"/>
                      <w:color w:val="auto"/>
                      <w:sz w:val="21"/>
                      <w:highlight w:val="none"/>
                    </w:rPr>
                    <w:t>设生活垃圾暂存点，集中收集后送至当地政府指定地点。</w:t>
                  </w:r>
                </w:p>
              </w:tc>
            </w:tr>
            <w:tr w14:paraId="635D27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367" w:type="pct"/>
                  <w:vMerge w:val="continue"/>
                  <w:vAlign w:val="center"/>
                </w:tcPr>
                <w:p w14:paraId="2F9367F8">
                  <w:pPr>
                    <w:pStyle w:val="22"/>
                    <w:spacing w:beforeLines="0" w:afterLines="0" w:line="240" w:lineRule="auto"/>
                    <w:rPr>
                      <w:rFonts w:ascii="Times New Roman"/>
                      <w:color w:val="auto"/>
                      <w:sz w:val="21"/>
                      <w:highlight w:val="none"/>
                    </w:rPr>
                  </w:pPr>
                </w:p>
              </w:tc>
              <w:tc>
                <w:tcPr>
                  <w:tcW w:w="314" w:type="pct"/>
                  <w:vAlign w:val="center"/>
                </w:tcPr>
                <w:p w14:paraId="450854A2">
                  <w:pPr>
                    <w:pStyle w:val="22"/>
                    <w:spacing w:beforeLines="0" w:afterLines="0" w:line="240" w:lineRule="auto"/>
                    <w:rPr>
                      <w:rFonts w:ascii="Times New Roman"/>
                      <w:color w:val="auto"/>
                      <w:sz w:val="21"/>
                      <w:highlight w:val="none"/>
                    </w:rPr>
                  </w:pPr>
                  <w:r>
                    <w:rPr>
                      <w:rFonts w:ascii="Times New Roman"/>
                      <w:color w:val="auto"/>
                      <w:sz w:val="21"/>
                      <w:highlight w:val="none"/>
                    </w:rPr>
                    <w:t>生态</w:t>
                  </w:r>
                </w:p>
              </w:tc>
              <w:tc>
                <w:tcPr>
                  <w:tcW w:w="583" w:type="pct"/>
                  <w:vAlign w:val="center"/>
                </w:tcPr>
                <w:p w14:paraId="6BA3A5E3">
                  <w:pPr>
                    <w:pStyle w:val="22"/>
                    <w:spacing w:beforeLines="0" w:afterLines="0" w:line="240" w:lineRule="auto"/>
                    <w:rPr>
                      <w:rFonts w:ascii="Times New Roman"/>
                      <w:color w:val="auto"/>
                      <w:sz w:val="21"/>
                      <w:highlight w:val="none"/>
                    </w:rPr>
                  </w:pPr>
                  <w:r>
                    <w:rPr>
                      <w:rFonts w:ascii="Times New Roman"/>
                      <w:color w:val="auto"/>
                      <w:sz w:val="21"/>
                      <w:highlight w:val="none"/>
                    </w:rPr>
                    <w:t>施工行为</w:t>
                  </w:r>
                </w:p>
              </w:tc>
              <w:tc>
                <w:tcPr>
                  <w:tcW w:w="3736" w:type="pct"/>
                  <w:vAlign w:val="center"/>
                </w:tcPr>
                <w:p w14:paraId="001FE9E8">
                  <w:pPr>
                    <w:pStyle w:val="22"/>
                    <w:spacing w:beforeLines="0" w:afterLines="0" w:line="240" w:lineRule="auto"/>
                    <w:jc w:val="both"/>
                    <w:rPr>
                      <w:rFonts w:ascii="Times New Roman"/>
                      <w:color w:val="auto"/>
                      <w:sz w:val="21"/>
                      <w:highlight w:val="none"/>
                    </w:rPr>
                  </w:pPr>
                  <w:r>
                    <w:rPr>
                      <w:rFonts w:ascii="Times New Roman"/>
                      <w:color w:val="auto"/>
                      <w:sz w:val="21"/>
                      <w:highlight w:val="none"/>
                    </w:rPr>
                    <w:t>施工单位应严格控制施工范围，尽可能避开现有植被和农田；生产土地应及时夯实、硬化，避开雨季施工，及时进行植被恢复与土地复垦。</w:t>
                  </w:r>
                </w:p>
              </w:tc>
            </w:tr>
            <w:tr w14:paraId="1AB2CA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367" w:type="pct"/>
                  <w:vMerge w:val="continue"/>
                  <w:vAlign w:val="center"/>
                </w:tcPr>
                <w:p w14:paraId="07B77E0C">
                  <w:pPr>
                    <w:pStyle w:val="22"/>
                    <w:spacing w:beforeLines="0" w:afterLines="0" w:line="240" w:lineRule="auto"/>
                    <w:rPr>
                      <w:rFonts w:ascii="Times New Roman"/>
                      <w:color w:val="auto"/>
                      <w:sz w:val="21"/>
                      <w:highlight w:val="none"/>
                    </w:rPr>
                  </w:pPr>
                </w:p>
              </w:tc>
              <w:tc>
                <w:tcPr>
                  <w:tcW w:w="314" w:type="pct"/>
                  <w:vAlign w:val="center"/>
                </w:tcPr>
                <w:p w14:paraId="256B5246">
                  <w:pPr>
                    <w:pStyle w:val="22"/>
                    <w:spacing w:beforeLines="0" w:afterLines="0" w:line="240" w:lineRule="auto"/>
                    <w:rPr>
                      <w:rFonts w:ascii="Times New Roman"/>
                      <w:color w:val="auto"/>
                      <w:sz w:val="21"/>
                      <w:highlight w:val="none"/>
                    </w:rPr>
                  </w:pPr>
                  <w:r>
                    <w:rPr>
                      <w:rFonts w:ascii="Times New Roman"/>
                      <w:color w:val="auto"/>
                      <w:sz w:val="21"/>
                      <w:highlight w:val="none"/>
                    </w:rPr>
                    <w:t>监理</w:t>
                  </w:r>
                </w:p>
              </w:tc>
              <w:tc>
                <w:tcPr>
                  <w:tcW w:w="583" w:type="pct"/>
                  <w:vAlign w:val="center"/>
                </w:tcPr>
                <w:p w14:paraId="21401EF3">
                  <w:pPr>
                    <w:pStyle w:val="22"/>
                    <w:spacing w:beforeLines="0" w:afterLines="0" w:line="240" w:lineRule="auto"/>
                    <w:rPr>
                      <w:rFonts w:ascii="Times New Roman"/>
                      <w:b/>
                      <w:color w:val="auto"/>
                      <w:sz w:val="21"/>
                      <w:highlight w:val="none"/>
                    </w:rPr>
                  </w:pPr>
                  <w:r>
                    <w:rPr>
                      <w:rFonts w:ascii="Times New Roman"/>
                      <w:b/>
                      <w:color w:val="auto"/>
                      <w:sz w:val="21"/>
                      <w:highlight w:val="none"/>
                    </w:rPr>
                    <w:t>--</w:t>
                  </w:r>
                </w:p>
              </w:tc>
              <w:tc>
                <w:tcPr>
                  <w:tcW w:w="3736" w:type="pct"/>
                  <w:vAlign w:val="center"/>
                </w:tcPr>
                <w:p w14:paraId="33F009C0">
                  <w:pPr>
                    <w:pStyle w:val="22"/>
                    <w:spacing w:beforeLines="0" w:afterLines="0" w:line="240" w:lineRule="auto"/>
                    <w:jc w:val="both"/>
                    <w:rPr>
                      <w:rFonts w:ascii="Times New Roman"/>
                      <w:color w:val="auto"/>
                      <w:sz w:val="21"/>
                      <w:highlight w:val="none"/>
                    </w:rPr>
                  </w:pPr>
                  <w:r>
                    <w:rPr>
                      <w:rFonts w:ascii="Times New Roman"/>
                      <w:color w:val="auto"/>
                      <w:sz w:val="21"/>
                      <w:highlight w:val="none"/>
                    </w:rPr>
                    <w:t>本项目施工期应有专人负责环境保护措施的监理工作，确保施工期各项环保措施的实施，对施工过程是否造成水土流失加剧和生态环境破坏，是否符合国家有关环保法律、法规等进行监理并及时解决纠正。</w:t>
                  </w:r>
                </w:p>
              </w:tc>
            </w:tr>
          </w:tbl>
          <w:p w14:paraId="580D13A9">
            <w:pPr>
              <w:spacing w:line="480" w:lineRule="exact"/>
              <w:ind w:firstLine="480" w:firstLineChars="200"/>
              <w:rPr>
                <w:color w:val="auto"/>
                <w:sz w:val="24"/>
                <w:highlight w:val="none"/>
              </w:rPr>
            </w:pPr>
          </w:p>
          <w:p w14:paraId="7C32C038">
            <w:pPr>
              <w:pStyle w:val="7"/>
              <w:rPr>
                <w:color w:val="auto"/>
                <w:sz w:val="24"/>
                <w:highlight w:val="none"/>
              </w:rPr>
            </w:pPr>
          </w:p>
          <w:p w14:paraId="0086018C">
            <w:pPr>
              <w:pStyle w:val="7"/>
              <w:ind w:left="0" w:leftChars="0" w:firstLine="0" w:firstLineChars="0"/>
              <w:rPr>
                <w:color w:val="auto"/>
                <w:sz w:val="24"/>
                <w:highlight w:val="none"/>
              </w:rPr>
            </w:pPr>
          </w:p>
          <w:p w14:paraId="6357D6BC">
            <w:pPr>
              <w:rPr>
                <w:color w:val="auto"/>
                <w:highlight w:val="none"/>
              </w:rPr>
            </w:pPr>
          </w:p>
          <w:p w14:paraId="2F1CF1A4">
            <w:pPr>
              <w:rPr>
                <w:color w:val="auto"/>
                <w:highlight w:val="none"/>
              </w:rPr>
            </w:pPr>
          </w:p>
          <w:p w14:paraId="2C75A11D">
            <w:pPr>
              <w:rPr>
                <w:color w:val="auto"/>
                <w:highlight w:val="none"/>
              </w:rPr>
            </w:pPr>
          </w:p>
          <w:p w14:paraId="50188D85">
            <w:pPr>
              <w:rPr>
                <w:color w:val="auto"/>
                <w:highlight w:val="none"/>
              </w:rPr>
            </w:pPr>
          </w:p>
          <w:p w14:paraId="308D83DF">
            <w:pPr>
              <w:rPr>
                <w:color w:val="auto"/>
                <w:highlight w:val="none"/>
              </w:rPr>
            </w:pPr>
          </w:p>
          <w:p w14:paraId="19BE1D5F">
            <w:pPr>
              <w:rPr>
                <w:color w:val="auto"/>
                <w:highlight w:val="none"/>
              </w:rPr>
            </w:pPr>
          </w:p>
          <w:p w14:paraId="09AB56AF">
            <w:pPr>
              <w:rPr>
                <w:color w:val="auto"/>
                <w:highlight w:val="none"/>
              </w:rPr>
            </w:pPr>
          </w:p>
          <w:p w14:paraId="5626238B">
            <w:pPr>
              <w:rPr>
                <w:color w:val="auto"/>
                <w:highlight w:val="none"/>
              </w:rPr>
            </w:pPr>
          </w:p>
          <w:p w14:paraId="06489715">
            <w:pPr>
              <w:rPr>
                <w:color w:val="auto"/>
                <w:highlight w:val="none"/>
              </w:rPr>
            </w:pPr>
          </w:p>
          <w:p w14:paraId="5ED41CC1">
            <w:pPr>
              <w:rPr>
                <w:color w:val="auto"/>
                <w:highlight w:val="none"/>
              </w:rPr>
            </w:pPr>
          </w:p>
          <w:p w14:paraId="66C50DBB">
            <w:pPr>
              <w:rPr>
                <w:color w:val="auto"/>
                <w:highlight w:val="none"/>
              </w:rPr>
            </w:pPr>
          </w:p>
          <w:p w14:paraId="1FC5BBD0">
            <w:pPr>
              <w:rPr>
                <w:color w:val="auto"/>
                <w:highlight w:val="none"/>
              </w:rPr>
            </w:pPr>
          </w:p>
          <w:p w14:paraId="623AC8CF">
            <w:pPr>
              <w:rPr>
                <w:color w:val="auto"/>
                <w:highlight w:val="none"/>
              </w:rPr>
            </w:pPr>
          </w:p>
          <w:p w14:paraId="07576047">
            <w:pPr>
              <w:rPr>
                <w:color w:val="auto"/>
                <w:highlight w:val="none"/>
              </w:rPr>
            </w:pPr>
          </w:p>
          <w:p w14:paraId="65556F2A">
            <w:pPr>
              <w:rPr>
                <w:color w:val="auto"/>
                <w:highlight w:val="none"/>
              </w:rPr>
            </w:pPr>
          </w:p>
          <w:p w14:paraId="3C1FDECE">
            <w:pPr>
              <w:rPr>
                <w:color w:val="auto"/>
                <w:highlight w:val="none"/>
              </w:rPr>
            </w:pPr>
          </w:p>
          <w:p w14:paraId="3C6A8944">
            <w:pPr>
              <w:rPr>
                <w:color w:val="auto"/>
                <w:highlight w:val="none"/>
              </w:rPr>
            </w:pPr>
          </w:p>
          <w:p w14:paraId="211814FE">
            <w:pPr>
              <w:rPr>
                <w:color w:val="auto"/>
                <w:highlight w:val="none"/>
              </w:rPr>
            </w:pPr>
          </w:p>
          <w:p w14:paraId="60A86BCF">
            <w:pPr>
              <w:rPr>
                <w:color w:val="auto"/>
                <w:highlight w:val="none"/>
              </w:rPr>
            </w:pPr>
          </w:p>
          <w:p w14:paraId="015761FD">
            <w:pPr>
              <w:rPr>
                <w:color w:val="auto"/>
                <w:highlight w:val="none"/>
              </w:rPr>
            </w:pPr>
          </w:p>
          <w:p w14:paraId="21CDB847">
            <w:pPr>
              <w:rPr>
                <w:color w:val="auto"/>
                <w:highlight w:val="none"/>
              </w:rPr>
            </w:pPr>
          </w:p>
          <w:p w14:paraId="4CF3EC47">
            <w:pPr>
              <w:rPr>
                <w:color w:val="auto"/>
                <w:highlight w:val="none"/>
              </w:rPr>
            </w:pPr>
          </w:p>
          <w:p w14:paraId="01283E60">
            <w:pPr>
              <w:rPr>
                <w:color w:val="auto"/>
                <w:highlight w:val="none"/>
              </w:rPr>
            </w:pPr>
          </w:p>
          <w:p w14:paraId="4392E17A">
            <w:pPr>
              <w:rPr>
                <w:color w:val="auto"/>
                <w:highlight w:val="none"/>
              </w:rPr>
            </w:pPr>
          </w:p>
          <w:p w14:paraId="5A4D97B0">
            <w:pPr>
              <w:rPr>
                <w:color w:val="auto"/>
                <w:highlight w:val="none"/>
              </w:rPr>
            </w:pPr>
          </w:p>
          <w:p w14:paraId="639DEE49">
            <w:pPr>
              <w:rPr>
                <w:color w:val="auto"/>
                <w:highlight w:val="none"/>
              </w:rPr>
            </w:pPr>
          </w:p>
          <w:p w14:paraId="6C403859">
            <w:pPr>
              <w:rPr>
                <w:color w:val="auto"/>
                <w:highlight w:val="none"/>
              </w:rPr>
            </w:pPr>
          </w:p>
          <w:p w14:paraId="789781F2">
            <w:pPr>
              <w:rPr>
                <w:color w:val="auto"/>
                <w:highlight w:val="none"/>
              </w:rPr>
            </w:pPr>
          </w:p>
          <w:p w14:paraId="224096BE">
            <w:pPr>
              <w:rPr>
                <w:color w:val="auto"/>
                <w:highlight w:val="none"/>
              </w:rPr>
            </w:pPr>
          </w:p>
          <w:p w14:paraId="32E54312">
            <w:pPr>
              <w:rPr>
                <w:color w:val="auto"/>
                <w:highlight w:val="none"/>
              </w:rPr>
            </w:pPr>
          </w:p>
          <w:p w14:paraId="13F393E5">
            <w:pPr>
              <w:rPr>
                <w:color w:val="auto"/>
                <w:highlight w:val="none"/>
              </w:rPr>
            </w:pPr>
          </w:p>
          <w:p w14:paraId="484680DE">
            <w:pPr>
              <w:rPr>
                <w:color w:val="auto"/>
                <w:highlight w:val="none"/>
              </w:rPr>
            </w:pPr>
          </w:p>
          <w:p w14:paraId="13E9061C">
            <w:pPr>
              <w:rPr>
                <w:color w:val="auto"/>
                <w:highlight w:val="none"/>
              </w:rPr>
            </w:pPr>
          </w:p>
          <w:p w14:paraId="7C01CC46">
            <w:pPr>
              <w:rPr>
                <w:color w:val="auto"/>
                <w:highlight w:val="none"/>
              </w:rPr>
            </w:pPr>
          </w:p>
          <w:p w14:paraId="39C3EC47">
            <w:pPr>
              <w:rPr>
                <w:color w:val="auto"/>
                <w:highlight w:val="none"/>
              </w:rPr>
            </w:pPr>
          </w:p>
        </w:tc>
      </w:tr>
      <w:tr w14:paraId="028F1A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35" w:hRule="atLeast"/>
          <w:jc w:val="center"/>
        </w:trPr>
        <w:tc>
          <w:tcPr>
            <w:tcW w:w="753" w:type="dxa"/>
            <w:tcMar>
              <w:left w:w="28" w:type="dxa"/>
              <w:right w:w="28" w:type="dxa"/>
            </w:tcMar>
            <w:vAlign w:val="center"/>
          </w:tcPr>
          <w:p w14:paraId="1BAD53C9">
            <w:pPr>
              <w:adjustRightInd w:val="0"/>
              <w:snapToGrid w:val="0"/>
              <w:jc w:val="center"/>
              <w:rPr>
                <w:rFonts w:hint="eastAsia" w:ascii="宋体" w:hAnsi="宋体" w:cs="宋体"/>
                <w:bCs/>
                <w:color w:val="auto"/>
                <w:spacing w:val="10"/>
                <w:szCs w:val="21"/>
                <w:highlight w:val="none"/>
              </w:rPr>
            </w:pPr>
            <w:r>
              <w:rPr>
                <w:rFonts w:hint="eastAsia" w:ascii="宋体" w:hAnsi="宋体" w:cs="宋体"/>
                <w:bCs/>
                <w:color w:val="auto"/>
                <w:spacing w:val="10"/>
                <w:sz w:val="24"/>
                <w:szCs w:val="24"/>
                <w:highlight w:val="none"/>
              </w:rPr>
              <w:t>运营期生态环境保护措施</w:t>
            </w:r>
          </w:p>
        </w:tc>
        <w:tc>
          <w:tcPr>
            <w:tcW w:w="8457" w:type="dxa"/>
          </w:tcPr>
          <w:p w14:paraId="63741332">
            <w:pPr>
              <w:spacing w:line="480" w:lineRule="exact"/>
              <w:ind w:firstLine="520" w:firstLineChars="200"/>
              <w:rPr>
                <w:bCs/>
                <w:color w:val="auto"/>
                <w:spacing w:val="10"/>
                <w:sz w:val="24"/>
                <w:highlight w:val="none"/>
              </w:rPr>
            </w:pPr>
            <w:r>
              <w:rPr>
                <w:bCs/>
                <w:color w:val="auto"/>
                <w:spacing w:val="10"/>
                <w:sz w:val="24"/>
                <w:highlight w:val="none"/>
              </w:rPr>
              <w:t>1、运营期生态防护与恢复措施</w:t>
            </w:r>
          </w:p>
          <w:p w14:paraId="77114272">
            <w:pPr>
              <w:spacing w:line="480" w:lineRule="exact"/>
              <w:ind w:firstLine="480" w:firstLineChars="200"/>
              <w:rPr>
                <w:color w:val="auto"/>
                <w:sz w:val="24"/>
                <w:highlight w:val="none"/>
              </w:rPr>
            </w:pPr>
            <w:r>
              <w:rPr>
                <w:rFonts w:hint="eastAsia"/>
                <w:color w:val="auto"/>
                <w:sz w:val="24"/>
                <w:highlight w:val="none"/>
              </w:rPr>
              <w:t>绿化是改善生态环境的最重要的途径之一，绿化具有蓄水、挡风、固土、降噪及改善小气候、防止水土流失等功能。在工程建设及运营中，应有绿化规划，选用乡土草种，避免了外来物种的入侵。</w:t>
            </w:r>
          </w:p>
          <w:p w14:paraId="6C2F1515">
            <w:pPr>
              <w:spacing w:line="480" w:lineRule="exact"/>
              <w:ind w:firstLine="480" w:firstLineChars="200"/>
              <w:rPr>
                <w:color w:val="auto"/>
                <w:sz w:val="24"/>
                <w:highlight w:val="none"/>
              </w:rPr>
            </w:pPr>
            <w:r>
              <w:rPr>
                <w:rFonts w:hint="eastAsia"/>
                <w:color w:val="auto"/>
                <w:sz w:val="24"/>
                <w:highlight w:val="none"/>
              </w:rPr>
              <w:t>运营期间，建设单位应制定植被管理计划，对风电场范围内的植被现状进行巡查，及时对未成活的区域进行土壤改良和植被补栽，严格管控风电场区域人、畜活动。另外需加强对职工的环境保护教育，提高环保认识，杜绝对各种动物的滥捕、滥猎现象。</w:t>
            </w:r>
          </w:p>
          <w:p w14:paraId="6548C8A1">
            <w:pPr>
              <w:spacing w:line="480" w:lineRule="exact"/>
              <w:ind w:firstLine="480" w:firstLineChars="200"/>
              <w:rPr>
                <w:color w:val="auto"/>
                <w:sz w:val="24"/>
                <w:highlight w:val="none"/>
              </w:rPr>
            </w:pPr>
            <w:r>
              <w:rPr>
                <w:rFonts w:hint="eastAsia"/>
                <w:color w:val="auto"/>
                <w:sz w:val="24"/>
                <w:highlight w:val="none"/>
              </w:rPr>
              <w:t>采取以上的补偿与恢复措施后，将有利于改善电站及其周边的生态环境，为职工及附近的居民创造一个绿色的生活环境。</w:t>
            </w:r>
          </w:p>
          <w:p w14:paraId="3445A806">
            <w:pPr>
              <w:spacing w:line="480" w:lineRule="exact"/>
              <w:ind w:firstLine="480" w:firstLineChars="200"/>
              <w:rPr>
                <w:color w:val="auto"/>
                <w:sz w:val="24"/>
                <w:highlight w:val="none"/>
              </w:rPr>
            </w:pPr>
            <w:r>
              <w:rPr>
                <w:color w:val="auto"/>
                <w:sz w:val="24"/>
                <w:highlight w:val="none"/>
              </w:rPr>
              <w:t>2、运营期水污染防治措施</w:t>
            </w:r>
          </w:p>
          <w:p w14:paraId="6F4BB85B">
            <w:pPr>
              <w:spacing w:line="480" w:lineRule="exact"/>
              <w:ind w:firstLine="480" w:firstLineChars="200"/>
              <w:rPr>
                <w:color w:val="auto"/>
                <w:sz w:val="24"/>
                <w:highlight w:val="none"/>
              </w:rPr>
            </w:pPr>
            <w:r>
              <w:rPr>
                <w:rFonts w:hint="eastAsia"/>
                <w:color w:val="auto"/>
                <w:sz w:val="24"/>
                <w:highlight w:val="none"/>
              </w:rPr>
              <w:t>（1）生产废水</w:t>
            </w:r>
          </w:p>
          <w:p w14:paraId="46EC7484">
            <w:pPr>
              <w:spacing w:line="480" w:lineRule="exact"/>
              <w:ind w:firstLine="480" w:firstLineChars="200"/>
              <w:rPr>
                <w:color w:val="auto"/>
                <w:sz w:val="24"/>
                <w:highlight w:val="none"/>
              </w:rPr>
            </w:pPr>
            <w:r>
              <w:rPr>
                <w:rFonts w:hint="eastAsia"/>
                <w:color w:val="auto"/>
                <w:sz w:val="24"/>
                <w:highlight w:val="none"/>
              </w:rPr>
              <w:t>运营期风电场范围内无废水排放，不会对周边地表水环境及地下水环境产生影响。</w:t>
            </w:r>
          </w:p>
          <w:p w14:paraId="783ED6B9">
            <w:pPr>
              <w:spacing w:line="480" w:lineRule="exact"/>
              <w:ind w:firstLine="480" w:firstLineChars="200"/>
              <w:rPr>
                <w:rFonts w:hint="eastAsia" w:eastAsia="宋体"/>
                <w:color w:val="auto"/>
                <w:sz w:val="24"/>
                <w:highlight w:val="none"/>
                <w:lang w:val="en-US" w:eastAsia="zh-CN"/>
              </w:rPr>
            </w:pPr>
            <w:r>
              <w:rPr>
                <w:rFonts w:hint="eastAsia"/>
                <w:color w:val="auto"/>
                <w:sz w:val="24"/>
                <w:highlight w:val="none"/>
              </w:rPr>
              <w:t>（2）生活</w:t>
            </w:r>
            <w:r>
              <w:rPr>
                <w:rFonts w:hint="eastAsia" w:ascii="Times New Roman" w:eastAsia="宋体"/>
                <w:color w:val="auto"/>
                <w:sz w:val="24"/>
                <w:highlight w:val="none"/>
                <w:lang w:val="en-US" w:eastAsia="zh-CN"/>
              </w:rPr>
              <w:t>污水</w:t>
            </w:r>
          </w:p>
          <w:p w14:paraId="1DC07131">
            <w:pPr>
              <w:spacing w:line="480" w:lineRule="exact"/>
              <w:ind w:firstLine="480" w:firstLineChars="200"/>
              <w:rPr>
                <w:color w:val="auto"/>
                <w:sz w:val="24"/>
                <w:highlight w:val="none"/>
              </w:rPr>
            </w:pPr>
            <w:r>
              <w:rPr>
                <w:rFonts w:hint="eastAsia" w:ascii="Times New Roman" w:eastAsia="宋体"/>
                <w:color w:val="auto"/>
                <w:sz w:val="24"/>
                <w:highlight w:val="none"/>
                <w:lang w:val="en-US" w:eastAsia="zh-CN"/>
              </w:rPr>
              <w:t>本项目新增</w:t>
            </w:r>
            <w:r>
              <w:rPr>
                <w:rFonts w:hint="eastAsia"/>
                <w:color w:val="auto"/>
                <w:sz w:val="24"/>
                <w:highlight w:val="none"/>
              </w:rPr>
              <w:t>劳动定员</w:t>
            </w:r>
            <w:r>
              <w:rPr>
                <w:rFonts w:hint="eastAsia" w:ascii="Times New Roman" w:eastAsia="宋体"/>
                <w:color w:val="auto"/>
                <w:sz w:val="24"/>
                <w:highlight w:val="none"/>
                <w:lang w:val="en-US" w:eastAsia="zh-CN"/>
              </w:rPr>
              <w:t>5</w:t>
            </w:r>
            <w:r>
              <w:rPr>
                <w:rFonts w:hint="eastAsia"/>
                <w:color w:val="auto"/>
                <w:sz w:val="24"/>
                <w:highlight w:val="none"/>
              </w:rPr>
              <w:t>人，生活污水量为0.</w:t>
            </w:r>
            <w:r>
              <w:rPr>
                <w:rFonts w:hint="eastAsia" w:ascii="Times New Roman" w:eastAsia="宋体"/>
                <w:color w:val="auto"/>
                <w:sz w:val="24"/>
                <w:highlight w:val="none"/>
                <w:lang w:val="en-US" w:eastAsia="zh-CN"/>
              </w:rPr>
              <w:t>36</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/d（1</w:t>
            </w:r>
            <w:r>
              <w:rPr>
                <w:rFonts w:hint="eastAsia" w:ascii="Times New Roman" w:eastAsia="宋体"/>
                <w:color w:val="auto"/>
                <w:sz w:val="24"/>
                <w:highlight w:val="none"/>
                <w:lang w:val="en-US" w:eastAsia="zh-CN"/>
              </w:rPr>
              <w:t>31.4</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/a），产生量较少，</w:t>
            </w:r>
            <w:r>
              <w:rPr>
                <w:rFonts w:hint="eastAsia" w:ascii="Times New Roman" w:eastAsia="宋体"/>
                <w:color w:val="auto"/>
                <w:sz w:val="24"/>
                <w:highlight w:val="none"/>
                <w:lang w:val="en-US" w:eastAsia="zh-CN"/>
              </w:rPr>
              <w:t>依托</w:t>
            </w:r>
            <w:r>
              <w:rPr>
                <w:rFonts w:hint="eastAsia"/>
                <w:color w:val="auto"/>
                <w:sz w:val="24"/>
                <w:highlight w:val="none"/>
              </w:rPr>
              <w:t>升压站内</w:t>
            </w:r>
            <w:r>
              <w:rPr>
                <w:rFonts w:hint="eastAsia" w:ascii="Times New Roman" w:eastAsia="宋体"/>
                <w:color w:val="auto"/>
                <w:sz w:val="24"/>
                <w:highlight w:val="none"/>
                <w:lang w:val="en-US" w:eastAsia="zh-CN"/>
              </w:rPr>
              <w:t>已</w:t>
            </w:r>
            <w:r>
              <w:rPr>
                <w:rFonts w:hint="eastAsia"/>
                <w:color w:val="auto"/>
                <w:sz w:val="24"/>
                <w:highlight w:val="none"/>
              </w:rPr>
              <w:t>建设</w:t>
            </w:r>
            <w:r>
              <w:rPr>
                <w:rFonts w:hint="eastAsia" w:ascii="Times New Roman" w:eastAsia="宋体"/>
                <w:color w:val="auto"/>
                <w:sz w:val="24"/>
                <w:highlight w:val="none"/>
                <w:lang w:val="en-US" w:eastAsia="zh-CN"/>
              </w:rPr>
              <w:t>的</w:t>
            </w:r>
            <w:r>
              <w:rPr>
                <w:rFonts w:hint="eastAsia"/>
                <w:color w:val="auto"/>
                <w:sz w:val="24"/>
                <w:highlight w:val="none"/>
              </w:rPr>
              <w:t>一座0.5m</w:t>
            </w:r>
            <w:r>
              <w:rPr>
                <w:rFonts w:hint="eastAsia"/>
                <w:color w:val="auto"/>
                <w:sz w:val="24"/>
                <w:highlight w:val="none"/>
                <w:vertAlign w:val="superscript"/>
              </w:rPr>
              <w:t>3</w:t>
            </w:r>
            <w:r>
              <w:rPr>
                <w:rFonts w:hint="eastAsia"/>
                <w:color w:val="auto"/>
                <w:sz w:val="24"/>
                <w:highlight w:val="none"/>
              </w:rPr>
              <w:t>/h地埋式生活污水一体化处理设施和一座</w:t>
            </w:r>
            <w:r>
              <w:rPr>
                <w:rFonts w:hint="eastAsia" w:ascii="Times New Roman" w:eastAsia="宋体"/>
                <w:color w:val="auto"/>
                <w:sz w:val="24"/>
                <w:highlight w:val="none"/>
                <w:lang w:val="en-US" w:eastAsia="zh-CN"/>
              </w:rPr>
              <w:t>20</w:t>
            </w:r>
            <w:r>
              <w:rPr>
                <w:rFonts w:hint="eastAsia"/>
                <w:color w:val="auto"/>
                <w:sz w:val="24"/>
                <w:highlight w:val="none"/>
              </w:rPr>
              <w:t>0m</w:t>
            </w:r>
            <w:r>
              <w:rPr>
                <w:rFonts w:hint="eastAsia"/>
                <w:color w:val="auto"/>
                <w:sz w:val="24"/>
                <w:highlight w:val="none"/>
                <w:vertAlign w:val="superscript"/>
              </w:rPr>
              <w:t>3</w:t>
            </w:r>
            <w:r>
              <w:rPr>
                <w:rFonts w:hint="eastAsia"/>
                <w:color w:val="auto"/>
                <w:sz w:val="24"/>
                <w:highlight w:val="none"/>
              </w:rPr>
              <w:t>的集水池，生活污水经处理后用于绿化和道路洒水。生活污水处理工艺采用AO法，处理后水质满足《城市污水再生利用 城市杂用水水质》（GB/T18920-2020）中城市绿化、道路清扫、消防水质标准，处理后的废水回用于道路洒水和绿化。</w:t>
            </w:r>
          </w:p>
          <w:p w14:paraId="7AC3338C">
            <w:pPr>
              <w:spacing w:line="480" w:lineRule="exact"/>
              <w:ind w:firstLine="480" w:firstLineChars="200"/>
              <w:rPr>
                <w:color w:val="auto"/>
                <w:sz w:val="24"/>
                <w:highlight w:val="none"/>
              </w:rPr>
            </w:pPr>
            <w:r>
              <w:rPr>
                <w:rFonts w:hint="eastAsia"/>
                <w:color w:val="auto"/>
                <w:sz w:val="24"/>
                <w:highlight w:val="none"/>
              </w:rPr>
              <w:t>冬季采暖期（按150天计算产生的生活污水为</w:t>
            </w:r>
            <w:r>
              <w:rPr>
                <w:rFonts w:hint="eastAsia" w:ascii="Times New Roman" w:eastAsia="宋体"/>
                <w:color w:val="auto"/>
                <w:sz w:val="24"/>
                <w:highlight w:val="none"/>
                <w:lang w:val="en-US" w:eastAsia="zh-CN"/>
              </w:rPr>
              <w:t>67.5</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）处理后的生活污水不外排，暂存于</w:t>
            </w:r>
            <w:r>
              <w:rPr>
                <w:rFonts w:hint="eastAsia" w:ascii="Times New Roman" w:eastAsia="宋体"/>
                <w:color w:val="auto"/>
                <w:sz w:val="24"/>
                <w:highlight w:val="none"/>
                <w:lang w:val="en-US" w:eastAsia="zh-CN"/>
              </w:rPr>
              <w:t>20</w:t>
            </w:r>
            <w:r>
              <w:rPr>
                <w:rFonts w:hint="eastAsia"/>
                <w:color w:val="auto"/>
                <w:sz w:val="24"/>
                <w:highlight w:val="none"/>
              </w:rPr>
              <w:t>0m</w:t>
            </w:r>
            <w:r>
              <w:rPr>
                <w:rFonts w:hint="eastAsia"/>
                <w:color w:val="auto"/>
                <w:sz w:val="24"/>
                <w:highlight w:val="none"/>
                <w:vertAlign w:val="superscript"/>
              </w:rPr>
              <w:t>3</w:t>
            </w:r>
            <w:r>
              <w:rPr>
                <w:rFonts w:hint="eastAsia"/>
                <w:color w:val="auto"/>
                <w:sz w:val="24"/>
                <w:highlight w:val="none"/>
              </w:rPr>
              <w:t>集水池中，待采暖期过后回用于道路洒水和绿化浇灌。所以升压站生活污水经处理后可全部回用，不外排。</w:t>
            </w:r>
          </w:p>
          <w:p w14:paraId="2D9D7E64">
            <w:pPr>
              <w:spacing w:line="480" w:lineRule="exact"/>
              <w:ind w:firstLine="480" w:firstLineChars="200"/>
              <w:rPr>
                <w:color w:val="auto"/>
                <w:sz w:val="24"/>
                <w:highlight w:val="none"/>
              </w:rPr>
            </w:pPr>
            <w:r>
              <w:rPr>
                <w:rFonts w:hint="eastAsia"/>
                <w:color w:val="auto"/>
                <w:sz w:val="24"/>
                <w:highlight w:val="none"/>
              </w:rPr>
              <w:t>AO法污水处理工艺介绍：地埋式生活污水处理装置中的AO生物处理工艺采用推流式生物接触氧化池，它的处理效果优于完全混合式或二、三级串联完全混合生物接触氧化池，并且它比活性污泥池体积小，对水质适应性强，耐冲击性能好，出水水质稳定，不会产生污泥膨胀，同时在生物接触氧化池中采用了新型弹性立体填料，它具有实际比表面积大、微生物挂膜，脱膜方便，在同样有机负荷条件下，比其他填料对有机物的去除率高。能提高空气中的氧在水中的溶解度。</w:t>
            </w:r>
          </w:p>
          <w:p w14:paraId="0E0697F9">
            <w:pPr>
              <w:spacing w:line="480" w:lineRule="exact"/>
              <w:ind w:firstLine="480" w:firstLineChars="200"/>
              <w:rPr>
                <w:color w:val="auto"/>
                <w:sz w:val="24"/>
                <w:highlight w:val="none"/>
              </w:rPr>
            </w:pPr>
            <w:r>
              <w:rPr>
                <w:color w:val="auto"/>
                <w:sz w:val="24"/>
                <w:highlight w:val="none"/>
              </w:rPr>
              <w:t>3、运营期声环境保护措施</w:t>
            </w:r>
          </w:p>
          <w:p w14:paraId="40612343">
            <w:pPr>
              <w:spacing w:line="480" w:lineRule="exact"/>
              <w:ind w:firstLine="480" w:firstLineChars="200"/>
              <w:rPr>
                <w:rFonts w:hint="eastAsia"/>
                <w:color w:val="auto"/>
                <w:sz w:val="24"/>
                <w:highlight w:val="none"/>
              </w:rPr>
            </w:pPr>
            <w:r>
              <w:rPr>
                <w:rFonts w:hint="eastAsia"/>
                <w:color w:val="auto"/>
                <w:sz w:val="24"/>
                <w:highlight w:val="none"/>
              </w:rPr>
              <w:t>风力发电机组在运转过程中产生的噪声来自于叶片扫风的空气动力噪声和机组内部机械运转的机械噪声。环评要求建设单位</w:t>
            </w:r>
            <w:r>
              <w:rPr>
                <w:rFonts w:hint="eastAsia"/>
                <w:color w:val="auto"/>
                <w:sz w:val="24"/>
                <w:highlight w:val="none"/>
                <w:lang w:val="en-US" w:eastAsia="zh-CN"/>
              </w:rPr>
              <w:t xml:space="preserve">优先选用隔音防震型电机、减噪型变速齿轮箱、减速叶片、低噪声偏航刹车片等组件和设备，可采取实施风机声源消音降噪处理、设置气动减振装置和隔声屏障、提高启动和偏航转桨风速控制、安装噪音智能控制系统、降低风机负荷、强化设备和系统的维护保养等措施，确保满足区域环境质量要求。 </w:t>
            </w:r>
          </w:p>
          <w:p w14:paraId="79F56D58">
            <w:pPr>
              <w:spacing w:line="480" w:lineRule="exact"/>
              <w:ind w:firstLine="480" w:firstLineChars="200"/>
              <w:rPr>
                <w:color w:val="auto"/>
                <w:sz w:val="24"/>
                <w:highlight w:val="none"/>
              </w:rPr>
            </w:pPr>
            <w:r>
              <w:rPr>
                <w:color w:val="auto"/>
                <w:sz w:val="24"/>
                <w:highlight w:val="none"/>
              </w:rPr>
              <w:t>4、运营期固体废物环境保护措施</w:t>
            </w:r>
          </w:p>
          <w:p w14:paraId="58B5BF1F">
            <w:pPr>
              <w:spacing w:line="480" w:lineRule="exact"/>
              <w:ind w:firstLine="480" w:firstLineChars="200"/>
              <w:rPr>
                <w:rFonts w:hint="eastAsia"/>
                <w:color w:val="auto"/>
                <w:sz w:val="24"/>
                <w:highlight w:val="none"/>
              </w:rPr>
            </w:pPr>
            <w:r>
              <w:rPr>
                <w:rFonts w:hint="eastAsia"/>
                <w:color w:val="auto"/>
                <w:sz w:val="24"/>
                <w:highlight w:val="none"/>
              </w:rPr>
              <w:t>本项目产生的固体废物主要为</w:t>
            </w:r>
            <w:r>
              <w:rPr>
                <w:rFonts w:hint="eastAsia" w:ascii="Times New Roman" w:eastAsia="宋体"/>
                <w:color w:val="auto"/>
                <w:sz w:val="24"/>
                <w:highlight w:val="none"/>
                <w:lang w:val="en-US" w:eastAsia="zh-CN"/>
              </w:rPr>
              <w:t>生活垃圾、</w:t>
            </w:r>
            <w:r>
              <w:rPr>
                <w:rFonts w:hint="eastAsia"/>
                <w:color w:val="auto"/>
                <w:sz w:val="24"/>
                <w:highlight w:val="none"/>
              </w:rPr>
              <w:t>风机检修废油和</w:t>
            </w:r>
            <w:r>
              <w:rPr>
                <w:rFonts w:hint="eastAsia" w:ascii="Times New Roman" w:eastAsia="宋体"/>
                <w:color w:val="auto"/>
                <w:sz w:val="24"/>
                <w:highlight w:val="none"/>
                <w:lang w:val="en-US" w:eastAsia="zh-CN"/>
              </w:rPr>
              <w:t>废油桶</w:t>
            </w:r>
            <w:r>
              <w:rPr>
                <w:rFonts w:hint="eastAsia"/>
                <w:color w:val="auto"/>
                <w:sz w:val="24"/>
                <w:highlight w:val="none"/>
              </w:rPr>
              <w:t>。在</w:t>
            </w:r>
            <w:r>
              <w:rPr>
                <w:rFonts w:hint="eastAsia" w:eastAsia="宋体"/>
                <w:color w:val="auto"/>
                <w:sz w:val="24"/>
                <w:highlight w:val="none"/>
                <w:lang w:eastAsia="zh-CN"/>
              </w:rPr>
              <w:t>升压</w:t>
            </w:r>
            <w:r>
              <w:rPr>
                <w:rFonts w:hint="eastAsia"/>
                <w:color w:val="auto"/>
                <w:sz w:val="24"/>
                <w:highlight w:val="none"/>
              </w:rPr>
              <w:t>站内</w:t>
            </w:r>
            <w:r>
              <w:rPr>
                <w:rFonts w:hint="eastAsia" w:ascii="Times New Roman" w:eastAsia="宋体"/>
                <w:color w:val="auto"/>
                <w:sz w:val="24"/>
                <w:highlight w:val="none"/>
                <w:lang w:val="en-US" w:eastAsia="zh-CN"/>
              </w:rPr>
              <w:t>已</w:t>
            </w:r>
            <w:r>
              <w:rPr>
                <w:rFonts w:hint="eastAsia"/>
                <w:color w:val="auto"/>
                <w:sz w:val="24"/>
                <w:highlight w:val="none"/>
              </w:rPr>
              <w:t>设垃圾箱，生活垃圾集中收集后</w:t>
            </w:r>
            <w:r>
              <w:rPr>
                <w:rFonts w:hint="eastAsia" w:eastAsia="宋体"/>
                <w:color w:val="auto"/>
                <w:sz w:val="24"/>
                <w:highlight w:val="none"/>
                <w:lang w:eastAsia="zh-CN"/>
              </w:rPr>
              <w:t>送</w:t>
            </w:r>
            <w:r>
              <w:rPr>
                <w:rFonts w:hint="eastAsia"/>
                <w:color w:val="auto"/>
                <w:sz w:val="24"/>
                <w:highlight w:val="none"/>
              </w:rPr>
              <w:t>当地环卫部门</w:t>
            </w:r>
            <w:r>
              <w:rPr>
                <w:rFonts w:hint="eastAsia" w:eastAsia="宋体"/>
                <w:color w:val="auto"/>
                <w:sz w:val="24"/>
                <w:highlight w:val="none"/>
                <w:lang w:eastAsia="zh-CN"/>
              </w:rPr>
              <w:t>指定的地点处置；</w:t>
            </w:r>
            <w:r>
              <w:rPr>
                <w:rFonts w:hint="eastAsia"/>
                <w:color w:val="auto"/>
                <w:sz w:val="24"/>
                <w:highlight w:val="none"/>
              </w:rPr>
              <w:t>风机检修废油和</w:t>
            </w:r>
            <w:r>
              <w:rPr>
                <w:rFonts w:hint="eastAsia" w:ascii="Times New Roman" w:eastAsia="宋体"/>
                <w:color w:val="auto"/>
                <w:sz w:val="24"/>
                <w:highlight w:val="none"/>
                <w:lang w:val="en-US" w:eastAsia="zh-CN"/>
              </w:rPr>
              <w:t>废油桶依托</w:t>
            </w:r>
            <w:r>
              <w:rPr>
                <w:rFonts w:hint="eastAsia"/>
                <w:color w:val="auto"/>
                <w:sz w:val="24"/>
                <w:highlight w:val="none"/>
              </w:rPr>
              <w:t>升压站内</w:t>
            </w:r>
            <w:r>
              <w:rPr>
                <w:rFonts w:hint="eastAsia" w:ascii="Times New Roman" w:eastAsia="宋体"/>
                <w:color w:val="auto"/>
                <w:sz w:val="24"/>
                <w:highlight w:val="none"/>
                <w:lang w:val="en-US" w:eastAsia="zh-CN"/>
              </w:rPr>
              <w:t>已</w:t>
            </w:r>
            <w:r>
              <w:rPr>
                <w:rFonts w:hint="eastAsia"/>
                <w:color w:val="auto"/>
                <w:sz w:val="24"/>
                <w:highlight w:val="none"/>
              </w:rPr>
              <w:t>建设</w:t>
            </w:r>
            <w:r>
              <w:rPr>
                <w:rFonts w:hint="eastAsia" w:ascii="Times New Roman" w:eastAsia="宋体"/>
                <w:color w:val="auto"/>
                <w:sz w:val="24"/>
                <w:highlight w:val="none"/>
                <w:lang w:val="en-US" w:eastAsia="zh-CN"/>
              </w:rPr>
              <w:t>的</w:t>
            </w:r>
            <w:r>
              <w:rPr>
                <w:rFonts w:hint="eastAsia"/>
                <w:color w:val="auto"/>
                <w:sz w:val="24"/>
                <w:highlight w:val="none"/>
              </w:rPr>
              <w:t>一座</w:t>
            </w:r>
            <w:r>
              <w:rPr>
                <w:rFonts w:hint="eastAsia" w:ascii="Times New Roman" w:eastAsia="宋体"/>
                <w:color w:val="auto"/>
                <w:sz w:val="24"/>
                <w:highlight w:val="none"/>
                <w:lang w:val="en-US" w:eastAsia="zh-CN"/>
              </w:rPr>
              <w:t>2</w:t>
            </w:r>
            <w:r>
              <w:rPr>
                <w:rFonts w:hint="eastAsia"/>
                <w:color w:val="auto"/>
                <w:sz w:val="24"/>
                <w:highlight w:val="none"/>
              </w:rPr>
              <w:t>0m</w:t>
            </w:r>
            <w:r>
              <w:rPr>
                <w:rFonts w:hint="eastAsia"/>
                <w:color w:val="auto"/>
                <w:sz w:val="24"/>
                <w:highlight w:val="none"/>
                <w:vertAlign w:val="superscript"/>
              </w:rPr>
              <w:t>2</w:t>
            </w:r>
            <w:r>
              <w:rPr>
                <w:rFonts w:hint="eastAsia"/>
                <w:color w:val="auto"/>
                <w:sz w:val="24"/>
                <w:highlight w:val="none"/>
              </w:rPr>
              <w:t>的</w:t>
            </w:r>
            <w:r>
              <w:rPr>
                <w:rFonts w:hint="eastAsia" w:eastAsia="宋体"/>
                <w:color w:val="auto"/>
                <w:sz w:val="24"/>
                <w:highlight w:val="none"/>
                <w:lang w:eastAsia="zh-CN"/>
              </w:rPr>
              <w:t>危废贮存点</w:t>
            </w:r>
            <w:r>
              <w:rPr>
                <w:rFonts w:hint="eastAsia"/>
                <w:color w:val="auto"/>
                <w:sz w:val="24"/>
                <w:highlight w:val="none"/>
              </w:rPr>
              <w:t>，用于暂存项目产生的风机检修废油</w:t>
            </w:r>
            <w:r>
              <w:rPr>
                <w:rFonts w:hint="eastAsia" w:ascii="Times New Roman" w:eastAsia="宋体"/>
                <w:color w:val="auto"/>
                <w:sz w:val="24"/>
                <w:highlight w:val="none"/>
                <w:lang w:val="en-US" w:eastAsia="zh-CN"/>
              </w:rPr>
              <w:t>和废油桶</w:t>
            </w:r>
            <w:r>
              <w:rPr>
                <w:rFonts w:hint="eastAsia"/>
                <w:color w:val="auto"/>
                <w:sz w:val="24"/>
                <w:highlight w:val="none"/>
              </w:rPr>
              <w:t>，定期交由有危废资质的单位处置。</w:t>
            </w:r>
          </w:p>
          <w:p w14:paraId="782732A9">
            <w:pPr>
              <w:spacing w:line="480" w:lineRule="exact"/>
              <w:ind w:firstLine="480" w:firstLineChars="200"/>
              <w:rPr>
                <w:color w:val="auto"/>
                <w:sz w:val="24"/>
                <w:highlight w:val="none"/>
              </w:rPr>
            </w:pPr>
            <w:r>
              <w:rPr>
                <w:rFonts w:hint="eastAsia"/>
                <w:color w:val="auto"/>
                <w:sz w:val="24"/>
                <w:highlight w:val="none"/>
              </w:rPr>
              <w:t>根据《建设项目危险废物环境影响评价技术指南》、《危险废物贮存污染控制标准》(GB18597-2023)要求、《危险废物收集、贮存、运输技术规范》(HJ2025-2012)，本评价对项目产生的危险废物的收集、贮存、运输、管理提出如下要求：</w:t>
            </w:r>
          </w:p>
          <w:p w14:paraId="12CF7462">
            <w:pPr>
              <w:spacing w:line="480" w:lineRule="exact"/>
              <w:ind w:firstLine="480" w:firstLineChars="200"/>
              <w:rPr>
                <w:color w:val="auto"/>
                <w:sz w:val="24"/>
                <w:highlight w:val="none"/>
              </w:rPr>
            </w:pPr>
            <w:r>
              <w:rPr>
                <w:rFonts w:hint="eastAsia"/>
                <w:color w:val="auto"/>
                <w:sz w:val="24"/>
                <w:highlight w:val="none"/>
              </w:rPr>
              <w:t>①危险废物</w:t>
            </w:r>
            <w:r>
              <w:rPr>
                <w:rFonts w:hint="eastAsia" w:eastAsia="宋体"/>
                <w:color w:val="auto"/>
                <w:sz w:val="24"/>
                <w:highlight w:val="none"/>
                <w:lang w:eastAsia="zh-CN"/>
              </w:rPr>
              <w:t>贮存点</w:t>
            </w:r>
            <w:r>
              <w:rPr>
                <w:rFonts w:hint="eastAsia"/>
                <w:color w:val="auto"/>
                <w:sz w:val="24"/>
                <w:highlight w:val="none"/>
              </w:rPr>
              <w:t>按照《危险废物贮存污染控制标准》（GB18597—2023）标准要求建设。</w:t>
            </w:r>
          </w:p>
          <w:p w14:paraId="3BB09829">
            <w:pPr>
              <w:spacing w:line="480" w:lineRule="exact"/>
              <w:ind w:firstLine="480" w:firstLineChars="200"/>
              <w:rPr>
                <w:color w:val="auto"/>
                <w:sz w:val="24"/>
                <w:highlight w:val="none"/>
              </w:rPr>
            </w:pPr>
            <w:r>
              <w:rPr>
                <w:rFonts w:hint="eastAsia"/>
                <w:color w:val="auto"/>
                <w:sz w:val="24"/>
                <w:highlight w:val="none"/>
              </w:rPr>
              <w:t>②危险废物</w:t>
            </w:r>
            <w:r>
              <w:rPr>
                <w:rFonts w:hint="eastAsia" w:eastAsia="宋体"/>
                <w:color w:val="auto"/>
                <w:sz w:val="24"/>
                <w:highlight w:val="none"/>
                <w:lang w:eastAsia="zh-CN"/>
              </w:rPr>
              <w:t>贮存点</w:t>
            </w:r>
            <w:r>
              <w:rPr>
                <w:rFonts w:hint="eastAsia"/>
                <w:color w:val="auto"/>
                <w:sz w:val="24"/>
                <w:highlight w:val="none"/>
              </w:rPr>
              <w:t>按照《危险废物识别标志设置技术规范》（HJ1276—2022）要求整改标识、标志，并加强管理；</w:t>
            </w:r>
          </w:p>
          <w:p w14:paraId="00CA3E75">
            <w:pPr>
              <w:spacing w:line="480" w:lineRule="exact"/>
              <w:ind w:firstLine="480" w:firstLineChars="200"/>
              <w:rPr>
                <w:color w:val="auto"/>
                <w:sz w:val="24"/>
                <w:highlight w:val="none"/>
              </w:rPr>
            </w:pPr>
            <w:r>
              <w:rPr>
                <w:rFonts w:hint="eastAsia"/>
                <w:color w:val="auto"/>
                <w:sz w:val="24"/>
                <w:highlight w:val="none"/>
              </w:rPr>
              <w:t>③废旧铅酸蓄电池进行收集、存放，专人管理，收集时要设置作业界限标志和警示牌，配备必要的收集工具和包装物；</w:t>
            </w:r>
          </w:p>
          <w:p w14:paraId="69CAAEA5">
            <w:pPr>
              <w:spacing w:line="480" w:lineRule="exact"/>
              <w:ind w:firstLine="480" w:firstLineChars="200"/>
              <w:rPr>
                <w:color w:val="auto"/>
                <w:sz w:val="24"/>
                <w:highlight w:val="none"/>
              </w:rPr>
            </w:pPr>
            <w:r>
              <w:rPr>
                <w:rFonts w:hint="eastAsia"/>
                <w:color w:val="auto"/>
                <w:sz w:val="24"/>
                <w:highlight w:val="none"/>
              </w:rPr>
              <w:t>④盛装危险废物的容器上必须粘贴符合《危险废物识别标志设置技术规范》（HJ1276—2022）的标签；</w:t>
            </w:r>
          </w:p>
          <w:p w14:paraId="400B0A18">
            <w:pPr>
              <w:spacing w:line="480" w:lineRule="exact"/>
              <w:ind w:firstLine="480" w:firstLineChars="200"/>
              <w:rPr>
                <w:rFonts w:hint="eastAsia"/>
                <w:color w:val="auto"/>
                <w:sz w:val="24"/>
                <w:highlight w:val="none"/>
              </w:rPr>
            </w:pPr>
            <w:r>
              <w:rPr>
                <w:rFonts w:hint="eastAsia"/>
                <w:color w:val="auto"/>
                <w:sz w:val="24"/>
                <w:highlight w:val="none"/>
              </w:rPr>
              <w:t>⑤本项目危险废物收集暂存后采用专用的运输车辆交有相应危险废物处置资质的回收处理单位集中处理，运输车辆需要有特殊标志，执行危险废物转移联单制度，通过国家危险废物信息管理系统填写、运行危险废物电子转移联单，并依照国家有关规定公开危险废物转移相关污染环境防治信息。转移要严格执行《危险废物转移管理办法》（2022年1月1日起施行）中相关要求。</w:t>
            </w:r>
          </w:p>
          <w:p w14:paraId="692BB6A9">
            <w:pPr>
              <w:spacing w:line="480" w:lineRule="exact"/>
              <w:ind w:firstLine="480" w:firstLineChars="200"/>
              <w:rPr>
                <w:rFonts w:hint="default"/>
                <w:color w:val="auto"/>
                <w:sz w:val="24"/>
                <w:highlight w:val="none"/>
                <w:lang w:val="en-US" w:eastAsia="zh-CN"/>
              </w:rPr>
            </w:pPr>
          </w:p>
        </w:tc>
      </w:tr>
      <w:tr w14:paraId="5E36C7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65" w:hRule="atLeast"/>
          <w:jc w:val="center"/>
        </w:trPr>
        <w:tc>
          <w:tcPr>
            <w:tcW w:w="753" w:type="dxa"/>
            <w:vAlign w:val="center"/>
          </w:tcPr>
          <w:p w14:paraId="46EC19EC">
            <w:pPr>
              <w:adjustRightInd w:val="0"/>
              <w:snapToGrid w:val="0"/>
              <w:jc w:val="center"/>
              <w:rPr>
                <w:rFonts w:hint="eastAsia" w:ascii="宋体" w:hAnsi="宋体" w:cs="宋体"/>
                <w:bCs/>
                <w:color w:val="auto"/>
                <w:spacing w:val="10"/>
                <w:sz w:val="24"/>
                <w:highlight w:val="none"/>
              </w:rPr>
            </w:pPr>
            <w:r>
              <w:rPr>
                <w:rFonts w:hint="eastAsia" w:ascii="宋体" w:hAnsi="宋体"/>
                <w:bCs/>
                <w:color w:val="auto"/>
                <w:sz w:val="24"/>
                <w:highlight w:val="none"/>
              </w:rPr>
              <w:t>其他</w:t>
            </w:r>
          </w:p>
        </w:tc>
        <w:tc>
          <w:tcPr>
            <w:tcW w:w="8457" w:type="dxa"/>
          </w:tcPr>
          <w:p w14:paraId="6AAB49F3">
            <w:pPr>
              <w:spacing w:line="480" w:lineRule="exact"/>
              <w:ind w:firstLine="480" w:firstLineChars="200"/>
              <w:rPr>
                <w:rFonts w:eastAsia="黑体"/>
                <w:color w:val="auto"/>
                <w:sz w:val="24"/>
                <w:highlight w:val="none"/>
              </w:rPr>
            </w:pPr>
            <w:r>
              <w:rPr>
                <w:rFonts w:eastAsia="黑体"/>
                <w:color w:val="auto"/>
                <w:sz w:val="24"/>
                <w:highlight w:val="none"/>
              </w:rPr>
              <w:t>环境管理：</w:t>
            </w:r>
          </w:p>
          <w:p w14:paraId="4840F09A">
            <w:pPr>
              <w:spacing w:line="480" w:lineRule="exact"/>
              <w:ind w:firstLine="480" w:firstLineChars="200"/>
              <w:rPr>
                <w:color w:val="auto"/>
                <w:sz w:val="24"/>
                <w:highlight w:val="none"/>
              </w:rPr>
            </w:pPr>
            <w:r>
              <w:rPr>
                <w:rFonts w:hint="eastAsia"/>
                <w:color w:val="auto"/>
                <w:sz w:val="24"/>
                <w:highlight w:val="none"/>
              </w:rPr>
              <w:t>1、施工期</w:t>
            </w:r>
          </w:p>
          <w:p w14:paraId="7E5B3169">
            <w:pPr>
              <w:spacing w:line="480" w:lineRule="exact"/>
              <w:ind w:firstLine="480" w:firstLineChars="200"/>
              <w:rPr>
                <w:color w:val="auto"/>
                <w:sz w:val="24"/>
                <w:highlight w:val="none"/>
              </w:rPr>
            </w:pPr>
            <w:r>
              <w:rPr>
                <w:rFonts w:hint="eastAsia"/>
                <w:color w:val="auto"/>
                <w:sz w:val="24"/>
                <w:highlight w:val="none"/>
              </w:rPr>
              <w:t>建设单位应配备环境管理人员，负责环境保护管理工作。环境管理人员应对施工单位提出施工期间的环保要求。详细说明施工期应注意的环保问题，严格要求施工单位按环保设计要求进行施工。具体要求如下：</w:t>
            </w:r>
          </w:p>
          <w:p w14:paraId="0B8397D0">
            <w:pPr>
              <w:spacing w:line="480" w:lineRule="exact"/>
              <w:ind w:firstLine="480" w:firstLineChars="200"/>
              <w:rPr>
                <w:color w:val="auto"/>
                <w:sz w:val="24"/>
                <w:highlight w:val="none"/>
              </w:rPr>
            </w:pPr>
            <w:r>
              <w:rPr>
                <w:rFonts w:hint="eastAsia"/>
                <w:color w:val="auto"/>
                <w:sz w:val="24"/>
                <w:highlight w:val="none"/>
              </w:rPr>
              <w:t>①工程的施工承包合同中应包括有环境保护的条款，承包商应严格执行设计和环境影响评价中提出的影响防治措施，遵守环保法规。</w:t>
            </w:r>
          </w:p>
          <w:p w14:paraId="5263B40B">
            <w:pPr>
              <w:spacing w:line="480" w:lineRule="exact"/>
              <w:ind w:firstLine="480" w:firstLineChars="200"/>
              <w:rPr>
                <w:color w:val="auto"/>
                <w:sz w:val="24"/>
                <w:highlight w:val="none"/>
              </w:rPr>
            </w:pPr>
            <w:r>
              <w:rPr>
                <w:rFonts w:hint="eastAsia"/>
                <w:color w:val="auto"/>
                <w:sz w:val="24"/>
                <w:highlight w:val="none"/>
              </w:rPr>
              <w:t>②施工单位在施工前应组织施工人员学习本报告表以及《</w:t>
            </w:r>
            <w:r>
              <w:rPr>
                <w:rFonts w:hint="eastAsia" w:ascii="Times New Roman" w:eastAsia="宋体"/>
                <w:color w:val="auto"/>
                <w:sz w:val="24"/>
                <w:highlight w:val="none"/>
                <w:lang w:val="en-US" w:eastAsia="zh-CN"/>
              </w:rPr>
              <w:t>中华人民共和国</w:t>
            </w:r>
            <w:r>
              <w:rPr>
                <w:rFonts w:hint="eastAsia"/>
                <w:color w:val="auto"/>
                <w:sz w:val="24"/>
                <w:highlight w:val="none"/>
              </w:rPr>
              <w:t>环境保护法》等有关环保法规，做到施工人员知法、懂法和守法。</w:t>
            </w:r>
          </w:p>
          <w:p w14:paraId="55FEEDA6">
            <w:pPr>
              <w:spacing w:line="480" w:lineRule="exact"/>
              <w:ind w:firstLine="480" w:firstLineChars="200"/>
              <w:rPr>
                <w:color w:val="auto"/>
                <w:sz w:val="24"/>
                <w:highlight w:val="none"/>
              </w:rPr>
            </w:pPr>
            <w:r>
              <w:rPr>
                <w:rFonts w:hint="eastAsia"/>
                <w:color w:val="auto"/>
                <w:sz w:val="24"/>
                <w:highlight w:val="none"/>
              </w:rPr>
              <w:t>③环境管理人员应对施工活动进行全过程环境监督，以保证施工期环境保护措施的全面落实。</w:t>
            </w:r>
          </w:p>
          <w:p w14:paraId="2FEFE979">
            <w:pPr>
              <w:spacing w:line="480" w:lineRule="exact"/>
              <w:ind w:firstLine="480" w:firstLineChars="200"/>
              <w:rPr>
                <w:color w:val="auto"/>
                <w:sz w:val="24"/>
                <w:highlight w:val="none"/>
              </w:rPr>
            </w:pPr>
            <w:r>
              <w:rPr>
                <w:color w:val="auto"/>
                <w:sz w:val="24"/>
                <w:highlight w:val="none"/>
              </w:rPr>
              <w:t>2、运行期</w:t>
            </w:r>
          </w:p>
          <w:p w14:paraId="21DC9D94">
            <w:pPr>
              <w:spacing w:line="480" w:lineRule="exact"/>
              <w:ind w:firstLine="480" w:firstLineChars="200"/>
              <w:rPr>
                <w:color w:val="auto"/>
                <w:sz w:val="24"/>
                <w:highlight w:val="none"/>
              </w:rPr>
            </w:pPr>
            <w:r>
              <w:rPr>
                <w:color w:val="auto"/>
                <w:sz w:val="24"/>
                <w:highlight w:val="none"/>
              </w:rPr>
              <w:t>建设单位的环保工作人员对工程的建设、生产全过程实行监督管理，其主要工作内容如下：</w:t>
            </w:r>
          </w:p>
          <w:p w14:paraId="2795E958">
            <w:pPr>
              <w:spacing w:line="480" w:lineRule="exact"/>
              <w:ind w:firstLine="480" w:firstLineChars="200"/>
              <w:rPr>
                <w:color w:val="auto"/>
                <w:sz w:val="24"/>
                <w:highlight w:val="none"/>
              </w:rPr>
            </w:pPr>
            <w:r>
              <w:rPr>
                <w:color w:val="auto"/>
                <w:sz w:val="24"/>
                <w:highlight w:val="none"/>
              </w:rPr>
              <w:t>（1）负责办理建设项目的环保</w:t>
            </w:r>
            <w:r>
              <w:rPr>
                <w:rFonts w:hint="eastAsia"/>
                <w:color w:val="auto"/>
                <w:sz w:val="24"/>
                <w:highlight w:val="none"/>
              </w:rPr>
              <w:t>验收</w:t>
            </w:r>
            <w:r>
              <w:rPr>
                <w:color w:val="auto"/>
                <w:sz w:val="24"/>
                <w:highlight w:val="none"/>
              </w:rPr>
              <w:t>手续。</w:t>
            </w:r>
          </w:p>
          <w:p w14:paraId="3D259FBF">
            <w:pPr>
              <w:spacing w:line="480" w:lineRule="exact"/>
              <w:ind w:firstLine="480" w:firstLineChars="200"/>
              <w:rPr>
                <w:color w:val="auto"/>
                <w:sz w:val="24"/>
                <w:highlight w:val="none"/>
              </w:rPr>
            </w:pPr>
            <w:r>
              <w:rPr>
                <w:color w:val="auto"/>
                <w:sz w:val="24"/>
                <w:highlight w:val="none"/>
              </w:rPr>
              <w:t>（2）制定建设项目环保</w:t>
            </w:r>
            <w:r>
              <w:rPr>
                <w:rFonts w:hint="eastAsia"/>
                <w:color w:val="auto"/>
                <w:sz w:val="24"/>
                <w:highlight w:val="none"/>
              </w:rPr>
              <w:t>管理</w:t>
            </w:r>
            <w:r>
              <w:rPr>
                <w:color w:val="auto"/>
                <w:sz w:val="24"/>
                <w:highlight w:val="none"/>
              </w:rPr>
              <w:t>工作</w:t>
            </w:r>
            <w:r>
              <w:rPr>
                <w:rFonts w:hint="eastAsia"/>
                <w:color w:val="auto"/>
                <w:sz w:val="24"/>
                <w:highlight w:val="none"/>
              </w:rPr>
              <w:t>内容</w:t>
            </w:r>
            <w:r>
              <w:rPr>
                <w:color w:val="auto"/>
                <w:sz w:val="24"/>
                <w:highlight w:val="none"/>
              </w:rPr>
              <w:t>。</w:t>
            </w:r>
          </w:p>
          <w:p w14:paraId="676E46DD">
            <w:pPr>
              <w:spacing w:line="480" w:lineRule="exact"/>
              <w:ind w:firstLine="480" w:firstLineChars="200"/>
              <w:rPr>
                <w:color w:val="auto"/>
                <w:sz w:val="24"/>
                <w:highlight w:val="none"/>
              </w:rPr>
            </w:pPr>
            <w:r>
              <w:rPr>
                <w:color w:val="auto"/>
                <w:sz w:val="24"/>
                <w:highlight w:val="none"/>
              </w:rPr>
              <w:t>（3）检查、监督项目</w:t>
            </w:r>
            <w:r>
              <w:rPr>
                <w:rFonts w:hint="eastAsia"/>
                <w:color w:val="auto"/>
                <w:sz w:val="24"/>
                <w:highlight w:val="none"/>
              </w:rPr>
              <w:t>各项环保</w:t>
            </w:r>
            <w:r>
              <w:rPr>
                <w:color w:val="auto"/>
                <w:sz w:val="24"/>
                <w:highlight w:val="none"/>
              </w:rPr>
              <w:t>措施的落实情况。</w:t>
            </w:r>
          </w:p>
          <w:p w14:paraId="0CA17C62">
            <w:pPr>
              <w:spacing w:line="480" w:lineRule="exact"/>
              <w:ind w:firstLine="480" w:firstLineChars="200"/>
              <w:rPr>
                <w:color w:val="auto"/>
                <w:sz w:val="24"/>
                <w:highlight w:val="none"/>
              </w:rPr>
            </w:pPr>
            <w:r>
              <w:rPr>
                <w:color w:val="auto"/>
                <w:sz w:val="24"/>
                <w:highlight w:val="none"/>
              </w:rPr>
              <w:t>（4）组织实施环境监测计划。</w:t>
            </w:r>
          </w:p>
          <w:p w14:paraId="2A2D64E4">
            <w:pPr>
              <w:spacing w:line="480" w:lineRule="exact"/>
              <w:ind w:firstLine="480" w:firstLineChars="200"/>
              <w:rPr>
                <w:rFonts w:eastAsia="黑体"/>
                <w:color w:val="auto"/>
                <w:sz w:val="24"/>
                <w:highlight w:val="none"/>
              </w:rPr>
            </w:pPr>
            <w:r>
              <w:rPr>
                <w:rFonts w:hint="eastAsia" w:eastAsia="黑体"/>
                <w:color w:val="auto"/>
                <w:sz w:val="24"/>
                <w:highlight w:val="none"/>
              </w:rPr>
              <w:t>竣工环境保护验收</w:t>
            </w:r>
            <w:r>
              <w:rPr>
                <w:rFonts w:eastAsia="黑体"/>
                <w:color w:val="auto"/>
                <w:sz w:val="24"/>
                <w:highlight w:val="none"/>
              </w:rPr>
              <w:t>：</w:t>
            </w:r>
          </w:p>
          <w:p w14:paraId="2A843587">
            <w:pPr>
              <w:spacing w:line="480" w:lineRule="exact"/>
              <w:ind w:firstLine="480" w:firstLineChars="200"/>
              <w:rPr>
                <w:color w:val="auto"/>
                <w:sz w:val="24"/>
                <w:highlight w:val="none"/>
              </w:rPr>
            </w:pPr>
            <w:r>
              <w:rPr>
                <w:rFonts w:hint="eastAsia"/>
                <w:color w:val="auto"/>
                <w:sz w:val="24"/>
                <w:highlight w:val="none"/>
              </w:rPr>
              <w:t>本工程建成投产后，由建设单位委托有资质的单位进行监测，并由建设单位进行自主验收，验收报告编制完成后按照《建设项目竣工环境保护验收暂行办法》（国环规环评〔2017〕4号）进行公示同时应当向所在地县级以上环境保护主管部门报送相关信息，并接受监督检查。</w:t>
            </w:r>
          </w:p>
          <w:p w14:paraId="19FB8635">
            <w:pPr>
              <w:adjustRightInd w:val="0"/>
              <w:snapToGrid w:val="0"/>
              <w:spacing w:line="480" w:lineRule="exact"/>
              <w:ind w:firstLine="480" w:firstLineChars="200"/>
              <w:rPr>
                <w:rFonts w:eastAsia="黑体"/>
                <w:color w:val="auto"/>
                <w:sz w:val="24"/>
                <w:highlight w:val="none"/>
              </w:rPr>
            </w:pPr>
            <w:r>
              <w:rPr>
                <w:rFonts w:eastAsia="黑体"/>
                <w:color w:val="auto"/>
                <w:sz w:val="24"/>
                <w:highlight w:val="none"/>
              </w:rPr>
              <w:t>排污许可：</w:t>
            </w:r>
          </w:p>
          <w:p w14:paraId="61584EAF">
            <w:pPr>
              <w:adjustRightInd w:val="0"/>
              <w:snapToGrid w:val="0"/>
              <w:spacing w:line="480" w:lineRule="exact"/>
              <w:ind w:firstLine="480" w:firstLineChars="200"/>
              <w:rPr>
                <w:rFonts w:hint="eastAsia"/>
                <w:color w:val="auto"/>
                <w:sz w:val="24"/>
                <w:highlight w:val="none"/>
              </w:rPr>
            </w:pPr>
            <w:r>
              <w:rPr>
                <w:rFonts w:hint="eastAsia"/>
                <w:color w:val="auto"/>
                <w:sz w:val="24"/>
                <w:highlight w:val="none"/>
              </w:rPr>
              <w:t>本项目为风力发电项目，根据《固定污染源排污许可分类管理名录（2019年版）》（部令第11号）和《排污许可管理条例》（国务院令第736号），未被列入排污许可证分类管理，不需申请排污许可证。</w:t>
            </w:r>
          </w:p>
          <w:p w14:paraId="1E5DA8BA">
            <w:pPr>
              <w:adjustRightInd w:val="0"/>
              <w:snapToGrid w:val="0"/>
              <w:spacing w:line="480" w:lineRule="exact"/>
              <w:ind w:firstLine="480" w:firstLineChars="200"/>
              <w:rPr>
                <w:rFonts w:hint="eastAsia" w:ascii="黑体" w:hAnsi="黑体" w:eastAsia="黑体" w:cs="黑体"/>
                <w:color w:val="auto"/>
                <w:sz w:val="24"/>
                <w:highlight w:val="none"/>
                <w:lang w:val="en-US" w:eastAsia="zh-CN"/>
              </w:rPr>
            </w:pPr>
            <w:r>
              <w:rPr>
                <w:rFonts w:hint="eastAsia" w:ascii="黑体" w:hAnsi="黑体" w:eastAsia="黑体" w:cs="黑体"/>
                <w:color w:val="auto"/>
                <w:sz w:val="24"/>
                <w:highlight w:val="none"/>
                <w:lang w:val="en-US" w:eastAsia="zh-CN"/>
              </w:rPr>
              <w:t>监测计划：</w:t>
            </w:r>
          </w:p>
          <w:p w14:paraId="7F3E3F61">
            <w:pPr>
              <w:adjustRightInd w:val="0"/>
              <w:snapToGrid w:val="0"/>
              <w:spacing w:line="480" w:lineRule="exact"/>
              <w:ind w:firstLine="480" w:firstLineChars="200"/>
              <w:rPr>
                <w:rFonts w:hint="default" w:ascii="黑体" w:hAnsi="黑体" w:eastAsia="宋体" w:cs="黑体"/>
                <w:color w:val="auto"/>
                <w:sz w:val="24"/>
                <w:highlight w:val="none"/>
                <w:lang w:val="en-US" w:eastAsia="zh-CN"/>
              </w:rPr>
            </w:pPr>
            <w:r>
              <w:rPr>
                <w:rFonts w:hint="default" w:ascii="Times New Roman" w:hAnsi="Times New Roman" w:eastAsia="宋体" w:cs="Times New Roman"/>
                <w:color w:val="auto"/>
                <w:sz w:val="24"/>
                <w:szCs w:val="21"/>
                <w:highlight w:val="none"/>
              </w:rPr>
              <w:t>根据《排污单位自行监测技术指南 总则》</w:t>
            </w:r>
            <w:r>
              <w:rPr>
                <w:rFonts w:hint="default" w:ascii="Times New Roman" w:hAnsi="Times New Roman" w:cs="Times New Roman"/>
                <w:color w:val="auto"/>
                <w:sz w:val="24"/>
                <w:szCs w:val="21"/>
                <w:highlight w:val="none"/>
              </w:rPr>
              <w:fldChar w:fldCharType="begin"/>
            </w:r>
            <w:r>
              <w:rPr>
                <w:rFonts w:hint="default" w:ascii="Times New Roman" w:hAnsi="Times New Roman" w:cs="Times New Roman"/>
                <w:color w:val="auto"/>
                <w:sz w:val="24"/>
                <w:szCs w:val="21"/>
                <w:highlight w:val="none"/>
              </w:rPr>
              <w:instrText xml:space="preserve"> HYPERLINK "https://www.mee.gov.cn/ywgz/fgbz/bz/bzwb/shjbh/xgbzh/201705/W020170511332490849000.pdf" </w:instrText>
            </w:r>
            <w:r>
              <w:rPr>
                <w:rFonts w:hint="default" w:ascii="Times New Roman" w:hAnsi="Times New Roman" w:cs="Times New Roman"/>
                <w:color w:val="auto"/>
                <w:sz w:val="24"/>
                <w:szCs w:val="21"/>
                <w:highlight w:val="none"/>
              </w:rPr>
              <w:fldChar w:fldCharType="separate"/>
            </w:r>
            <w:r>
              <w:rPr>
                <w:rFonts w:hint="default" w:ascii="Times New Roman" w:hAnsi="Times New Roman" w:cs="Times New Roman"/>
                <w:color w:val="auto"/>
                <w:sz w:val="24"/>
                <w:szCs w:val="21"/>
                <w:highlight w:val="none"/>
              </w:rPr>
              <w:t>(HJ 819-2017)</w:t>
            </w:r>
            <w:r>
              <w:rPr>
                <w:rFonts w:hint="default" w:ascii="Times New Roman" w:hAnsi="Times New Roman" w:cs="Times New Roman"/>
                <w:color w:val="auto"/>
                <w:sz w:val="24"/>
                <w:szCs w:val="21"/>
                <w:highlight w:val="none"/>
              </w:rPr>
              <w:fldChar w:fldCharType="end"/>
            </w:r>
            <w:r>
              <w:rPr>
                <w:rFonts w:hint="default" w:ascii="Times New Roman" w:hAnsi="Times New Roman" w:eastAsia="宋体" w:cs="Times New Roman"/>
                <w:color w:val="auto"/>
                <w:sz w:val="24"/>
                <w:szCs w:val="21"/>
                <w:highlight w:val="none"/>
              </w:rPr>
              <w:t>、《工业企业厂界环境噪声排放标准》（GB12348-2008）</w:t>
            </w:r>
            <w:r>
              <w:rPr>
                <w:rFonts w:hint="eastAsia" w:ascii="Times New Roman" w:hAnsi="Times New Roman" w:eastAsia="宋体" w:cs="Times New Roman"/>
                <w:color w:val="auto"/>
                <w:sz w:val="24"/>
                <w:szCs w:val="21"/>
                <w:highlight w:val="none"/>
                <w:lang w:eastAsia="zh-CN"/>
              </w:rPr>
              <w:t>，</w:t>
            </w:r>
            <w:r>
              <w:rPr>
                <w:rFonts w:hint="eastAsia" w:ascii="Times New Roman" w:hAnsi="Times New Roman" w:eastAsia="宋体" w:cs="Times New Roman"/>
                <w:color w:val="auto"/>
                <w:sz w:val="24"/>
                <w:szCs w:val="21"/>
                <w:highlight w:val="none"/>
                <w:lang w:val="en-US" w:eastAsia="zh-CN"/>
              </w:rPr>
              <w:t>本项目</w:t>
            </w:r>
            <w:r>
              <w:rPr>
                <w:rFonts w:hint="eastAsia" w:cs="Times New Roman"/>
                <w:color w:val="auto"/>
                <w:sz w:val="24"/>
                <w:szCs w:val="21"/>
                <w:highlight w:val="none"/>
                <w:lang w:val="en-US" w:eastAsia="zh-CN"/>
              </w:rPr>
              <w:t>风机机组500m范围内无声环境保护目标，本次评价未制定</w:t>
            </w:r>
            <w:r>
              <w:rPr>
                <w:rFonts w:hint="eastAsia" w:ascii="Times New Roman" w:hAnsi="Times New Roman" w:eastAsia="宋体" w:cs="Times New Roman"/>
                <w:color w:val="auto"/>
                <w:sz w:val="24"/>
                <w:szCs w:val="21"/>
                <w:highlight w:val="none"/>
                <w:lang w:val="en-US" w:eastAsia="zh-CN"/>
              </w:rPr>
              <w:t>监测</w:t>
            </w:r>
            <w:r>
              <w:rPr>
                <w:rFonts w:hint="eastAsia" w:cs="Times New Roman"/>
                <w:color w:val="auto"/>
                <w:sz w:val="24"/>
                <w:szCs w:val="21"/>
                <w:highlight w:val="none"/>
                <w:lang w:val="en-US" w:eastAsia="zh-CN"/>
              </w:rPr>
              <w:t>计划</w:t>
            </w:r>
            <w:r>
              <w:rPr>
                <w:rFonts w:hint="eastAsia" w:ascii="Times New Roman" w:hAnsi="Times New Roman" w:eastAsia="宋体" w:cs="Times New Roman"/>
                <w:color w:val="auto"/>
                <w:sz w:val="24"/>
                <w:szCs w:val="21"/>
                <w:highlight w:val="none"/>
                <w:lang w:val="en-US" w:eastAsia="zh-CN"/>
              </w:rPr>
              <w:t>。</w:t>
            </w:r>
          </w:p>
          <w:p w14:paraId="13CF6898">
            <w:pPr>
              <w:spacing w:line="480" w:lineRule="exact"/>
              <w:ind w:firstLine="480" w:firstLineChars="200"/>
              <w:rPr>
                <w:rFonts w:eastAsia="黑体"/>
                <w:color w:val="auto"/>
                <w:sz w:val="24"/>
                <w:highlight w:val="none"/>
              </w:rPr>
            </w:pPr>
            <w:r>
              <w:rPr>
                <w:rFonts w:eastAsia="黑体"/>
                <w:color w:val="auto"/>
                <w:sz w:val="24"/>
                <w:highlight w:val="none"/>
              </w:rPr>
              <w:t>碳减排和环境效益：</w:t>
            </w:r>
          </w:p>
          <w:p w14:paraId="16EC3A9B">
            <w:pPr>
              <w:spacing w:line="440" w:lineRule="exact"/>
              <w:ind w:firstLine="480" w:firstLineChars="200"/>
              <w:rPr>
                <w:color w:val="auto"/>
                <w:sz w:val="24"/>
                <w:highlight w:val="none"/>
              </w:rPr>
            </w:pPr>
            <w:r>
              <w:rPr>
                <w:color w:val="auto"/>
                <w:sz w:val="24"/>
                <w:highlight w:val="none"/>
              </w:rPr>
              <w:t>本项目为</w:t>
            </w:r>
            <w:r>
              <w:rPr>
                <w:rFonts w:hint="eastAsia"/>
                <w:color w:val="auto"/>
                <w:sz w:val="24"/>
                <w:highlight w:val="none"/>
              </w:rPr>
              <w:t>风力</w:t>
            </w:r>
            <w:r>
              <w:rPr>
                <w:color w:val="auto"/>
                <w:sz w:val="24"/>
                <w:highlight w:val="none"/>
              </w:rPr>
              <w:t>发电项目</w:t>
            </w:r>
            <w:r>
              <w:rPr>
                <w:rFonts w:hint="eastAsia"/>
                <w:color w:val="auto"/>
                <w:sz w:val="24"/>
                <w:highlight w:val="none"/>
              </w:rPr>
              <w:t>，</w:t>
            </w:r>
            <w:r>
              <w:rPr>
                <w:color w:val="auto"/>
                <w:sz w:val="24"/>
                <w:highlight w:val="none"/>
              </w:rPr>
              <w:t>属清洁能源利用项目</w:t>
            </w:r>
            <w:r>
              <w:rPr>
                <w:rFonts w:hint="eastAsia"/>
                <w:color w:val="auto"/>
                <w:sz w:val="24"/>
                <w:highlight w:val="none"/>
              </w:rPr>
              <w:t>，运行期无生产废气排放，环评对项目节能效益和减排</w:t>
            </w:r>
            <w:r>
              <w:rPr>
                <w:color w:val="auto"/>
                <w:sz w:val="24"/>
                <w:highlight w:val="none"/>
              </w:rPr>
              <w:t>效益分析</w:t>
            </w:r>
            <w:r>
              <w:rPr>
                <w:rFonts w:hint="eastAsia"/>
                <w:color w:val="auto"/>
                <w:sz w:val="24"/>
                <w:highlight w:val="none"/>
              </w:rPr>
              <w:t>。</w:t>
            </w:r>
          </w:p>
          <w:p w14:paraId="7F91064D">
            <w:pPr>
              <w:spacing w:line="440" w:lineRule="exact"/>
              <w:ind w:firstLine="480" w:firstLineChars="200"/>
              <w:rPr>
                <w:bCs/>
                <w:color w:val="auto"/>
                <w:sz w:val="24"/>
                <w:highlight w:val="none"/>
              </w:rPr>
            </w:pPr>
            <w:r>
              <w:rPr>
                <w:bCs/>
                <w:color w:val="auto"/>
                <w:sz w:val="24"/>
                <w:highlight w:val="none"/>
              </w:rPr>
              <w:t xml:space="preserve">1、节能效益 </w:t>
            </w:r>
          </w:p>
          <w:p w14:paraId="79ABA870">
            <w:pPr>
              <w:spacing w:line="440" w:lineRule="exact"/>
              <w:ind w:firstLine="480" w:firstLineChars="200"/>
              <w:rPr>
                <w:color w:val="auto"/>
                <w:sz w:val="24"/>
                <w:highlight w:val="none"/>
              </w:rPr>
            </w:pPr>
            <w:r>
              <w:rPr>
                <w:color w:val="auto"/>
                <w:sz w:val="24"/>
                <w:highlight w:val="none"/>
              </w:rPr>
              <w:t>本工程装机容量</w:t>
            </w:r>
            <w:r>
              <w:rPr>
                <w:rFonts w:hint="eastAsia"/>
                <w:color w:val="auto"/>
                <w:sz w:val="24"/>
                <w:highlight w:val="none"/>
              </w:rPr>
              <w:t>5</w:t>
            </w:r>
            <w:r>
              <w:rPr>
                <w:color w:val="auto"/>
                <w:sz w:val="24"/>
                <w:highlight w:val="none"/>
              </w:rPr>
              <w:t>0MW，年平均上网发电量</w:t>
            </w:r>
            <w:r>
              <w:rPr>
                <w:rFonts w:hint="eastAsia"/>
                <w:color w:val="auto"/>
                <w:sz w:val="24"/>
                <w:highlight w:val="none"/>
                <w:lang w:val="en-US" w:eastAsia="zh-CN"/>
              </w:rPr>
              <w:t>11305</w:t>
            </w:r>
            <w:r>
              <w:rPr>
                <w:rFonts w:hint="eastAsia" w:ascii="Times New Roman" w:eastAsia="宋体"/>
                <w:color w:val="auto"/>
                <w:sz w:val="24"/>
                <w:highlight w:val="none"/>
                <w:lang w:val="en-US" w:eastAsia="zh-CN"/>
              </w:rPr>
              <w:t>万k</w:t>
            </w:r>
            <w:r>
              <w:rPr>
                <w:rFonts w:hint="eastAsia"/>
                <w:color w:val="auto"/>
                <w:sz w:val="24"/>
                <w:highlight w:val="none"/>
              </w:rPr>
              <w:t>W·h</w:t>
            </w:r>
            <w:r>
              <w:rPr>
                <w:color w:val="auto"/>
                <w:sz w:val="24"/>
                <w:highlight w:val="none"/>
              </w:rPr>
              <w:t>，根据《煤电节能减排升级与改造行动计划（2014~2020年）》、《全面实施燃煤电厂超低排放和节能改造工作方案》可知，与相同发电量的燃煤电厂相比，每年可节约标煤</w:t>
            </w:r>
            <w:r>
              <w:rPr>
                <w:rFonts w:hint="eastAsia"/>
                <w:color w:val="auto"/>
                <w:sz w:val="24"/>
                <w:highlight w:val="none"/>
              </w:rPr>
              <w:t>2.98</w:t>
            </w:r>
            <w:r>
              <w:rPr>
                <w:color w:val="auto"/>
                <w:sz w:val="24"/>
                <w:highlight w:val="none"/>
              </w:rPr>
              <w:t>万吨（以平均标煤煤耗0.30kg/kW•h），相对目前日益严峻的能源危机，</w:t>
            </w:r>
            <w:r>
              <w:rPr>
                <w:rFonts w:hint="eastAsia"/>
                <w:color w:val="auto"/>
                <w:sz w:val="24"/>
                <w:highlight w:val="none"/>
              </w:rPr>
              <w:t>风力</w:t>
            </w:r>
            <w:r>
              <w:rPr>
                <w:color w:val="auto"/>
                <w:sz w:val="24"/>
                <w:highlight w:val="none"/>
              </w:rPr>
              <w:t>发电具有更强的生命力，符合国家的产业政策。</w:t>
            </w:r>
          </w:p>
          <w:p w14:paraId="4969C341">
            <w:pPr>
              <w:spacing w:line="440" w:lineRule="exact"/>
              <w:ind w:firstLine="480" w:firstLineChars="200"/>
              <w:rPr>
                <w:bCs/>
                <w:color w:val="auto"/>
                <w:sz w:val="24"/>
                <w:highlight w:val="none"/>
              </w:rPr>
            </w:pPr>
            <w:r>
              <w:rPr>
                <w:bCs/>
                <w:color w:val="auto"/>
                <w:sz w:val="24"/>
                <w:highlight w:val="none"/>
              </w:rPr>
              <w:t>2、减排效益</w:t>
            </w:r>
          </w:p>
          <w:p w14:paraId="7974641C">
            <w:pPr>
              <w:adjustRightInd w:val="0"/>
              <w:snapToGrid w:val="0"/>
              <w:spacing w:line="480" w:lineRule="exact"/>
              <w:ind w:firstLine="480" w:firstLineChars="200"/>
              <w:rPr>
                <w:color w:val="auto"/>
                <w:sz w:val="24"/>
                <w:highlight w:val="none"/>
              </w:rPr>
            </w:pPr>
            <w:r>
              <w:rPr>
                <w:rFonts w:hint="eastAsia"/>
                <w:color w:val="auto"/>
                <w:sz w:val="24"/>
                <w:highlight w:val="none"/>
              </w:rPr>
              <w:t>风力发电与相同发电量的燃煤发电相比，每年可减排SO</w:t>
            </w:r>
            <w:r>
              <w:rPr>
                <w:rFonts w:hint="eastAsia"/>
                <w:color w:val="auto"/>
                <w:sz w:val="24"/>
                <w:highlight w:val="none"/>
                <w:vertAlign w:val="subscript"/>
              </w:rPr>
              <w:t>2</w:t>
            </w:r>
            <w:r>
              <w:rPr>
                <w:rFonts w:hint="eastAsia"/>
                <w:color w:val="auto"/>
                <w:sz w:val="24"/>
                <w:highlight w:val="none"/>
              </w:rPr>
              <w:t>约10.35t，NOx约15.57t，CO</w:t>
            </w:r>
            <w:r>
              <w:rPr>
                <w:rFonts w:hint="eastAsia"/>
                <w:color w:val="auto"/>
                <w:sz w:val="24"/>
                <w:highlight w:val="none"/>
                <w:vertAlign w:val="subscript"/>
              </w:rPr>
              <w:t>2</w:t>
            </w:r>
            <w:r>
              <w:rPr>
                <w:rFonts w:hint="eastAsia"/>
                <w:color w:val="auto"/>
                <w:sz w:val="24"/>
                <w:highlight w:val="none"/>
              </w:rPr>
              <w:t>排放量约5.71t。同时，还可节约大量水资源，减少燃煤电厂产生的噪声及燃料、灰渣运输处置带来的相应环境和生态影响</w:t>
            </w:r>
            <w:r>
              <w:rPr>
                <w:color w:val="auto"/>
                <w:sz w:val="24"/>
                <w:highlight w:val="none"/>
              </w:rPr>
              <w:t>。</w:t>
            </w:r>
          </w:p>
          <w:p w14:paraId="01317BAA">
            <w:pPr>
              <w:adjustRightInd w:val="0"/>
              <w:snapToGrid w:val="0"/>
              <w:spacing w:line="480" w:lineRule="exact"/>
              <w:ind w:firstLine="480" w:firstLineChars="200"/>
              <w:rPr>
                <w:color w:val="auto"/>
                <w:sz w:val="24"/>
                <w:highlight w:val="none"/>
              </w:rPr>
            </w:pPr>
            <w:r>
              <w:rPr>
                <w:rFonts w:hint="eastAsia"/>
                <w:color w:val="auto"/>
                <w:sz w:val="24"/>
                <w:highlight w:val="none"/>
              </w:rPr>
              <w:t>3、社会效益</w:t>
            </w:r>
          </w:p>
          <w:p w14:paraId="5FA3F6AB">
            <w:pPr>
              <w:adjustRightInd w:val="0"/>
              <w:snapToGrid w:val="0"/>
              <w:spacing w:line="480" w:lineRule="exact"/>
              <w:ind w:firstLine="480" w:firstLineChars="200"/>
              <w:rPr>
                <w:rFonts w:hint="eastAsia"/>
                <w:color w:val="auto"/>
                <w:sz w:val="24"/>
                <w:highlight w:val="none"/>
              </w:rPr>
            </w:pPr>
            <w:r>
              <w:rPr>
                <w:rFonts w:hint="eastAsia"/>
                <w:color w:val="auto"/>
                <w:sz w:val="24"/>
                <w:highlight w:val="none"/>
              </w:rPr>
              <w:t>本项目的建设从长远来看，将当地的自然资源转化为商品，不仅是该地区能源供应的有效补充，而且作为绿色电能，有利于缓解该地区电力工业的环境保护压力，促进地区经济的持续发展，对扩大就业和发展第三产业将起到积极作用，从而带动和促进当地国民经济的发展和社会进步，体现了该项目显著的社会效益。</w:t>
            </w:r>
          </w:p>
          <w:p w14:paraId="125CE7EA">
            <w:pPr>
              <w:rPr>
                <w:rFonts w:hint="eastAsia"/>
                <w:color w:val="auto"/>
                <w:highlight w:val="none"/>
                <w:lang w:eastAsia="zh-CN"/>
              </w:rPr>
            </w:pPr>
          </w:p>
          <w:p w14:paraId="4F62F1D2">
            <w:pPr>
              <w:rPr>
                <w:rFonts w:hint="eastAsia"/>
                <w:color w:val="auto"/>
                <w:sz w:val="24"/>
                <w:highlight w:val="none"/>
              </w:rPr>
            </w:pPr>
          </w:p>
          <w:p w14:paraId="1C27D003">
            <w:pPr>
              <w:pStyle w:val="7"/>
              <w:rPr>
                <w:rFonts w:hint="eastAsia"/>
                <w:color w:val="auto"/>
                <w:sz w:val="24"/>
                <w:highlight w:val="none"/>
              </w:rPr>
            </w:pPr>
          </w:p>
          <w:p w14:paraId="71ED92B2">
            <w:pPr>
              <w:rPr>
                <w:rFonts w:hint="eastAsia"/>
                <w:color w:val="auto"/>
                <w:sz w:val="24"/>
                <w:highlight w:val="none"/>
              </w:rPr>
            </w:pPr>
          </w:p>
          <w:p w14:paraId="565188AD">
            <w:pPr>
              <w:pStyle w:val="7"/>
              <w:rPr>
                <w:rFonts w:hint="eastAsia"/>
                <w:color w:val="auto"/>
                <w:sz w:val="24"/>
                <w:highlight w:val="none"/>
              </w:rPr>
            </w:pPr>
          </w:p>
          <w:p w14:paraId="511F280B">
            <w:pPr>
              <w:rPr>
                <w:rFonts w:hint="eastAsia"/>
                <w:color w:val="auto"/>
                <w:sz w:val="24"/>
                <w:highlight w:val="none"/>
              </w:rPr>
            </w:pPr>
          </w:p>
          <w:p w14:paraId="2E861ABA">
            <w:pPr>
              <w:pStyle w:val="7"/>
              <w:rPr>
                <w:rFonts w:hint="eastAsia"/>
                <w:color w:val="auto"/>
                <w:sz w:val="24"/>
                <w:highlight w:val="none"/>
              </w:rPr>
            </w:pPr>
          </w:p>
          <w:p w14:paraId="2DA7D43F">
            <w:pPr>
              <w:rPr>
                <w:rFonts w:hint="eastAsia"/>
                <w:color w:val="auto"/>
                <w:sz w:val="24"/>
                <w:highlight w:val="none"/>
              </w:rPr>
            </w:pPr>
          </w:p>
          <w:p w14:paraId="718F4054">
            <w:pPr>
              <w:pStyle w:val="7"/>
              <w:rPr>
                <w:rFonts w:hint="eastAsia"/>
                <w:color w:val="auto"/>
                <w:sz w:val="24"/>
                <w:highlight w:val="none"/>
              </w:rPr>
            </w:pPr>
          </w:p>
          <w:p w14:paraId="72DCC42E">
            <w:pPr>
              <w:rPr>
                <w:rFonts w:hint="eastAsia"/>
                <w:color w:val="auto"/>
                <w:sz w:val="24"/>
                <w:highlight w:val="none"/>
              </w:rPr>
            </w:pPr>
          </w:p>
          <w:p w14:paraId="0C809782">
            <w:pPr>
              <w:rPr>
                <w:rFonts w:hint="eastAsia"/>
                <w:color w:val="auto"/>
                <w:sz w:val="24"/>
                <w:highlight w:val="none"/>
              </w:rPr>
            </w:pPr>
          </w:p>
          <w:p w14:paraId="3F809CE9">
            <w:pPr>
              <w:rPr>
                <w:rFonts w:hint="eastAsia"/>
                <w:color w:val="auto"/>
                <w:sz w:val="24"/>
                <w:highlight w:val="none"/>
              </w:rPr>
            </w:pPr>
          </w:p>
          <w:p w14:paraId="267D6846">
            <w:pPr>
              <w:rPr>
                <w:rFonts w:hint="eastAsia"/>
                <w:color w:val="auto"/>
                <w:sz w:val="24"/>
                <w:highlight w:val="none"/>
              </w:rPr>
            </w:pPr>
          </w:p>
          <w:p w14:paraId="01265C6A">
            <w:pPr>
              <w:pStyle w:val="7"/>
              <w:rPr>
                <w:rFonts w:hint="eastAsia"/>
                <w:color w:val="auto"/>
                <w:highlight w:val="none"/>
              </w:rPr>
            </w:pPr>
          </w:p>
        </w:tc>
      </w:tr>
      <w:tr w14:paraId="1F9036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776" w:hRule="atLeast"/>
          <w:jc w:val="center"/>
        </w:trPr>
        <w:tc>
          <w:tcPr>
            <w:tcW w:w="753" w:type="dxa"/>
            <w:vAlign w:val="center"/>
          </w:tcPr>
          <w:p w14:paraId="769F19F1">
            <w:pPr>
              <w:adjustRightInd w:val="0"/>
              <w:snapToGrid w:val="0"/>
              <w:jc w:val="center"/>
              <w:rPr>
                <w:rFonts w:hint="eastAsia" w:ascii="宋体" w:hAnsi="宋体" w:cs="宋体"/>
                <w:bCs/>
                <w:color w:val="auto"/>
                <w:spacing w:val="10"/>
                <w:szCs w:val="21"/>
                <w:highlight w:val="none"/>
              </w:rPr>
            </w:pPr>
            <w:r>
              <w:rPr>
                <w:rFonts w:hint="eastAsia" w:ascii="宋体" w:hAnsi="宋体"/>
                <w:bCs/>
                <w:color w:val="auto"/>
                <w:sz w:val="24"/>
                <w:szCs w:val="24"/>
                <w:highlight w:val="none"/>
              </w:rPr>
              <w:t>环保投资</w:t>
            </w:r>
          </w:p>
        </w:tc>
        <w:tc>
          <w:tcPr>
            <w:tcW w:w="8457" w:type="dxa"/>
          </w:tcPr>
          <w:p w14:paraId="50B32185">
            <w:pPr>
              <w:pStyle w:val="7"/>
              <w:spacing w:line="480" w:lineRule="exact"/>
              <w:ind w:firstLine="480"/>
              <w:jc w:val="left"/>
              <w:rPr>
                <w:rFonts w:ascii="Times New Roman" w:hAnsi="Times New Roman" w:cs="Times New Roman"/>
                <w:color w:val="auto"/>
                <w:spacing w:val="6"/>
                <w:sz w:val="24"/>
                <w:szCs w:val="24"/>
                <w:highlight w:val="none"/>
              </w:rPr>
            </w:pPr>
            <w:r>
              <w:rPr>
                <w:rFonts w:hint="eastAsia" w:ascii="Times New Roman" w:hAnsi="Times New Roman" w:cs="Times New Roman"/>
                <w:color w:val="auto"/>
                <w:kern w:val="0"/>
                <w:sz w:val="24"/>
                <w:szCs w:val="24"/>
                <w:highlight w:val="none"/>
              </w:rPr>
              <w:t>本工程总投资</w:t>
            </w:r>
            <w:r>
              <w:rPr>
                <w:rFonts w:hint="eastAsia" w:ascii="Times New Roman" w:hAnsi="Times New Roman" w:cs="Times New Roman"/>
                <w:color w:val="auto"/>
                <w:kern w:val="0"/>
                <w:sz w:val="24"/>
                <w:szCs w:val="24"/>
                <w:highlight w:val="none"/>
                <w:lang w:val="en-US" w:eastAsia="zh-CN"/>
              </w:rPr>
              <w:t>25488</w:t>
            </w:r>
            <w:r>
              <w:rPr>
                <w:rFonts w:hint="eastAsia" w:ascii="Times New Roman" w:hAnsi="Times New Roman" w:cs="Times New Roman"/>
                <w:color w:val="auto"/>
                <w:kern w:val="0"/>
                <w:sz w:val="24"/>
                <w:szCs w:val="24"/>
                <w:highlight w:val="none"/>
              </w:rPr>
              <w:t>万元，其中环保投资为</w:t>
            </w:r>
            <w:r>
              <w:rPr>
                <w:rFonts w:hint="eastAsia" w:ascii="Times New Roman" w:hAnsi="Times New Roman" w:cs="Times New Roman"/>
                <w:color w:val="auto"/>
                <w:kern w:val="0"/>
                <w:sz w:val="24"/>
                <w:szCs w:val="24"/>
                <w:highlight w:val="none"/>
                <w:lang w:val="en-US" w:eastAsia="zh-CN"/>
              </w:rPr>
              <w:t>243</w:t>
            </w:r>
            <w:r>
              <w:rPr>
                <w:rFonts w:hint="eastAsia" w:ascii="Times New Roman" w:hAnsi="Times New Roman" w:cs="Times New Roman"/>
                <w:color w:val="auto"/>
                <w:kern w:val="0"/>
                <w:sz w:val="24"/>
                <w:szCs w:val="24"/>
                <w:highlight w:val="none"/>
              </w:rPr>
              <w:t>万元，占总投资额的</w:t>
            </w:r>
            <w:r>
              <w:rPr>
                <w:rFonts w:hint="eastAsia" w:ascii="Times New Roman" w:hAnsi="Times New Roman" w:cs="Times New Roman"/>
                <w:color w:val="auto"/>
                <w:kern w:val="0"/>
                <w:sz w:val="24"/>
                <w:szCs w:val="24"/>
                <w:highlight w:val="none"/>
                <w:lang w:val="en-US" w:eastAsia="zh-CN"/>
              </w:rPr>
              <w:t>0.95</w:t>
            </w:r>
            <w:r>
              <w:rPr>
                <w:rFonts w:ascii="Times New Roman" w:hAnsi="Times New Roman" w:cs="Times New Roman"/>
                <w:color w:val="auto"/>
                <w:kern w:val="0"/>
                <w:sz w:val="24"/>
                <w:szCs w:val="24"/>
                <w:highlight w:val="none"/>
              </w:rPr>
              <w:t>%</w:t>
            </w:r>
            <w:r>
              <w:rPr>
                <w:rFonts w:hint="eastAsia" w:ascii="Times New Roman" w:hAnsi="Times New Roman" w:cs="Times New Roman"/>
                <w:color w:val="auto"/>
                <w:kern w:val="0"/>
                <w:sz w:val="24"/>
                <w:szCs w:val="24"/>
                <w:highlight w:val="none"/>
              </w:rPr>
              <w:t>。环保投资明细见下表：</w:t>
            </w:r>
          </w:p>
          <w:p w14:paraId="0319C59C">
            <w:pPr>
              <w:pStyle w:val="7"/>
              <w:spacing w:line="240" w:lineRule="auto"/>
              <w:ind w:firstLine="0" w:firstLineChars="0"/>
              <w:jc w:val="center"/>
              <w:rPr>
                <w:rFonts w:hint="eastAsia" w:ascii="黑体" w:hAnsi="黑体" w:eastAsia="黑体" w:cs="Times New Roman"/>
                <w:color w:val="auto"/>
                <w:highlight w:val="none"/>
              </w:rPr>
            </w:pPr>
            <w:r>
              <w:rPr>
                <w:rFonts w:ascii="黑体" w:hAnsi="黑体" w:eastAsia="黑体" w:cs="Times New Roman"/>
                <w:color w:val="auto"/>
                <w:highlight w:val="none"/>
              </w:rPr>
              <w:t>表5-</w:t>
            </w:r>
            <w:r>
              <w:rPr>
                <w:rFonts w:hint="eastAsia" w:ascii="黑体" w:hAnsi="黑体" w:eastAsia="黑体" w:cs="Times New Roman"/>
                <w:color w:val="auto"/>
                <w:highlight w:val="none"/>
                <w:lang w:val="en-US" w:eastAsia="zh-CN"/>
              </w:rPr>
              <w:t>3</w:t>
            </w:r>
            <w:r>
              <w:rPr>
                <w:rFonts w:ascii="黑体" w:hAnsi="黑体" w:eastAsia="黑体" w:cs="Times New Roman"/>
                <w:color w:val="auto"/>
                <w:highlight w:val="none"/>
              </w:rPr>
              <w:t xml:space="preserve">  工程环保投资一览表</w:t>
            </w:r>
          </w:p>
          <w:tbl>
            <w:tblPr>
              <w:tblStyle w:val="10"/>
              <w:tblW w:w="4996"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928"/>
              <w:gridCol w:w="1214"/>
              <w:gridCol w:w="6193"/>
              <w:gridCol w:w="617"/>
            </w:tblGrid>
            <w:tr w14:paraId="430768E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519" w:type="pct"/>
                  <w:tcBorders>
                    <w:tl2br w:val="nil"/>
                    <w:tr2bl w:val="nil"/>
                  </w:tcBorders>
                  <w:vAlign w:val="center"/>
                </w:tcPr>
                <w:p w14:paraId="0EBEA06E">
                  <w:pPr>
                    <w:jc w:val="center"/>
                    <w:rPr>
                      <w:color w:val="auto"/>
                      <w:szCs w:val="21"/>
                      <w:highlight w:val="none"/>
                    </w:rPr>
                  </w:pPr>
                  <w:r>
                    <w:rPr>
                      <w:color w:val="auto"/>
                      <w:szCs w:val="21"/>
                      <w:highlight w:val="none"/>
                    </w:rPr>
                    <w:t>时序</w:t>
                  </w:r>
                </w:p>
              </w:tc>
              <w:tc>
                <w:tcPr>
                  <w:tcW w:w="679" w:type="pct"/>
                  <w:tcBorders>
                    <w:tl2br w:val="nil"/>
                    <w:tr2bl w:val="nil"/>
                  </w:tcBorders>
                  <w:vAlign w:val="center"/>
                </w:tcPr>
                <w:p w14:paraId="421D5CA0">
                  <w:pPr>
                    <w:jc w:val="center"/>
                    <w:rPr>
                      <w:color w:val="auto"/>
                      <w:szCs w:val="21"/>
                      <w:highlight w:val="none"/>
                    </w:rPr>
                  </w:pPr>
                  <w:r>
                    <w:rPr>
                      <w:color w:val="auto"/>
                      <w:szCs w:val="21"/>
                      <w:highlight w:val="none"/>
                    </w:rPr>
                    <w:t>污染因素</w:t>
                  </w:r>
                </w:p>
              </w:tc>
              <w:tc>
                <w:tcPr>
                  <w:tcW w:w="3458" w:type="pct"/>
                  <w:tcBorders>
                    <w:tl2br w:val="nil"/>
                    <w:tr2bl w:val="nil"/>
                  </w:tcBorders>
                  <w:vAlign w:val="center"/>
                </w:tcPr>
                <w:p w14:paraId="7B774D99">
                  <w:pPr>
                    <w:jc w:val="center"/>
                    <w:rPr>
                      <w:color w:val="auto"/>
                      <w:szCs w:val="21"/>
                      <w:highlight w:val="none"/>
                    </w:rPr>
                  </w:pPr>
                  <w:r>
                    <w:rPr>
                      <w:color w:val="auto"/>
                      <w:szCs w:val="21"/>
                      <w:highlight w:val="none"/>
                    </w:rPr>
                    <w:t>防治措施</w:t>
                  </w:r>
                </w:p>
              </w:tc>
              <w:tc>
                <w:tcPr>
                  <w:tcW w:w="342" w:type="pct"/>
                  <w:tcBorders>
                    <w:tl2br w:val="nil"/>
                    <w:tr2bl w:val="nil"/>
                  </w:tcBorders>
                  <w:vAlign w:val="center"/>
                </w:tcPr>
                <w:p w14:paraId="2AE8E0DE">
                  <w:pPr>
                    <w:ind w:left="-107" w:leftChars="-51" w:right="-143" w:rightChars="-68"/>
                    <w:jc w:val="center"/>
                    <w:rPr>
                      <w:color w:val="auto"/>
                      <w:szCs w:val="21"/>
                      <w:highlight w:val="none"/>
                    </w:rPr>
                  </w:pPr>
                  <w:r>
                    <w:rPr>
                      <w:color w:val="auto"/>
                      <w:szCs w:val="21"/>
                      <w:highlight w:val="none"/>
                    </w:rPr>
                    <w:t>投资</w:t>
                  </w:r>
                </w:p>
              </w:tc>
            </w:tr>
            <w:tr w14:paraId="7B7396C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519" w:type="pct"/>
                  <w:vMerge w:val="restart"/>
                  <w:tcBorders>
                    <w:tl2br w:val="nil"/>
                    <w:tr2bl w:val="nil"/>
                  </w:tcBorders>
                  <w:vAlign w:val="center"/>
                </w:tcPr>
                <w:p w14:paraId="675121A5">
                  <w:pPr>
                    <w:jc w:val="center"/>
                    <w:rPr>
                      <w:color w:val="auto"/>
                      <w:szCs w:val="21"/>
                      <w:highlight w:val="none"/>
                    </w:rPr>
                  </w:pPr>
                  <w:r>
                    <w:rPr>
                      <w:color w:val="auto"/>
                      <w:szCs w:val="21"/>
                      <w:highlight w:val="none"/>
                    </w:rPr>
                    <w:t>施工期</w:t>
                  </w:r>
                </w:p>
              </w:tc>
              <w:tc>
                <w:tcPr>
                  <w:tcW w:w="679" w:type="pct"/>
                  <w:tcBorders>
                    <w:tl2br w:val="nil"/>
                    <w:tr2bl w:val="nil"/>
                  </w:tcBorders>
                  <w:vAlign w:val="center"/>
                </w:tcPr>
                <w:p w14:paraId="2E84937B">
                  <w:pPr>
                    <w:jc w:val="center"/>
                    <w:rPr>
                      <w:color w:val="auto"/>
                      <w:szCs w:val="21"/>
                      <w:highlight w:val="none"/>
                    </w:rPr>
                  </w:pPr>
                  <w:r>
                    <w:rPr>
                      <w:color w:val="auto"/>
                      <w:szCs w:val="21"/>
                      <w:highlight w:val="none"/>
                    </w:rPr>
                    <w:t>施工扬尘</w:t>
                  </w:r>
                </w:p>
              </w:tc>
              <w:tc>
                <w:tcPr>
                  <w:tcW w:w="3458" w:type="pct"/>
                  <w:tcBorders>
                    <w:tl2br w:val="nil"/>
                    <w:tr2bl w:val="nil"/>
                  </w:tcBorders>
                  <w:vAlign w:val="center"/>
                </w:tcPr>
                <w:p w14:paraId="2F1A95AC">
                  <w:pPr>
                    <w:autoSpaceDE w:val="0"/>
                    <w:autoSpaceDN w:val="0"/>
                    <w:adjustRightInd w:val="0"/>
                    <w:jc w:val="left"/>
                    <w:rPr>
                      <w:color w:val="auto"/>
                      <w:kern w:val="0"/>
                      <w:szCs w:val="21"/>
                      <w:highlight w:val="none"/>
                    </w:rPr>
                  </w:pPr>
                  <w:r>
                    <w:rPr>
                      <w:color w:val="auto"/>
                      <w:szCs w:val="21"/>
                      <w:highlight w:val="none"/>
                    </w:rPr>
                    <w:t>施工围挡；湿法作业；施工地面硬化；物料苫盖；车辆清洗；渣土密闭运输</w:t>
                  </w:r>
                  <w:r>
                    <w:rPr>
                      <w:rFonts w:hint="eastAsia"/>
                      <w:color w:val="auto"/>
                      <w:szCs w:val="21"/>
                      <w:highlight w:val="none"/>
                    </w:rPr>
                    <w:t>。</w:t>
                  </w:r>
                </w:p>
              </w:tc>
              <w:tc>
                <w:tcPr>
                  <w:tcW w:w="342" w:type="pct"/>
                  <w:tcBorders>
                    <w:tl2br w:val="nil"/>
                    <w:tr2bl w:val="nil"/>
                  </w:tcBorders>
                  <w:vAlign w:val="center"/>
                </w:tcPr>
                <w:p w14:paraId="29ECC5F8">
                  <w:pPr>
                    <w:jc w:val="center"/>
                    <w:rPr>
                      <w:color w:val="auto"/>
                      <w:szCs w:val="21"/>
                      <w:highlight w:val="none"/>
                    </w:rPr>
                  </w:pPr>
                  <w:r>
                    <w:rPr>
                      <w:rFonts w:hint="eastAsia"/>
                      <w:color w:val="auto"/>
                      <w:szCs w:val="21"/>
                      <w:highlight w:val="none"/>
                    </w:rPr>
                    <w:t>20</w:t>
                  </w:r>
                </w:p>
              </w:tc>
            </w:tr>
            <w:tr w14:paraId="0777332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519" w:type="pct"/>
                  <w:vMerge w:val="continue"/>
                  <w:tcBorders>
                    <w:tl2br w:val="nil"/>
                    <w:tr2bl w:val="nil"/>
                  </w:tcBorders>
                  <w:vAlign w:val="center"/>
                </w:tcPr>
                <w:p w14:paraId="1C6D4344">
                  <w:pPr>
                    <w:jc w:val="center"/>
                    <w:rPr>
                      <w:color w:val="auto"/>
                      <w:szCs w:val="21"/>
                      <w:highlight w:val="none"/>
                    </w:rPr>
                  </w:pPr>
                </w:p>
              </w:tc>
              <w:tc>
                <w:tcPr>
                  <w:tcW w:w="679" w:type="pct"/>
                  <w:tcBorders>
                    <w:tl2br w:val="nil"/>
                    <w:tr2bl w:val="nil"/>
                  </w:tcBorders>
                  <w:vAlign w:val="center"/>
                </w:tcPr>
                <w:p w14:paraId="26BA46DF">
                  <w:pPr>
                    <w:jc w:val="center"/>
                    <w:rPr>
                      <w:color w:val="auto"/>
                      <w:szCs w:val="21"/>
                      <w:highlight w:val="none"/>
                    </w:rPr>
                  </w:pPr>
                  <w:r>
                    <w:rPr>
                      <w:rFonts w:hint="eastAsia"/>
                      <w:color w:val="auto"/>
                      <w:szCs w:val="21"/>
                      <w:highlight w:val="none"/>
                    </w:rPr>
                    <w:t>生态</w:t>
                  </w:r>
                </w:p>
              </w:tc>
              <w:tc>
                <w:tcPr>
                  <w:tcW w:w="3458" w:type="pct"/>
                  <w:tcBorders>
                    <w:tl2br w:val="nil"/>
                    <w:tr2bl w:val="nil"/>
                  </w:tcBorders>
                  <w:vAlign w:val="center"/>
                </w:tcPr>
                <w:p w14:paraId="533D9135">
                  <w:pPr>
                    <w:autoSpaceDE w:val="0"/>
                    <w:autoSpaceDN w:val="0"/>
                    <w:adjustRightInd w:val="0"/>
                    <w:jc w:val="left"/>
                    <w:rPr>
                      <w:color w:val="auto"/>
                      <w:szCs w:val="21"/>
                      <w:highlight w:val="none"/>
                    </w:rPr>
                  </w:pPr>
                  <w:r>
                    <w:rPr>
                      <w:bCs/>
                      <w:color w:val="auto"/>
                      <w:spacing w:val="10"/>
                      <w:highlight w:val="none"/>
                    </w:rPr>
                    <w:t>对工程扰动区域进行植被恢复</w:t>
                  </w:r>
                  <w:r>
                    <w:rPr>
                      <w:rFonts w:hint="eastAsia"/>
                      <w:bCs/>
                      <w:color w:val="auto"/>
                      <w:spacing w:val="10"/>
                      <w:highlight w:val="none"/>
                    </w:rPr>
                    <w:t>，设置植生袋、截排水沟等。</w:t>
                  </w:r>
                </w:p>
              </w:tc>
              <w:tc>
                <w:tcPr>
                  <w:tcW w:w="342" w:type="pct"/>
                  <w:tcBorders>
                    <w:tl2br w:val="nil"/>
                    <w:tr2bl w:val="nil"/>
                  </w:tcBorders>
                  <w:vAlign w:val="center"/>
                </w:tcPr>
                <w:p w14:paraId="7BF880EE">
                  <w:pPr>
                    <w:jc w:val="center"/>
                    <w:rPr>
                      <w:color w:val="auto"/>
                      <w:szCs w:val="21"/>
                      <w:highlight w:val="none"/>
                    </w:rPr>
                  </w:pPr>
                  <w:r>
                    <w:rPr>
                      <w:rFonts w:hint="eastAsia"/>
                      <w:color w:val="auto"/>
                      <w:szCs w:val="21"/>
                      <w:highlight w:val="none"/>
                    </w:rPr>
                    <w:t>200</w:t>
                  </w:r>
                </w:p>
              </w:tc>
            </w:tr>
            <w:tr w14:paraId="6C25139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jc w:val="center"/>
              </w:trPr>
              <w:tc>
                <w:tcPr>
                  <w:tcW w:w="519" w:type="pct"/>
                  <w:vMerge w:val="continue"/>
                  <w:tcBorders>
                    <w:tl2br w:val="nil"/>
                    <w:tr2bl w:val="nil"/>
                  </w:tcBorders>
                  <w:vAlign w:val="center"/>
                </w:tcPr>
                <w:p w14:paraId="02F15ED2">
                  <w:pPr>
                    <w:jc w:val="center"/>
                    <w:rPr>
                      <w:color w:val="auto"/>
                      <w:szCs w:val="21"/>
                      <w:highlight w:val="none"/>
                    </w:rPr>
                  </w:pPr>
                </w:p>
              </w:tc>
              <w:tc>
                <w:tcPr>
                  <w:tcW w:w="679" w:type="pct"/>
                  <w:tcBorders>
                    <w:tl2br w:val="nil"/>
                    <w:tr2bl w:val="nil"/>
                  </w:tcBorders>
                  <w:vAlign w:val="center"/>
                </w:tcPr>
                <w:p w14:paraId="00CF4C00">
                  <w:pPr>
                    <w:jc w:val="center"/>
                    <w:rPr>
                      <w:color w:val="auto"/>
                      <w:szCs w:val="21"/>
                      <w:highlight w:val="none"/>
                    </w:rPr>
                  </w:pPr>
                  <w:r>
                    <w:rPr>
                      <w:color w:val="auto"/>
                      <w:szCs w:val="21"/>
                      <w:highlight w:val="none"/>
                    </w:rPr>
                    <w:t>废水</w:t>
                  </w:r>
                </w:p>
              </w:tc>
              <w:tc>
                <w:tcPr>
                  <w:tcW w:w="3458" w:type="pct"/>
                  <w:tcBorders>
                    <w:tl2br w:val="nil"/>
                    <w:tr2bl w:val="nil"/>
                  </w:tcBorders>
                  <w:vAlign w:val="center"/>
                </w:tcPr>
                <w:p w14:paraId="2BA347D6">
                  <w:pPr>
                    <w:jc w:val="left"/>
                    <w:rPr>
                      <w:color w:val="auto"/>
                      <w:szCs w:val="21"/>
                      <w:highlight w:val="none"/>
                    </w:rPr>
                  </w:pPr>
                  <w:r>
                    <w:rPr>
                      <w:color w:val="auto"/>
                      <w:spacing w:val="6"/>
                      <w:szCs w:val="21"/>
                      <w:highlight w:val="none"/>
                    </w:rPr>
                    <w:t>施工生产废水经</w:t>
                  </w:r>
                  <w:r>
                    <w:rPr>
                      <w:rFonts w:hint="eastAsia"/>
                      <w:color w:val="auto"/>
                      <w:spacing w:val="6"/>
                      <w:szCs w:val="21"/>
                      <w:highlight w:val="none"/>
                    </w:rPr>
                    <w:t>隔油、</w:t>
                  </w:r>
                  <w:r>
                    <w:rPr>
                      <w:color w:val="auto"/>
                      <w:spacing w:val="6"/>
                      <w:szCs w:val="21"/>
                      <w:highlight w:val="none"/>
                    </w:rPr>
                    <w:t>沉淀处理后回用于砂石料拌和或施工场地洒水降尘</w:t>
                  </w:r>
                  <w:r>
                    <w:rPr>
                      <w:rFonts w:hint="eastAsia"/>
                      <w:color w:val="auto"/>
                      <w:spacing w:val="6"/>
                      <w:szCs w:val="21"/>
                      <w:highlight w:val="none"/>
                    </w:rPr>
                    <w:t>。</w:t>
                  </w:r>
                </w:p>
              </w:tc>
              <w:tc>
                <w:tcPr>
                  <w:tcW w:w="342" w:type="pct"/>
                  <w:tcBorders>
                    <w:tl2br w:val="nil"/>
                    <w:tr2bl w:val="nil"/>
                  </w:tcBorders>
                  <w:vAlign w:val="center"/>
                </w:tcPr>
                <w:p w14:paraId="3207B12F">
                  <w:pPr>
                    <w:jc w:val="center"/>
                    <w:rPr>
                      <w:color w:val="auto"/>
                      <w:szCs w:val="21"/>
                      <w:highlight w:val="none"/>
                    </w:rPr>
                  </w:pPr>
                  <w:r>
                    <w:rPr>
                      <w:color w:val="auto"/>
                      <w:szCs w:val="21"/>
                      <w:highlight w:val="none"/>
                    </w:rPr>
                    <w:t>10</w:t>
                  </w:r>
                </w:p>
              </w:tc>
            </w:tr>
            <w:tr w14:paraId="7F90731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519" w:type="pct"/>
                  <w:vMerge w:val="continue"/>
                  <w:tcBorders>
                    <w:tl2br w:val="nil"/>
                    <w:tr2bl w:val="nil"/>
                  </w:tcBorders>
                  <w:vAlign w:val="center"/>
                </w:tcPr>
                <w:p w14:paraId="656DF3FD">
                  <w:pPr>
                    <w:jc w:val="center"/>
                    <w:rPr>
                      <w:color w:val="auto"/>
                      <w:szCs w:val="21"/>
                      <w:highlight w:val="none"/>
                    </w:rPr>
                  </w:pPr>
                </w:p>
              </w:tc>
              <w:tc>
                <w:tcPr>
                  <w:tcW w:w="679" w:type="pct"/>
                  <w:tcBorders>
                    <w:tl2br w:val="nil"/>
                    <w:tr2bl w:val="nil"/>
                  </w:tcBorders>
                  <w:vAlign w:val="center"/>
                </w:tcPr>
                <w:p w14:paraId="46362EDD">
                  <w:pPr>
                    <w:jc w:val="center"/>
                    <w:rPr>
                      <w:color w:val="auto"/>
                      <w:szCs w:val="21"/>
                      <w:highlight w:val="none"/>
                    </w:rPr>
                  </w:pPr>
                  <w:r>
                    <w:rPr>
                      <w:color w:val="auto"/>
                      <w:szCs w:val="21"/>
                      <w:highlight w:val="none"/>
                    </w:rPr>
                    <w:t>噪声</w:t>
                  </w:r>
                </w:p>
              </w:tc>
              <w:tc>
                <w:tcPr>
                  <w:tcW w:w="3458" w:type="pct"/>
                  <w:tcBorders>
                    <w:tl2br w:val="nil"/>
                    <w:tr2bl w:val="nil"/>
                  </w:tcBorders>
                  <w:vAlign w:val="center"/>
                </w:tcPr>
                <w:p w14:paraId="27B0BB17">
                  <w:pPr>
                    <w:jc w:val="left"/>
                    <w:rPr>
                      <w:color w:val="auto"/>
                      <w:szCs w:val="21"/>
                      <w:highlight w:val="none"/>
                    </w:rPr>
                  </w:pPr>
                  <w:r>
                    <w:rPr>
                      <w:color w:val="auto"/>
                      <w:highlight w:val="none"/>
                    </w:rPr>
                    <w:t>选用低噪声施工设备，基础减振</w:t>
                  </w:r>
                  <w:r>
                    <w:rPr>
                      <w:rFonts w:hint="eastAsia"/>
                      <w:color w:val="auto"/>
                      <w:highlight w:val="none"/>
                    </w:rPr>
                    <w:t>.</w:t>
                  </w:r>
                </w:p>
              </w:tc>
              <w:tc>
                <w:tcPr>
                  <w:tcW w:w="342" w:type="pct"/>
                  <w:tcBorders>
                    <w:tl2br w:val="nil"/>
                    <w:tr2bl w:val="nil"/>
                  </w:tcBorders>
                  <w:vAlign w:val="center"/>
                </w:tcPr>
                <w:p w14:paraId="42061CEC">
                  <w:pPr>
                    <w:jc w:val="center"/>
                    <w:rPr>
                      <w:color w:val="auto"/>
                      <w:szCs w:val="21"/>
                      <w:highlight w:val="none"/>
                    </w:rPr>
                  </w:pPr>
                  <w:r>
                    <w:rPr>
                      <w:color w:val="auto"/>
                      <w:szCs w:val="21"/>
                      <w:highlight w:val="none"/>
                    </w:rPr>
                    <w:t>5</w:t>
                  </w:r>
                </w:p>
              </w:tc>
            </w:tr>
            <w:tr w14:paraId="0E0E81E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519" w:type="pct"/>
                  <w:vMerge w:val="continue"/>
                  <w:tcBorders>
                    <w:tl2br w:val="nil"/>
                    <w:tr2bl w:val="nil"/>
                  </w:tcBorders>
                  <w:vAlign w:val="center"/>
                </w:tcPr>
                <w:p w14:paraId="639BD54D">
                  <w:pPr>
                    <w:jc w:val="center"/>
                    <w:rPr>
                      <w:color w:val="auto"/>
                      <w:szCs w:val="21"/>
                      <w:highlight w:val="none"/>
                    </w:rPr>
                  </w:pPr>
                </w:p>
              </w:tc>
              <w:tc>
                <w:tcPr>
                  <w:tcW w:w="679" w:type="pct"/>
                  <w:tcBorders>
                    <w:tl2br w:val="nil"/>
                    <w:tr2bl w:val="nil"/>
                  </w:tcBorders>
                  <w:vAlign w:val="center"/>
                </w:tcPr>
                <w:p w14:paraId="6C52E1BB">
                  <w:pPr>
                    <w:jc w:val="center"/>
                    <w:rPr>
                      <w:color w:val="auto"/>
                      <w:szCs w:val="21"/>
                      <w:highlight w:val="none"/>
                    </w:rPr>
                  </w:pPr>
                  <w:r>
                    <w:rPr>
                      <w:color w:val="auto"/>
                      <w:szCs w:val="21"/>
                      <w:highlight w:val="none"/>
                    </w:rPr>
                    <w:t>固废</w:t>
                  </w:r>
                </w:p>
              </w:tc>
              <w:tc>
                <w:tcPr>
                  <w:tcW w:w="3458" w:type="pct"/>
                  <w:tcBorders>
                    <w:tl2br w:val="nil"/>
                    <w:tr2bl w:val="nil"/>
                  </w:tcBorders>
                  <w:vAlign w:val="center"/>
                </w:tcPr>
                <w:p w14:paraId="42AABF51">
                  <w:pPr>
                    <w:jc w:val="left"/>
                    <w:rPr>
                      <w:color w:val="auto"/>
                      <w:szCs w:val="21"/>
                      <w:highlight w:val="none"/>
                    </w:rPr>
                  </w:pPr>
                  <w:r>
                    <w:rPr>
                      <w:color w:val="auto"/>
                      <w:szCs w:val="21"/>
                      <w:highlight w:val="none"/>
                    </w:rPr>
                    <w:t>施工建筑垃圾和施工人员生活垃圾及时清运</w:t>
                  </w:r>
                  <w:r>
                    <w:rPr>
                      <w:rFonts w:hint="eastAsia"/>
                      <w:color w:val="auto"/>
                      <w:szCs w:val="21"/>
                      <w:highlight w:val="none"/>
                    </w:rPr>
                    <w:t>。</w:t>
                  </w:r>
                </w:p>
              </w:tc>
              <w:tc>
                <w:tcPr>
                  <w:tcW w:w="342" w:type="pct"/>
                  <w:tcBorders>
                    <w:tl2br w:val="nil"/>
                    <w:tr2bl w:val="nil"/>
                  </w:tcBorders>
                  <w:vAlign w:val="center"/>
                </w:tcPr>
                <w:p w14:paraId="2B7A4DFC">
                  <w:pPr>
                    <w:jc w:val="center"/>
                    <w:rPr>
                      <w:color w:val="auto"/>
                      <w:szCs w:val="21"/>
                      <w:highlight w:val="none"/>
                    </w:rPr>
                  </w:pPr>
                  <w:r>
                    <w:rPr>
                      <w:color w:val="auto"/>
                      <w:szCs w:val="21"/>
                      <w:highlight w:val="none"/>
                    </w:rPr>
                    <w:t>3</w:t>
                  </w:r>
                </w:p>
              </w:tc>
            </w:tr>
            <w:tr w14:paraId="7B4EAF4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519" w:type="pct"/>
                  <w:tcBorders>
                    <w:tl2br w:val="nil"/>
                    <w:tr2bl w:val="nil"/>
                  </w:tcBorders>
                  <w:vAlign w:val="center"/>
                </w:tcPr>
                <w:p w14:paraId="68E73651">
                  <w:pPr>
                    <w:widowControl/>
                    <w:jc w:val="center"/>
                    <w:rPr>
                      <w:rFonts w:hint="eastAsia" w:eastAsia="宋体"/>
                      <w:color w:val="auto"/>
                      <w:szCs w:val="21"/>
                      <w:highlight w:val="none"/>
                      <w:lang w:val="en-US" w:eastAsia="zh-CN"/>
                    </w:rPr>
                  </w:pPr>
                  <w:r>
                    <w:rPr>
                      <w:rFonts w:hint="eastAsia" w:ascii="Times New Roman" w:eastAsia="宋体"/>
                      <w:color w:val="auto"/>
                      <w:szCs w:val="21"/>
                      <w:highlight w:val="none"/>
                      <w:lang w:val="en-US" w:eastAsia="zh-CN"/>
                    </w:rPr>
                    <w:t>运营期</w:t>
                  </w:r>
                </w:p>
              </w:tc>
              <w:tc>
                <w:tcPr>
                  <w:tcW w:w="679" w:type="pct"/>
                  <w:tcBorders>
                    <w:tl2br w:val="nil"/>
                    <w:tr2bl w:val="nil"/>
                  </w:tcBorders>
                  <w:vAlign w:val="center"/>
                </w:tcPr>
                <w:p w14:paraId="091BA562">
                  <w:pPr>
                    <w:widowControl/>
                    <w:jc w:val="center"/>
                    <w:rPr>
                      <w:color w:val="auto"/>
                      <w:kern w:val="0"/>
                      <w:szCs w:val="21"/>
                      <w:highlight w:val="none"/>
                    </w:rPr>
                  </w:pPr>
                  <w:r>
                    <w:rPr>
                      <w:rFonts w:hint="eastAsia"/>
                      <w:color w:val="auto"/>
                      <w:kern w:val="0"/>
                      <w:szCs w:val="21"/>
                      <w:highlight w:val="none"/>
                    </w:rPr>
                    <w:t>生态</w:t>
                  </w:r>
                </w:p>
              </w:tc>
              <w:tc>
                <w:tcPr>
                  <w:tcW w:w="3458" w:type="pct"/>
                  <w:tcBorders>
                    <w:tl2br w:val="nil"/>
                    <w:tr2bl w:val="nil"/>
                  </w:tcBorders>
                  <w:vAlign w:val="center"/>
                </w:tcPr>
                <w:p w14:paraId="04A45FEB">
                  <w:pPr>
                    <w:widowControl/>
                    <w:jc w:val="left"/>
                    <w:rPr>
                      <w:color w:val="auto"/>
                      <w:kern w:val="0"/>
                      <w:szCs w:val="21"/>
                      <w:highlight w:val="none"/>
                    </w:rPr>
                  </w:pPr>
                  <w:r>
                    <w:rPr>
                      <w:rFonts w:hint="eastAsia"/>
                      <w:color w:val="auto"/>
                      <w:szCs w:val="21"/>
                      <w:highlight w:val="none"/>
                    </w:rPr>
                    <w:t>风电场区植被抚育。</w:t>
                  </w:r>
                </w:p>
              </w:tc>
              <w:tc>
                <w:tcPr>
                  <w:tcW w:w="342" w:type="pct"/>
                  <w:tcBorders>
                    <w:tl2br w:val="nil"/>
                    <w:tr2bl w:val="nil"/>
                  </w:tcBorders>
                  <w:vAlign w:val="center"/>
                </w:tcPr>
                <w:p w14:paraId="31008081">
                  <w:pPr>
                    <w:widowControl/>
                    <w:jc w:val="center"/>
                    <w:rPr>
                      <w:color w:val="auto"/>
                      <w:szCs w:val="21"/>
                      <w:highlight w:val="none"/>
                    </w:rPr>
                  </w:pPr>
                  <w:r>
                    <w:rPr>
                      <w:rFonts w:hint="eastAsia"/>
                      <w:color w:val="auto"/>
                      <w:kern w:val="0"/>
                      <w:szCs w:val="21"/>
                      <w:highlight w:val="none"/>
                    </w:rPr>
                    <w:t>5</w:t>
                  </w:r>
                </w:p>
              </w:tc>
            </w:tr>
            <w:tr w14:paraId="70F2624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jc w:val="center"/>
              </w:trPr>
              <w:tc>
                <w:tcPr>
                  <w:tcW w:w="519" w:type="pct"/>
                  <w:tcBorders>
                    <w:tl2br w:val="nil"/>
                    <w:tr2bl w:val="nil"/>
                  </w:tcBorders>
                  <w:vAlign w:val="center"/>
                </w:tcPr>
                <w:p w14:paraId="3DE007CC">
                  <w:pPr>
                    <w:widowControl/>
                    <w:jc w:val="center"/>
                    <w:rPr>
                      <w:color w:val="auto"/>
                      <w:szCs w:val="21"/>
                      <w:highlight w:val="none"/>
                    </w:rPr>
                  </w:pPr>
                  <w:r>
                    <w:rPr>
                      <w:color w:val="auto"/>
                      <w:szCs w:val="21"/>
                      <w:highlight w:val="none"/>
                    </w:rPr>
                    <w:t>总计</w:t>
                  </w:r>
                </w:p>
              </w:tc>
              <w:tc>
                <w:tcPr>
                  <w:tcW w:w="679" w:type="pct"/>
                  <w:tcBorders>
                    <w:tl2br w:val="nil"/>
                    <w:tr2bl w:val="nil"/>
                  </w:tcBorders>
                  <w:vAlign w:val="center"/>
                </w:tcPr>
                <w:p w14:paraId="5697FB5E">
                  <w:pPr>
                    <w:jc w:val="center"/>
                    <w:rPr>
                      <w:color w:val="auto"/>
                      <w:szCs w:val="21"/>
                      <w:highlight w:val="none"/>
                    </w:rPr>
                  </w:pPr>
                  <w:r>
                    <w:rPr>
                      <w:color w:val="auto"/>
                      <w:szCs w:val="21"/>
                      <w:highlight w:val="none"/>
                    </w:rPr>
                    <w:t>—</w:t>
                  </w:r>
                </w:p>
              </w:tc>
              <w:tc>
                <w:tcPr>
                  <w:tcW w:w="3458" w:type="pct"/>
                  <w:tcBorders>
                    <w:tl2br w:val="nil"/>
                    <w:tr2bl w:val="nil"/>
                  </w:tcBorders>
                  <w:vAlign w:val="center"/>
                </w:tcPr>
                <w:p w14:paraId="1F933252">
                  <w:pPr>
                    <w:widowControl/>
                    <w:jc w:val="center"/>
                    <w:rPr>
                      <w:color w:val="auto"/>
                      <w:szCs w:val="21"/>
                      <w:highlight w:val="none"/>
                    </w:rPr>
                  </w:pPr>
                  <w:r>
                    <w:rPr>
                      <w:color w:val="auto"/>
                      <w:szCs w:val="21"/>
                      <w:highlight w:val="none"/>
                    </w:rPr>
                    <w:t>—</w:t>
                  </w:r>
                </w:p>
              </w:tc>
              <w:tc>
                <w:tcPr>
                  <w:tcW w:w="342" w:type="pct"/>
                  <w:tcBorders>
                    <w:tl2br w:val="nil"/>
                    <w:tr2bl w:val="nil"/>
                  </w:tcBorders>
                  <w:vAlign w:val="center"/>
                </w:tcPr>
                <w:p w14:paraId="6CFE4037">
                  <w:pPr>
                    <w:widowControl/>
                    <w:jc w:val="center"/>
                    <w:rPr>
                      <w:rFonts w:hint="default"/>
                      <w:color w:val="auto"/>
                      <w:kern w:val="0"/>
                      <w:szCs w:val="21"/>
                      <w:highlight w:val="none"/>
                    </w:rPr>
                  </w:pPr>
                  <w:r>
                    <w:rPr>
                      <w:rFonts w:hint="default"/>
                      <w:color w:val="auto"/>
                      <w:kern w:val="0"/>
                      <w:szCs w:val="21"/>
                      <w:highlight w:val="none"/>
                    </w:rPr>
                    <w:fldChar w:fldCharType="begin"/>
                  </w:r>
                  <w:r>
                    <w:rPr>
                      <w:rFonts w:hint="default"/>
                      <w:color w:val="auto"/>
                      <w:kern w:val="0"/>
                      <w:szCs w:val="21"/>
                      <w:highlight w:val="none"/>
                    </w:rPr>
                    <w:instrText xml:space="preserve"> =SUM(ABOVE) \* MERGEFORMAT </w:instrText>
                  </w:r>
                  <w:r>
                    <w:rPr>
                      <w:rFonts w:hint="default"/>
                      <w:color w:val="auto"/>
                      <w:kern w:val="0"/>
                      <w:szCs w:val="21"/>
                      <w:highlight w:val="none"/>
                    </w:rPr>
                    <w:fldChar w:fldCharType="separate"/>
                  </w:r>
                  <w:r>
                    <w:rPr>
                      <w:rFonts w:hint="default"/>
                      <w:color w:val="auto"/>
                      <w:kern w:val="0"/>
                      <w:szCs w:val="21"/>
                      <w:highlight w:val="none"/>
                    </w:rPr>
                    <w:t>243</w:t>
                  </w:r>
                  <w:r>
                    <w:rPr>
                      <w:rFonts w:hint="default"/>
                      <w:color w:val="auto"/>
                      <w:kern w:val="0"/>
                      <w:szCs w:val="21"/>
                      <w:highlight w:val="none"/>
                    </w:rPr>
                    <w:fldChar w:fldCharType="end"/>
                  </w:r>
                </w:p>
              </w:tc>
            </w:tr>
          </w:tbl>
          <w:p w14:paraId="1DB252EF">
            <w:pPr>
              <w:pStyle w:val="7"/>
              <w:spacing w:line="240" w:lineRule="auto"/>
              <w:ind w:firstLine="0" w:firstLineChars="0"/>
              <w:jc w:val="center"/>
              <w:rPr>
                <w:rFonts w:hint="eastAsia" w:hAnsi="宋体" w:cs="宋体"/>
                <w:bCs/>
                <w:color w:val="auto"/>
                <w:spacing w:val="10"/>
                <w:highlight w:val="none"/>
              </w:rPr>
            </w:pPr>
          </w:p>
          <w:p w14:paraId="5D245365">
            <w:pPr>
              <w:rPr>
                <w:rFonts w:hint="eastAsia" w:hAnsi="宋体" w:cs="宋体"/>
                <w:bCs/>
                <w:color w:val="auto"/>
                <w:spacing w:val="10"/>
                <w:highlight w:val="none"/>
              </w:rPr>
            </w:pPr>
          </w:p>
          <w:p w14:paraId="69FB82DD">
            <w:pPr>
              <w:rPr>
                <w:rFonts w:hint="eastAsia" w:hAnsi="宋体" w:cs="宋体"/>
                <w:bCs/>
                <w:color w:val="auto"/>
                <w:spacing w:val="10"/>
                <w:highlight w:val="none"/>
              </w:rPr>
            </w:pPr>
          </w:p>
          <w:p w14:paraId="0D251B93">
            <w:pPr>
              <w:rPr>
                <w:rFonts w:hint="eastAsia" w:hAnsi="宋体" w:cs="宋体"/>
                <w:bCs/>
                <w:color w:val="auto"/>
                <w:spacing w:val="10"/>
                <w:highlight w:val="none"/>
              </w:rPr>
            </w:pPr>
          </w:p>
          <w:p w14:paraId="2ADDA3D7">
            <w:pPr>
              <w:rPr>
                <w:rFonts w:hint="eastAsia" w:hAnsi="宋体" w:cs="宋体"/>
                <w:bCs/>
                <w:color w:val="auto"/>
                <w:spacing w:val="10"/>
                <w:highlight w:val="none"/>
              </w:rPr>
            </w:pPr>
          </w:p>
          <w:p w14:paraId="545EF4F7">
            <w:pPr>
              <w:rPr>
                <w:rFonts w:hint="eastAsia" w:hAnsi="宋体" w:cs="宋体"/>
                <w:bCs/>
                <w:color w:val="auto"/>
                <w:spacing w:val="10"/>
                <w:highlight w:val="none"/>
              </w:rPr>
            </w:pPr>
          </w:p>
          <w:p w14:paraId="41F8C3EE">
            <w:pPr>
              <w:rPr>
                <w:rFonts w:hint="eastAsia" w:hAnsi="宋体" w:cs="宋体"/>
                <w:bCs/>
                <w:color w:val="auto"/>
                <w:spacing w:val="10"/>
                <w:highlight w:val="none"/>
              </w:rPr>
            </w:pPr>
          </w:p>
          <w:p w14:paraId="7F814844">
            <w:pPr>
              <w:rPr>
                <w:rFonts w:hint="eastAsia" w:hAnsi="宋体" w:cs="宋体"/>
                <w:bCs/>
                <w:color w:val="auto"/>
                <w:spacing w:val="10"/>
                <w:highlight w:val="none"/>
              </w:rPr>
            </w:pPr>
          </w:p>
          <w:p w14:paraId="1DBE4B7F">
            <w:pPr>
              <w:rPr>
                <w:rFonts w:hint="eastAsia" w:hAnsi="宋体" w:cs="宋体"/>
                <w:bCs/>
                <w:color w:val="auto"/>
                <w:spacing w:val="10"/>
                <w:highlight w:val="none"/>
              </w:rPr>
            </w:pPr>
          </w:p>
          <w:p w14:paraId="2863051B">
            <w:pPr>
              <w:rPr>
                <w:rFonts w:hint="eastAsia" w:hAnsi="宋体" w:cs="宋体"/>
                <w:bCs/>
                <w:color w:val="auto"/>
                <w:spacing w:val="10"/>
                <w:highlight w:val="none"/>
              </w:rPr>
            </w:pPr>
          </w:p>
          <w:p w14:paraId="79C79899">
            <w:pPr>
              <w:rPr>
                <w:rFonts w:hint="eastAsia" w:hAnsi="宋体" w:cs="宋体"/>
                <w:bCs/>
                <w:color w:val="auto"/>
                <w:spacing w:val="10"/>
                <w:highlight w:val="none"/>
              </w:rPr>
            </w:pPr>
          </w:p>
          <w:p w14:paraId="793623D5">
            <w:pPr>
              <w:rPr>
                <w:rFonts w:hint="eastAsia" w:hAnsi="宋体" w:cs="宋体"/>
                <w:bCs/>
                <w:color w:val="auto"/>
                <w:spacing w:val="10"/>
                <w:highlight w:val="none"/>
              </w:rPr>
            </w:pPr>
          </w:p>
          <w:p w14:paraId="2D09A521">
            <w:pPr>
              <w:rPr>
                <w:rFonts w:hint="eastAsia" w:hAnsi="宋体" w:cs="宋体"/>
                <w:bCs/>
                <w:color w:val="auto"/>
                <w:spacing w:val="10"/>
                <w:highlight w:val="none"/>
              </w:rPr>
            </w:pPr>
          </w:p>
          <w:p w14:paraId="6610BB7A">
            <w:pPr>
              <w:rPr>
                <w:rFonts w:hint="eastAsia" w:hAnsi="宋体" w:cs="宋体"/>
                <w:bCs/>
                <w:color w:val="auto"/>
                <w:spacing w:val="10"/>
                <w:highlight w:val="none"/>
              </w:rPr>
            </w:pPr>
          </w:p>
          <w:p w14:paraId="2AF52504">
            <w:pPr>
              <w:rPr>
                <w:rFonts w:hint="eastAsia" w:hAnsi="宋体" w:cs="宋体"/>
                <w:bCs/>
                <w:color w:val="auto"/>
                <w:spacing w:val="10"/>
                <w:highlight w:val="none"/>
              </w:rPr>
            </w:pPr>
          </w:p>
          <w:p w14:paraId="04CC8EC1">
            <w:pPr>
              <w:pStyle w:val="5"/>
              <w:rPr>
                <w:rFonts w:hint="eastAsia" w:hAnsi="宋体" w:cs="宋体"/>
                <w:bCs/>
                <w:color w:val="auto"/>
                <w:spacing w:val="10"/>
                <w:highlight w:val="none"/>
              </w:rPr>
            </w:pPr>
          </w:p>
          <w:p w14:paraId="3BD547FC">
            <w:pPr>
              <w:pStyle w:val="5"/>
              <w:rPr>
                <w:rFonts w:hint="eastAsia" w:hAnsi="宋体" w:cs="宋体"/>
                <w:bCs/>
                <w:color w:val="auto"/>
                <w:spacing w:val="10"/>
                <w:highlight w:val="none"/>
              </w:rPr>
            </w:pPr>
          </w:p>
          <w:p w14:paraId="1999E14C">
            <w:pPr>
              <w:rPr>
                <w:rFonts w:hint="eastAsia" w:hAnsi="宋体" w:cs="宋体"/>
                <w:bCs/>
                <w:color w:val="auto"/>
                <w:spacing w:val="10"/>
                <w:highlight w:val="none"/>
              </w:rPr>
            </w:pPr>
          </w:p>
          <w:p w14:paraId="50584A92">
            <w:pPr>
              <w:pStyle w:val="5"/>
              <w:rPr>
                <w:rFonts w:hint="eastAsia" w:hAnsi="宋体" w:cs="宋体"/>
                <w:bCs/>
                <w:color w:val="auto"/>
                <w:spacing w:val="10"/>
                <w:highlight w:val="none"/>
              </w:rPr>
            </w:pPr>
          </w:p>
          <w:p w14:paraId="6DE1FB94">
            <w:pPr>
              <w:pStyle w:val="5"/>
              <w:rPr>
                <w:rFonts w:hint="eastAsia" w:hAnsi="宋体" w:cs="宋体"/>
                <w:bCs/>
                <w:color w:val="auto"/>
                <w:spacing w:val="10"/>
                <w:highlight w:val="none"/>
              </w:rPr>
            </w:pPr>
          </w:p>
          <w:p w14:paraId="328E2ED1">
            <w:pPr>
              <w:pStyle w:val="5"/>
              <w:rPr>
                <w:rFonts w:hint="eastAsia" w:hAnsi="宋体" w:cs="宋体"/>
                <w:bCs/>
                <w:color w:val="auto"/>
                <w:spacing w:val="10"/>
                <w:highlight w:val="none"/>
              </w:rPr>
            </w:pPr>
          </w:p>
          <w:p w14:paraId="2002365D">
            <w:pPr>
              <w:pStyle w:val="5"/>
              <w:rPr>
                <w:rFonts w:hint="eastAsia" w:hAnsi="宋体" w:cs="宋体"/>
                <w:bCs/>
                <w:color w:val="auto"/>
                <w:spacing w:val="10"/>
                <w:highlight w:val="none"/>
              </w:rPr>
            </w:pPr>
          </w:p>
          <w:p w14:paraId="65405F3B">
            <w:pPr>
              <w:pStyle w:val="5"/>
              <w:rPr>
                <w:rFonts w:hint="eastAsia" w:hAnsi="宋体" w:cs="宋体"/>
                <w:bCs/>
                <w:color w:val="auto"/>
                <w:spacing w:val="10"/>
                <w:highlight w:val="none"/>
              </w:rPr>
            </w:pPr>
          </w:p>
          <w:p w14:paraId="5AB097AC">
            <w:pPr>
              <w:pStyle w:val="5"/>
              <w:rPr>
                <w:rFonts w:hint="eastAsia" w:hAnsi="宋体" w:cs="宋体"/>
                <w:bCs/>
                <w:color w:val="auto"/>
                <w:spacing w:val="10"/>
                <w:highlight w:val="none"/>
              </w:rPr>
            </w:pPr>
          </w:p>
          <w:p w14:paraId="3F64E817">
            <w:pPr>
              <w:rPr>
                <w:rFonts w:hint="eastAsia" w:hAnsi="宋体" w:cs="宋体"/>
                <w:bCs/>
                <w:color w:val="auto"/>
                <w:spacing w:val="10"/>
                <w:highlight w:val="none"/>
              </w:rPr>
            </w:pPr>
          </w:p>
          <w:p w14:paraId="1D289F23">
            <w:pPr>
              <w:rPr>
                <w:rFonts w:hint="eastAsia" w:hAnsi="宋体" w:cs="宋体"/>
                <w:bCs/>
                <w:color w:val="auto"/>
                <w:spacing w:val="10"/>
                <w:highlight w:val="none"/>
              </w:rPr>
            </w:pPr>
          </w:p>
          <w:p w14:paraId="3A6DC0F4">
            <w:pPr>
              <w:rPr>
                <w:rFonts w:hint="eastAsia" w:hAnsi="宋体" w:cs="宋体"/>
                <w:bCs/>
                <w:color w:val="auto"/>
                <w:spacing w:val="10"/>
                <w:highlight w:val="none"/>
              </w:rPr>
            </w:pPr>
          </w:p>
        </w:tc>
      </w:tr>
    </w:tbl>
    <w:p w14:paraId="147B0764">
      <w:pPr>
        <w:rPr>
          <w:color w:val="auto"/>
          <w:highlight w:val="none"/>
        </w:rPr>
        <w:sectPr>
          <w:pgSz w:w="11907" w:h="16840"/>
          <w:pgMar w:top="1440" w:right="1797" w:bottom="1440" w:left="1797" w:header="851" w:footer="1077" w:gutter="0"/>
          <w:pgBorders>
            <w:top w:val="none" w:sz="0" w:space="0"/>
            <w:left w:val="none" w:sz="0" w:space="0"/>
            <w:bottom w:val="none" w:sz="0" w:space="0"/>
            <w:right w:val="none" w:sz="0" w:space="0"/>
          </w:pgBorders>
          <w:cols w:space="425" w:num="1"/>
          <w:docGrid w:linePitch="312" w:charSpace="0"/>
        </w:sectPr>
      </w:pPr>
    </w:p>
    <w:p w14:paraId="59103D64">
      <w:pPr>
        <w:pStyle w:val="9"/>
        <w:jc w:val="center"/>
        <w:outlineLvl w:val="0"/>
        <w:rPr>
          <w:rFonts w:hint="eastAsia"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t>六、生态环境保护措施监督检查清单</w:t>
      </w:r>
    </w:p>
    <w:tbl>
      <w:tblPr>
        <w:tblStyle w:val="1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73"/>
        <w:gridCol w:w="1508"/>
        <w:gridCol w:w="4973"/>
        <w:gridCol w:w="1769"/>
        <w:gridCol w:w="3051"/>
        <w:gridCol w:w="2300"/>
      </w:tblGrid>
      <w:tr w14:paraId="36528F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2081" w:type="dxa"/>
            <w:gridSpan w:val="2"/>
            <w:vMerge w:val="restart"/>
            <w:tcBorders>
              <w:tl2br w:val="single" w:color="auto" w:sz="4" w:space="0"/>
            </w:tcBorders>
          </w:tcPr>
          <w:p w14:paraId="5F1007B5">
            <w:pPr>
              <w:pStyle w:val="9"/>
              <w:adjustRightInd w:val="0"/>
              <w:snapToGrid w:val="0"/>
              <w:spacing w:before="72" w:beforeLines="30" w:beforeAutospacing="0" w:after="0" w:afterAutospacing="0"/>
              <w:ind w:firstLine="420"/>
              <w:jc w:val="center"/>
              <w:outlineLvl w:val="0"/>
              <w:rPr>
                <w:rFonts w:ascii="Times New Roman" w:hAnsi="Times New Roman"/>
                <w:color w:val="auto"/>
                <w:kern w:val="2"/>
                <w:sz w:val="21"/>
                <w:szCs w:val="21"/>
                <w:highlight w:val="none"/>
              </w:rPr>
            </w:pPr>
            <w:r>
              <w:rPr>
                <w:rFonts w:ascii="Times New Roman" w:hAnsi="Times New Roman"/>
                <w:color w:val="auto"/>
                <w:kern w:val="2"/>
                <w:sz w:val="21"/>
                <w:szCs w:val="21"/>
                <w:highlight w:val="none"/>
              </w:rPr>
              <w:t xml:space="preserve">       内容   </w:t>
            </w:r>
          </w:p>
          <w:p w14:paraId="0504978E">
            <w:pPr>
              <w:pStyle w:val="9"/>
              <w:adjustRightInd w:val="0"/>
              <w:snapToGrid w:val="0"/>
              <w:spacing w:before="0" w:beforeAutospacing="0" w:after="0" w:afterAutospacing="0" w:line="14" w:lineRule="auto"/>
              <w:outlineLvl w:val="0"/>
              <w:rPr>
                <w:rFonts w:ascii="Times New Roman" w:hAnsi="Times New Roman"/>
                <w:color w:val="auto"/>
                <w:kern w:val="2"/>
                <w:sz w:val="21"/>
                <w:szCs w:val="21"/>
                <w:highlight w:val="none"/>
              </w:rPr>
            </w:pPr>
            <w:r>
              <w:rPr>
                <w:rFonts w:ascii="Times New Roman" w:hAnsi="Times New Roman"/>
                <w:color w:val="auto"/>
                <w:kern w:val="2"/>
                <w:sz w:val="21"/>
                <w:szCs w:val="21"/>
                <w:highlight w:val="none"/>
              </w:rPr>
              <w:t xml:space="preserve">  </w:t>
            </w:r>
          </w:p>
          <w:p w14:paraId="1C36CC2C">
            <w:pPr>
              <w:pStyle w:val="9"/>
              <w:adjustRightInd w:val="0"/>
              <w:snapToGrid w:val="0"/>
              <w:spacing w:before="0" w:beforeAutospacing="0" w:after="0" w:afterAutospacing="0"/>
              <w:outlineLvl w:val="0"/>
              <w:rPr>
                <w:rFonts w:ascii="Times New Roman" w:hAnsi="Times New Roman"/>
                <w:color w:val="auto"/>
                <w:kern w:val="2"/>
                <w:sz w:val="21"/>
                <w:szCs w:val="21"/>
                <w:highlight w:val="none"/>
              </w:rPr>
            </w:pPr>
            <w:r>
              <w:rPr>
                <w:rFonts w:ascii="Times New Roman" w:hAnsi="Times New Roman"/>
                <w:color w:val="auto"/>
                <w:kern w:val="2"/>
                <w:sz w:val="21"/>
                <w:szCs w:val="21"/>
                <w:highlight w:val="none"/>
              </w:rPr>
              <w:t>要素</w:t>
            </w:r>
          </w:p>
        </w:tc>
        <w:tc>
          <w:tcPr>
            <w:tcW w:w="6742" w:type="dxa"/>
            <w:gridSpan w:val="2"/>
            <w:vAlign w:val="center"/>
          </w:tcPr>
          <w:p w14:paraId="7D43868D">
            <w:pPr>
              <w:pStyle w:val="9"/>
              <w:adjustRightInd w:val="0"/>
              <w:snapToGrid w:val="0"/>
              <w:spacing w:before="0" w:beforeAutospacing="0" w:after="0" w:afterAutospacing="0"/>
              <w:jc w:val="center"/>
              <w:outlineLvl w:val="0"/>
              <w:rPr>
                <w:rFonts w:ascii="Times New Roman" w:hAnsi="Times New Roman"/>
                <w:color w:val="auto"/>
                <w:kern w:val="2"/>
                <w:sz w:val="21"/>
                <w:szCs w:val="21"/>
                <w:highlight w:val="none"/>
              </w:rPr>
            </w:pPr>
            <w:r>
              <w:rPr>
                <w:rFonts w:ascii="Times New Roman" w:hAnsi="Times New Roman"/>
                <w:color w:val="auto"/>
                <w:kern w:val="2"/>
                <w:sz w:val="21"/>
                <w:szCs w:val="21"/>
                <w:highlight w:val="none"/>
              </w:rPr>
              <w:t>施工期</w:t>
            </w:r>
          </w:p>
        </w:tc>
        <w:tc>
          <w:tcPr>
            <w:tcW w:w="5351" w:type="dxa"/>
            <w:gridSpan w:val="2"/>
            <w:vAlign w:val="center"/>
          </w:tcPr>
          <w:p w14:paraId="228DD5DF">
            <w:pPr>
              <w:pStyle w:val="9"/>
              <w:adjustRightInd w:val="0"/>
              <w:snapToGrid w:val="0"/>
              <w:spacing w:before="0" w:beforeAutospacing="0" w:after="0" w:afterAutospacing="0"/>
              <w:jc w:val="center"/>
              <w:outlineLvl w:val="0"/>
              <w:rPr>
                <w:rFonts w:ascii="Times New Roman" w:hAnsi="Times New Roman"/>
                <w:color w:val="auto"/>
                <w:kern w:val="2"/>
                <w:sz w:val="21"/>
                <w:szCs w:val="21"/>
                <w:highlight w:val="none"/>
              </w:rPr>
            </w:pPr>
            <w:r>
              <w:rPr>
                <w:rFonts w:ascii="Times New Roman" w:hAnsi="Times New Roman"/>
                <w:color w:val="auto"/>
                <w:kern w:val="2"/>
                <w:sz w:val="21"/>
                <w:szCs w:val="21"/>
                <w:highlight w:val="none"/>
              </w:rPr>
              <w:t>运营期</w:t>
            </w:r>
          </w:p>
        </w:tc>
      </w:tr>
      <w:tr w14:paraId="50708B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2081" w:type="dxa"/>
            <w:gridSpan w:val="2"/>
            <w:vMerge w:val="continue"/>
          </w:tcPr>
          <w:p w14:paraId="184D54ED">
            <w:pPr>
              <w:pStyle w:val="9"/>
              <w:adjustRightInd w:val="0"/>
              <w:snapToGrid w:val="0"/>
              <w:spacing w:before="0" w:beforeAutospacing="0" w:after="0" w:afterAutospacing="0"/>
              <w:ind w:firstLine="420"/>
              <w:jc w:val="center"/>
              <w:outlineLvl w:val="0"/>
              <w:rPr>
                <w:rFonts w:ascii="Times New Roman" w:hAnsi="Times New Roman"/>
                <w:color w:val="auto"/>
                <w:kern w:val="2"/>
                <w:sz w:val="21"/>
                <w:szCs w:val="21"/>
                <w:highlight w:val="none"/>
              </w:rPr>
            </w:pPr>
          </w:p>
        </w:tc>
        <w:tc>
          <w:tcPr>
            <w:tcW w:w="4973" w:type="dxa"/>
            <w:vAlign w:val="center"/>
          </w:tcPr>
          <w:p w14:paraId="69BFCC0E">
            <w:pPr>
              <w:pStyle w:val="9"/>
              <w:adjustRightInd w:val="0"/>
              <w:snapToGrid w:val="0"/>
              <w:spacing w:before="0" w:beforeAutospacing="0" w:after="0" w:afterAutospacing="0"/>
              <w:jc w:val="center"/>
              <w:outlineLvl w:val="0"/>
              <w:rPr>
                <w:rFonts w:ascii="Times New Roman" w:hAnsi="Times New Roman"/>
                <w:color w:val="auto"/>
                <w:kern w:val="2"/>
                <w:sz w:val="21"/>
                <w:szCs w:val="21"/>
                <w:highlight w:val="none"/>
              </w:rPr>
            </w:pPr>
            <w:r>
              <w:rPr>
                <w:rFonts w:ascii="Times New Roman" w:hAnsi="Times New Roman"/>
                <w:color w:val="auto"/>
                <w:kern w:val="2"/>
                <w:sz w:val="21"/>
                <w:szCs w:val="21"/>
                <w:highlight w:val="none"/>
              </w:rPr>
              <w:t>环境保护措施</w:t>
            </w:r>
          </w:p>
        </w:tc>
        <w:tc>
          <w:tcPr>
            <w:tcW w:w="1769" w:type="dxa"/>
            <w:vAlign w:val="center"/>
          </w:tcPr>
          <w:p w14:paraId="7E042B9E">
            <w:pPr>
              <w:pStyle w:val="9"/>
              <w:adjustRightInd w:val="0"/>
              <w:snapToGrid w:val="0"/>
              <w:spacing w:before="0" w:beforeAutospacing="0" w:after="0" w:afterAutospacing="0"/>
              <w:jc w:val="center"/>
              <w:outlineLvl w:val="0"/>
              <w:rPr>
                <w:rFonts w:ascii="Times New Roman" w:hAnsi="Times New Roman"/>
                <w:color w:val="auto"/>
                <w:kern w:val="2"/>
                <w:sz w:val="21"/>
                <w:szCs w:val="21"/>
                <w:highlight w:val="none"/>
              </w:rPr>
            </w:pPr>
            <w:r>
              <w:rPr>
                <w:rFonts w:ascii="Times New Roman" w:hAnsi="Times New Roman"/>
                <w:color w:val="auto"/>
                <w:kern w:val="2"/>
                <w:sz w:val="21"/>
                <w:szCs w:val="21"/>
                <w:highlight w:val="none"/>
              </w:rPr>
              <w:t>验收要求</w:t>
            </w:r>
          </w:p>
        </w:tc>
        <w:tc>
          <w:tcPr>
            <w:tcW w:w="3051" w:type="dxa"/>
            <w:vAlign w:val="center"/>
          </w:tcPr>
          <w:p w14:paraId="010A5A3E">
            <w:pPr>
              <w:pStyle w:val="9"/>
              <w:adjustRightInd w:val="0"/>
              <w:snapToGrid w:val="0"/>
              <w:spacing w:before="0" w:beforeAutospacing="0" w:after="0" w:afterAutospacing="0"/>
              <w:jc w:val="center"/>
              <w:outlineLvl w:val="0"/>
              <w:rPr>
                <w:rFonts w:ascii="Times New Roman" w:hAnsi="Times New Roman"/>
                <w:color w:val="auto"/>
                <w:kern w:val="2"/>
                <w:sz w:val="21"/>
                <w:szCs w:val="21"/>
                <w:highlight w:val="none"/>
              </w:rPr>
            </w:pPr>
            <w:r>
              <w:rPr>
                <w:rFonts w:ascii="Times New Roman" w:hAnsi="Times New Roman"/>
                <w:color w:val="auto"/>
                <w:kern w:val="2"/>
                <w:sz w:val="21"/>
                <w:szCs w:val="21"/>
                <w:highlight w:val="none"/>
              </w:rPr>
              <w:t>环境保护措施</w:t>
            </w:r>
          </w:p>
        </w:tc>
        <w:tc>
          <w:tcPr>
            <w:tcW w:w="2300" w:type="dxa"/>
            <w:vAlign w:val="center"/>
          </w:tcPr>
          <w:p w14:paraId="0534AA29">
            <w:pPr>
              <w:pStyle w:val="9"/>
              <w:adjustRightInd w:val="0"/>
              <w:snapToGrid w:val="0"/>
              <w:spacing w:before="0" w:beforeAutospacing="0" w:after="0" w:afterAutospacing="0"/>
              <w:jc w:val="center"/>
              <w:outlineLvl w:val="0"/>
              <w:rPr>
                <w:rFonts w:ascii="Times New Roman" w:hAnsi="Times New Roman"/>
                <w:color w:val="auto"/>
                <w:kern w:val="2"/>
                <w:sz w:val="21"/>
                <w:szCs w:val="21"/>
                <w:highlight w:val="none"/>
              </w:rPr>
            </w:pPr>
            <w:r>
              <w:rPr>
                <w:rFonts w:ascii="Times New Roman" w:hAnsi="Times New Roman"/>
                <w:color w:val="auto"/>
                <w:kern w:val="2"/>
                <w:sz w:val="21"/>
                <w:szCs w:val="21"/>
                <w:highlight w:val="none"/>
              </w:rPr>
              <w:t>验收要求</w:t>
            </w:r>
          </w:p>
        </w:tc>
      </w:tr>
      <w:tr w14:paraId="700BA8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9" w:hRule="atLeast"/>
          <w:jc w:val="center"/>
        </w:trPr>
        <w:tc>
          <w:tcPr>
            <w:tcW w:w="573" w:type="dxa"/>
            <w:vMerge w:val="restart"/>
            <w:vAlign w:val="center"/>
          </w:tcPr>
          <w:p w14:paraId="08AE84E7">
            <w:pPr>
              <w:adjustRightInd w:val="0"/>
              <w:snapToGrid w:val="0"/>
              <w:jc w:val="center"/>
              <w:rPr>
                <w:color w:val="auto"/>
                <w:szCs w:val="21"/>
                <w:highlight w:val="none"/>
              </w:rPr>
            </w:pPr>
            <w:r>
              <w:rPr>
                <w:color w:val="auto"/>
                <w:szCs w:val="21"/>
                <w:highlight w:val="none"/>
              </w:rPr>
              <w:t>陆生生态</w:t>
            </w:r>
          </w:p>
        </w:tc>
        <w:tc>
          <w:tcPr>
            <w:tcW w:w="1508" w:type="dxa"/>
            <w:vAlign w:val="center"/>
          </w:tcPr>
          <w:p w14:paraId="637B890D">
            <w:pPr>
              <w:spacing w:line="240" w:lineRule="exact"/>
              <w:jc w:val="center"/>
              <w:rPr>
                <w:rFonts w:hint="eastAsia"/>
                <w:color w:val="auto"/>
                <w:szCs w:val="21"/>
                <w:highlight w:val="none"/>
              </w:rPr>
            </w:pPr>
            <w:r>
              <w:rPr>
                <w:rFonts w:hint="eastAsia"/>
                <w:color w:val="auto"/>
                <w:szCs w:val="21"/>
                <w:highlight w:val="none"/>
              </w:rPr>
              <w:t>风电机组</w:t>
            </w:r>
          </w:p>
          <w:p w14:paraId="2A2D49F7">
            <w:pPr>
              <w:spacing w:line="240" w:lineRule="exact"/>
              <w:jc w:val="center"/>
              <w:rPr>
                <w:color w:val="auto"/>
                <w:szCs w:val="21"/>
                <w:highlight w:val="none"/>
              </w:rPr>
            </w:pPr>
            <w:r>
              <w:rPr>
                <w:rFonts w:hint="eastAsia"/>
                <w:color w:val="auto"/>
                <w:szCs w:val="21"/>
                <w:highlight w:val="none"/>
              </w:rPr>
              <w:t>防治区</w:t>
            </w:r>
          </w:p>
        </w:tc>
        <w:tc>
          <w:tcPr>
            <w:tcW w:w="4973" w:type="dxa"/>
            <w:vAlign w:val="center"/>
          </w:tcPr>
          <w:p w14:paraId="267B5D7A">
            <w:pPr>
              <w:adjustRightInd w:val="0"/>
              <w:snapToGrid w:val="0"/>
              <w:spacing w:line="240" w:lineRule="exact"/>
              <w:jc w:val="left"/>
              <w:rPr>
                <w:color w:val="auto"/>
                <w:szCs w:val="21"/>
                <w:highlight w:val="none"/>
              </w:rPr>
            </w:pPr>
            <w:r>
              <w:rPr>
                <w:rFonts w:eastAsia="宋体"/>
                <w:color w:val="auto"/>
                <w:sz w:val="21"/>
                <w:szCs w:val="21"/>
                <w:highlight w:val="none"/>
              </w:rPr>
              <w:t>施工结束后平整吊装区，回填表土</w:t>
            </w:r>
            <w:r>
              <w:rPr>
                <w:rFonts w:hint="eastAsia" w:eastAsia="宋体"/>
                <w:color w:val="auto"/>
                <w:sz w:val="21"/>
                <w:szCs w:val="21"/>
                <w:highlight w:val="none"/>
                <w:lang w:eastAsia="zh-CN"/>
              </w:rPr>
              <w:t>，</w:t>
            </w:r>
            <w:r>
              <w:rPr>
                <w:rFonts w:eastAsia="宋体"/>
                <w:color w:val="auto"/>
                <w:sz w:val="21"/>
                <w:szCs w:val="21"/>
                <w:highlight w:val="none"/>
                <w:lang w:val="en-US" w:eastAsia="zh-CN"/>
              </w:rPr>
              <w:t>选择刺槐与连翘混交栽植。</w:t>
            </w:r>
            <w:r>
              <w:rPr>
                <w:rFonts w:eastAsia="宋体"/>
                <w:color w:val="auto"/>
                <w:sz w:val="21"/>
                <w:szCs w:val="21"/>
                <w:highlight w:val="none"/>
              </w:rPr>
              <w:t>恢复植被</w:t>
            </w:r>
            <w:r>
              <w:rPr>
                <w:rFonts w:hint="eastAsia" w:ascii="Times New Roman" w:eastAsia="宋体"/>
                <w:color w:val="auto"/>
                <w:sz w:val="21"/>
                <w:szCs w:val="21"/>
                <w:highlight w:val="none"/>
                <w:lang w:val="en-US" w:eastAsia="zh-CN"/>
              </w:rPr>
              <w:t>2.7460</w:t>
            </w:r>
            <w:r>
              <w:rPr>
                <w:rFonts w:hint="eastAsia" w:eastAsia="宋体"/>
                <w:color w:val="auto"/>
                <w:sz w:val="21"/>
                <w:szCs w:val="21"/>
                <w:highlight w:val="none"/>
                <w:lang w:val="en-US" w:eastAsia="zh-CN"/>
              </w:rPr>
              <w:t>h</w:t>
            </w:r>
            <w:r>
              <w:rPr>
                <w:rFonts w:eastAsia="宋体"/>
                <w:color w:val="auto"/>
                <w:sz w:val="21"/>
                <w:szCs w:val="21"/>
                <w:highlight w:val="none"/>
              </w:rPr>
              <w:t>m</w:t>
            </w:r>
            <w:r>
              <w:rPr>
                <w:rFonts w:eastAsia="宋体"/>
                <w:color w:val="auto"/>
                <w:sz w:val="21"/>
                <w:szCs w:val="21"/>
                <w:highlight w:val="none"/>
                <w:vertAlign w:val="superscript"/>
              </w:rPr>
              <w:t>2</w:t>
            </w:r>
            <w:r>
              <w:rPr>
                <w:rFonts w:eastAsia="宋体"/>
                <w:color w:val="auto"/>
                <w:sz w:val="21"/>
                <w:szCs w:val="21"/>
                <w:highlight w:val="none"/>
              </w:rPr>
              <w:t>。</w:t>
            </w:r>
            <w:r>
              <w:rPr>
                <w:rFonts w:eastAsia="宋体"/>
                <w:color w:val="auto"/>
                <w:sz w:val="21"/>
                <w:szCs w:val="21"/>
                <w:highlight w:val="none"/>
                <w:lang w:val="en-US" w:eastAsia="zh-CN"/>
              </w:rPr>
              <w:t>栽植株行距为</w:t>
            </w:r>
            <w:r>
              <w:rPr>
                <w:rFonts w:hint="default" w:eastAsia="宋体"/>
                <w:color w:val="auto"/>
                <w:sz w:val="21"/>
                <w:szCs w:val="21"/>
                <w:highlight w:val="none"/>
                <w:lang w:val="en-US" w:eastAsia="zh-CN"/>
              </w:rPr>
              <w:t>2m</w:t>
            </w:r>
            <w:r>
              <w:rPr>
                <w:rFonts w:hint="eastAsia" w:eastAsia="宋体"/>
                <w:color w:val="auto"/>
                <w:sz w:val="21"/>
                <w:szCs w:val="21"/>
                <w:highlight w:val="none"/>
                <w:lang w:val="en-US" w:eastAsia="zh-CN"/>
              </w:rPr>
              <w:t>×</w:t>
            </w:r>
            <w:r>
              <w:rPr>
                <w:rFonts w:hint="default" w:eastAsia="宋体"/>
                <w:color w:val="auto"/>
                <w:sz w:val="21"/>
                <w:szCs w:val="21"/>
                <w:highlight w:val="none"/>
                <w:lang w:val="en-US" w:eastAsia="zh-CN"/>
              </w:rPr>
              <w:t>3m</w:t>
            </w:r>
            <w:r>
              <w:rPr>
                <w:rFonts w:hint="eastAsia" w:eastAsia="宋体"/>
                <w:color w:val="auto"/>
                <w:sz w:val="21"/>
                <w:szCs w:val="21"/>
                <w:highlight w:val="none"/>
                <w:lang w:val="en-US" w:eastAsia="zh-CN"/>
              </w:rPr>
              <w:t>，采用块状汇交的方式，刺槐与连翘的配置比例为</w:t>
            </w:r>
            <w:r>
              <w:rPr>
                <w:rFonts w:hint="default" w:eastAsia="宋体"/>
                <w:color w:val="auto"/>
                <w:sz w:val="21"/>
                <w:szCs w:val="21"/>
                <w:highlight w:val="none"/>
                <w:lang w:val="en-US" w:eastAsia="zh-CN"/>
              </w:rPr>
              <w:t>5</w:t>
            </w:r>
            <w:r>
              <w:rPr>
                <w:rFonts w:hint="eastAsia" w:eastAsia="宋体"/>
                <w:color w:val="auto"/>
                <w:sz w:val="21"/>
                <w:szCs w:val="21"/>
                <w:highlight w:val="none"/>
                <w:lang w:val="en-US" w:eastAsia="zh-CN"/>
              </w:rPr>
              <w:t>：</w:t>
            </w:r>
            <w:r>
              <w:rPr>
                <w:rFonts w:hint="default" w:eastAsia="宋体"/>
                <w:color w:val="auto"/>
                <w:sz w:val="21"/>
                <w:szCs w:val="21"/>
                <w:highlight w:val="none"/>
                <w:lang w:val="en-US" w:eastAsia="zh-CN"/>
              </w:rPr>
              <w:t>5</w:t>
            </w:r>
            <w:r>
              <w:rPr>
                <w:rFonts w:hint="eastAsia" w:eastAsia="宋体"/>
                <w:color w:val="auto"/>
                <w:sz w:val="21"/>
                <w:szCs w:val="21"/>
                <w:highlight w:val="none"/>
                <w:lang w:val="en-US" w:eastAsia="zh-CN"/>
              </w:rPr>
              <w:t>。树苗规格均需选择</w:t>
            </w:r>
            <w:r>
              <w:rPr>
                <w:rFonts w:hint="default" w:eastAsia="宋体"/>
                <w:color w:val="auto"/>
                <w:sz w:val="21"/>
                <w:szCs w:val="21"/>
                <w:highlight w:val="none"/>
                <w:lang w:val="en-US" w:eastAsia="zh-CN"/>
              </w:rPr>
              <w:t>2</w:t>
            </w:r>
            <w:r>
              <w:rPr>
                <w:rFonts w:hint="eastAsia" w:eastAsia="宋体"/>
                <w:color w:val="auto"/>
                <w:sz w:val="21"/>
                <w:szCs w:val="21"/>
                <w:highlight w:val="none"/>
                <w:lang w:val="en-US" w:eastAsia="zh-CN"/>
              </w:rPr>
              <w:t>年生树苗，刺槐树苗胸径不小于</w:t>
            </w:r>
            <w:r>
              <w:rPr>
                <w:rFonts w:hint="default" w:eastAsia="宋体"/>
                <w:color w:val="auto"/>
                <w:sz w:val="21"/>
                <w:szCs w:val="21"/>
                <w:highlight w:val="none"/>
                <w:lang w:val="en-US" w:eastAsia="zh-CN"/>
              </w:rPr>
              <w:t>1cm</w:t>
            </w:r>
            <w:r>
              <w:rPr>
                <w:rFonts w:hint="eastAsia" w:eastAsia="宋体"/>
                <w:color w:val="auto"/>
                <w:sz w:val="21"/>
                <w:szCs w:val="21"/>
                <w:highlight w:val="none"/>
                <w:lang w:val="en-US" w:eastAsia="zh-CN"/>
              </w:rPr>
              <w:t>，株高不小于</w:t>
            </w:r>
            <w:r>
              <w:rPr>
                <w:rFonts w:hint="default" w:eastAsia="宋体"/>
                <w:color w:val="auto"/>
                <w:sz w:val="21"/>
                <w:szCs w:val="21"/>
                <w:highlight w:val="none"/>
                <w:lang w:val="en-US" w:eastAsia="zh-CN"/>
              </w:rPr>
              <w:t>1m</w:t>
            </w:r>
            <w:r>
              <w:rPr>
                <w:rFonts w:hint="eastAsia" w:eastAsia="宋体"/>
                <w:color w:val="auto"/>
                <w:sz w:val="21"/>
                <w:szCs w:val="21"/>
                <w:highlight w:val="none"/>
                <w:lang w:val="en-US" w:eastAsia="zh-CN"/>
              </w:rPr>
              <w:t>；连翘树苗地径不小于</w:t>
            </w:r>
            <w:r>
              <w:rPr>
                <w:rFonts w:hint="default" w:eastAsia="宋体"/>
                <w:color w:val="auto"/>
                <w:sz w:val="21"/>
                <w:szCs w:val="21"/>
                <w:highlight w:val="none"/>
                <w:lang w:val="en-US" w:eastAsia="zh-CN"/>
              </w:rPr>
              <w:t>0.5cm</w:t>
            </w:r>
            <w:r>
              <w:rPr>
                <w:rFonts w:hint="eastAsia" w:eastAsia="宋体"/>
                <w:color w:val="auto"/>
                <w:sz w:val="21"/>
                <w:szCs w:val="21"/>
                <w:highlight w:val="none"/>
                <w:lang w:val="en-US" w:eastAsia="zh-CN"/>
              </w:rPr>
              <w:t>，株高不小于</w:t>
            </w:r>
            <w:r>
              <w:rPr>
                <w:rFonts w:hint="default" w:eastAsia="宋体"/>
                <w:color w:val="auto"/>
                <w:sz w:val="21"/>
                <w:szCs w:val="21"/>
                <w:highlight w:val="none"/>
                <w:lang w:val="en-US" w:eastAsia="zh-CN"/>
              </w:rPr>
              <w:t>0.8m</w:t>
            </w:r>
            <w:r>
              <w:rPr>
                <w:rFonts w:hint="eastAsia" w:eastAsia="宋体"/>
                <w:color w:val="auto"/>
                <w:sz w:val="21"/>
                <w:szCs w:val="21"/>
                <w:highlight w:val="none"/>
                <w:lang w:val="en-US" w:eastAsia="zh-CN"/>
              </w:rPr>
              <w:t>。共需栽植刺槐2288株，连翘 2288株，考虑成活率等其他因素，增加15%的补栽比例，增加刺槐补栽株</w:t>
            </w:r>
            <w:r>
              <w:rPr>
                <w:rFonts w:hint="eastAsia" w:ascii="Times New Roman" w:eastAsia="宋体"/>
                <w:color w:val="auto"/>
                <w:sz w:val="21"/>
                <w:szCs w:val="21"/>
                <w:highlight w:val="none"/>
                <w:lang w:val="en-US" w:eastAsia="zh-CN"/>
              </w:rPr>
              <w:t>数</w:t>
            </w:r>
            <w:r>
              <w:rPr>
                <w:rFonts w:hint="eastAsia" w:eastAsia="宋体"/>
                <w:color w:val="auto"/>
                <w:sz w:val="21"/>
                <w:szCs w:val="21"/>
                <w:highlight w:val="none"/>
                <w:lang w:val="en-US" w:eastAsia="zh-CN"/>
              </w:rPr>
              <w:t>343株，连翘补栽株</w:t>
            </w:r>
            <w:r>
              <w:rPr>
                <w:rFonts w:hint="eastAsia" w:ascii="Times New Roman" w:eastAsia="宋体"/>
                <w:color w:val="auto"/>
                <w:sz w:val="21"/>
                <w:szCs w:val="21"/>
                <w:highlight w:val="none"/>
                <w:lang w:val="en-US" w:eastAsia="zh-CN"/>
              </w:rPr>
              <w:t>数</w:t>
            </w:r>
            <w:r>
              <w:rPr>
                <w:rFonts w:hint="eastAsia" w:eastAsia="宋体"/>
                <w:color w:val="auto"/>
                <w:sz w:val="21"/>
                <w:szCs w:val="21"/>
                <w:highlight w:val="none"/>
                <w:lang w:val="en-US" w:eastAsia="zh-CN"/>
              </w:rPr>
              <w:t>343株。合计预算总植树株</w:t>
            </w:r>
            <w:r>
              <w:rPr>
                <w:rFonts w:hint="eastAsia" w:ascii="Times New Roman" w:eastAsia="宋体"/>
                <w:color w:val="auto"/>
                <w:sz w:val="21"/>
                <w:szCs w:val="21"/>
                <w:highlight w:val="none"/>
                <w:lang w:val="en-US" w:eastAsia="zh-CN"/>
              </w:rPr>
              <w:t>数</w:t>
            </w:r>
            <w:r>
              <w:rPr>
                <w:rFonts w:hint="eastAsia" w:eastAsia="宋体"/>
                <w:color w:val="auto"/>
                <w:sz w:val="21"/>
                <w:szCs w:val="21"/>
                <w:highlight w:val="none"/>
                <w:lang w:val="en-US" w:eastAsia="zh-CN"/>
              </w:rPr>
              <w:t>5262株，其中刺槐2621株，连翘26</w:t>
            </w:r>
            <w:r>
              <w:rPr>
                <w:rFonts w:hint="eastAsia"/>
                <w:color w:val="auto"/>
                <w:sz w:val="21"/>
                <w:szCs w:val="21"/>
                <w:highlight w:val="none"/>
                <w:lang w:val="en-US" w:eastAsia="zh-CN"/>
              </w:rPr>
              <w:t>3</w:t>
            </w:r>
            <w:r>
              <w:rPr>
                <w:rFonts w:hint="eastAsia" w:eastAsia="宋体"/>
                <w:color w:val="auto"/>
                <w:sz w:val="21"/>
                <w:szCs w:val="21"/>
                <w:highlight w:val="none"/>
                <w:lang w:val="en-US" w:eastAsia="zh-CN"/>
              </w:rPr>
              <w:t>1株。</w:t>
            </w:r>
          </w:p>
        </w:tc>
        <w:tc>
          <w:tcPr>
            <w:tcW w:w="1769" w:type="dxa"/>
            <w:vMerge w:val="restart"/>
            <w:vAlign w:val="center"/>
          </w:tcPr>
          <w:p w14:paraId="65BDD581">
            <w:pPr>
              <w:adjustRightInd w:val="0"/>
              <w:snapToGrid w:val="0"/>
              <w:rPr>
                <w:color w:val="auto"/>
                <w:highlight w:val="none"/>
              </w:rPr>
            </w:pPr>
            <w:r>
              <w:rPr>
                <w:color w:val="auto"/>
                <w:highlight w:val="none"/>
              </w:rPr>
              <w:t>风电场临时占地全部恢复植被，无裸露地表；</w:t>
            </w:r>
          </w:p>
          <w:p w14:paraId="3EB49AF1">
            <w:pPr>
              <w:adjustRightInd w:val="0"/>
              <w:snapToGrid w:val="0"/>
              <w:rPr>
                <w:color w:val="auto"/>
                <w:szCs w:val="21"/>
                <w:highlight w:val="none"/>
              </w:rPr>
            </w:pPr>
            <w:r>
              <w:rPr>
                <w:color w:val="auto"/>
                <w:highlight w:val="none"/>
              </w:rPr>
              <w:t>验收依据《建设项目竣工环境保护验收技术规范生态影响类》（HJ T 394-2007）。</w:t>
            </w:r>
          </w:p>
        </w:tc>
        <w:tc>
          <w:tcPr>
            <w:tcW w:w="3051" w:type="dxa"/>
            <w:vMerge w:val="restart"/>
            <w:vAlign w:val="center"/>
          </w:tcPr>
          <w:p w14:paraId="31A8EAAA">
            <w:pPr>
              <w:pStyle w:val="9"/>
              <w:jc w:val="both"/>
              <w:rPr>
                <w:rFonts w:hint="eastAsia" w:ascii="Times New Roman" w:hAnsi="Times New Roman" w:eastAsia="宋体"/>
                <w:color w:val="auto"/>
                <w:sz w:val="21"/>
                <w:highlight w:val="none"/>
                <w:lang w:eastAsia="zh-CN"/>
              </w:rPr>
            </w:pPr>
            <w:r>
              <w:rPr>
                <w:rFonts w:ascii="Times New Roman" w:hAnsi="Times New Roman"/>
                <w:color w:val="auto"/>
                <w:sz w:val="21"/>
                <w:highlight w:val="none"/>
              </w:rPr>
              <w:t>制定风电场植被管理方案，对风电场范围内的植被现状进行巡查，及时对未成活的区域进行土壤改良和植被补栽</w:t>
            </w:r>
            <w:r>
              <w:rPr>
                <w:rFonts w:hint="eastAsia" w:ascii="Times New Roman" w:hAnsi="Times New Roman"/>
                <w:color w:val="auto"/>
                <w:sz w:val="21"/>
                <w:highlight w:val="none"/>
                <w:lang w:eastAsia="zh-CN"/>
              </w:rPr>
              <w:t>。</w:t>
            </w:r>
          </w:p>
        </w:tc>
        <w:tc>
          <w:tcPr>
            <w:tcW w:w="2300" w:type="dxa"/>
            <w:vMerge w:val="restart"/>
            <w:vAlign w:val="center"/>
          </w:tcPr>
          <w:p w14:paraId="383F50CD">
            <w:pPr>
              <w:adjustRightInd w:val="0"/>
              <w:snapToGrid w:val="0"/>
              <w:rPr>
                <w:color w:val="auto"/>
                <w:szCs w:val="21"/>
                <w:highlight w:val="none"/>
              </w:rPr>
            </w:pPr>
            <w:r>
              <w:rPr>
                <w:color w:val="auto"/>
                <w:highlight w:val="none"/>
              </w:rPr>
              <w:t>管护作物及补栽植被成活且长势良好。</w:t>
            </w:r>
          </w:p>
        </w:tc>
      </w:tr>
      <w:tr w14:paraId="387681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573" w:type="dxa"/>
            <w:vMerge w:val="continue"/>
            <w:vAlign w:val="center"/>
          </w:tcPr>
          <w:p w14:paraId="0A4D3E01">
            <w:pPr>
              <w:adjustRightInd w:val="0"/>
              <w:snapToGrid w:val="0"/>
              <w:jc w:val="center"/>
              <w:rPr>
                <w:color w:val="auto"/>
                <w:szCs w:val="21"/>
                <w:highlight w:val="none"/>
              </w:rPr>
            </w:pPr>
          </w:p>
        </w:tc>
        <w:tc>
          <w:tcPr>
            <w:tcW w:w="1508" w:type="dxa"/>
            <w:vAlign w:val="center"/>
          </w:tcPr>
          <w:p w14:paraId="1B6255A3">
            <w:pPr>
              <w:spacing w:line="240" w:lineRule="exact"/>
              <w:jc w:val="center"/>
              <w:rPr>
                <w:color w:val="auto"/>
                <w:szCs w:val="21"/>
                <w:highlight w:val="none"/>
              </w:rPr>
            </w:pPr>
            <w:r>
              <w:rPr>
                <w:color w:val="auto"/>
                <w:szCs w:val="21"/>
                <w:highlight w:val="none"/>
              </w:rPr>
              <w:t>集电线路</w:t>
            </w:r>
          </w:p>
          <w:p w14:paraId="505062B0">
            <w:pPr>
              <w:spacing w:line="240" w:lineRule="exact"/>
              <w:jc w:val="center"/>
              <w:rPr>
                <w:color w:val="auto"/>
                <w:szCs w:val="21"/>
                <w:highlight w:val="none"/>
              </w:rPr>
            </w:pPr>
            <w:r>
              <w:rPr>
                <w:color w:val="auto"/>
                <w:szCs w:val="21"/>
                <w:highlight w:val="none"/>
              </w:rPr>
              <w:t>防治区</w:t>
            </w:r>
          </w:p>
        </w:tc>
        <w:tc>
          <w:tcPr>
            <w:tcW w:w="4973" w:type="dxa"/>
            <w:vAlign w:val="center"/>
          </w:tcPr>
          <w:p w14:paraId="36E6C7DD">
            <w:pPr>
              <w:adjustRightInd w:val="0"/>
              <w:snapToGrid w:val="0"/>
              <w:jc w:val="left"/>
              <w:rPr>
                <w:color w:val="auto"/>
                <w:szCs w:val="21"/>
                <w:highlight w:val="none"/>
              </w:rPr>
            </w:pPr>
            <w:r>
              <w:rPr>
                <w:rFonts w:eastAsia="宋体"/>
                <w:color w:val="auto"/>
                <w:sz w:val="21"/>
                <w:szCs w:val="21"/>
                <w:highlight w:val="none"/>
              </w:rPr>
              <w:t>施工结束后回填表土，平整开挖区</w:t>
            </w:r>
            <w:r>
              <w:rPr>
                <w:rFonts w:hint="eastAsia" w:eastAsia="宋体"/>
                <w:color w:val="auto"/>
                <w:sz w:val="21"/>
                <w:szCs w:val="21"/>
                <w:highlight w:val="none"/>
              </w:rPr>
              <w:t>，铁塔下方不适合栽植乔灌木（从安全角度考虑），塔基施工占用旱地区域进行土地复垦，恢复旱地面积</w:t>
            </w:r>
            <w:r>
              <w:rPr>
                <w:rFonts w:hint="eastAsia" w:eastAsia="宋体"/>
                <w:color w:val="auto"/>
                <w:sz w:val="21"/>
                <w:szCs w:val="21"/>
                <w:highlight w:val="none"/>
                <w:lang w:val="en-US" w:eastAsia="zh-CN"/>
              </w:rPr>
              <w:t>0.1094h</w:t>
            </w:r>
            <w:r>
              <w:rPr>
                <w:rFonts w:hint="eastAsia" w:eastAsia="宋体"/>
                <w:color w:val="auto"/>
                <w:sz w:val="21"/>
                <w:szCs w:val="21"/>
                <w:highlight w:val="none"/>
              </w:rPr>
              <w:t>m</w:t>
            </w:r>
            <w:r>
              <w:rPr>
                <w:rFonts w:hint="eastAsia" w:eastAsia="宋体"/>
                <w:color w:val="auto"/>
                <w:sz w:val="21"/>
                <w:szCs w:val="21"/>
                <w:highlight w:val="none"/>
                <w:vertAlign w:val="superscript"/>
              </w:rPr>
              <w:t>2</w:t>
            </w:r>
            <w:r>
              <w:rPr>
                <w:rFonts w:hint="eastAsia" w:eastAsia="宋体"/>
                <w:color w:val="auto"/>
                <w:sz w:val="21"/>
                <w:szCs w:val="21"/>
                <w:highlight w:val="none"/>
              </w:rPr>
              <w:t>，由当地村民来年播种；塔基占用</w:t>
            </w:r>
            <w:r>
              <w:rPr>
                <w:rFonts w:hint="eastAsia" w:eastAsia="宋体"/>
                <w:color w:val="auto"/>
                <w:sz w:val="21"/>
                <w:szCs w:val="21"/>
                <w:highlight w:val="none"/>
                <w:lang w:val="en-US" w:eastAsia="zh-CN"/>
              </w:rPr>
              <w:t>林</w:t>
            </w:r>
            <w:r>
              <w:rPr>
                <w:rFonts w:hint="eastAsia" w:eastAsia="宋体"/>
                <w:color w:val="auto"/>
                <w:sz w:val="21"/>
                <w:szCs w:val="21"/>
                <w:highlight w:val="none"/>
              </w:rPr>
              <w:t>地区域通过撒播草籽的方式进行植被恢复，恢复面积</w:t>
            </w:r>
            <w:r>
              <w:rPr>
                <w:rFonts w:hint="eastAsia" w:eastAsia="宋体"/>
                <w:color w:val="auto"/>
                <w:sz w:val="21"/>
                <w:szCs w:val="21"/>
                <w:highlight w:val="none"/>
                <w:lang w:val="en-US" w:eastAsia="zh-CN"/>
              </w:rPr>
              <w:t>0.2794h</w:t>
            </w:r>
            <w:r>
              <w:rPr>
                <w:rFonts w:hint="eastAsia" w:eastAsia="宋体"/>
                <w:color w:val="auto"/>
                <w:sz w:val="21"/>
                <w:szCs w:val="21"/>
                <w:highlight w:val="none"/>
              </w:rPr>
              <w:t>m</w:t>
            </w:r>
            <w:r>
              <w:rPr>
                <w:rFonts w:hint="eastAsia" w:eastAsia="宋体"/>
                <w:color w:val="auto"/>
                <w:sz w:val="21"/>
                <w:szCs w:val="21"/>
                <w:highlight w:val="none"/>
                <w:vertAlign w:val="superscript"/>
              </w:rPr>
              <w:t>2</w:t>
            </w:r>
            <w:r>
              <w:rPr>
                <w:rFonts w:hint="eastAsia" w:eastAsia="宋体"/>
                <w:color w:val="auto"/>
                <w:sz w:val="21"/>
                <w:szCs w:val="21"/>
                <w:highlight w:val="none"/>
              </w:rPr>
              <w:t>，草种选择本地草种白羊草，播种密度40kg/hm²，需草籽</w:t>
            </w:r>
            <w:r>
              <w:rPr>
                <w:rFonts w:hint="eastAsia" w:eastAsia="宋体"/>
                <w:color w:val="auto"/>
                <w:sz w:val="21"/>
                <w:szCs w:val="21"/>
                <w:highlight w:val="none"/>
                <w:lang w:val="en-US" w:eastAsia="zh-CN"/>
              </w:rPr>
              <w:t>11.176</w:t>
            </w:r>
            <w:r>
              <w:rPr>
                <w:rFonts w:hint="eastAsia" w:eastAsia="宋体"/>
                <w:color w:val="auto"/>
                <w:sz w:val="21"/>
                <w:szCs w:val="21"/>
                <w:highlight w:val="none"/>
              </w:rPr>
              <w:t>kg，共需草籽量</w:t>
            </w:r>
            <w:r>
              <w:rPr>
                <w:rFonts w:hint="eastAsia" w:eastAsia="宋体"/>
                <w:color w:val="auto"/>
                <w:sz w:val="21"/>
                <w:szCs w:val="21"/>
                <w:highlight w:val="none"/>
                <w:lang w:val="en-US" w:eastAsia="zh-CN"/>
              </w:rPr>
              <w:t>11.399</w:t>
            </w:r>
            <w:r>
              <w:rPr>
                <w:rFonts w:hint="eastAsia" w:eastAsia="宋体"/>
                <w:color w:val="auto"/>
                <w:sz w:val="21"/>
                <w:szCs w:val="21"/>
                <w:highlight w:val="none"/>
              </w:rPr>
              <w:t>kg（考虑2%的损耗），按工程量调整系数1.05考虑，需草籽</w:t>
            </w:r>
            <w:r>
              <w:rPr>
                <w:rFonts w:hint="eastAsia" w:eastAsia="宋体"/>
                <w:color w:val="auto"/>
                <w:sz w:val="21"/>
                <w:szCs w:val="21"/>
                <w:highlight w:val="none"/>
                <w:lang w:val="en-US" w:eastAsia="zh-CN"/>
              </w:rPr>
              <w:t>11.735</w:t>
            </w:r>
            <w:r>
              <w:rPr>
                <w:rFonts w:hint="eastAsia" w:eastAsia="宋体"/>
                <w:color w:val="auto"/>
                <w:sz w:val="21"/>
                <w:szCs w:val="21"/>
                <w:highlight w:val="none"/>
              </w:rPr>
              <w:t>kg。占用</w:t>
            </w:r>
            <w:r>
              <w:rPr>
                <w:rFonts w:hint="eastAsia" w:eastAsia="宋体"/>
                <w:color w:val="auto"/>
                <w:sz w:val="21"/>
                <w:szCs w:val="21"/>
                <w:highlight w:val="none"/>
                <w:lang w:val="en-US" w:eastAsia="zh-CN"/>
              </w:rPr>
              <w:t>其他草地</w:t>
            </w:r>
            <w:r>
              <w:rPr>
                <w:rFonts w:hint="eastAsia" w:eastAsia="宋体"/>
                <w:color w:val="auto"/>
                <w:sz w:val="21"/>
                <w:szCs w:val="21"/>
                <w:highlight w:val="none"/>
              </w:rPr>
              <w:t>区域通过撒播草籽的方式进行植被恢复，恢复面积</w:t>
            </w:r>
            <w:r>
              <w:rPr>
                <w:rFonts w:hint="eastAsia" w:ascii="Times New Roman" w:eastAsia="宋体"/>
                <w:color w:val="auto"/>
                <w:sz w:val="21"/>
                <w:szCs w:val="21"/>
                <w:highlight w:val="none"/>
                <w:lang w:val="en-US" w:eastAsia="zh-CN"/>
              </w:rPr>
              <w:t>0.2670</w:t>
            </w:r>
            <w:r>
              <w:rPr>
                <w:rFonts w:hint="eastAsia" w:eastAsia="宋体"/>
                <w:color w:val="auto"/>
                <w:sz w:val="21"/>
                <w:szCs w:val="21"/>
                <w:highlight w:val="none"/>
                <w:lang w:val="en-US" w:eastAsia="zh-CN"/>
              </w:rPr>
              <w:t>h</w:t>
            </w:r>
            <w:r>
              <w:rPr>
                <w:rFonts w:hint="eastAsia" w:eastAsia="宋体"/>
                <w:color w:val="auto"/>
                <w:sz w:val="21"/>
                <w:szCs w:val="21"/>
                <w:highlight w:val="none"/>
              </w:rPr>
              <w:t>m</w:t>
            </w:r>
            <w:r>
              <w:rPr>
                <w:rFonts w:hint="eastAsia" w:eastAsia="宋体"/>
                <w:color w:val="auto"/>
                <w:sz w:val="21"/>
                <w:szCs w:val="21"/>
                <w:highlight w:val="none"/>
                <w:vertAlign w:val="superscript"/>
              </w:rPr>
              <w:t>2</w:t>
            </w:r>
            <w:r>
              <w:rPr>
                <w:rFonts w:hint="eastAsia" w:eastAsia="宋体"/>
                <w:color w:val="auto"/>
                <w:sz w:val="21"/>
                <w:szCs w:val="21"/>
                <w:highlight w:val="none"/>
              </w:rPr>
              <w:t>，草种选择本地草种白羊草，播种密度40kg/hm²，需草籽</w:t>
            </w:r>
            <w:r>
              <w:rPr>
                <w:rFonts w:hint="eastAsia" w:eastAsia="宋体"/>
                <w:color w:val="auto"/>
                <w:sz w:val="21"/>
                <w:szCs w:val="21"/>
                <w:highlight w:val="none"/>
                <w:lang w:val="en-US" w:eastAsia="zh-CN"/>
              </w:rPr>
              <w:t>10.68</w:t>
            </w:r>
            <w:r>
              <w:rPr>
                <w:rFonts w:hint="eastAsia" w:eastAsia="宋体"/>
                <w:color w:val="auto"/>
                <w:sz w:val="21"/>
                <w:szCs w:val="21"/>
                <w:highlight w:val="none"/>
              </w:rPr>
              <w:t>kg，共需草籽量</w:t>
            </w:r>
            <w:r>
              <w:rPr>
                <w:rFonts w:hint="eastAsia" w:eastAsia="宋体"/>
                <w:color w:val="auto"/>
                <w:sz w:val="21"/>
                <w:szCs w:val="21"/>
                <w:highlight w:val="none"/>
                <w:lang w:val="en-US" w:eastAsia="zh-CN"/>
              </w:rPr>
              <w:t>10.9</w:t>
            </w:r>
            <w:r>
              <w:rPr>
                <w:rFonts w:hint="eastAsia" w:eastAsia="宋体"/>
                <w:color w:val="auto"/>
                <w:sz w:val="21"/>
                <w:szCs w:val="21"/>
                <w:highlight w:val="none"/>
              </w:rPr>
              <w:t>kg（考虑2%的损耗），按工程量调整系数1.05考虑，需草籽</w:t>
            </w:r>
            <w:r>
              <w:rPr>
                <w:rFonts w:hint="eastAsia" w:eastAsia="宋体"/>
                <w:color w:val="auto"/>
                <w:sz w:val="21"/>
                <w:szCs w:val="21"/>
                <w:highlight w:val="none"/>
                <w:lang w:val="en-US" w:eastAsia="zh-CN"/>
              </w:rPr>
              <w:t>11.</w:t>
            </w:r>
            <w:r>
              <w:rPr>
                <w:rFonts w:hint="eastAsia"/>
                <w:color w:val="auto"/>
                <w:sz w:val="21"/>
                <w:szCs w:val="21"/>
                <w:highlight w:val="none"/>
                <w:lang w:val="en-US" w:eastAsia="zh-CN"/>
              </w:rPr>
              <w:t>4</w:t>
            </w:r>
            <w:r>
              <w:rPr>
                <w:rFonts w:hint="eastAsia" w:eastAsia="宋体"/>
                <w:color w:val="auto"/>
                <w:sz w:val="21"/>
                <w:szCs w:val="21"/>
                <w:highlight w:val="none"/>
              </w:rPr>
              <w:t>kg</w:t>
            </w:r>
            <w:r>
              <w:rPr>
                <w:rFonts w:hint="eastAsia" w:eastAsia="宋体"/>
                <w:color w:val="auto"/>
                <w:sz w:val="21"/>
                <w:szCs w:val="21"/>
                <w:highlight w:val="none"/>
                <w:lang w:eastAsia="zh-CN"/>
              </w:rPr>
              <w:t>。</w:t>
            </w:r>
          </w:p>
        </w:tc>
        <w:tc>
          <w:tcPr>
            <w:tcW w:w="1769" w:type="dxa"/>
            <w:vMerge w:val="continue"/>
            <w:vAlign w:val="center"/>
          </w:tcPr>
          <w:p w14:paraId="4E8E3F87">
            <w:pPr>
              <w:adjustRightInd w:val="0"/>
              <w:snapToGrid w:val="0"/>
              <w:rPr>
                <w:color w:val="auto"/>
                <w:szCs w:val="21"/>
                <w:highlight w:val="none"/>
              </w:rPr>
            </w:pPr>
          </w:p>
        </w:tc>
        <w:tc>
          <w:tcPr>
            <w:tcW w:w="3051" w:type="dxa"/>
            <w:vMerge w:val="continue"/>
            <w:vAlign w:val="center"/>
          </w:tcPr>
          <w:p w14:paraId="4227FA81">
            <w:pPr>
              <w:adjustRightInd w:val="0"/>
              <w:snapToGrid w:val="0"/>
              <w:rPr>
                <w:color w:val="auto"/>
                <w:szCs w:val="21"/>
                <w:highlight w:val="none"/>
              </w:rPr>
            </w:pPr>
          </w:p>
        </w:tc>
        <w:tc>
          <w:tcPr>
            <w:tcW w:w="2300" w:type="dxa"/>
            <w:vMerge w:val="continue"/>
            <w:vAlign w:val="center"/>
          </w:tcPr>
          <w:p w14:paraId="12C20640">
            <w:pPr>
              <w:adjustRightInd w:val="0"/>
              <w:snapToGrid w:val="0"/>
              <w:rPr>
                <w:color w:val="auto"/>
                <w:szCs w:val="21"/>
                <w:highlight w:val="none"/>
              </w:rPr>
            </w:pPr>
          </w:p>
        </w:tc>
      </w:tr>
      <w:tr w14:paraId="140CDB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573" w:type="dxa"/>
            <w:vMerge w:val="continue"/>
            <w:vAlign w:val="center"/>
          </w:tcPr>
          <w:p w14:paraId="0788BEC1">
            <w:pPr>
              <w:adjustRightInd w:val="0"/>
              <w:snapToGrid w:val="0"/>
              <w:jc w:val="center"/>
              <w:rPr>
                <w:color w:val="auto"/>
                <w:szCs w:val="21"/>
                <w:highlight w:val="none"/>
              </w:rPr>
            </w:pPr>
          </w:p>
        </w:tc>
        <w:tc>
          <w:tcPr>
            <w:tcW w:w="1508" w:type="dxa"/>
            <w:vAlign w:val="center"/>
          </w:tcPr>
          <w:p w14:paraId="52241A04">
            <w:pPr>
              <w:spacing w:line="240" w:lineRule="exact"/>
              <w:jc w:val="center"/>
              <w:rPr>
                <w:color w:val="auto"/>
                <w:szCs w:val="21"/>
                <w:highlight w:val="none"/>
              </w:rPr>
            </w:pPr>
            <w:r>
              <w:rPr>
                <w:color w:val="auto"/>
                <w:szCs w:val="21"/>
                <w:highlight w:val="none"/>
              </w:rPr>
              <w:t>施工临建</w:t>
            </w:r>
          </w:p>
          <w:p w14:paraId="240AA36B">
            <w:pPr>
              <w:spacing w:line="240" w:lineRule="exact"/>
              <w:jc w:val="center"/>
              <w:rPr>
                <w:color w:val="auto"/>
                <w:szCs w:val="21"/>
                <w:highlight w:val="none"/>
              </w:rPr>
            </w:pPr>
            <w:r>
              <w:rPr>
                <w:color w:val="auto"/>
                <w:szCs w:val="21"/>
                <w:highlight w:val="none"/>
              </w:rPr>
              <w:t>防治区</w:t>
            </w:r>
          </w:p>
        </w:tc>
        <w:tc>
          <w:tcPr>
            <w:tcW w:w="4973" w:type="dxa"/>
            <w:vAlign w:val="center"/>
          </w:tcPr>
          <w:p w14:paraId="472C14EF">
            <w:pPr>
              <w:adjustRightInd w:val="0"/>
              <w:snapToGrid w:val="0"/>
              <w:spacing w:line="240" w:lineRule="exact"/>
              <w:jc w:val="left"/>
              <w:rPr>
                <w:bCs/>
                <w:color w:val="auto"/>
                <w:szCs w:val="21"/>
                <w:highlight w:val="none"/>
              </w:rPr>
            </w:pPr>
            <w:r>
              <w:rPr>
                <w:rFonts w:eastAsia="宋体"/>
                <w:color w:val="auto"/>
                <w:sz w:val="21"/>
                <w:szCs w:val="21"/>
                <w:highlight w:val="none"/>
              </w:rPr>
              <w:t>施工结束后及时进行土地平整，表土回填，</w:t>
            </w:r>
            <w:r>
              <w:rPr>
                <w:rFonts w:hint="eastAsia" w:eastAsia="宋体"/>
                <w:color w:val="auto"/>
                <w:sz w:val="21"/>
                <w:szCs w:val="21"/>
                <w:highlight w:val="none"/>
              </w:rPr>
              <w:t>通过</w:t>
            </w:r>
            <w:r>
              <w:rPr>
                <w:rFonts w:eastAsia="宋体"/>
                <w:color w:val="auto"/>
                <w:sz w:val="21"/>
                <w:szCs w:val="21"/>
                <w:highlight w:val="none"/>
              </w:rPr>
              <w:t>播撒草籽进行植被恢复，恢复植被</w:t>
            </w:r>
            <w:r>
              <w:rPr>
                <w:rFonts w:hint="eastAsia" w:eastAsia="宋体"/>
                <w:color w:val="auto"/>
                <w:sz w:val="21"/>
                <w:szCs w:val="21"/>
                <w:highlight w:val="none"/>
              </w:rPr>
              <w:t>24</w:t>
            </w:r>
            <w:r>
              <w:rPr>
                <w:rFonts w:eastAsia="宋体"/>
                <w:color w:val="auto"/>
                <w:sz w:val="21"/>
                <w:szCs w:val="21"/>
                <w:highlight w:val="none"/>
              </w:rPr>
              <w:t>00m</w:t>
            </w:r>
            <w:r>
              <w:rPr>
                <w:rFonts w:eastAsia="宋体"/>
                <w:color w:val="auto"/>
                <w:sz w:val="21"/>
                <w:szCs w:val="21"/>
                <w:highlight w:val="none"/>
                <w:vertAlign w:val="superscript"/>
              </w:rPr>
              <w:t>2</w:t>
            </w:r>
            <w:r>
              <w:rPr>
                <w:rFonts w:eastAsia="宋体"/>
                <w:color w:val="auto"/>
                <w:sz w:val="21"/>
                <w:szCs w:val="21"/>
                <w:highlight w:val="none"/>
              </w:rPr>
              <w:t>。草种选择本地草</w:t>
            </w:r>
            <w:r>
              <w:rPr>
                <w:rFonts w:hint="eastAsia" w:eastAsia="宋体"/>
                <w:color w:val="auto"/>
                <w:sz w:val="21"/>
                <w:szCs w:val="21"/>
                <w:highlight w:val="none"/>
              </w:rPr>
              <w:t>种白羊草</w:t>
            </w:r>
            <w:r>
              <w:rPr>
                <w:rFonts w:eastAsia="宋体"/>
                <w:color w:val="auto"/>
                <w:sz w:val="21"/>
                <w:szCs w:val="21"/>
                <w:highlight w:val="none"/>
              </w:rPr>
              <w:t>，播种密度40kg/hm²，共需草籽</w:t>
            </w:r>
            <w:r>
              <w:rPr>
                <w:rFonts w:hint="eastAsia" w:eastAsia="宋体"/>
                <w:color w:val="auto"/>
                <w:sz w:val="21"/>
                <w:szCs w:val="21"/>
                <w:highlight w:val="none"/>
              </w:rPr>
              <w:t>9.6</w:t>
            </w:r>
            <w:r>
              <w:rPr>
                <w:rFonts w:eastAsia="宋体"/>
                <w:color w:val="auto"/>
                <w:sz w:val="21"/>
                <w:szCs w:val="21"/>
                <w:highlight w:val="none"/>
              </w:rPr>
              <w:t>kg，需草籽量</w:t>
            </w:r>
            <w:r>
              <w:rPr>
                <w:rFonts w:hint="eastAsia" w:eastAsia="宋体"/>
                <w:color w:val="auto"/>
                <w:sz w:val="21"/>
                <w:szCs w:val="21"/>
                <w:highlight w:val="none"/>
              </w:rPr>
              <w:t>9.8</w:t>
            </w:r>
            <w:r>
              <w:rPr>
                <w:rFonts w:eastAsia="宋体"/>
                <w:color w:val="auto"/>
                <w:sz w:val="21"/>
                <w:szCs w:val="21"/>
                <w:highlight w:val="none"/>
              </w:rPr>
              <w:t>kg（考虑2%的损耗），按工程量调整系数1.05考虑，需草籽</w:t>
            </w:r>
            <w:r>
              <w:rPr>
                <w:rFonts w:hint="eastAsia" w:eastAsia="宋体"/>
                <w:color w:val="auto"/>
                <w:sz w:val="21"/>
                <w:szCs w:val="21"/>
                <w:highlight w:val="none"/>
              </w:rPr>
              <w:t>10.3</w:t>
            </w:r>
            <w:r>
              <w:rPr>
                <w:rFonts w:eastAsia="宋体"/>
                <w:color w:val="auto"/>
                <w:sz w:val="21"/>
                <w:szCs w:val="21"/>
                <w:highlight w:val="none"/>
              </w:rPr>
              <w:t>kg。</w:t>
            </w:r>
          </w:p>
        </w:tc>
        <w:tc>
          <w:tcPr>
            <w:tcW w:w="1769" w:type="dxa"/>
            <w:vMerge w:val="continue"/>
            <w:vAlign w:val="center"/>
          </w:tcPr>
          <w:p w14:paraId="012BED05">
            <w:pPr>
              <w:adjustRightInd w:val="0"/>
              <w:snapToGrid w:val="0"/>
              <w:rPr>
                <w:color w:val="auto"/>
                <w:szCs w:val="21"/>
                <w:highlight w:val="none"/>
              </w:rPr>
            </w:pPr>
          </w:p>
        </w:tc>
        <w:tc>
          <w:tcPr>
            <w:tcW w:w="3051" w:type="dxa"/>
            <w:vMerge w:val="continue"/>
            <w:vAlign w:val="center"/>
          </w:tcPr>
          <w:p w14:paraId="0D308447">
            <w:pPr>
              <w:adjustRightInd w:val="0"/>
              <w:snapToGrid w:val="0"/>
              <w:rPr>
                <w:color w:val="auto"/>
                <w:szCs w:val="21"/>
                <w:highlight w:val="none"/>
              </w:rPr>
            </w:pPr>
          </w:p>
        </w:tc>
        <w:tc>
          <w:tcPr>
            <w:tcW w:w="2300" w:type="dxa"/>
            <w:vMerge w:val="continue"/>
            <w:vAlign w:val="center"/>
          </w:tcPr>
          <w:p w14:paraId="194F58C2">
            <w:pPr>
              <w:adjustRightInd w:val="0"/>
              <w:snapToGrid w:val="0"/>
              <w:rPr>
                <w:color w:val="auto"/>
                <w:szCs w:val="21"/>
                <w:highlight w:val="none"/>
              </w:rPr>
            </w:pPr>
          </w:p>
        </w:tc>
      </w:tr>
      <w:tr w14:paraId="15C3BC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81" w:type="dxa"/>
            <w:gridSpan w:val="2"/>
            <w:vAlign w:val="center"/>
          </w:tcPr>
          <w:p w14:paraId="668C2A31">
            <w:pPr>
              <w:adjustRightInd w:val="0"/>
              <w:snapToGrid w:val="0"/>
              <w:jc w:val="center"/>
              <w:rPr>
                <w:color w:val="auto"/>
                <w:szCs w:val="21"/>
                <w:highlight w:val="none"/>
              </w:rPr>
            </w:pPr>
            <w:r>
              <w:rPr>
                <w:color w:val="auto"/>
                <w:szCs w:val="21"/>
                <w:highlight w:val="none"/>
              </w:rPr>
              <w:t>水生生态</w:t>
            </w:r>
          </w:p>
        </w:tc>
        <w:tc>
          <w:tcPr>
            <w:tcW w:w="4973" w:type="dxa"/>
            <w:vAlign w:val="center"/>
          </w:tcPr>
          <w:p w14:paraId="2A3B7EF5">
            <w:pPr>
              <w:adjustRightInd w:val="0"/>
              <w:snapToGrid w:val="0"/>
              <w:jc w:val="center"/>
              <w:rPr>
                <w:color w:val="auto"/>
                <w:szCs w:val="21"/>
                <w:highlight w:val="none"/>
              </w:rPr>
            </w:pPr>
            <w:r>
              <w:rPr>
                <w:color w:val="auto"/>
                <w:szCs w:val="21"/>
                <w:highlight w:val="none"/>
              </w:rPr>
              <w:t>无</w:t>
            </w:r>
          </w:p>
        </w:tc>
        <w:tc>
          <w:tcPr>
            <w:tcW w:w="1769" w:type="dxa"/>
            <w:vAlign w:val="center"/>
          </w:tcPr>
          <w:p w14:paraId="478238B9">
            <w:pPr>
              <w:adjustRightInd w:val="0"/>
              <w:snapToGrid w:val="0"/>
              <w:jc w:val="center"/>
              <w:rPr>
                <w:color w:val="auto"/>
                <w:szCs w:val="21"/>
                <w:highlight w:val="none"/>
              </w:rPr>
            </w:pPr>
            <w:r>
              <w:rPr>
                <w:color w:val="auto"/>
                <w:szCs w:val="21"/>
                <w:highlight w:val="none"/>
              </w:rPr>
              <w:t>无</w:t>
            </w:r>
          </w:p>
        </w:tc>
        <w:tc>
          <w:tcPr>
            <w:tcW w:w="3051" w:type="dxa"/>
            <w:vAlign w:val="center"/>
          </w:tcPr>
          <w:p w14:paraId="69C6E221">
            <w:pPr>
              <w:adjustRightInd w:val="0"/>
              <w:snapToGrid w:val="0"/>
              <w:jc w:val="center"/>
              <w:rPr>
                <w:color w:val="auto"/>
                <w:szCs w:val="21"/>
                <w:highlight w:val="none"/>
              </w:rPr>
            </w:pPr>
            <w:r>
              <w:rPr>
                <w:color w:val="auto"/>
                <w:szCs w:val="21"/>
                <w:highlight w:val="none"/>
              </w:rPr>
              <w:t>无</w:t>
            </w:r>
          </w:p>
        </w:tc>
        <w:tc>
          <w:tcPr>
            <w:tcW w:w="2300" w:type="dxa"/>
            <w:vAlign w:val="center"/>
          </w:tcPr>
          <w:p w14:paraId="0DDDEC6D">
            <w:pPr>
              <w:adjustRightInd w:val="0"/>
              <w:snapToGrid w:val="0"/>
              <w:jc w:val="center"/>
              <w:rPr>
                <w:color w:val="auto"/>
                <w:szCs w:val="21"/>
                <w:highlight w:val="none"/>
              </w:rPr>
            </w:pPr>
            <w:r>
              <w:rPr>
                <w:color w:val="auto"/>
                <w:szCs w:val="21"/>
                <w:highlight w:val="none"/>
              </w:rPr>
              <w:t>无</w:t>
            </w:r>
          </w:p>
        </w:tc>
      </w:tr>
      <w:tr w14:paraId="10BA4E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2081" w:type="dxa"/>
            <w:gridSpan w:val="2"/>
            <w:vAlign w:val="center"/>
          </w:tcPr>
          <w:p w14:paraId="111BEAB5">
            <w:pPr>
              <w:adjustRightInd w:val="0"/>
              <w:snapToGrid w:val="0"/>
              <w:jc w:val="center"/>
              <w:rPr>
                <w:color w:val="auto"/>
                <w:szCs w:val="21"/>
                <w:highlight w:val="none"/>
              </w:rPr>
            </w:pPr>
            <w:r>
              <w:rPr>
                <w:color w:val="auto"/>
                <w:szCs w:val="21"/>
                <w:highlight w:val="none"/>
              </w:rPr>
              <w:t>地表水环境</w:t>
            </w:r>
          </w:p>
        </w:tc>
        <w:tc>
          <w:tcPr>
            <w:tcW w:w="4973" w:type="dxa"/>
            <w:vAlign w:val="center"/>
          </w:tcPr>
          <w:p w14:paraId="7707EA95">
            <w:pPr>
              <w:rPr>
                <w:color w:val="auto"/>
                <w:highlight w:val="none"/>
              </w:rPr>
            </w:pPr>
            <w:r>
              <w:rPr>
                <w:color w:val="auto"/>
                <w:highlight w:val="none"/>
              </w:rPr>
              <w:t>施工废水经沉淀后回用，</w:t>
            </w:r>
            <w:r>
              <w:rPr>
                <w:rFonts w:hint="eastAsia"/>
                <w:color w:val="auto"/>
                <w:highlight w:val="none"/>
              </w:rPr>
              <w:t>施工人员</w:t>
            </w:r>
            <w:r>
              <w:rPr>
                <w:color w:val="auto"/>
                <w:spacing w:val="6"/>
                <w:highlight w:val="none"/>
              </w:rPr>
              <w:t>生活污水</w:t>
            </w:r>
            <w:r>
              <w:rPr>
                <w:rFonts w:hint="eastAsia"/>
                <w:color w:val="auto"/>
                <w:spacing w:val="6"/>
                <w:highlight w:val="none"/>
              </w:rPr>
              <w:t>依托</w:t>
            </w:r>
            <w:r>
              <w:rPr>
                <w:color w:val="auto"/>
                <w:spacing w:val="6"/>
                <w:highlight w:val="none"/>
              </w:rPr>
              <w:t>村庄排水系统。</w:t>
            </w:r>
          </w:p>
        </w:tc>
        <w:tc>
          <w:tcPr>
            <w:tcW w:w="1769" w:type="dxa"/>
            <w:vAlign w:val="center"/>
          </w:tcPr>
          <w:p w14:paraId="05BF4540">
            <w:pPr>
              <w:adjustRightInd w:val="0"/>
              <w:snapToGrid w:val="0"/>
              <w:rPr>
                <w:color w:val="auto"/>
                <w:highlight w:val="none"/>
              </w:rPr>
            </w:pPr>
            <w:r>
              <w:rPr>
                <w:color w:val="auto"/>
                <w:highlight w:val="none"/>
              </w:rPr>
              <w:t>施工废水、生活污水处理后回用，不外排。</w:t>
            </w:r>
          </w:p>
        </w:tc>
        <w:tc>
          <w:tcPr>
            <w:tcW w:w="3051" w:type="dxa"/>
            <w:vAlign w:val="center"/>
          </w:tcPr>
          <w:p w14:paraId="15D06A1D">
            <w:pPr>
              <w:adjustRightInd w:val="0"/>
              <w:snapToGrid w:val="0"/>
              <w:jc w:val="center"/>
              <w:rPr>
                <w:color w:val="auto"/>
                <w:szCs w:val="21"/>
                <w:highlight w:val="none"/>
              </w:rPr>
            </w:pPr>
            <w:r>
              <w:rPr>
                <w:color w:val="auto"/>
                <w:spacing w:val="6"/>
                <w:szCs w:val="21"/>
                <w:highlight w:val="none"/>
              </w:rPr>
              <w:t>生活污水</w:t>
            </w:r>
            <w:r>
              <w:rPr>
                <w:rFonts w:hint="eastAsia" w:ascii="Times New Roman" w:eastAsia="宋体"/>
                <w:color w:val="auto"/>
                <w:spacing w:val="6"/>
                <w:szCs w:val="21"/>
                <w:highlight w:val="none"/>
                <w:lang w:val="en-US" w:eastAsia="zh-CN"/>
              </w:rPr>
              <w:t>依托升压站</w:t>
            </w:r>
            <w:r>
              <w:rPr>
                <w:color w:val="auto"/>
                <w:spacing w:val="6"/>
                <w:szCs w:val="21"/>
                <w:highlight w:val="none"/>
              </w:rPr>
              <w:t>0.5m</w:t>
            </w:r>
            <w:r>
              <w:rPr>
                <w:color w:val="auto"/>
                <w:spacing w:val="6"/>
                <w:szCs w:val="21"/>
                <w:highlight w:val="none"/>
                <w:vertAlign w:val="superscript"/>
              </w:rPr>
              <w:t>3</w:t>
            </w:r>
            <w:r>
              <w:rPr>
                <w:color w:val="auto"/>
                <w:spacing w:val="6"/>
                <w:szCs w:val="21"/>
                <w:highlight w:val="none"/>
              </w:rPr>
              <w:t>/h</w:t>
            </w:r>
            <w:r>
              <w:rPr>
                <w:color w:val="auto"/>
                <w:szCs w:val="21"/>
                <w:highlight w:val="none"/>
              </w:rPr>
              <w:t>地埋式一体化污水处理站处理后回用，设</w:t>
            </w:r>
            <w:r>
              <w:rPr>
                <w:rFonts w:hint="eastAsia" w:ascii="Times New Roman" w:eastAsia="宋体"/>
                <w:color w:val="auto"/>
                <w:szCs w:val="21"/>
                <w:highlight w:val="none"/>
                <w:lang w:val="en-US" w:eastAsia="zh-CN"/>
              </w:rPr>
              <w:t>20</w:t>
            </w:r>
            <w:r>
              <w:rPr>
                <w:color w:val="auto"/>
                <w:szCs w:val="21"/>
                <w:highlight w:val="none"/>
              </w:rPr>
              <w:t>0m</w:t>
            </w:r>
            <w:r>
              <w:rPr>
                <w:color w:val="auto"/>
                <w:spacing w:val="6"/>
                <w:szCs w:val="21"/>
                <w:highlight w:val="none"/>
                <w:vertAlign w:val="superscript"/>
              </w:rPr>
              <w:t>3</w:t>
            </w:r>
            <w:r>
              <w:rPr>
                <w:color w:val="auto"/>
                <w:szCs w:val="21"/>
                <w:highlight w:val="none"/>
              </w:rPr>
              <w:t>收集池收集冬季废水，保证废水不外排。</w:t>
            </w:r>
          </w:p>
        </w:tc>
        <w:tc>
          <w:tcPr>
            <w:tcW w:w="2300" w:type="dxa"/>
            <w:vAlign w:val="center"/>
          </w:tcPr>
          <w:p w14:paraId="7783A769">
            <w:pPr>
              <w:adjustRightInd w:val="0"/>
              <w:snapToGrid w:val="0"/>
              <w:jc w:val="center"/>
              <w:rPr>
                <w:color w:val="auto"/>
                <w:szCs w:val="21"/>
                <w:highlight w:val="none"/>
              </w:rPr>
            </w:pPr>
            <w:r>
              <w:rPr>
                <w:color w:val="auto"/>
                <w:szCs w:val="21"/>
                <w:highlight w:val="none"/>
              </w:rPr>
              <w:t>0.5m</w:t>
            </w:r>
            <w:r>
              <w:rPr>
                <w:color w:val="auto"/>
                <w:szCs w:val="21"/>
                <w:highlight w:val="none"/>
                <w:vertAlign w:val="superscript"/>
              </w:rPr>
              <w:t>3</w:t>
            </w:r>
            <w:r>
              <w:rPr>
                <w:color w:val="auto"/>
                <w:szCs w:val="21"/>
                <w:highlight w:val="none"/>
              </w:rPr>
              <w:t>/h地埋式一体化污水处理设施和</w:t>
            </w:r>
            <w:r>
              <w:rPr>
                <w:rFonts w:hint="eastAsia" w:ascii="Times New Roman" w:eastAsia="宋体"/>
                <w:color w:val="auto"/>
                <w:szCs w:val="21"/>
                <w:highlight w:val="none"/>
                <w:lang w:val="en-US" w:eastAsia="zh-CN"/>
              </w:rPr>
              <w:t>20</w:t>
            </w:r>
            <w:r>
              <w:rPr>
                <w:color w:val="auto"/>
                <w:szCs w:val="21"/>
                <w:highlight w:val="none"/>
              </w:rPr>
              <w:t>0m</w:t>
            </w:r>
            <w:r>
              <w:rPr>
                <w:color w:val="auto"/>
                <w:szCs w:val="21"/>
                <w:highlight w:val="none"/>
                <w:vertAlign w:val="superscript"/>
              </w:rPr>
              <w:t>3</w:t>
            </w:r>
            <w:r>
              <w:rPr>
                <w:color w:val="auto"/>
                <w:szCs w:val="21"/>
                <w:highlight w:val="none"/>
              </w:rPr>
              <w:t>废水收集池。无生产废水、生活污水外排。</w:t>
            </w:r>
          </w:p>
        </w:tc>
      </w:tr>
      <w:tr w14:paraId="6CEDCC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2081" w:type="dxa"/>
            <w:gridSpan w:val="2"/>
            <w:vAlign w:val="center"/>
          </w:tcPr>
          <w:p w14:paraId="56727D3D">
            <w:pPr>
              <w:adjustRightInd w:val="0"/>
              <w:snapToGrid w:val="0"/>
              <w:jc w:val="center"/>
              <w:rPr>
                <w:color w:val="auto"/>
                <w:szCs w:val="21"/>
                <w:highlight w:val="none"/>
              </w:rPr>
            </w:pPr>
            <w:r>
              <w:rPr>
                <w:color w:val="auto"/>
                <w:szCs w:val="21"/>
                <w:highlight w:val="none"/>
              </w:rPr>
              <w:t>地下水及土壤环境</w:t>
            </w:r>
          </w:p>
        </w:tc>
        <w:tc>
          <w:tcPr>
            <w:tcW w:w="4973" w:type="dxa"/>
            <w:vAlign w:val="center"/>
          </w:tcPr>
          <w:p w14:paraId="013B6E45">
            <w:pPr>
              <w:adjustRightInd w:val="0"/>
              <w:snapToGrid w:val="0"/>
              <w:jc w:val="center"/>
              <w:rPr>
                <w:color w:val="auto"/>
                <w:szCs w:val="21"/>
                <w:highlight w:val="none"/>
              </w:rPr>
            </w:pPr>
            <w:r>
              <w:rPr>
                <w:color w:val="auto"/>
                <w:szCs w:val="21"/>
                <w:highlight w:val="none"/>
              </w:rPr>
              <w:t>无</w:t>
            </w:r>
          </w:p>
        </w:tc>
        <w:tc>
          <w:tcPr>
            <w:tcW w:w="1769" w:type="dxa"/>
            <w:vAlign w:val="center"/>
          </w:tcPr>
          <w:p w14:paraId="60021020">
            <w:pPr>
              <w:adjustRightInd w:val="0"/>
              <w:snapToGrid w:val="0"/>
              <w:jc w:val="center"/>
              <w:rPr>
                <w:color w:val="auto"/>
                <w:szCs w:val="21"/>
                <w:highlight w:val="none"/>
              </w:rPr>
            </w:pPr>
            <w:r>
              <w:rPr>
                <w:color w:val="auto"/>
                <w:szCs w:val="21"/>
                <w:highlight w:val="none"/>
              </w:rPr>
              <w:t>无</w:t>
            </w:r>
          </w:p>
        </w:tc>
        <w:tc>
          <w:tcPr>
            <w:tcW w:w="3051" w:type="dxa"/>
            <w:vAlign w:val="center"/>
          </w:tcPr>
          <w:p w14:paraId="4A318B45">
            <w:pPr>
              <w:adjustRightInd w:val="0"/>
              <w:snapToGrid w:val="0"/>
              <w:jc w:val="center"/>
              <w:rPr>
                <w:color w:val="auto"/>
                <w:szCs w:val="21"/>
                <w:highlight w:val="none"/>
              </w:rPr>
            </w:pPr>
            <w:r>
              <w:rPr>
                <w:rFonts w:hint="eastAsia" w:eastAsia="宋体"/>
                <w:color w:val="auto"/>
                <w:szCs w:val="21"/>
                <w:highlight w:val="none"/>
                <w:lang w:eastAsia="zh-CN"/>
              </w:rPr>
              <w:t>危废贮存点</w:t>
            </w:r>
            <w:r>
              <w:rPr>
                <w:rFonts w:hint="eastAsia"/>
                <w:color w:val="auto"/>
                <w:szCs w:val="21"/>
                <w:highlight w:val="none"/>
              </w:rPr>
              <w:t>防渗。</w:t>
            </w:r>
          </w:p>
        </w:tc>
        <w:tc>
          <w:tcPr>
            <w:tcW w:w="2300" w:type="dxa"/>
            <w:vAlign w:val="center"/>
          </w:tcPr>
          <w:p w14:paraId="69B8ADBB">
            <w:pPr>
              <w:adjustRightInd w:val="0"/>
              <w:snapToGrid w:val="0"/>
              <w:jc w:val="center"/>
              <w:rPr>
                <w:color w:val="auto"/>
                <w:szCs w:val="21"/>
                <w:highlight w:val="none"/>
              </w:rPr>
            </w:pPr>
            <w:r>
              <w:rPr>
                <w:rFonts w:hint="eastAsia"/>
                <w:color w:val="auto"/>
                <w:szCs w:val="21"/>
                <w:highlight w:val="none"/>
              </w:rPr>
              <w:t>发生事故时不会污染场地地下水和土壤。</w:t>
            </w:r>
          </w:p>
        </w:tc>
      </w:tr>
      <w:tr w14:paraId="22E4EC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081" w:type="dxa"/>
            <w:gridSpan w:val="2"/>
            <w:vAlign w:val="center"/>
          </w:tcPr>
          <w:p w14:paraId="79D2F333">
            <w:pPr>
              <w:adjustRightInd w:val="0"/>
              <w:snapToGrid w:val="0"/>
              <w:jc w:val="center"/>
              <w:rPr>
                <w:color w:val="auto"/>
                <w:szCs w:val="21"/>
                <w:highlight w:val="none"/>
              </w:rPr>
            </w:pPr>
            <w:r>
              <w:rPr>
                <w:color w:val="auto"/>
                <w:szCs w:val="21"/>
                <w:highlight w:val="none"/>
              </w:rPr>
              <w:t>声环境</w:t>
            </w:r>
          </w:p>
        </w:tc>
        <w:tc>
          <w:tcPr>
            <w:tcW w:w="4973" w:type="dxa"/>
            <w:vAlign w:val="center"/>
          </w:tcPr>
          <w:p w14:paraId="2CC8D541">
            <w:pPr>
              <w:adjustRightInd w:val="0"/>
              <w:snapToGrid w:val="0"/>
              <w:rPr>
                <w:color w:val="auto"/>
                <w:szCs w:val="21"/>
                <w:highlight w:val="none"/>
              </w:rPr>
            </w:pPr>
            <w:r>
              <w:rPr>
                <w:color w:val="auto"/>
                <w:szCs w:val="21"/>
                <w:highlight w:val="none"/>
              </w:rPr>
              <w:t>优先选用低噪声施工工艺和施工机械，合理安排施工时间，定期对施工机械进行维护和保养</w:t>
            </w:r>
          </w:p>
        </w:tc>
        <w:tc>
          <w:tcPr>
            <w:tcW w:w="1769" w:type="dxa"/>
            <w:vAlign w:val="center"/>
          </w:tcPr>
          <w:p w14:paraId="2FA9DD7B">
            <w:pPr>
              <w:adjustRightInd w:val="0"/>
              <w:snapToGrid w:val="0"/>
              <w:jc w:val="left"/>
              <w:rPr>
                <w:rFonts w:hint="default" w:eastAsia="宋体"/>
                <w:color w:val="auto"/>
                <w:szCs w:val="21"/>
                <w:highlight w:val="none"/>
                <w:lang w:val="en-US" w:eastAsia="zh-CN"/>
              </w:rPr>
            </w:pPr>
            <w:r>
              <w:rPr>
                <w:color w:val="auto"/>
                <w:kern w:val="0"/>
                <w:szCs w:val="21"/>
                <w:highlight w:val="none"/>
              </w:rPr>
              <w:t>满足《建筑施工场界环境噪声排放标准》GB12523-20</w:t>
            </w:r>
            <w:r>
              <w:rPr>
                <w:rFonts w:hint="eastAsia" w:ascii="Times New Roman" w:eastAsia="宋体"/>
                <w:color w:val="auto"/>
                <w:kern w:val="0"/>
                <w:szCs w:val="21"/>
                <w:highlight w:val="none"/>
                <w:lang w:val="en-US" w:eastAsia="zh-CN"/>
              </w:rPr>
              <w:t>25</w:t>
            </w:r>
          </w:p>
        </w:tc>
        <w:tc>
          <w:tcPr>
            <w:tcW w:w="3051" w:type="dxa"/>
            <w:vAlign w:val="center"/>
          </w:tcPr>
          <w:p w14:paraId="22A27A5F">
            <w:pPr>
              <w:adjustRightInd w:val="0"/>
              <w:snapToGrid w:val="0"/>
              <w:jc w:val="center"/>
              <w:rPr>
                <w:rFonts w:hint="eastAsia" w:eastAsia="宋体"/>
                <w:color w:val="auto"/>
                <w:szCs w:val="21"/>
                <w:highlight w:val="none"/>
                <w:lang w:val="en-US" w:eastAsia="zh-CN"/>
              </w:rPr>
            </w:pPr>
            <w:r>
              <w:rPr>
                <w:rFonts w:hint="eastAsia" w:ascii="Times New Roman" w:eastAsia="宋体"/>
                <w:color w:val="auto"/>
                <w:szCs w:val="21"/>
                <w:highlight w:val="none"/>
                <w:lang w:val="en-US" w:eastAsia="zh-CN"/>
              </w:rPr>
              <w:t>选用低噪声设备</w:t>
            </w:r>
          </w:p>
        </w:tc>
        <w:tc>
          <w:tcPr>
            <w:tcW w:w="2300" w:type="dxa"/>
            <w:vAlign w:val="center"/>
          </w:tcPr>
          <w:p w14:paraId="4E3D5B50">
            <w:pPr>
              <w:jc w:val="center"/>
              <w:rPr>
                <w:rFonts w:hint="eastAsia" w:eastAsia="宋体"/>
                <w:color w:val="auto"/>
                <w:szCs w:val="21"/>
                <w:highlight w:val="none"/>
                <w:lang w:val="en-US" w:eastAsia="zh-CN"/>
              </w:rPr>
            </w:pPr>
            <w:r>
              <w:rPr>
                <w:rFonts w:hint="eastAsia" w:ascii="Times New Roman" w:eastAsia="宋体"/>
                <w:color w:val="auto"/>
                <w:szCs w:val="21"/>
                <w:highlight w:val="none"/>
                <w:lang w:val="en-US" w:eastAsia="zh-CN"/>
              </w:rPr>
              <w:t>无</w:t>
            </w:r>
          </w:p>
        </w:tc>
      </w:tr>
      <w:tr w14:paraId="4A85FA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81" w:type="dxa"/>
            <w:gridSpan w:val="2"/>
            <w:vAlign w:val="center"/>
          </w:tcPr>
          <w:p w14:paraId="435FF490">
            <w:pPr>
              <w:adjustRightInd w:val="0"/>
              <w:snapToGrid w:val="0"/>
              <w:jc w:val="center"/>
              <w:rPr>
                <w:color w:val="auto"/>
                <w:szCs w:val="21"/>
                <w:highlight w:val="none"/>
              </w:rPr>
            </w:pPr>
            <w:r>
              <w:rPr>
                <w:color w:val="auto"/>
                <w:szCs w:val="21"/>
                <w:highlight w:val="none"/>
              </w:rPr>
              <w:t>振动</w:t>
            </w:r>
          </w:p>
        </w:tc>
        <w:tc>
          <w:tcPr>
            <w:tcW w:w="4973" w:type="dxa"/>
            <w:vAlign w:val="center"/>
          </w:tcPr>
          <w:p w14:paraId="53361213">
            <w:pPr>
              <w:adjustRightInd w:val="0"/>
              <w:snapToGrid w:val="0"/>
              <w:jc w:val="center"/>
              <w:rPr>
                <w:color w:val="auto"/>
                <w:szCs w:val="21"/>
                <w:highlight w:val="none"/>
              </w:rPr>
            </w:pPr>
            <w:r>
              <w:rPr>
                <w:color w:val="auto"/>
                <w:szCs w:val="21"/>
                <w:highlight w:val="none"/>
              </w:rPr>
              <w:t>无</w:t>
            </w:r>
          </w:p>
        </w:tc>
        <w:tc>
          <w:tcPr>
            <w:tcW w:w="1769" w:type="dxa"/>
            <w:vAlign w:val="center"/>
          </w:tcPr>
          <w:p w14:paraId="5C6053F8">
            <w:pPr>
              <w:adjustRightInd w:val="0"/>
              <w:snapToGrid w:val="0"/>
              <w:jc w:val="center"/>
              <w:rPr>
                <w:color w:val="auto"/>
                <w:szCs w:val="21"/>
                <w:highlight w:val="none"/>
              </w:rPr>
            </w:pPr>
            <w:r>
              <w:rPr>
                <w:color w:val="auto"/>
                <w:szCs w:val="21"/>
                <w:highlight w:val="none"/>
              </w:rPr>
              <w:t>无</w:t>
            </w:r>
          </w:p>
        </w:tc>
        <w:tc>
          <w:tcPr>
            <w:tcW w:w="3051" w:type="dxa"/>
            <w:vAlign w:val="center"/>
          </w:tcPr>
          <w:p w14:paraId="76822E9A">
            <w:pPr>
              <w:adjustRightInd w:val="0"/>
              <w:snapToGrid w:val="0"/>
              <w:jc w:val="center"/>
              <w:rPr>
                <w:color w:val="auto"/>
                <w:szCs w:val="21"/>
                <w:highlight w:val="none"/>
              </w:rPr>
            </w:pPr>
            <w:r>
              <w:rPr>
                <w:color w:val="auto"/>
                <w:szCs w:val="21"/>
                <w:highlight w:val="none"/>
              </w:rPr>
              <w:t>无</w:t>
            </w:r>
          </w:p>
        </w:tc>
        <w:tc>
          <w:tcPr>
            <w:tcW w:w="2300" w:type="dxa"/>
            <w:vAlign w:val="center"/>
          </w:tcPr>
          <w:p w14:paraId="7B42BE28">
            <w:pPr>
              <w:adjustRightInd w:val="0"/>
              <w:snapToGrid w:val="0"/>
              <w:jc w:val="center"/>
              <w:rPr>
                <w:color w:val="auto"/>
                <w:szCs w:val="21"/>
                <w:highlight w:val="none"/>
              </w:rPr>
            </w:pPr>
            <w:r>
              <w:rPr>
                <w:color w:val="auto"/>
                <w:szCs w:val="21"/>
                <w:highlight w:val="none"/>
              </w:rPr>
              <w:t>无</w:t>
            </w:r>
          </w:p>
        </w:tc>
      </w:tr>
      <w:tr w14:paraId="157B6B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2081" w:type="dxa"/>
            <w:gridSpan w:val="2"/>
            <w:vAlign w:val="center"/>
          </w:tcPr>
          <w:p w14:paraId="10DE0427">
            <w:pPr>
              <w:adjustRightInd w:val="0"/>
              <w:snapToGrid w:val="0"/>
              <w:jc w:val="center"/>
              <w:rPr>
                <w:color w:val="auto"/>
                <w:szCs w:val="21"/>
                <w:highlight w:val="none"/>
              </w:rPr>
            </w:pPr>
            <w:r>
              <w:rPr>
                <w:color w:val="auto"/>
                <w:szCs w:val="21"/>
                <w:highlight w:val="none"/>
              </w:rPr>
              <w:t>大气环境</w:t>
            </w:r>
          </w:p>
        </w:tc>
        <w:tc>
          <w:tcPr>
            <w:tcW w:w="4973" w:type="dxa"/>
            <w:vAlign w:val="center"/>
          </w:tcPr>
          <w:p w14:paraId="305207AA">
            <w:pPr>
              <w:rPr>
                <w:color w:val="auto"/>
                <w:highlight w:val="none"/>
              </w:rPr>
            </w:pPr>
            <w:r>
              <w:rPr>
                <w:color w:val="auto"/>
                <w:highlight w:val="none"/>
              </w:rPr>
              <w:t>施工扬尘：施工场地四周设围挡；</w:t>
            </w:r>
            <w:r>
              <w:rPr>
                <w:bCs/>
                <w:color w:val="auto"/>
                <w:highlight w:val="none"/>
              </w:rPr>
              <w:t>物料堆场苫盖；运输</w:t>
            </w:r>
            <w:r>
              <w:rPr>
                <w:color w:val="auto"/>
                <w:highlight w:val="none"/>
              </w:rPr>
              <w:t>道路定时洒水；控制</w:t>
            </w:r>
            <w:r>
              <w:rPr>
                <w:bCs/>
                <w:color w:val="auto"/>
                <w:highlight w:val="none"/>
              </w:rPr>
              <w:t>车辆行驶速度</w:t>
            </w:r>
          </w:p>
        </w:tc>
        <w:tc>
          <w:tcPr>
            <w:tcW w:w="1769" w:type="dxa"/>
            <w:vAlign w:val="center"/>
          </w:tcPr>
          <w:p w14:paraId="55FCC0C6">
            <w:pPr>
              <w:adjustRightInd w:val="0"/>
              <w:snapToGrid w:val="0"/>
              <w:rPr>
                <w:color w:val="auto"/>
                <w:highlight w:val="none"/>
              </w:rPr>
            </w:pPr>
            <w:r>
              <w:rPr>
                <w:color w:val="auto"/>
                <w:highlight w:val="none"/>
              </w:rPr>
              <w:t>严格管控，防治扬尘污染。</w:t>
            </w:r>
          </w:p>
        </w:tc>
        <w:tc>
          <w:tcPr>
            <w:tcW w:w="3051" w:type="dxa"/>
            <w:vAlign w:val="center"/>
          </w:tcPr>
          <w:p w14:paraId="5C7C58B9">
            <w:pPr>
              <w:adjustRightInd w:val="0"/>
              <w:snapToGrid w:val="0"/>
              <w:jc w:val="center"/>
              <w:rPr>
                <w:color w:val="auto"/>
                <w:szCs w:val="21"/>
                <w:highlight w:val="none"/>
              </w:rPr>
            </w:pPr>
            <w:r>
              <w:rPr>
                <w:color w:val="auto"/>
                <w:szCs w:val="21"/>
                <w:highlight w:val="none"/>
              </w:rPr>
              <w:t>无</w:t>
            </w:r>
          </w:p>
        </w:tc>
        <w:tc>
          <w:tcPr>
            <w:tcW w:w="2300" w:type="dxa"/>
            <w:vAlign w:val="center"/>
          </w:tcPr>
          <w:p w14:paraId="2964A785">
            <w:pPr>
              <w:adjustRightInd w:val="0"/>
              <w:snapToGrid w:val="0"/>
              <w:jc w:val="center"/>
              <w:rPr>
                <w:color w:val="auto"/>
                <w:szCs w:val="21"/>
                <w:highlight w:val="none"/>
              </w:rPr>
            </w:pPr>
            <w:r>
              <w:rPr>
                <w:color w:val="auto"/>
                <w:szCs w:val="21"/>
                <w:highlight w:val="none"/>
              </w:rPr>
              <w:t>无</w:t>
            </w:r>
          </w:p>
        </w:tc>
      </w:tr>
      <w:tr w14:paraId="3F8CDE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081" w:type="dxa"/>
            <w:gridSpan w:val="2"/>
            <w:vAlign w:val="center"/>
          </w:tcPr>
          <w:p w14:paraId="3AE6C3C0">
            <w:pPr>
              <w:adjustRightInd w:val="0"/>
              <w:snapToGrid w:val="0"/>
              <w:jc w:val="center"/>
              <w:rPr>
                <w:color w:val="auto"/>
                <w:szCs w:val="21"/>
                <w:highlight w:val="none"/>
              </w:rPr>
            </w:pPr>
            <w:r>
              <w:rPr>
                <w:color w:val="auto"/>
                <w:szCs w:val="21"/>
                <w:highlight w:val="none"/>
              </w:rPr>
              <w:t>固体废物</w:t>
            </w:r>
          </w:p>
        </w:tc>
        <w:tc>
          <w:tcPr>
            <w:tcW w:w="4973" w:type="dxa"/>
            <w:vAlign w:val="center"/>
          </w:tcPr>
          <w:p w14:paraId="41F05FE3">
            <w:pPr>
              <w:rPr>
                <w:color w:val="auto"/>
                <w:spacing w:val="6"/>
                <w:highlight w:val="none"/>
              </w:rPr>
            </w:pPr>
            <w:r>
              <w:rPr>
                <w:color w:val="auto"/>
                <w:spacing w:val="6"/>
                <w:highlight w:val="none"/>
              </w:rPr>
              <w:t>土石方：移挖作填，做到土石方平衡；</w:t>
            </w:r>
          </w:p>
          <w:p w14:paraId="3D9B57B7">
            <w:pPr>
              <w:rPr>
                <w:color w:val="auto"/>
                <w:spacing w:val="6"/>
                <w:highlight w:val="none"/>
              </w:rPr>
            </w:pPr>
            <w:r>
              <w:rPr>
                <w:color w:val="auto"/>
                <w:spacing w:val="6"/>
                <w:highlight w:val="none"/>
              </w:rPr>
              <w:t>建筑垃圾：妥善堆存，及时清运；</w:t>
            </w:r>
          </w:p>
          <w:p w14:paraId="0B80CF91">
            <w:pPr>
              <w:rPr>
                <w:color w:val="auto"/>
                <w:spacing w:val="6"/>
                <w:highlight w:val="none"/>
              </w:rPr>
            </w:pPr>
            <w:r>
              <w:rPr>
                <w:color w:val="auto"/>
                <w:spacing w:val="6"/>
                <w:highlight w:val="none"/>
              </w:rPr>
              <w:t>生活垃圾：集中收集送环卫部门指定地点处置；</w:t>
            </w:r>
          </w:p>
        </w:tc>
        <w:tc>
          <w:tcPr>
            <w:tcW w:w="1769" w:type="dxa"/>
            <w:vAlign w:val="center"/>
          </w:tcPr>
          <w:p w14:paraId="67A7971C">
            <w:pPr>
              <w:adjustRightInd w:val="0"/>
              <w:snapToGrid w:val="0"/>
              <w:jc w:val="center"/>
              <w:rPr>
                <w:color w:val="auto"/>
                <w:highlight w:val="none"/>
              </w:rPr>
            </w:pPr>
            <w:r>
              <w:rPr>
                <w:color w:val="auto"/>
                <w:spacing w:val="6"/>
                <w:highlight w:val="none"/>
              </w:rPr>
              <w:t>合理处置</w:t>
            </w:r>
          </w:p>
        </w:tc>
        <w:tc>
          <w:tcPr>
            <w:tcW w:w="3051" w:type="dxa"/>
            <w:vAlign w:val="center"/>
          </w:tcPr>
          <w:p w14:paraId="235CF82C">
            <w:pPr>
              <w:adjustRightInd w:val="0"/>
              <w:snapToGrid w:val="0"/>
              <w:rPr>
                <w:color w:val="auto"/>
                <w:szCs w:val="21"/>
                <w:highlight w:val="none"/>
              </w:rPr>
            </w:pPr>
            <w:r>
              <w:rPr>
                <w:rFonts w:hint="eastAsia" w:ascii="Times New Roman" w:eastAsia="宋体"/>
                <w:color w:val="auto"/>
                <w:szCs w:val="21"/>
                <w:highlight w:val="none"/>
                <w:lang w:val="en-US" w:eastAsia="zh-CN"/>
              </w:rPr>
              <w:t>依托</w:t>
            </w:r>
            <w:r>
              <w:rPr>
                <w:rFonts w:hint="eastAsia" w:ascii="Times New Roman" w:eastAsia="宋体"/>
                <w:color w:val="auto"/>
                <w:highlight w:val="none"/>
                <w:lang w:val="en-US" w:eastAsia="zh-CN"/>
              </w:rPr>
              <w:t>树掌风电场</w:t>
            </w:r>
            <w:r>
              <w:rPr>
                <w:rFonts w:hint="eastAsia"/>
                <w:color w:val="auto"/>
                <w:highlight w:val="none"/>
                <w:lang w:val="en-US" w:eastAsia="zh-CN"/>
              </w:rPr>
              <w:t>220kV</w:t>
            </w:r>
            <w:r>
              <w:rPr>
                <w:rFonts w:hint="eastAsia" w:ascii="Times New Roman" w:eastAsia="宋体"/>
                <w:color w:val="auto"/>
                <w:szCs w:val="21"/>
                <w:highlight w:val="none"/>
                <w:lang w:val="en-US" w:eastAsia="zh-CN"/>
              </w:rPr>
              <w:t>升压站</w:t>
            </w:r>
            <w:r>
              <w:rPr>
                <w:rFonts w:hint="eastAsia"/>
                <w:color w:val="auto"/>
                <w:szCs w:val="21"/>
                <w:highlight w:val="none"/>
              </w:rPr>
              <w:t>2</w:t>
            </w:r>
            <w:r>
              <w:rPr>
                <w:rFonts w:hint="eastAsia" w:ascii="Times New Roman" w:eastAsia="宋体"/>
                <w:color w:val="auto"/>
                <w:szCs w:val="21"/>
                <w:highlight w:val="none"/>
                <w:lang w:val="en-US" w:eastAsia="zh-CN"/>
              </w:rPr>
              <w:t>0</w:t>
            </w:r>
            <w:r>
              <w:rPr>
                <w:color w:val="auto"/>
                <w:szCs w:val="21"/>
                <w:highlight w:val="none"/>
              </w:rPr>
              <w:t>m</w:t>
            </w:r>
            <w:r>
              <w:rPr>
                <w:color w:val="auto"/>
                <w:szCs w:val="21"/>
                <w:highlight w:val="none"/>
                <w:vertAlign w:val="superscript"/>
              </w:rPr>
              <w:t>2</w:t>
            </w:r>
            <w:r>
              <w:rPr>
                <w:rFonts w:hint="eastAsia" w:eastAsia="宋体"/>
                <w:color w:val="auto"/>
                <w:szCs w:val="21"/>
                <w:highlight w:val="none"/>
                <w:lang w:eastAsia="zh-CN"/>
              </w:rPr>
              <w:t>危废贮存点</w:t>
            </w:r>
            <w:r>
              <w:rPr>
                <w:color w:val="auto"/>
                <w:szCs w:val="21"/>
                <w:highlight w:val="none"/>
              </w:rPr>
              <w:t>，暂存</w:t>
            </w:r>
            <w:r>
              <w:rPr>
                <w:rFonts w:hint="eastAsia" w:ascii="Times New Roman" w:eastAsia="宋体"/>
                <w:color w:val="auto"/>
                <w:szCs w:val="21"/>
                <w:highlight w:val="none"/>
                <w:lang w:val="en-US" w:eastAsia="zh-CN"/>
              </w:rPr>
              <w:t>风机</w:t>
            </w:r>
            <w:r>
              <w:rPr>
                <w:color w:val="auto"/>
                <w:szCs w:val="21"/>
                <w:highlight w:val="none"/>
              </w:rPr>
              <w:t>检修废油和废油桶；</w:t>
            </w:r>
            <w:r>
              <w:rPr>
                <w:rFonts w:hint="eastAsia"/>
                <w:color w:val="auto"/>
                <w:szCs w:val="21"/>
                <w:highlight w:val="none"/>
              </w:rPr>
              <w:t>危废</w:t>
            </w:r>
            <w:r>
              <w:rPr>
                <w:color w:val="auto"/>
                <w:szCs w:val="21"/>
                <w:highlight w:val="none"/>
              </w:rPr>
              <w:t>委托有资质单位处置。</w:t>
            </w:r>
          </w:p>
        </w:tc>
        <w:tc>
          <w:tcPr>
            <w:tcW w:w="2300" w:type="dxa"/>
            <w:vAlign w:val="center"/>
          </w:tcPr>
          <w:p w14:paraId="40A97225">
            <w:pPr>
              <w:adjustRightInd w:val="0"/>
              <w:snapToGrid w:val="0"/>
              <w:rPr>
                <w:color w:val="auto"/>
                <w:szCs w:val="21"/>
                <w:highlight w:val="none"/>
              </w:rPr>
            </w:pPr>
            <w:r>
              <w:rPr>
                <w:color w:val="auto"/>
                <w:szCs w:val="21"/>
                <w:highlight w:val="none"/>
              </w:rPr>
              <w:t>合理处置，符合</w:t>
            </w:r>
            <w:r>
              <w:rPr>
                <w:color w:val="auto"/>
                <w:highlight w:val="none"/>
              </w:rPr>
              <w:t>《危险废物贮存污染控制标准》（GB18597-2023）</w:t>
            </w:r>
            <w:r>
              <w:rPr>
                <w:color w:val="auto"/>
                <w:szCs w:val="21"/>
                <w:highlight w:val="none"/>
              </w:rPr>
              <w:t>和《危险废物转移管理办法》。</w:t>
            </w:r>
          </w:p>
        </w:tc>
      </w:tr>
      <w:tr w14:paraId="74CD8E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2081" w:type="dxa"/>
            <w:gridSpan w:val="2"/>
            <w:vAlign w:val="center"/>
          </w:tcPr>
          <w:p w14:paraId="1A34D518">
            <w:pPr>
              <w:adjustRightInd w:val="0"/>
              <w:snapToGrid w:val="0"/>
              <w:jc w:val="center"/>
              <w:rPr>
                <w:color w:val="auto"/>
                <w:szCs w:val="21"/>
                <w:highlight w:val="none"/>
              </w:rPr>
            </w:pPr>
            <w:r>
              <w:rPr>
                <w:color w:val="auto"/>
                <w:szCs w:val="21"/>
                <w:highlight w:val="none"/>
              </w:rPr>
              <w:t>电磁环境</w:t>
            </w:r>
          </w:p>
        </w:tc>
        <w:tc>
          <w:tcPr>
            <w:tcW w:w="4973" w:type="dxa"/>
            <w:vAlign w:val="center"/>
          </w:tcPr>
          <w:p w14:paraId="77DFC4A5">
            <w:pPr>
              <w:adjustRightInd w:val="0"/>
              <w:snapToGrid w:val="0"/>
              <w:jc w:val="center"/>
              <w:rPr>
                <w:color w:val="auto"/>
                <w:szCs w:val="21"/>
                <w:highlight w:val="none"/>
              </w:rPr>
            </w:pPr>
            <w:r>
              <w:rPr>
                <w:color w:val="auto"/>
                <w:szCs w:val="21"/>
                <w:highlight w:val="none"/>
              </w:rPr>
              <w:t>无</w:t>
            </w:r>
          </w:p>
        </w:tc>
        <w:tc>
          <w:tcPr>
            <w:tcW w:w="1769" w:type="dxa"/>
            <w:vAlign w:val="center"/>
          </w:tcPr>
          <w:p w14:paraId="5E87E05B">
            <w:pPr>
              <w:adjustRightInd w:val="0"/>
              <w:snapToGrid w:val="0"/>
              <w:jc w:val="center"/>
              <w:rPr>
                <w:color w:val="auto"/>
                <w:szCs w:val="21"/>
                <w:highlight w:val="none"/>
              </w:rPr>
            </w:pPr>
            <w:r>
              <w:rPr>
                <w:color w:val="auto"/>
                <w:szCs w:val="21"/>
                <w:highlight w:val="none"/>
              </w:rPr>
              <w:t>无</w:t>
            </w:r>
          </w:p>
        </w:tc>
        <w:tc>
          <w:tcPr>
            <w:tcW w:w="3051" w:type="dxa"/>
            <w:vAlign w:val="center"/>
          </w:tcPr>
          <w:p w14:paraId="1DB6EAFD">
            <w:pPr>
              <w:adjustRightInd w:val="0"/>
              <w:snapToGrid w:val="0"/>
              <w:jc w:val="center"/>
              <w:rPr>
                <w:rFonts w:hint="eastAsia" w:eastAsia="宋体"/>
                <w:color w:val="auto"/>
                <w:szCs w:val="21"/>
                <w:highlight w:val="none"/>
                <w:lang w:val="en-US" w:eastAsia="zh-CN"/>
              </w:rPr>
            </w:pPr>
            <w:r>
              <w:rPr>
                <w:rFonts w:hint="eastAsia" w:ascii="Times New Roman" w:eastAsia="宋体"/>
                <w:color w:val="auto"/>
                <w:szCs w:val="21"/>
                <w:highlight w:val="none"/>
                <w:lang w:val="en-US" w:eastAsia="zh-CN"/>
              </w:rPr>
              <w:t>无</w:t>
            </w:r>
          </w:p>
        </w:tc>
        <w:tc>
          <w:tcPr>
            <w:tcW w:w="2300" w:type="dxa"/>
            <w:vAlign w:val="center"/>
          </w:tcPr>
          <w:p w14:paraId="0D619CEB">
            <w:pPr>
              <w:adjustRightInd w:val="0"/>
              <w:snapToGrid w:val="0"/>
              <w:jc w:val="center"/>
              <w:rPr>
                <w:rFonts w:hint="eastAsia" w:eastAsia="宋体"/>
                <w:color w:val="auto"/>
                <w:szCs w:val="21"/>
                <w:highlight w:val="none"/>
                <w:lang w:val="en-US" w:eastAsia="zh-CN"/>
              </w:rPr>
            </w:pPr>
            <w:r>
              <w:rPr>
                <w:rFonts w:hint="eastAsia" w:ascii="Times New Roman" w:eastAsia="宋体"/>
                <w:color w:val="auto"/>
                <w:szCs w:val="21"/>
                <w:highlight w:val="none"/>
                <w:lang w:val="en-US" w:eastAsia="zh-CN"/>
              </w:rPr>
              <w:t>无</w:t>
            </w:r>
          </w:p>
        </w:tc>
      </w:tr>
      <w:tr w14:paraId="4F2956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81" w:type="dxa"/>
            <w:gridSpan w:val="2"/>
            <w:vAlign w:val="center"/>
          </w:tcPr>
          <w:p w14:paraId="0CF02237">
            <w:pPr>
              <w:adjustRightInd w:val="0"/>
              <w:snapToGrid w:val="0"/>
              <w:jc w:val="center"/>
              <w:rPr>
                <w:color w:val="auto"/>
                <w:szCs w:val="21"/>
                <w:highlight w:val="none"/>
              </w:rPr>
            </w:pPr>
            <w:r>
              <w:rPr>
                <w:color w:val="auto"/>
                <w:szCs w:val="21"/>
                <w:highlight w:val="none"/>
              </w:rPr>
              <w:t>环境风险</w:t>
            </w:r>
          </w:p>
        </w:tc>
        <w:tc>
          <w:tcPr>
            <w:tcW w:w="4973" w:type="dxa"/>
            <w:vAlign w:val="center"/>
          </w:tcPr>
          <w:p w14:paraId="735D59D7">
            <w:pPr>
              <w:adjustRightInd w:val="0"/>
              <w:snapToGrid w:val="0"/>
              <w:jc w:val="center"/>
              <w:rPr>
                <w:color w:val="auto"/>
                <w:szCs w:val="21"/>
                <w:highlight w:val="none"/>
              </w:rPr>
            </w:pPr>
            <w:r>
              <w:rPr>
                <w:color w:val="auto"/>
                <w:szCs w:val="21"/>
                <w:highlight w:val="none"/>
              </w:rPr>
              <w:t>无</w:t>
            </w:r>
          </w:p>
        </w:tc>
        <w:tc>
          <w:tcPr>
            <w:tcW w:w="1769" w:type="dxa"/>
            <w:vAlign w:val="center"/>
          </w:tcPr>
          <w:p w14:paraId="5F4C8058">
            <w:pPr>
              <w:adjustRightInd w:val="0"/>
              <w:snapToGrid w:val="0"/>
              <w:jc w:val="center"/>
              <w:rPr>
                <w:color w:val="auto"/>
                <w:szCs w:val="21"/>
                <w:highlight w:val="none"/>
              </w:rPr>
            </w:pPr>
            <w:r>
              <w:rPr>
                <w:color w:val="auto"/>
                <w:szCs w:val="21"/>
                <w:highlight w:val="none"/>
              </w:rPr>
              <w:t>无</w:t>
            </w:r>
          </w:p>
        </w:tc>
        <w:tc>
          <w:tcPr>
            <w:tcW w:w="3051" w:type="dxa"/>
            <w:vAlign w:val="center"/>
          </w:tcPr>
          <w:p w14:paraId="14E497E6">
            <w:pPr>
              <w:spacing w:line="240" w:lineRule="exact"/>
              <w:jc w:val="center"/>
              <w:rPr>
                <w:rFonts w:hint="eastAsia" w:eastAsia="宋体"/>
                <w:color w:val="auto"/>
                <w:szCs w:val="21"/>
                <w:highlight w:val="none"/>
                <w:lang w:val="en-US" w:eastAsia="zh-CN"/>
              </w:rPr>
            </w:pPr>
            <w:r>
              <w:rPr>
                <w:rFonts w:hint="eastAsia" w:ascii="Times New Roman" w:eastAsia="宋体"/>
                <w:color w:val="auto"/>
                <w:szCs w:val="21"/>
                <w:highlight w:val="none"/>
                <w:lang w:val="en-US" w:eastAsia="zh-CN"/>
              </w:rPr>
              <w:t>无</w:t>
            </w:r>
          </w:p>
        </w:tc>
        <w:tc>
          <w:tcPr>
            <w:tcW w:w="2300" w:type="dxa"/>
            <w:vAlign w:val="center"/>
          </w:tcPr>
          <w:p w14:paraId="20A4038F">
            <w:pPr>
              <w:adjustRightInd w:val="0"/>
              <w:snapToGrid w:val="0"/>
              <w:jc w:val="center"/>
              <w:rPr>
                <w:rFonts w:hint="eastAsia" w:eastAsia="宋体"/>
                <w:color w:val="auto"/>
                <w:szCs w:val="21"/>
                <w:highlight w:val="none"/>
                <w:lang w:val="en-US" w:eastAsia="zh-CN"/>
              </w:rPr>
            </w:pPr>
            <w:r>
              <w:rPr>
                <w:rFonts w:hint="eastAsia" w:ascii="Times New Roman" w:eastAsia="宋体"/>
                <w:color w:val="auto"/>
                <w:szCs w:val="21"/>
                <w:highlight w:val="none"/>
                <w:lang w:val="en-US" w:eastAsia="zh-CN"/>
              </w:rPr>
              <w:t>无</w:t>
            </w:r>
          </w:p>
        </w:tc>
      </w:tr>
      <w:tr w14:paraId="478DE9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81" w:type="dxa"/>
            <w:gridSpan w:val="2"/>
            <w:vAlign w:val="center"/>
          </w:tcPr>
          <w:p w14:paraId="7FF58AC2">
            <w:pPr>
              <w:adjustRightInd w:val="0"/>
              <w:snapToGrid w:val="0"/>
              <w:jc w:val="center"/>
              <w:rPr>
                <w:color w:val="auto"/>
                <w:szCs w:val="21"/>
                <w:highlight w:val="none"/>
              </w:rPr>
            </w:pPr>
            <w:r>
              <w:rPr>
                <w:color w:val="auto"/>
                <w:szCs w:val="21"/>
                <w:highlight w:val="none"/>
              </w:rPr>
              <w:t>环境监测</w:t>
            </w:r>
          </w:p>
        </w:tc>
        <w:tc>
          <w:tcPr>
            <w:tcW w:w="4973" w:type="dxa"/>
            <w:vAlign w:val="center"/>
          </w:tcPr>
          <w:p w14:paraId="09D94312">
            <w:pPr>
              <w:adjustRightInd w:val="0"/>
              <w:snapToGrid w:val="0"/>
              <w:jc w:val="center"/>
              <w:rPr>
                <w:color w:val="auto"/>
                <w:szCs w:val="21"/>
                <w:highlight w:val="none"/>
              </w:rPr>
            </w:pPr>
            <w:r>
              <w:rPr>
                <w:color w:val="auto"/>
                <w:szCs w:val="21"/>
                <w:highlight w:val="none"/>
              </w:rPr>
              <w:t>无</w:t>
            </w:r>
          </w:p>
        </w:tc>
        <w:tc>
          <w:tcPr>
            <w:tcW w:w="1769" w:type="dxa"/>
            <w:vAlign w:val="center"/>
          </w:tcPr>
          <w:p w14:paraId="6EEEB020">
            <w:pPr>
              <w:adjustRightInd w:val="0"/>
              <w:snapToGrid w:val="0"/>
              <w:jc w:val="center"/>
              <w:rPr>
                <w:color w:val="auto"/>
                <w:szCs w:val="21"/>
                <w:highlight w:val="none"/>
              </w:rPr>
            </w:pPr>
            <w:r>
              <w:rPr>
                <w:color w:val="auto"/>
                <w:szCs w:val="21"/>
                <w:highlight w:val="none"/>
              </w:rPr>
              <w:t>无</w:t>
            </w:r>
          </w:p>
        </w:tc>
        <w:tc>
          <w:tcPr>
            <w:tcW w:w="3051" w:type="dxa"/>
            <w:vAlign w:val="center"/>
          </w:tcPr>
          <w:p w14:paraId="55E7AA5E">
            <w:pPr>
              <w:adjustRightInd w:val="0"/>
              <w:snapToGrid w:val="0"/>
              <w:jc w:val="center"/>
              <w:rPr>
                <w:rFonts w:hint="eastAsia" w:eastAsia="宋体"/>
                <w:color w:val="auto"/>
                <w:highlight w:val="none"/>
                <w:lang w:val="en-US" w:eastAsia="zh-CN"/>
              </w:rPr>
            </w:pPr>
            <w:r>
              <w:rPr>
                <w:rFonts w:hint="eastAsia" w:ascii="Times New Roman" w:eastAsia="宋体"/>
                <w:color w:val="auto"/>
                <w:highlight w:val="none"/>
                <w:lang w:val="en-US" w:eastAsia="zh-CN"/>
              </w:rPr>
              <w:t>无</w:t>
            </w:r>
          </w:p>
        </w:tc>
        <w:tc>
          <w:tcPr>
            <w:tcW w:w="2300" w:type="dxa"/>
            <w:vAlign w:val="center"/>
          </w:tcPr>
          <w:p w14:paraId="337FC3F9">
            <w:pPr>
              <w:adjustRightInd w:val="0"/>
              <w:snapToGrid w:val="0"/>
              <w:jc w:val="center"/>
              <w:rPr>
                <w:rFonts w:hint="eastAsia" w:eastAsia="宋体"/>
                <w:color w:val="auto"/>
                <w:highlight w:val="none"/>
                <w:lang w:val="en-US" w:eastAsia="zh-CN"/>
              </w:rPr>
            </w:pPr>
            <w:r>
              <w:rPr>
                <w:rFonts w:hint="eastAsia" w:ascii="Times New Roman" w:eastAsia="宋体"/>
                <w:color w:val="auto"/>
                <w:highlight w:val="none"/>
                <w:lang w:val="en-US" w:eastAsia="zh-CN"/>
              </w:rPr>
              <w:t>无</w:t>
            </w:r>
          </w:p>
        </w:tc>
      </w:tr>
      <w:tr w14:paraId="5D88F7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81" w:type="dxa"/>
            <w:gridSpan w:val="2"/>
            <w:vAlign w:val="center"/>
          </w:tcPr>
          <w:p w14:paraId="2A455B47">
            <w:pPr>
              <w:adjustRightInd w:val="0"/>
              <w:snapToGrid w:val="0"/>
              <w:jc w:val="center"/>
              <w:rPr>
                <w:color w:val="auto"/>
                <w:szCs w:val="21"/>
                <w:highlight w:val="none"/>
              </w:rPr>
            </w:pPr>
            <w:r>
              <w:rPr>
                <w:rFonts w:hint="eastAsia"/>
                <w:color w:val="auto"/>
                <w:szCs w:val="21"/>
                <w:highlight w:val="none"/>
              </w:rPr>
              <w:t>其他</w:t>
            </w:r>
          </w:p>
        </w:tc>
        <w:tc>
          <w:tcPr>
            <w:tcW w:w="4973" w:type="dxa"/>
            <w:vAlign w:val="center"/>
          </w:tcPr>
          <w:p w14:paraId="41CB8E35">
            <w:pPr>
              <w:adjustRightInd w:val="0"/>
              <w:snapToGrid w:val="0"/>
              <w:jc w:val="center"/>
              <w:rPr>
                <w:color w:val="auto"/>
                <w:highlight w:val="none"/>
              </w:rPr>
            </w:pPr>
            <w:r>
              <w:rPr>
                <w:color w:val="auto"/>
                <w:highlight w:val="none"/>
              </w:rPr>
              <w:t>无</w:t>
            </w:r>
          </w:p>
        </w:tc>
        <w:tc>
          <w:tcPr>
            <w:tcW w:w="1769" w:type="dxa"/>
            <w:vAlign w:val="center"/>
          </w:tcPr>
          <w:p w14:paraId="391B51CF">
            <w:pPr>
              <w:adjustRightInd w:val="0"/>
              <w:snapToGrid w:val="0"/>
              <w:jc w:val="center"/>
              <w:rPr>
                <w:color w:val="auto"/>
                <w:highlight w:val="none"/>
              </w:rPr>
            </w:pPr>
            <w:r>
              <w:rPr>
                <w:color w:val="auto"/>
                <w:highlight w:val="none"/>
              </w:rPr>
              <w:t>无</w:t>
            </w:r>
          </w:p>
        </w:tc>
        <w:tc>
          <w:tcPr>
            <w:tcW w:w="3051" w:type="dxa"/>
            <w:vAlign w:val="center"/>
          </w:tcPr>
          <w:p w14:paraId="681E41C5">
            <w:pPr>
              <w:adjustRightInd w:val="0"/>
              <w:snapToGrid w:val="0"/>
              <w:jc w:val="center"/>
              <w:rPr>
                <w:color w:val="auto"/>
                <w:highlight w:val="none"/>
              </w:rPr>
            </w:pPr>
            <w:r>
              <w:rPr>
                <w:color w:val="auto"/>
                <w:highlight w:val="none"/>
              </w:rPr>
              <w:t>无</w:t>
            </w:r>
          </w:p>
        </w:tc>
        <w:tc>
          <w:tcPr>
            <w:tcW w:w="2300" w:type="dxa"/>
            <w:vAlign w:val="center"/>
          </w:tcPr>
          <w:p w14:paraId="6BCE1F05">
            <w:pPr>
              <w:adjustRightInd w:val="0"/>
              <w:snapToGrid w:val="0"/>
              <w:jc w:val="center"/>
              <w:rPr>
                <w:color w:val="auto"/>
                <w:highlight w:val="none"/>
              </w:rPr>
            </w:pPr>
            <w:r>
              <w:rPr>
                <w:color w:val="auto"/>
                <w:highlight w:val="none"/>
              </w:rPr>
              <w:t>无</w:t>
            </w:r>
          </w:p>
        </w:tc>
      </w:tr>
    </w:tbl>
    <w:p w14:paraId="0D41B1F8">
      <w:pPr>
        <w:pStyle w:val="9"/>
        <w:tabs>
          <w:tab w:val="left" w:pos="7230"/>
        </w:tabs>
        <w:jc w:val="center"/>
        <w:outlineLvl w:val="0"/>
        <w:rPr>
          <w:rFonts w:hint="eastAsia" w:ascii="黑体" w:hAnsi="黑体" w:eastAsia="黑体"/>
          <w:snapToGrid w:val="0"/>
          <w:color w:val="auto"/>
          <w:sz w:val="30"/>
          <w:szCs w:val="30"/>
          <w:highlight w:val="none"/>
        </w:rPr>
        <w:sectPr>
          <w:pgSz w:w="16838" w:h="11906" w:orient="landscape"/>
          <w:pgMar w:top="1800" w:right="1440" w:bottom="1800" w:left="1440" w:header="851" w:footer="1077" w:gutter="0"/>
          <w:pgBorders>
            <w:top w:val="none" w:sz="0" w:space="0"/>
            <w:left w:val="none" w:sz="0" w:space="0"/>
            <w:bottom w:val="none" w:sz="0" w:space="0"/>
            <w:right w:val="none" w:sz="0" w:space="0"/>
          </w:pgBorders>
          <w:cols w:space="425" w:num="1"/>
          <w:docGrid w:linePitch="312" w:charSpace="0"/>
        </w:sectPr>
      </w:pPr>
    </w:p>
    <w:p w14:paraId="3BD5274F">
      <w:pPr>
        <w:pStyle w:val="9"/>
        <w:spacing w:before="192" w:beforeLines="80" w:beforeAutospacing="0"/>
        <w:jc w:val="center"/>
        <w:outlineLvl w:val="0"/>
        <w:rPr>
          <w:rFonts w:hint="eastAsia"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t>七、结论</w:t>
      </w:r>
    </w:p>
    <w:tbl>
      <w:tblPr>
        <w:tblStyle w:val="10"/>
        <w:tblW w:w="928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89"/>
      </w:tblGrid>
      <w:tr w14:paraId="0FA7C0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76" w:hRule="atLeast"/>
          <w:jc w:val="center"/>
        </w:trPr>
        <w:tc>
          <w:tcPr>
            <w:tcW w:w="9289" w:type="dxa"/>
          </w:tcPr>
          <w:p w14:paraId="7B51E414">
            <w:pPr>
              <w:adjustRightInd w:val="0"/>
              <w:snapToGrid w:val="0"/>
              <w:spacing w:line="360" w:lineRule="auto"/>
              <w:ind w:firstLine="384"/>
              <w:rPr>
                <w:color w:val="auto"/>
                <w:szCs w:val="21"/>
                <w:highlight w:val="none"/>
              </w:rPr>
            </w:pPr>
            <w:r>
              <w:rPr>
                <w:rFonts w:hint="eastAsia" w:eastAsia="宋体"/>
                <w:color w:val="auto"/>
                <w:sz w:val="24"/>
                <w:highlight w:val="none"/>
                <w:lang w:eastAsia="zh-CN"/>
              </w:rPr>
              <w:t>中节能壶关县乡村振兴50MW风电项目</w:t>
            </w:r>
            <w:r>
              <w:rPr>
                <w:color w:val="auto"/>
                <w:sz w:val="24"/>
                <w:highlight w:val="none"/>
              </w:rPr>
              <w:t>在实施了环评中所提出的各项措施后，工程施工和运行对环境的影响较小，满足国家相应标准要求，从环境保护的角度考虑，项目的建设是可行的。</w:t>
            </w:r>
          </w:p>
        </w:tc>
      </w:tr>
    </w:tbl>
    <w:p w14:paraId="6EB35774">
      <w:pPr>
        <w:widowControl/>
        <w:adjustRightInd w:val="0"/>
        <w:snapToGrid w:val="0"/>
        <w:spacing w:before="192" w:beforeLines="80"/>
        <w:jc w:val="left"/>
        <w:rPr>
          <w:rFonts w:ascii="宋体"/>
          <w:color w:val="auto"/>
          <w:highlight w:val="none"/>
        </w:rPr>
        <w:sectPr>
          <w:pgSz w:w="11906" w:h="16838"/>
          <w:pgMar w:top="1440" w:right="1800" w:bottom="1440" w:left="1800" w:header="851" w:footer="1077" w:gutter="0"/>
          <w:pgBorders>
            <w:top w:val="none" w:sz="0" w:space="0"/>
            <w:left w:val="none" w:sz="0" w:space="0"/>
            <w:bottom w:val="none" w:sz="0" w:space="0"/>
            <w:right w:val="none" w:sz="0" w:space="0"/>
          </w:pgBorders>
          <w:cols w:space="425" w:num="1"/>
          <w:docGrid w:linePitch="312" w:charSpace="0"/>
        </w:sectPr>
      </w:pPr>
    </w:p>
    <w:p w14:paraId="15040C6A">
      <w:pPr>
        <w:spacing w:line="480" w:lineRule="exact"/>
        <w:jc w:val="center"/>
        <w:rPr>
          <w:b/>
          <w:color w:val="auto"/>
          <w:sz w:val="28"/>
          <w:szCs w:val="28"/>
          <w:highlight w:val="none"/>
        </w:rPr>
      </w:pPr>
      <w:r>
        <w:rPr>
          <w:rFonts w:hint="eastAsia"/>
          <w:b/>
          <w:color w:val="auto"/>
          <w:sz w:val="28"/>
          <w:szCs w:val="28"/>
          <w:highlight w:val="none"/>
        </w:rPr>
        <w:t>附图、附件</w:t>
      </w:r>
    </w:p>
    <w:p w14:paraId="575CF86D">
      <w:pPr>
        <w:spacing w:line="480" w:lineRule="exact"/>
        <w:jc w:val="left"/>
        <w:rPr>
          <w:color w:val="auto"/>
          <w:sz w:val="24"/>
          <w:highlight w:val="none"/>
        </w:rPr>
      </w:pPr>
      <w:r>
        <w:rPr>
          <w:rFonts w:hint="eastAsia"/>
          <w:color w:val="auto"/>
          <w:sz w:val="24"/>
          <w:highlight w:val="none"/>
        </w:rPr>
        <w:t>附图1 区域位置图</w:t>
      </w:r>
    </w:p>
    <w:p w14:paraId="24B35719">
      <w:pPr>
        <w:spacing w:line="480" w:lineRule="exact"/>
        <w:jc w:val="left"/>
        <w:rPr>
          <w:color w:val="auto"/>
          <w:sz w:val="24"/>
          <w:highlight w:val="none"/>
        </w:rPr>
      </w:pPr>
      <w:r>
        <w:rPr>
          <w:rFonts w:hint="eastAsia"/>
          <w:color w:val="auto"/>
          <w:sz w:val="24"/>
          <w:highlight w:val="none"/>
        </w:rPr>
        <w:t>附图2 地理位置示意图</w:t>
      </w:r>
    </w:p>
    <w:p w14:paraId="0F212A55">
      <w:pPr>
        <w:spacing w:line="480" w:lineRule="exact"/>
        <w:jc w:val="left"/>
        <w:rPr>
          <w:color w:val="auto"/>
          <w:sz w:val="24"/>
          <w:highlight w:val="none"/>
        </w:rPr>
      </w:pPr>
      <w:r>
        <w:rPr>
          <w:rFonts w:hint="eastAsia"/>
          <w:color w:val="auto"/>
          <w:sz w:val="24"/>
          <w:highlight w:val="none"/>
        </w:rPr>
        <w:t>附图3 风电场区总平面布置图</w:t>
      </w:r>
    </w:p>
    <w:p w14:paraId="701A9B2A">
      <w:pPr>
        <w:spacing w:line="480" w:lineRule="exact"/>
        <w:jc w:val="left"/>
        <w:rPr>
          <w:color w:val="auto"/>
          <w:sz w:val="24"/>
          <w:highlight w:val="none"/>
        </w:rPr>
      </w:pPr>
      <w:r>
        <w:rPr>
          <w:rFonts w:hint="eastAsia"/>
          <w:color w:val="auto"/>
          <w:sz w:val="24"/>
          <w:highlight w:val="none"/>
        </w:rPr>
        <w:t>附图</w:t>
      </w:r>
      <w:r>
        <w:rPr>
          <w:rFonts w:hint="eastAsia" w:ascii="Times New Roman" w:eastAsia="宋体"/>
          <w:color w:val="auto"/>
          <w:sz w:val="24"/>
          <w:highlight w:val="none"/>
          <w:lang w:val="en-US" w:eastAsia="zh-CN"/>
        </w:rPr>
        <w:t>4</w:t>
      </w:r>
      <w:r>
        <w:rPr>
          <w:rFonts w:hint="eastAsia"/>
          <w:color w:val="auto"/>
          <w:sz w:val="24"/>
          <w:highlight w:val="none"/>
        </w:rPr>
        <w:t xml:space="preserve"> 施工临建区平面布置图</w:t>
      </w:r>
    </w:p>
    <w:p w14:paraId="47BF8541">
      <w:pPr>
        <w:spacing w:line="480" w:lineRule="exact"/>
        <w:jc w:val="left"/>
        <w:rPr>
          <w:color w:val="auto"/>
          <w:sz w:val="24"/>
          <w:highlight w:val="none"/>
        </w:rPr>
      </w:pPr>
      <w:r>
        <w:rPr>
          <w:rFonts w:hint="eastAsia"/>
          <w:color w:val="auto"/>
          <w:sz w:val="24"/>
          <w:highlight w:val="none"/>
        </w:rPr>
        <w:t>附图</w:t>
      </w:r>
      <w:r>
        <w:rPr>
          <w:rFonts w:hint="eastAsia" w:ascii="Times New Roman" w:eastAsia="宋体"/>
          <w:color w:val="auto"/>
          <w:sz w:val="24"/>
          <w:highlight w:val="none"/>
          <w:lang w:val="en-US" w:eastAsia="zh-CN"/>
        </w:rPr>
        <w:t>5</w:t>
      </w:r>
      <w:r>
        <w:rPr>
          <w:rFonts w:hint="eastAsia"/>
          <w:color w:val="auto"/>
          <w:sz w:val="24"/>
          <w:highlight w:val="none"/>
        </w:rPr>
        <w:t xml:space="preserve"> 土地利用三调图</w:t>
      </w:r>
    </w:p>
    <w:p w14:paraId="1967F724">
      <w:pPr>
        <w:spacing w:line="480" w:lineRule="exact"/>
        <w:jc w:val="left"/>
        <w:rPr>
          <w:color w:val="auto"/>
          <w:sz w:val="24"/>
          <w:highlight w:val="none"/>
        </w:rPr>
      </w:pPr>
      <w:r>
        <w:rPr>
          <w:rFonts w:hint="eastAsia"/>
          <w:color w:val="auto"/>
          <w:sz w:val="24"/>
          <w:highlight w:val="none"/>
        </w:rPr>
        <w:t>附图</w:t>
      </w:r>
      <w:r>
        <w:rPr>
          <w:rFonts w:hint="eastAsia" w:ascii="Times New Roman" w:eastAsia="宋体"/>
          <w:color w:val="auto"/>
          <w:sz w:val="24"/>
          <w:highlight w:val="none"/>
          <w:lang w:val="en-US" w:eastAsia="zh-CN"/>
        </w:rPr>
        <w:t>6</w:t>
      </w:r>
      <w:r>
        <w:rPr>
          <w:rFonts w:hint="eastAsia"/>
          <w:color w:val="auto"/>
          <w:sz w:val="24"/>
          <w:highlight w:val="none"/>
        </w:rPr>
        <w:t xml:space="preserve"> 三区三线位置关系图</w:t>
      </w:r>
    </w:p>
    <w:p w14:paraId="4480E277">
      <w:pPr>
        <w:spacing w:line="480" w:lineRule="exact"/>
        <w:jc w:val="left"/>
        <w:rPr>
          <w:color w:val="auto"/>
          <w:sz w:val="24"/>
          <w:highlight w:val="none"/>
        </w:rPr>
      </w:pPr>
      <w:r>
        <w:rPr>
          <w:rFonts w:hint="eastAsia"/>
          <w:color w:val="auto"/>
          <w:sz w:val="24"/>
          <w:highlight w:val="none"/>
        </w:rPr>
        <w:t>附图</w:t>
      </w:r>
      <w:r>
        <w:rPr>
          <w:rFonts w:hint="eastAsia" w:ascii="Times New Roman" w:eastAsia="宋体"/>
          <w:color w:val="auto"/>
          <w:sz w:val="24"/>
          <w:highlight w:val="none"/>
          <w:lang w:val="en-US" w:eastAsia="zh-CN"/>
        </w:rPr>
        <w:t>7</w:t>
      </w:r>
      <w:r>
        <w:rPr>
          <w:rFonts w:hint="eastAsia"/>
          <w:color w:val="auto"/>
          <w:sz w:val="24"/>
          <w:highlight w:val="none"/>
        </w:rPr>
        <w:t xml:space="preserve"> 土地利用现状图</w:t>
      </w:r>
    </w:p>
    <w:p w14:paraId="1F7CC686">
      <w:pPr>
        <w:spacing w:line="480" w:lineRule="exact"/>
        <w:jc w:val="left"/>
        <w:rPr>
          <w:color w:val="auto"/>
          <w:sz w:val="24"/>
          <w:highlight w:val="none"/>
        </w:rPr>
      </w:pPr>
      <w:r>
        <w:rPr>
          <w:rFonts w:hint="eastAsia"/>
          <w:color w:val="auto"/>
          <w:sz w:val="24"/>
          <w:highlight w:val="none"/>
        </w:rPr>
        <w:t>附图</w:t>
      </w:r>
      <w:r>
        <w:rPr>
          <w:rFonts w:hint="eastAsia" w:ascii="Times New Roman" w:eastAsia="宋体"/>
          <w:color w:val="auto"/>
          <w:sz w:val="24"/>
          <w:highlight w:val="none"/>
          <w:lang w:val="en-US" w:eastAsia="zh-CN"/>
        </w:rPr>
        <w:t>8</w:t>
      </w:r>
      <w:r>
        <w:rPr>
          <w:rFonts w:hint="eastAsia"/>
          <w:color w:val="auto"/>
          <w:sz w:val="24"/>
          <w:highlight w:val="none"/>
        </w:rPr>
        <w:t>区域植被现状分布图</w:t>
      </w:r>
    </w:p>
    <w:p w14:paraId="10D8CD9C">
      <w:pPr>
        <w:spacing w:line="480" w:lineRule="exact"/>
        <w:jc w:val="left"/>
        <w:rPr>
          <w:color w:val="auto"/>
          <w:sz w:val="24"/>
          <w:highlight w:val="none"/>
        </w:rPr>
      </w:pPr>
      <w:r>
        <w:rPr>
          <w:rFonts w:hint="eastAsia"/>
          <w:color w:val="auto"/>
          <w:sz w:val="24"/>
          <w:highlight w:val="none"/>
        </w:rPr>
        <w:t>附图</w:t>
      </w:r>
      <w:r>
        <w:rPr>
          <w:rFonts w:hint="eastAsia" w:ascii="Times New Roman" w:eastAsia="宋体"/>
          <w:color w:val="auto"/>
          <w:sz w:val="24"/>
          <w:highlight w:val="none"/>
          <w:lang w:val="en-US" w:eastAsia="zh-CN"/>
        </w:rPr>
        <w:t>9</w:t>
      </w:r>
      <w:r>
        <w:rPr>
          <w:rFonts w:hint="eastAsia"/>
          <w:color w:val="auto"/>
          <w:sz w:val="24"/>
          <w:highlight w:val="none"/>
        </w:rPr>
        <w:t>区域生态类型分布图</w:t>
      </w:r>
    </w:p>
    <w:p w14:paraId="6854A5B9">
      <w:pPr>
        <w:spacing w:line="480" w:lineRule="exact"/>
        <w:jc w:val="left"/>
        <w:rPr>
          <w:color w:val="auto"/>
          <w:sz w:val="24"/>
          <w:highlight w:val="none"/>
        </w:rPr>
      </w:pPr>
      <w:r>
        <w:rPr>
          <w:rFonts w:hint="eastAsia"/>
          <w:color w:val="auto"/>
          <w:sz w:val="24"/>
          <w:highlight w:val="none"/>
        </w:rPr>
        <w:t>附图1</w:t>
      </w:r>
      <w:r>
        <w:rPr>
          <w:rFonts w:hint="eastAsia" w:ascii="Times New Roman" w:eastAsia="宋体"/>
          <w:color w:val="auto"/>
          <w:sz w:val="24"/>
          <w:highlight w:val="none"/>
          <w:lang w:val="en-US" w:eastAsia="zh-CN"/>
        </w:rPr>
        <w:t>0</w:t>
      </w:r>
      <w:r>
        <w:rPr>
          <w:rFonts w:hint="eastAsia"/>
          <w:color w:val="auto"/>
          <w:sz w:val="24"/>
          <w:highlight w:val="none"/>
        </w:rPr>
        <w:t>区域植被覆盖度分布图</w:t>
      </w:r>
    </w:p>
    <w:p w14:paraId="5F0104D6">
      <w:pPr>
        <w:spacing w:line="480" w:lineRule="exact"/>
        <w:jc w:val="left"/>
        <w:rPr>
          <w:rFonts w:hint="eastAsia"/>
          <w:color w:val="auto"/>
          <w:sz w:val="24"/>
          <w:highlight w:val="none"/>
        </w:rPr>
      </w:pPr>
      <w:r>
        <w:rPr>
          <w:rFonts w:hint="eastAsia"/>
          <w:color w:val="auto"/>
          <w:sz w:val="24"/>
          <w:highlight w:val="none"/>
        </w:rPr>
        <w:t>附图1</w:t>
      </w:r>
      <w:r>
        <w:rPr>
          <w:rFonts w:hint="eastAsia" w:ascii="Times New Roman" w:eastAsia="宋体"/>
          <w:color w:val="auto"/>
          <w:sz w:val="24"/>
          <w:highlight w:val="none"/>
          <w:lang w:val="en-US" w:eastAsia="zh-CN"/>
        </w:rPr>
        <w:t>1</w:t>
      </w:r>
      <w:r>
        <w:rPr>
          <w:rFonts w:hint="eastAsia"/>
          <w:color w:val="auto"/>
          <w:sz w:val="24"/>
          <w:highlight w:val="none"/>
        </w:rPr>
        <w:t>地表水系图</w:t>
      </w:r>
    </w:p>
    <w:p w14:paraId="2915CFC6">
      <w:pPr>
        <w:spacing w:line="480" w:lineRule="exact"/>
        <w:jc w:val="left"/>
        <w:rPr>
          <w:rFonts w:hint="eastAsia" w:ascii="Times New Roman" w:eastAsia="宋体"/>
          <w:color w:val="auto"/>
          <w:sz w:val="24"/>
          <w:highlight w:val="none"/>
          <w:lang w:val="en-US" w:eastAsia="zh-CN"/>
        </w:rPr>
      </w:pPr>
      <w:r>
        <w:rPr>
          <w:rFonts w:hint="eastAsia"/>
          <w:color w:val="auto"/>
          <w:sz w:val="24"/>
          <w:highlight w:val="none"/>
        </w:rPr>
        <w:t>附图1</w:t>
      </w:r>
      <w:r>
        <w:rPr>
          <w:rFonts w:hint="eastAsia" w:ascii="Times New Roman" w:eastAsia="宋体"/>
          <w:color w:val="auto"/>
          <w:sz w:val="24"/>
          <w:highlight w:val="none"/>
          <w:lang w:val="en-US" w:eastAsia="zh-CN"/>
        </w:rPr>
        <w:t>2</w:t>
      </w:r>
      <w:r>
        <w:rPr>
          <w:rFonts w:hint="eastAsia"/>
          <w:color w:val="auto"/>
          <w:sz w:val="24"/>
          <w:highlight w:val="none"/>
        </w:rPr>
        <w:t xml:space="preserve"> </w:t>
      </w:r>
      <w:r>
        <w:rPr>
          <w:rFonts w:hint="eastAsia" w:ascii="Times New Roman" w:eastAsia="宋体"/>
          <w:color w:val="auto"/>
          <w:sz w:val="24"/>
          <w:highlight w:val="none"/>
          <w:lang w:val="en-US" w:eastAsia="zh-CN"/>
        </w:rPr>
        <w:t>本项目与</w:t>
      </w:r>
      <w:r>
        <w:rPr>
          <w:rFonts w:hint="eastAsia" w:ascii="Times New Roman"/>
          <w:color w:val="auto"/>
          <w:sz w:val="24"/>
          <w:highlight w:val="none"/>
          <w:lang w:val="en-US" w:eastAsia="zh-CN"/>
        </w:rPr>
        <w:t>辛安</w:t>
      </w:r>
      <w:r>
        <w:rPr>
          <w:rFonts w:hint="eastAsia" w:ascii="Times New Roman" w:eastAsia="宋体"/>
          <w:color w:val="auto"/>
          <w:sz w:val="24"/>
          <w:highlight w:val="none"/>
          <w:lang w:val="en-US" w:eastAsia="zh-CN"/>
        </w:rPr>
        <w:t>泉域及辛安泉水源地保护区位置关系图</w:t>
      </w:r>
    </w:p>
    <w:p w14:paraId="09672348">
      <w:pPr>
        <w:spacing w:line="480" w:lineRule="exact"/>
        <w:jc w:val="left"/>
        <w:rPr>
          <w:rFonts w:ascii="Times New Roman" w:hAnsi="Times New Roman" w:cs="Times New Roman"/>
          <w:color w:val="auto"/>
          <w:sz w:val="24"/>
          <w:highlight w:val="none"/>
        </w:rPr>
      </w:pPr>
      <w:r>
        <w:rPr>
          <w:rFonts w:hint="eastAsia" w:ascii="Times New Roman" w:hAnsi="Times New Roman" w:cs="Times New Roman"/>
          <w:color w:val="auto"/>
          <w:sz w:val="24"/>
          <w:highlight w:val="none"/>
        </w:rPr>
        <w:t>附图1</w:t>
      </w:r>
      <w:r>
        <w:rPr>
          <w:rFonts w:hint="eastAsia" w:ascii="Times New Roman" w:hAnsi="Times New Roman" w:cs="Times New Roman"/>
          <w:color w:val="auto"/>
          <w:sz w:val="24"/>
          <w:highlight w:val="none"/>
          <w:lang w:val="en-US" w:eastAsia="zh-CN"/>
        </w:rPr>
        <w:t>3</w:t>
      </w:r>
      <w:r>
        <w:rPr>
          <w:rFonts w:hint="eastAsia" w:ascii="Times New Roman" w:hAnsi="Times New Roman" w:cs="Times New Roman"/>
          <w:color w:val="auto"/>
          <w:sz w:val="24"/>
          <w:highlight w:val="none"/>
        </w:rPr>
        <w:t xml:space="preserve"> </w:t>
      </w:r>
      <w:r>
        <w:rPr>
          <w:rFonts w:hint="eastAsia" w:ascii="Times New Roman" w:hAnsi="Times New Roman" w:cs="Times New Roman"/>
          <w:color w:val="auto"/>
          <w:sz w:val="24"/>
          <w:highlight w:val="none"/>
          <w:lang w:eastAsia="zh-CN"/>
        </w:rPr>
        <w:t>长治市</w:t>
      </w:r>
      <w:r>
        <w:rPr>
          <w:rFonts w:hint="eastAsia" w:ascii="Times New Roman" w:hAnsi="Times New Roman" w:cs="Times New Roman"/>
          <w:color w:val="auto"/>
          <w:sz w:val="24"/>
          <w:highlight w:val="none"/>
        </w:rPr>
        <w:t>“三线一单”分区管控示意图</w:t>
      </w:r>
    </w:p>
    <w:p w14:paraId="46326FDA">
      <w:pPr>
        <w:spacing w:line="480" w:lineRule="exact"/>
        <w:jc w:val="left"/>
        <w:rPr>
          <w:color w:val="auto"/>
          <w:sz w:val="24"/>
          <w:highlight w:val="none"/>
        </w:rPr>
      </w:pPr>
      <w:r>
        <w:rPr>
          <w:rFonts w:hint="eastAsia"/>
          <w:color w:val="auto"/>
          <w:sz w:val="24"/>
          <w:highlight w:val="none"/>
        </w:rPr>
        <w:t>附图14典型生态恢复措施示意图</w:t>
      </w:r>
    </w:p>
    <w:p w14:paraId="17F9C5C1">
      <w:pPr>
        <w:spacing w:line="480" w:lineRule="exact"/>
        <w:jc w:val="left"/>
        <w:rPr>
          <w:color w:val="auto"/>
          <w:sz w:val="24"/>
          <w:highlight w:val="none"/>
        </w:rPr>
      </w:pPr>
      <w:r>
        <w:rPr>
          <w:color w:val="auto"/>
          <w:sz w:val="24"/>
          <w:highlight w:val="none"/>
        </w:rPr>
        <w:t>附图</w:t>
      </w:r>
      <w:r>
        <w:rPr>
          <w:rFonts w:hint="eastAsia"/>
          <w:color w:val="auto"/>
          <w:sz w:val="24"/>
          <w:highlight w:val="none"/>
        </w:rPr>
        <w:t>15 生态恢复措施布置示意图</w:t>
      </w:r>
    </w:p>
    <w:p w14:paraId="55840A4D">
      <w:pPr>
        <w:spacing w:line="480" w:lineRule="exact"/>
        <w:jc w:val="left"/>
        <w:rPr>
          <w:color w:val="auto"/>
          <w:sz w:val="24"/>
          <w:highlight w:val="none"/>
        </w:rPr>
      </w:pPr>
    </w:p>
    <w:p w14:paraId="458C0703">
      <w:pPr>
        <w:spacing w:line="480" w:lineRule="exact"/>
        <w:jc w:val="left"/>
        <w:rPr>
          <w:color w:val="auto"/>
          <w:sz w:val="24"/>
          <w:highlight w:val="none"/>
        </w:rPr>
      </w:pPr>
      <w:r>
        <w:rPr>
          <w:color w:val="auto"/>
          <w:sz w:val="24"/>
          <w:highlight w:val="none"/>
        </w:rPr>
        <w:t>附件1、委托书</w:t>
      </w:r>
    </w:p>
    <w:p w14:paraId="27F5CC2B">
      <w:pPr>
        <w:spacing w:line="480" w:lineRule="exact"/>
        <w:jc w:val="left"/>
        <w:rPr>
          <w:rFonts w:hint="eastAsia" w:eastAsia="宋体"/>
          <w:color w:val="auto"/>
          <w:sz w:val="24"/>
          <w:highlight w:val="none"/>
          <w:lang w:val="en-US" w:eastAsia="zh-CN"/>
        </w:rPr>
      </w:pPr>
      <w:r>
        <w:rPr>
          <w:rFonts w:hint="eastAsia"/>
          <w:color w:val="auto"/>
          <w:sz w:val="24"/>
          <w:highlight w:val="none"/>
        </w:rPr>
        <w:t>附件2、</w:t>
      </w:r>
      <w:r>
        <w:rPr>
          <w:rFonts w:hint="eastAsia" w:ascii="Times New Roman" w:eastAsia="宋体"/>
          <w:color w:val="auto"/>
          <w:sz w:val="24"/>
          <w:highlight w:val="none"/>
          <w:lang w:val="en-US" w:eastAsia="zh-CN"/>
        </w:rPr>
        <w:t>指标文件</w:t>
      </w:r>
    </w:p>
    <w:p w14:paraId="1BA64B71">
      <w:pPr>
        <w:spacing w:line="480" w:lineRule="exact"/>
        <w:jc w:val="left"/>
        <w:rPr>
          <w:rFonts w:hint="eastAsia" w:eastAsia="宋体"/>
          <w:color w:val="auto"/>
          <w:sz w:val="24"/>
          <w:highlight w:val="none"/>
          <w:lang w:val="en-US" w:eastAsia="zh-CN"/>
        </w:rPr>
      </w:pPr>
      <w:r>
        <w:rPr>
          <w:rFonts w:hint="eastAsia"/>
          <w:color w:val="auto"/>
          <w:sz w:val="24"/>
          <w:highlight w:val="none"/>
        </w:rPr>
        <w:t>附件3、</w:t>
      </w:r>
      <w:r>
        <w:rPr>
          <w:rFonts w:hint="eastAsia" w:ascii="Times New Roman" w:eastAsia="宋体"/>
          <w:color w:val="auto"/>
          <w:sz w:val="24"/>
          <w:highlight w:val="none"/>
          <w:lang w:val="en-US" w:eastAsia="zh-CN"/>
        </w:rPr>
        <w:t>备案证</w:t>
      </w:r>
    </w:p>
    <w:p w14:paraId="3C779EF0">
      <w:pPr>
        <w:spacing w:line="480" w:lineRule="exact"/>
        <w:jc w:val="left"/>
        <w:rPr>
          <w:rFonts w:hint="eastAsia"/>
          <w:color w:val="auto"/>
          <w:sz w:val="24"/>
          <w:highlight w:val="none"/>
        </w:rPr>
      </w:pPr>
      <w:r>
        <w:rPr>
          <w:rFonts w:hint="eastAsia"/>
          <w:color w:val="auto"/>
          <w:sz w:val="24"/>
          <w:highlight w:val="none"/>
        </w:rPr>
        <w:t>附件</w:t>
      </w:r>
      <w:r>
        <w:rPr>
          <w:rFonts w:hint="eastAsia" w:ascii="Times New Roman" w:eastAsia="宋体"/>
          <w:color w:val="auto"/>
          <w:sz w:val="24"/>
          <w:highlight w:val="none"/>
          <w:lang w:val="en-US" w:eastAsia="zh-CN"/>
        </w:rPr>
        <w:t>4</w:t>
      </w:r>
      <w:r>
        <w:rPr>
          <w:rFonts w:hint="eastAsia"/>
          <w:color w:val="auto"/>
          <w:sz w:val="24"/>
          <w:highlight w:val="none"/>
        </w:rPr>
        <w:t>、选址核查意见</w:t>
      </w:r>
    </w:p>
    <w:p w14:paraId="69768ABD">
      <w:pPr>
        <w:spacing w:line="480" w:lineRule="exact"/>
        <w:jc w:val="left"/>
        <w:rPr>
          <w:rFonts w:hint="eastAsia"/>
          <w:color w:val="auto"/>
          <w:sz w:val="24"/>
          <w:highlight w:val="none"/>
        </w:rPr>
      </w:pPr>
      <w:r>
        <w:rPr>
          <w:rFonts w:hint="eastAsia"/>
          <w:color w:val="auto"/>
          <w:sz w:val="24"/>
          <w:highlight w:val="none"/>
        </w:rPr>
        <w:t>附件</w:t>
      </w:r>
      <w:r>
        <w:rPr>
          <w:rFonts w:hint="eastAsia" w:ascii="Times New Roman" w:eastAsia="宋体"/>
          <w:color w:val="auto"/>
          <w:sz w:val="24"/>
          <w:highlight w:val="none"/>
          <w:lang w:val="en-US" w:eastAsia="zh-CN"/>
        </w:rPr>
        <w:t>5</w:t>
      </w:r>
      <w:r>
        <w:rPr>
          <w:rFonts w:hint="eastAsia"/>
          <w:color w:val="auto"/>
          <w:sz w:val="24"/>
          <w:highlight w:val="none"/>
        </w:rPr>
        <w:t>、用地预审与选址意见书</w:t>
      </w:r>
    </w:p>
    <w:p w14:paraId="59D403E4">
      <w:pPr>
        <w:pStyle w:val="7"/>
        <w:ind w:left="0" w:leftChars="0" w:firstLine="0" w:firstLineChars="0"/>
        <w:rPr>
          <w:rFonts w:hint="default"/>
          <w:color w:val="auto"/>
          <w:sz w:val="24"/>
          <w:highlight w:val="none"/>
          <w:lang w:val="en-US" w:eastAsia="zh-CN"/>
        </w:rPr>
      </w:pPr>
      <w:r>
        <w:rPr>
          <w:rFonts w:hint="eastAsia"/>
          <w:color w:val="auto"/>
          <w:sz w:val="24"/>
          <w:highlight w:val="none"/>
          <w:lang w:val="en-US" w:eastAsia="zh-CN"/>
        </w:rPr>
        <w:t>附件</w:t>
      </w:r>
      <w:r>
        <w:rPr>
          <w:rFonts w:hint="default" w:ascii="Times New Roman" w:hAnsi="Times New Roman" w:cs="Times New Roman"/>
          <w:color w:val="auto"/>
          <w:sz w:val="24"/>
          <w:highlight w:val="none"/>
          <w:lang w:val="en-US" w:eastAsia="zh-CN"/>
        </w:rPr>
        <w:t>6</w:t>
      </w:r>
      <w:r>
        <w:rPr>
          <w:rFonts w:hint="eastAsia"/>
          <w:color w:val="auto"/>
          <w:sz w:val="24"/>
          <w:highlight w:val="none"/>
          <w:lang w:val="en-US" w:eastAsia="zh-CN"/>
        </w:rPr>
        <w:t>、永久性使用林地文件</w:t>
      </w:r>
    </w:p>
    <w:p w14:paraId="5AE02B6D">
      <w:pPr>
        <w:pStyle w:val="7"/>
        <w:ind w:left="0" w:leftChars="0" w:firstLine="0" w:firstLineChars="0"/>
        <w:rPr>
          <w:rFonts w:hint="eastAsia"/>
          <w:color w:val="auto"/>
          <w:sz w:val="24"/>
          <w:highlight w:val="none"/>
          <w:lang w:val="en-US" w:eastAsia="zh-CN"/>
        </w:rPr>
      </w:pPr>
      <w:r>
        <w:rPr>
          <w:rFonts w:hint="eastAsia"/>
          <w:color w:val="auto"/>
          <w:sz w:val="24"/>
          <w:highlight w:val="none"/>
          <w:lang w:val="en-US" w:eastAsia="zh-CN"/>
        </w:rPr>
        <w:t>附件</w:t>
      </w:r>
      <w:r>
        <w:rPr>
          <w:rFonts w:hint="default" w:ascii="Times New Roman" w:hAnsi="Times New Roman" w:cs="Times New Roman"/>
          <w:color w:val="auto"/>
          <w:sz w:val="24"/>
          <w:highlight w:val="none"/>
          <w:lang w:val="en-US" w:eastAsia="zh-CN"/>
        </w:rPr>
        <w:t>7</w:t>
      </w:r>
      <w:r>
        <w:rPr>
          <w:rFonts w:hint="eastAsia"/>
          <w:color w:val="auto"/>
          <w:sz w:val="24"/>
          <w:highlight w:val="none"/>
          <w:lang w:val="en-US" w:eastAsia="zh-CN"/>
        </w:rPr>
        <w:t>、集电线路不可避让红线认定意见及专家论证意见</w:t>
      </w:r>
    </w:p>
    <w:p w14:paraId="2AD5663C">
      <w:pPr>
        <w:pStyle w:val="7"/>
        <w:ind w:left="0" w:leftChars="0" w:firstLine="0" w:firstLineChars="0"/>
        <w:rPr>
          <w:rFonts w:hint="eastAsia"/>
          <w:color w:val="auto"/>
          <w:sz w:val="24"/>
          <w:highlight w:val="none"/>
          <w:lang w:val="en-US" w:eastAsia="zh-CN"/>
        </w:rPr>
      </w:pPr>
      <w:r>
        <w:rPr>
          <w:rFonts w:hint="eastAsia"/>
          <w:color w:val="auto"/>
          <w:sz w:val="24"/>
          <w:highlight w:val="none"/>
          <w:lang w:val="en-US" w:eastAsia="zh-CN"/>
        </w:rPr>
        <w:t>附件</w:t>
      </w:r>
      <w:r>
        <w:rPr>
          <w:rFonts w:hint="default" w:ascii="Times New Roman" w:hAnsi="Times New Roman" w:cs="Times New Roman"/>
          <w:color w:val="auto"/>
          <w:sz w:val="24"/>
          <w:highlight w:val="none"/>
          <w:lang w:val="en-US" w:eastAsia="zh-CN"/>
        </w:rPr>
        <w:t>8</w:t>
      </w:r>
      <w:r>
        <w:rPr>
          <w:rFonts w:hint="eastAsia"/>
          <w:color w:val="auto"/>
          <w:sz w:val="24"/>
          <w:highlight w:val="none"/>
          <w:lang w:val="en-US" w:eastAsia="zh-CN"/>
        </w:rPr>
        <w:t>、风机吊装平台临时用地不可避让红线专家论证意见</w:t>
      </w:r>
    </w:p>
    <w:p w14:paraId="663A2239">
      <w:pPr>
        <w:pStyle w:val="7"/>
        <w:ind w:left="0" w:leftChars="0" w:firstLine="0" w:firstLineChars="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附件</w:t>
      </w:r>
      <w:r>
        <w:rPr>
          <w:rFonts w:hint="eastAsia" w:ascii="Times New Roman" w:hAnsi="Times New Roman" w:cs="Times New Roman"/>
          <w:color w:val="auto"/>
          <w:sz w:val="24"/>
          <w:highlight w:val="none"/>
          <w:lang w:val="en-US" w:eastAsia="zh-CN"/>
        </w:rPr>
        <w:t>9</w:t>
      </w:r>
      <w:r>
        <w:rPr>
          <w:rFonts w:hint="default" w:ascii="Times New Roman" w:hAnsi="Times New Roman" w:cs="Times New Roman"/>
          <w:color w:val="auto"/>
          <w:sz w:val="24"/>
          <w:highlight w:val="none"/>
          <w:lang w:val="en-US" w:eastAsia="zh-CN"/>
        </w:rPr>
        <w:t>、防火通道批复</w:t>
      </w:r>
    </w:p>
    <w:p w14:paraId="7215FAD7">
      <w:pPr>
        <w:pStyle w:val="7"/>
        <w:ind w:left="0" w:leftChars="0" w:firstLine="0" w:firstLineChars="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附件</w:t>
      </w:r>
      <w:r>
        <w:rPr>
          <w:rFonts w:hint="eastAsia" w:ascii="Times New Roman" w:hAnsi="Times New Roman" w:cs="Times New Roman"/>
          <w:color w:val="auto"/>
          <w:sz w:val="24"/>
          <w:highlight w:val="none"/>
          <w:lang w:val="en-US" w:eastAsia="zh-CN"/>
        </w:rPr>
        <w:t>10、风机基础</w:t>
      </w:r>
      <w:r>
        <w:rPr>
          <w:rFonts w:hint="eastAsia" w:ascii="宋体" w:hAnsi="宋体" w:eastAsia="宋体" w:cs="宋体"/>
          <w:color w:val="auto"/>
          <w:sz w:val="24"/>
          <w:highlight w:val="none"/>
          <w:lang w:val="en-US" w:eastAsia="zh-CN"/>
        </w:rPr>
        <w:t>“三线一单”</w:t>
      </w:r>
      <w:r>
        <w:rPr>
          <w:rFonts w:hint="default" w:ascii="Times New Roman" w:hAnsi="Times New Roman" w:cs="Times New Roman"/>
          <w:color w:val="auto"/>
          <w:sz w:val="24"/>
          <w:highlight w:val="none"/>
          <w:lang w:val="en-US" w:eastAsia="zh-CN"/>
        </w:rPr>
        <w:t>综合查询结果</w:t>
      </w:r>
    </w:p>
    <w:p w14:paraId="4446607D">
      <w:pPr>
        <w:pStyle w:val="7"/>
        <w:ind w:left="0" w:leftChars="0" w:firstLine="0" w:firstLineChars="0"/>
        <w:rPr>
          <w:rFonts w:hint="default"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附件11、树掌风电场220kV升压站环评批复及验收意见</w:t>
      </w:r>
    </w:p>
    <w:p w14:paraId="11219194">
      <w:pPr>
        <w:pStyle w:val="7"/>
        <w:ind w:left="0" w:leftChars="0" w:firstLine="0" w:firstLineChars="0"/>
        <w:rPr>
          <w:rFonts w:hint="default"/>
          <w:color w:val="auto"/>
          <w:highlight w:val="none"/>
          <w:lang w:val="en-US" w:eastAsia="zh-CN"/>
        </w:rPr>
      </w:pPr>
      <w:r>
        <w:rPr>
          <w:rFonts w:hint="eastAsia" w:ascii="Times New Roman" w:hAnsi="Times New Roman" w:cs="Times New Roman"/>
          <w:color w:val="auto"/>
          <w:sz w:val="24"/>
          <w:highlight w:val="none"/>
          <w:lang w:val="en-US" w:eastAsia="zh-CN"/>
        </w:rPr>
        <w:t>附件12、技术审查意见</w:t>
      </w:r>
    </w:p>
    <w:p w14:paraId="739AD593">
      <w:pPr>
        <w:rPr>
          <w:color w:val="auto"/>
          <w:highlight w:val="none"/>
        </w:rPr>
      </w:pPr>
    </w:p>
    <w:p w14:paraId="7871B992">
      <w:pPr>
        <w:rPr>
          <w:color w:val="auto"/>
          <w:highlight w:val="none"/>
        </w:rPr>
      </w:pPr>
    </w:p>
    <w:sectPr>
      <w:footerReference r:id="rId5" w:type="default"/>
      <w:pgSz w:w="11906" w:h="16838"/>
      <w:pgMar w:top="1361" w:right="1531" w:bottom="1361" w:left="1531" w:header="851" w:footer="992" w:gutter="0"/>
      <w:pgBorders>
        <w:top w:val="none" w:sz="0" w:space="0"/>
        <w:left w:val="none" w:sz="0" w:space="0"/>
        <w:bottom w:val="none" w:sz="0" w:space="0"/>
        <w:right w:val="none" w:sz="0" w:space="0"/>
      </w:pgBorders>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81"/>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仿宋_GB2312">
    <w:altName w:val="方正仿宋_GBK"/>
    <w:panose1 w:val="02010609030101010101"/>
    <w:charset w:val="86"/>
    <w:family w:val="modern"/>
    <w:pitch w:val="default"/>
    <w:sig w:usb0="00000000" w:usb1="00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楷体_GB2312">
    <w:altName w:val="方正楷体_GBK"/>
    <w:panose1 w:val="02010609030101010101"/>
    <w:charset w:val="86"/>
    <w:family w:val="modern"/>
    <w:pitch w:val="default"/>
    <w:sig w:usb0="00000000" w:usb1="00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微软雅黑">
    <w:altName w:val="方正黑体_GBK"/>
    <w:panose1 w:val="020B0503020204020204"/>
    <w:charset w:val="86"/>
    <w:family w:val="swiss"/>
    <w:pitch w:val="default"/>
    <w:sig w:usb0="00000000" w:usb1="00000000" w:usb2="00000016" w:usb3="00000000" w:csb0="0004001F" w:csb1="00000000"/>
  </w:font>
  <w:font w:name="仿宋">
    <w:altName w:val="方正仿宋_GBK"/>
    <w:panose1 w:val="02010609060101010101"/>
    <w:charset w:val="86"/>
    <w:family w:val="modern"/>
    <w:pitch w:val="default"/>
    <w:sig w:usb0="00000000" w:usb1="00000000" w:usb2="00000016" w:usb3="00000000" w:csb0="00040001" w:csb1="00000000"/>
  </w:font>
  <w:font w:name="文泉驿微米黑">
    <w:panose1 w:val="020B0606030804020204"/>
    <w:charset w:val="86"/>
    <w:family w:val="auto"/>
    <w:pitch w:val="default"/>
    <w:sig w:usb0="E10002EF" w:usb1="6BDFFCFB" w:usb2="00800036" w:usb3="00000000" w:csb0="603E01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F85532">
    <w:pPr>
      <w:pStyle w:val="8"/>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D8A521">
    <w:pPr>
      <w:pStyle w:val="8"/>
      <w:jc w:val="center"/>
      <w:rPr>
        <w:sz w:val="28"/>
        <w:szCs w:val="28"/>
      </w:rPr>
    </w:pP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32</w:t>
    </w:r>
    <w:r>
      <w:rPr>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C60B9A">
    <w:pPr>
      <w:pStyle w:val="8"/>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30B2D94"/>
    <w:rsid w:val="00972054"/>
    <w:rsid w:val="00CE5851"/>
    <w:rsid w:val="012E138C"/>
    <w:rsid w:val="031567A2"/>
    <w:rsid w:val="04513203"/>
    <w:rsid w:val="045557E3"/>
    <w:rsid w:val="04824DB4"/>
    <w:rsid w:val="04887A66"/>
    <w:rsid w:val="065A5A19"/>
    <w:rsid w:val="06D33870"/>
    <w:rsid w:val="076C4208"/>
    <w:rsid w:val="076C74BF"/>
    <w:rsid w:val="07D548E9"/>
    <w:rsid w:val="08D457C1"/>
    <w:rsid w:val="093D3223"/>
    <w:rsid w:val="0A790B64"/>
    <w:rsid w:val="0ACB3C87"/>
    <w:rsid w:val="0BBD13F0"/>
    <w:rsid w:val="0C147A06"/>
    <w:rsid w:val="0CEC4D11"/>
    <w:rsid w:val="0D6C40D7"/>
    <w:rsid w:val="0D7F51EF"/>
    <w:rsid w:val="0D894BED"/>
    <w:rsid w:val="0FA24F01"/>
    <w:rsid w:val="11794772"/>
    <w:rsid w:val="142C45C0"/>
    <w:rsid w:val="15235D67"/>
    <w:rsid w:val="156744DD"/>
    <w:rsid w:val="168B2846"/>
    <w:rsid w:val="16D50F3F"/>
    <w:rsid w:val="172333C1"/>
    <w:rsid w:val="1764012E"/>
    <w:rsid w:val="17E94CA2"/>
    <w:rsid w:val="18856828"/>
    <w:rsid w:val="1A99539B"/>
    <w:rsid w:val="1AB64489"/>
    <w:rsid w:val="1B0C4116"/>
    <w:rsid w:val="1B481CDF"/>
    <w:rsid w:val="1EDC463C"/>
    <w:rsid w:val="1F054937"/>
    <w:rsid w:val="1FC63AB3"/>
    <w:rsid w:val="21445E5F"/>
    <w:rsid w:val="230B2D94"/>
    <w:rsid w:val="25130A71"/>
    <w:rsid w:val="259911AC"/>
    <w:rsid w:val="265E0E77"/>
    <w:rsid w:val="26A37EF2"/>
    <w:rsid w:val="26E871E1"/>
    <w:rsid w:val="26F66586"/>
    <w:rsid w:val="278D3090"/>
    <w:rsid w:val="27B24992"/>
    <w:rsid w:val="27EF21B9"/>
    <w:rsid w:val="281F026C"/>
    <w:rsid w:val="288E35AB"/>
    <w:rsid w:val="2A833633"/>
    <w:rsid w:val="2D0E4090"/>
    <w:rsid w:val="2D3C71CA"/>
    <w:rsid w:val="2F81474F"/>
    <w:rsid w:val="2FED29FE"/>
    <w:rsid w:val="337D4D04"/>
    <w:rsid w:val="346D235F"/>
    <w:rsid w:val="34A95B0F"/>
    <w:rsid w:val="36286772"/>
    <w:rsid w:val="366D23E9"/>
    <w:rsid w:val="371E68A4"/>
    <w:rsid w:val="375F4B2E"/>
    <w:rsid w:val="38DD457D"/>
    <w:rsid w:val="3AA76C60"/>
    <w:rsid w:val="3EF42AC2"/>
    <w:rsid w:val="3EFC661B"/>
    <w:rsid w:val="40EE3EE5"/>
    <w:rsid w:val="42042393"/>
    <w:rsid w:val="431B4CAB"/>
    <w:rsid w:val="43684AC1"/>
    <w:rsid w:val="458E1ABF"/>
    <w:rsid w:val="465767C7"/>
    <w:rsid w:val="46676191"/>
    <w:rsid w:val="4776243E"/>
    <w:rsid w:val="4834555C"/>
    <w:rsid w:val="48A00AFD"/>
    <w:rsid w:val="48BA46F6"/>
    <w:rsid w:val="4A52149E"/>
    <w:rsid w:val="4AA173B4"/>
    <w:rsid w:val="4BC35A56"/>
    <w:rsid w:val="4C8B4D87"/>
    <w:rsid w:val="4E772F0B"/>
    <w:rsid w:val="4F5E3B4E"/>
    <w:rsid w:val="503F4AD4"/>
    <w:rsid w:val="50AB3567"/>
    <w:rsid w:val="50FA702B"/>
    <w:rsid w:val="526D4335"/>
    <w:rsid w:val="53226CDE"/>
    <w:rsid w:val="53754134"/>
    <w:rsid w:val="54A74439"/>
    <w:rsid w:val="58A8642C"/>
    <w:rsid w:val="58D14262"/>
    <w:rsid w:val="590D7D4B"/>
    <w:rsid w:val="5A4B5B6F"/>
    <w:rsid w:val="5B4C2A56"/>
    <w:rsid w:val="5CB33EC2"/>
    <w:rsid w:val="5D740A24"/>
    <w:rsid w:val="5EBC3A27"/>
    <w:rsid w:val="61962BFA"/>
    <w:rsid w:val="61F730E4"/>
    <w:rsid w:val="629174A4"/>
    <w:rsid w:val="62C04850"/>
    <w:rsid w:val="65FB011C"/>
    <w:rsid w:val="67426D7F"/>
    <w:rsid w:val="685B09D0"/>
    <w:rsid w:val="68802085"/>
    <w:rsid w:val="6A143B1E"/>
    <w:rsid w:val="6ACA7EE2"/>
    <w:rsid w:val="6B0A20DA"/>
    <w:rsid w:val="6C507FC1"/>
    <w:rsid w:val="6C7E44C5"/>
    <w:rsid w:val="6E3B25AB"/>
    <w:rsid w:val="6E6FDF30"/>
    <w:rsid w:val="70A43DF5"/>
    <w:rsid w:val="71433CAC"/>
    <w:rsid w:val="716B62C1"/>
    <w:rsid w:val="71DF51E4"/>
    <w:rsid w:val="72D64088"/>
    <w:rsid w:val="747A394C"/>
    <w:rsid w:val="74853EB9"/>
    <w:rsid w:val="754414FE"/>
    <w:rsid w:val="761633F0"/>
    <w:rsid w:val="76880918"/>
    <w:rsid w:val="77A87779"/>
    <w:rsid w:val="77C11D73"/>
    <w:rsid w:val="79517126"/>
    <w:rsid w:val="7A075F62"/>
    <w:rsid w:val="7AED3C3B"/>
    <w:rsid w:val="7BE64987"/>
    <w:rsid w:val="7D457F82"/>
    <w:rsid w:val="7F2652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3"/>
    <w:next w:val="1"/>
    <w:qFormat/>
    <w:uiPriority w:val="0"/>
    <w:pPr>
      <w:keepNext/>
      <w:keepLines/>
      <w:widowControl w:val="0"/>
      <w:spacing w:before="260" w:after="260" w:line="416" w:lineRule="auto"/>
      <w:jc w:val="both"/>
      <w:outlineLvl w:val="2"/>
    </w:pPr>
    <w:rPr>
      <w:rFonts w:ascii="Times New Roman" w:hAnsi="Times New Roman" w:eastAsia="宋体" w:cs="Times New Roman"/>
      <w:b/>
      <w:bCs/>
      <w:kern w:val="2"/>
      <w:sz w:val="32"/>
      <w:szCs w:val="32"/>
      <w:lang w:val="en-US" w:eastAsia="zh-CN" w:bidi="ar-SA"/>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3">
    <w:name w:val="Normal Indent"/>
    <w:next w:val="1"/>
    <w:qFormat/>
    <w:uiPriority w:val="0"/>
    <w:pPr>
      <w:widowControl w:val="0"/>
      <w:ind w:firstLine="420" w:firstLineChars="200"/>
      <w:jc w:val="both"/>
    </w:pPr>
    <w:rPr>
      <w:rFonts w:ascii="Times New Roman" w:hAnsi="Times New Roman" w:eastAsia="宋体" w:cs="Times New Roman"/>
      <w:kern w:val="2"/>
      <w:sz w:val="21"/>
      <w:szCs w:val="24"/>
      <w:lang w:val="en-US" w:eastAsia="zh-CN" w:bidi="ar-SA"/>
    </w:rPr>
  </w:style>
  <w:style w:type="paragraph" w:styleId="4">
    <w:name w:val="annotation text"/>
    <w:basedOn w:val="1"/>
    <w:qFormat/>
    <w:uiPriority w:val="0"/>
    <w:pPr>
      <w:jc w:val="left"/>
    </w:pPr>
  </w:style>
  <w:style w:type="paragraph" w:styleId="5">
    <w:name w:val="Body Text"/>
    <w:unhideWhenUsed/>
    <w:qFormat/>
    <w:uiPriority w:val="0"/>
    <w:pPr>
      <w:widowControl w:val="0"/>
      <w:spacing w:after="120"/>
      <w:jc w:val="both"/>
    </w:pPr>
    <w:rPr>
      <w:rFonts w:ascii="Times New Roman" w:hAnsi="Times New Roman" w:eastAsiaTheme="minorEastAsia" w:cstheme="minorBidi"/>
      <w:kern w:val="2"/>
      <w:sz w:val="21"/>
      <w:szCs w:val="24"/>
      <w:lang w:val="en-US" w:eastAsia="zh-CN" w:bidi="ar-SA"/>
    </w:rPr>
  </w:style>
  <w:style w:type="paragraph" w:styleId="6">
    <w:name w:val="Block Text"/>
    <w:qFormat/>
    <w:uiPriority w:val="0"/>
    <w:pPr>
      <w:widowControl w:val="0"/>
      <w:snapToGrid w:val="0"/>
      <w:spacing w:line="420" w:lineRule="exact"/>
      <w:ind w:left="101" w:leftChars="48" w:right="149" w:rightChars="71" w:firstLine="426" w:firstLineChars="203"/>
      <w:jc w:val="both"/>
    </w:pPr>
    <w:rPr>
      <w:rFonts w:ascii="Times New Roman" w:hAnsi="Times New Roman" w:eastAsia="宋体" w:cs="Times New Roman"/>
      <w:kern w:val="2"/>
      <w:sz w:val="21"/>
      <w:szCs w:val="24"/>
      <w:lang w:val="en-US" w:eastAsia="zh-CN" w:bidi="ar-SA"/>
    </w:rPr>
  </w:style>
  <w:style w:type="paragraph" w:styleId="7">
    <w:name w:val="Plain Text"/>
    <w:basedOn w:val="1"/>
    <w:next w:val="1"/>
    <w:qFormat/>
    <w:uiPriority w:val="0"/>
    <w:pPr>
      <w:widowControl w:val="0"/>
      <w:spacing w:line="420" w:lineRule="exact"/>
      <w:ind w:firstLine="200" w:firstLineChars="200"/>
      <w:jc w:val="both"/>
    </w:pPr>
    <w:rPr>
      <w:rFonts w:ascii="宋体" w:hAnsi="Courier New" w:eastAsia="宋体" w:cs="Courier New"/>
      <w:kern w:val="2"/>
      <w:sz w:val="21"/>
      <w:szCs w:val="21"/>
      <w:lang w:val="en-US" w:eastAsia="zh-CN" w:bidi="ar-SA"/>
    </w:rPr>
  </w:style>
  <w:style w:type="paragraph" w:styleId="8">
    <w:name w:val="footer"/>
    <w:qFormat/>
    <w:uiPriority w:val="99"/>
    <w:pPr>
      <w:widowControl w:val="0"/>
      <w:tabs>
        <w:tab w:val="center" w:pos="4153"/>
        <w:tab w:val="right" w:pos="8306"/>
      </w:tabs>
      <w:snapToGrid w:val="0"/>
    </w:pPr>
    <w:rPr>
      <w:rFonts w:ascii="Times New Roman" w:hAnsi="Times New Roman" w:eastAsia="宋体" w:cs="Times New Roman"/>
      <w:kern w:val="2"/>
      <w:sz w:val="18"/>
      <w:szCs w:val="18"/>
      <w:lang w:val="en-US" w:eastAsia="zh-CN" w:bidi="ar-SA"/>
    </w:rPr>
  </w:style>
  <w:style w:type="paragraph" w:styleId="9">
    <w:name w:val="Normal (Web)"/>
    <w:qFormat/>
    <w:uiPriority w:val="0"/>
    <w:pPr>
      <w:spacing w:before="100" w:beforeAutospacing="1" w:after="100" w:afterAutospacing="1"/>
    </w:pPr>
    <w:rPr>
      <w:rFonts w:ascii="宋体" w:hAnsi="宋体" w:eastAsia="宋体" w:cs="Times New Roman"/>
      <w:sz w:val="24"/>
      <w:szCs w:val="24"/>
      <w:lang w:val="en-US" w:eastAsia="zh-CN" w:bidi="ar-SA"/>
    </w:rPr>
  </w:style>
  <w:style w:type="table" w:styleId="11">
    <w:name w:val="Table Grid"/>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
  </w:style>
  <w:style w:type="character" w:styleId="13">
    <w:name w:val="Strong"/>
    <w:basedOn w:val="12"/>
    <w:qFormat/>
    <w:uiPriority w:val="0"/>
    <w:rPr>
      <w:b/>
    </w:rPr>
  </w:style>
  <w:style w:type="character" w:styleId="14">
    <w:name w:val="page number"/>
    <w:qFormat/>
    <w:uiPriority w:val="0"/>
  </w:style>
  <w:style w:type="character" w:styleId="15">
    <w:name w:val="annotation reference"/>
    <w:qFormat/>
    <w:uiPriority w:val="0"/>
    <w:rPr>
      <w:sz w:val="21"/>
      <w:szCs w:val="21"/>
    </w:rPr>
  </w:style>
  <w:style w:type="paragraph" w:customStyle="1" w:styleId="16">
    <w:name w:val="样式3"/>
    <w:basedOn w:val="1"/>
    <w:qFormat/>
    <w:uiPriority w:val="0"/>
    <w:pPr>
      <w:widowControl/>
      <w:ind w:left="-157" w:leftChars="-75" w:right="-157" w:rightChars="-75"/>
      <w:jc w:val="center"/>
    </w:pPr>
    <w:rPr>
      <w:rFonts w:hint="eastAsia" w:ascii="Times New Roman" w:hAnsi="Times New Roman" w:cs="Times New Roman" w:eastAsiaTheme="minorEastAsia"/>
      <w:kern w:val="0"/>
      <w:szCs w:val="21"/>
    </w:rPr>
  </w:style>
  <w:style w:type="paragraph" w:customStyle="1" w:styleId="17">
    <w:name w:val="样式2"/>
    <w:basedOn w:val="1"/>
    <w:qFormat/>
    <w:uiPriority w:val="0"/>
    <w:pPr>
      <w:spacing w:line="400" w:lineRule="exact"/>
      <w:ind w:left="-157" w:leftChars="-75" w:right="-157" w:rightChars="-75" w:firstLine="200" w:firstLineChars="200"/>
    </w:pPr>
    <w:rPr>
      <w:rFonts w:ascii="Times New Roman" w:hAnsi="Times New Roman" w:eastAsia="宋体" w:cs="Times New Roman"/>
      <w:sz w:val="24"/>
    </w:rPr>
  </w:style>
  <w:style w:type="paragraph" w:customStyle="1" w:styleId="18">
    <w:name w:val="样式6"/>
    <w:basedOn w:val="1"/>
    <w:qFormat/>
    <w:uiPriority w:val="0"/>
    <w:pPr>
      <w:ind w:left="-210" w:leftChars="-100" w:right="-210" w:rightChars="-100"/>
      <w:jc w:val="center"/>
    </w:pPr>
    <w:rPr>
      <w:rFonts w:ascii="Times New Roman" w:hAnsi="Times New Roman" w:eastAsia="宋体" w:cs="Times New Roman"/>
    </w:rPr>
  </w:style>
  <w:style w:type="paragraph" w:customStyle="1" w:styleId="19">
    <w:name w:val="样式7"/>
    <w:basedOn w:val="1"/>
    <w:qFormat/>
    <w:uiPriority w:val="0"/>
    <w:pPr>
      <w:topLinePunct/>
      <w:adjustRightInd w:val="0"/>
      <w:snapToGrid w:val="0"/>
      <w:ind w:left="-105" w:leftChars="-50" w:right="-105" w:rightChars="-50"/>
      <w:jc w:val="center"/>
    </w:pPr>
    <w:rPr>
      <w:rFonts w:hint="eastAsia" w:ascii="Times New Roman" w:hAnsi="Times New Roman" w:eastAsia="宋体" w:cs="Times New Roman"/>
      <w:color w:val="000000" w:themeColor="text1"/>
      <w:szCs w:val="21"/>
      <w14:textFill>
        <w14:solidFill>
          <w14:schemeClr w14:val="tx1"/>
        </w14:solidFill>
      </w14:textFill>
    </w:rPr>
  </w:style>
  <w:style w:type="paragraph" w:customStyle="1" w:styleId="20">
    <w:name w:val="胡-表格标题"/>
    <w:qFormat/>
    <w:uiPriority w:val="0"/>
    <w:pPr>
      <w:widowControl w:val="0"/>
      <w:snapToGrid w:val="0"/>
      <w:spacing w:line="420" w:lineRule="exact"/>
      <w:ind w:firstLine="200" w:firstLineChars="200"/>
      <w:jc w:val="center"/>
    </w:pPr>
    <w:rPr>
      <w:rFonts w:ascii="Times New Roman" w:hAnsi="Times New Roman" w:eastAsia="黑体" w:cs="Times New Roman"/>
      <w:bCs/>
      <w:kern w:val="2"/>
      <w:sz w:val="21"/>
      <w:szCs w:val="21"/>
      <w:lang w:val="en-US" w:eastAsia="zh-CN" w:bidi="ar-SA"/>
    </w:rPr>
  </w:style>
  <w:style w:type="paragraph" w:customStyle="1" w:styleId="21">
    <w:name w:val="Default"/>
    <w:next w:val="7"/>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2">
    <w:name w:val="表格"/>
    <w:next w:val="1"/>
    <w:qFormat/>
    <w:uiPriority w:val="0"/>
    <w:pPr>
      <w:widowControl w:val="0"/>
      <w:adjustRightInd w:val="0"/>
      <w:snapToGrid w:val="0"/>
      <w:spacing w:beforeLines="10" w:afterLines="10" w:line="259" w:lineRule="auto"/>
      <w:jc w:val="center"/>
    </w:pPr>
    <w:rPr>
      <w:rFonts w:ascii="宋体" w:hAnsi="Times New Roman" w:eastAsia="宋体" w:cs="Times New Roman"/>
      <w:szCs w:val="21"/>
      <w:lang w:val="en-US" w:eastAsia="zh-CN" w:bidi="ar-SA"/>
    </w:rPr>
  </w:style>
  <w:style w:type="paragraph" w:customStyle="1" w:styleId="23">
    <w:name w:val="胡-正文"/>
    <w:qFormat/>
    <w:uiPriority w:val="0"/>
    <w:pPr>
      <w:widowControl w:val="0"/>
      <w:autoSpaceDE w:val="0"/>
      <w:autoSpaceDN w:val="0"/>
      <w:adjustRightInd w:val="0"/>
      <w:snapToGrid w:val="0"/>
      <w:spacing w:line="360" w:lineRule="auto"/>
      <w:ind w:firstLine="480" w:firstLineChars="200"/>
      <w:jc w:val="both"/>
    </w:pPr>
    <w:rPr>
      <w:rFonts w:ascii="Times New Roman" w:hAnsi="Times New Roman" w:eastAsia="宋体" w:cs="Times New Roman"/>
      <w:sz w:val="24"/>
      <w:szCs w:val="21"/>
      <w:lang w:val="en-US" w:eastAsia="zh-CN" w:bidi="ar-SA"/>
    </w:rPr>
  </w:style>
  <w:style w:type="paragraph" w:customStyle="1" w:styleId="24">
    <w:name w:val="表格文字"/>
    <w:next w:val="1"/>
    <w:qFormat/>
    <w:uiPriority w:val="0"/>
    <w:pPr>
      <w:widowControl w:val="0"/>
      <w:adjustRightInd w:val="0"/>
      <w:spacing w:line="280" w:lineRule="exact"/>
      <w:ind w:right="-102" w:hanging="91"/>
      <w:jc w:val="center"/>
      <w:textAlignment w:val="baseline"/>
    </w:pPr>
    <w:rPr>
      <w:rFonts w:ascii="Times New Roman" w:hAnsi="Times New Roman" w:eastAsia="宋体" w:cs="Times New Roman"/>
      <w:b/>
      <w:kern w:val="2"/>
      <w:sz w:val="21"/>
      <w:szCs w:val="21"/>
      <w:lang w:val="en-US" w:eastAsia="zh-CN" w:bidi="ar-SA"/>
    </w:rPr>
  </w:style>
  <w:style w:type="paragraph" w:customStyle="1" w:styleId="25">
    <w:name w:val="表图标题"/>
    <w:qFormat/>
    <w:uiPriority w:val="0"/>
    <w:pPr>
      <w:widowControl w:val="0"/>
      <w:adjustRightInd w:val="0"/>
      <w:snapToGrid w:val="0"/>
      <w:jc w:val="center"/>
    </w:pPr>
    <w:rPr>
      <w:rFonts w:ascii="Times New Roman" w:hAnsi="Times New Roman" w:eastAsia="仿宋_GB2312" w:cs="Times New Roman"/>
      <w:b/>
      <w:snapToGrid w:val="0"/>
      <w:sz w:val="24"/>
      <w:szCs w:val="24"/>
      <w:lang w:val="en-US" w:eastAsia="zh-CN" w:bidi="ar-SA"/>
    </w:rPr>
  </w:style>
  <w:style w:type="paragraph" w:customStyle="1" w:styleId="26">
    <w:name w:val="表格标题"/>
    <w:qFormat/>
    <w:uiPriority w:val="0"/>
    <w:pPr>
      <w:widowControl w:val="0"/>
      <w:adjustRightInd w:val="0"/>
      <w:snapToGrid w:val="0"/>
      <w:spacing w:before="360" w:line="300" w:lineRule="exact"/>
      <w:jc w:val="center"/>
    </w:pPr>
    <w:rPr>
      <w:rFonts w:ascii="Calibri" w:hAnsi="Calibri" w:eastAsia="黑体" w:cs="Times New Roman"/>
      <w:kern w:val="2"/>
      <w:sz w:val="28"/>
      <w:szCs w:val="24"/>
      <w:lang w:val="en-US" w:eastAsia="zh-CN" w:bidi="ar-SA"/>
    </w:rPr>
  </w:style>
  <w:style w:type="paragraph" w:customStyle="1" w:styleId="27">
    <w:name w:val="纯文本2"/>
    <w:unhideWhenUsed/>
    <w:qFormat/>
    <w:uiPriority w:val="0"/>
    <w:pPr>
      <w:widowControl w:val="0"/>
      <w:jc w:val="both"/>
    </w:pPr>
    <w:rPr>
      <w:rFonts w:hint="default" w:ascii="宋体" w:hAnsi="Courier New" w:eastAsia="宋体" w:cs="Times New Roman"/>
      <w:b/>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5.wmf"/><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78</Pages>
  <Words>45180</Words>
  <Characters>49835</Characters>
  <Lines>0</Lines>
  <Paragraphs>0</Paragraphs>
  <TotalTime>16</TotalTime>
  <ScaleCrop>false</ScaleCrop>
  <LinksUpToDate>false</LinksUpToDate>
  <CharactersWithSpaces>50171</CharactersWithSpaces>
  <Application>WPS Office_12.8.2.20327_F1E327BC-269C-435d-A152-05C5408002CA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2026-01-04T09:19:00Z</dcterms:created>
  <dc:creator>WPS_1640700486</dc:creator>
  <cp:lastModifiedBy>user</cp:lastModifiedBy>
  <dcterms:modified xsi:type="dcterms:W3CDTF">2026-01-14T13:02:41Z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2052-12.8.2.20327</vt:lpwstr>
  </property>
  <property fmtid="{D5CDD505-2E9C-101B-9397-08002B2CF9AE}" pid="3" name="ICV">
    <vt:lpwstr>075BA73213DBE36F7123676996882BD3_43</vt:lpwstr>
  </property>
  <property fmtid="{D5CDD505-2E9C-101B-9397-08002B2CF9AE}" pid="4" name="KSOTemplateDocerSaveRecord">
    <vt:lpwstr>eyJoZGlkIjoiMTc5YzIyZjM4ODQwMWQ4ZTQ4Y2ZmODE2YzczMGZhYmQiLCJ1c2VySWQiOiIxMzA2NzQ2OTc4In0=</vt:lpwstr>
  </property>
</Properties>
</file>