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AF711E">
      <w:pPr>
        <w:keepNext w:val="0"/>
        <w:keepLines w:val="0"/>
        <w:pageBreakBefore w:val="0"/>
        <w:widowControl w:val="0"/>
        <w:kinsoku/>
        <w:wordWrap/>
        <w:overflowPunct/>
        <w:topLinePunct w:val="0"/>
        <w:autoSpaceDE/>
        <w:autoSpaceDN/>
        <w:bidi w:val="0"/>
        <w:adjustRightInd/>
        <w:snapToGrid/>
        <w:spacing w:line="2000" w:lineRule="exact"/>
        <w:ind w:firstLine="0" w:firstLineChars="0"/>
        <w:jc w:val="center"/>
        <w:textAlignment w:val="auto"/>
        <w:rPr>
          <w:rFonts w:hint="eastAsia" w:ascii="方正仿宋_GB2312" w:hAnsi="方正仿宋_GB2312" w:eastAsia="方正仿宋_GB2312" w:cs="方正仿宋_GB2312"/>
          <w:color w:val="auto"/>
          <w:kern w:val="2"/>
          <w:sz w:val="22"/>
          <w:szCs w:val="22"/>
          <w:highlight w:val="none"/>
          <w:lang w:val="en-US" w:eastAsia="zh-CN" w:bidi="ar-SA"/>
        </w:rPr>
      </w:pPr>
      <w:r>
        <w:rPr>
          <w:rFonts w:hint="eastAsia" w:ascii="方正仿宋_GB2312" w:hAnsi="方正仿宋_GB2312" w:eastAsia="方正仿宋_GB2312" w:cs="方正仿宋_GB2312"/>
          <w:color w:val="auto"/>
          <w:kern w:val="2"/>
          <w:sz w:val="22"/>
          <w:szCs w:val="22"/>
          <w:highlight w:val="none"/>
          <w:lang w:val="en-US" w:eastAsia="zh-CN" w:bidi="ar-SA"/>
        </w:rPr>
        <w:drawing>
          <wp:anchor distT="0" distB="0" distL="114300" distR="114300" simplePos="0" relativeHeight="251669504" behindDoc="0" locked="0" layoutInCell="1" allowOverlap="1">
            <wp:simplePos x="0" y="0"/>
            <wp:positionH relativeFrom="column">
              <wp:posOffset>-880745</wp:posOffset>
            </wp:positionH>
            <wp:positionV relativeFrom="paragraph">
              <wp:posOffset>-1073150</wp:posOffset>
            </wp:positionV>
            <wp:extent cx="7526655" cy="10668635"/>
            <wp:effectExtent l="0" t="0" r="17145" b="1841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10"/>
                    <a:stretch>
                      <a:fillRect/>
                    </a:stretch>
                  </pic:blipFill>
                  <pic:spPr>
                    <a:xfrm>
                      <a:off x="0" y="0"/>
                      <a:ext cx="7526655" cy="10668635"/>
                    </a:xfrm>
                    <a:prstGeom prst="rect">
                      <a:avLst/>
                    </a:prstGeom>
                  </pic:spPr>
                </pic:pic>
              </a:graphicData>
            </a:graphic>
          </wp:anchor>
        </w:drawing>
      </w:r>
    </w:p>
    <w:p w14:paraId="064EA085">
      <w:pPr>
        <w:pStyle w:val="1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_GBK" w:hAnsi="方正小标宋_GBK" w:eastAsia="方正小标宋_GBK" w:cs="方正小标宋_GBK"/>
          <w:color w:val="auto"/>
          <w:sz w:val="72"/>
          <w:szCs w:val="72"/>
          <w:highlight w:val="none"/>
          <w:lang w:val="en-US" w:eastAsia="zh-CN"/>
        </w:rPr>
      </w:pPr>
      <w:r>
        <w:rPr>
          <w:rFonts w:hint="eastAsia" w:ascii="方正小标宋_GBK" w:hAnsi="方正小标宋_GBK" w:eastAsia="方正小标宋_GBK" w:cs="方正小标宋_GBK"/>
          <w:color w:val="auto"/>
          <w:sz w:val="72"/>
          <w:szCs w:val="72"/>
          <w:highlight w:val="none"/>
          <w:lang w:val="en-US" w:eastAsia="zh-CN"/>
        </w:rPr>
        <w:t>建设项目环境影响报告表</w:t>
      </w:r>
    </w:p>
    <w:p w14:paraId="2152EA84">
      <w:pPr>
        <w:pStyle w:val="1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auto"/>
          <w:sz w:val="48"/>
          <w:szCs w:val="48"/>
          <w:highlight w:val="none"/>
          <w:lang w:val="en-US" w:eastAsia="zh-CN"/>
        </w:rPr>
      </w:pPr>
      <w:r>
        <w:rPr>
          <w:rFonts w:hint="eastAsia" w:ascii="楷体" w:hAnsi="楷体" w:eastAsia="楷体" w:cs="楷体"/>
          <w:color w:val="auto"/>
          <w:sz w:val="48"/>
          <w:szCs w:val="48"/>
          <w:highlight w:val="none"/>
          <w:lang w:val="en-US" w:eastAsia="zh-CN"/>
        </w:rPr>
        <w:t>（污染影响类   报批本）</w:t>
      </w:r>
    </w:p>
    <w:p w14:paraId="26B72AC3">
      <w:pPr>
        <w:pStyle w:val="10"/>
        <w:keepNext w:val="0"/>
        <w:keepLines w:val="0"/>
        <w:pageBreakBefore w:val="0"/>
        <w:widowControl w:val="0"/>
        <w:kinsoku/>
        <w:wordWrap/>
        <w:overflowPunct/>
        <w:topLinePunct w:val="0"/>
        <w:autoSpaceDE/>
        <w:autoSpaceDN/>
        <w:bidi w:val="0"/>
        <w:adjustRightInd/>
        <w:snapToGrid/>
        <w:spacing w:line="7800" w:lineRule="exact"/>
        <w:ind w:firstLine="0" w:firstLineChars="0"/>
        <w:jc w:val="center"/>
        <w:textAlignment w:val="auto"/>
        <w:rPr>
          <w:rFonts w:hint="eastAsia"/>
          <w:color w:val="auto"/>
          <w:highlight w:val="none"/>
          <w:lang w:val="en-US" w:eastAsia="zh-CN"/>
        </w:rPr>
      </w:pPr>
      <w:r>
        <w:rPr>
          <w:color w:val="auto"/>
          <w:highlight w:val="none"/>
          <w:lang w:val="en-US" w:eastAsia="zh-CN"/>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ge">
                  <wp:posOffset>5787390</wp:posOffset>
                </wp:positionV>
                <wp:extent cx="4948555" cy="1897380"/>
                <wp:effectExtent l="0" t="0" r="0" b="0"/>
                <wp:wrapNone/>
                <wp:docPr id="1" name="文本框 1"/>
                <wp:cNvGraphicFramePr/>
                <a:graphic xmlns:a="http://schemas.openxmlformats.org/drawingml/2006/main">
                  <a:graphicData uri="http://schemas.microsoft.com/office/word/2010/wordprocessingShape">
                    <wps:wsp>
                      <wps:cNvSpPr txBox="1"/>
                      <wps:spPr>
                        <a:xfrm>
                          <a:off x="971550" y="6188075"/>
                          <a:ext cx="4948555" cy="1897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9432C7">
                            <w:pPr>
                              <w:pStyle w:val="10"/>
                              <w:keepNext w:val="0"/>
                              <w:keepLines w:val="0"/>
                              <w:pageBreakBefore w:val="0"/>
                              <w:widowControl w:val="0"/>
                              <w:kinsoku/>
                              <w:wordWrap/>
                              <w:overflowPunct/>
                              <w:topLinePunct w:val="0"/>
                              <w:bidi w:val="0"/>
                              <w:adjustRightInd/>
                              <w:snapToGrid/>
                              <w:spacing w:line="560" w:lineRule="exact"/>
                              <w:ind w:left="2160" w:hanging="2160" w:hangingChars="600"/>
                              <w:textAlignment w:val="auto"/>
                              <w:rPr>
                                <w:rFonts w:hint="default" w:ascii="仿宋" w:hAnsi="仿宋" w:eastAsia="仿宋" w:cs="仿宋"/>
                                <w:sz w:val="36"/>
                                <w:szCs w:val="36"/>
                                <w:u w:val="single"/>
                                <w:lang w:val="en-US" w:eastAsia="zh-CN"/>
                              </w:rPr>
                            </w:pPr>
                            <w:r>
                              <w:rPr>
                                <w:rFonts w:hint="eastAsia" w:ascii="仿宋" w:hAnsi="仿宋" w:eastAsia="仿宋" w:cs="仿宋"/>
                                <w:sz w:val="36"/>
                                <w:szCs w:val="36"/>
                              </w:rPr>
                              <w:t>项目名称：</w:t>
                            </w:r>
                            <w:r>
                              <w:rPr>
                                <w:rFonts w:hint="eastAsia" w:ascii="仿宋" w:hAnsi="仿宋" w:eastAsia="仿宋" w:cs="仿宋"/>
                                <w:sz w:val="36"/>
                                <w:szCs w:val="36"/>
                                <w:u w:val="single"/>
                                <w:lang w:val="en-US" w:eastAsia="zh-CN"/>
                              </w:rPr>
                              <w:t xml:space="preserve"> 山西鑫隆源工贸有限公司装配式建   </w:t>
                            </w:r>
                          </w:p>
                          <w:p w14:paraId="34239A0E">
                            <w:pPr>
                              <w:pStyle w:val="10"/>
                              <w:keepNext w:val="0"/>
                              <w:keepLines w:val="0"/>
                              <w:pageBreakBefore w:val="0"/>
                              <w:widowControl w:val="0"/>
                              <w:kinsoku/>
                              <w:wordWrap/>
                              <w:overflowPunct/>
                              <w:topLinePunct w:val="0"/>
                              <w:bidi w:val="0"/>
                              <w:adjustRightInd/>
                              <w:snapToGrid/>
                              <w:spacing w:line="560" w:lineRule="exact"/>
                              <w:ind w:left="2040" w:leftChars="700" w:hanging="360" w:hangingChars="100"/>
                              <w:textAlignment w:val="auto"/>
                              <w:rPr>
                                <w:rFonts w:hint="default" w:ascii="仿宋" w:hAnsi="仿宋" w:eastAsia="仿宋" w:cs="仿宋"/>
                                <w:color w:val="auto"/>
                                <w:sz w:val="36"/>
                                <w:szCs w:val="36"/>
                                <w:u w:val="single"/>
                                <w:lang w:val="en-US" w:eastAsia="zh-CN"/>
                              </w:rPr>
                            </w:pPr>
                            <w:r>
                              <w:rPr>
                                <w:rFonts w:hint="eastAsia" w:ascii="仿宋" w:hAnsi="仿宋" w:eastAsia="仿宋" w:cs="仿宋"/>
                                <w:sz w:val="36"/>
                                <w:szCs w:val="36"/>
                                <w:u w:val="single"/>
                                <w:lang w:val="en-US" w:eastAsia="zh-CN"/>
                              </w:rPr>
                              <w:t xml:space="preserve">             设项目                        </w:t>
                            </w:r>
                            <w:r>
                              <w:rPr>
                                <w:rFonts w:hint="eastAsia" w:ascii="仿宋" w:hAnsi="仿宋" w:eastAsia="仿宋" w:cs="仿宋"/>
                                <w:color w:val="auto"/>
                                <w:sz w:val="36"/>
                                <w:szCs w:val="36"/>
                                <w:u w:val="single"/>
                                <w:lang w:val="en-US" w:eastAsia="zh-CN"/>
                              </w:rPr>
                              <w:t xml:space="preserve">  </w:t>
                            </w:r>
                          </w:p>
                          <w:p w14:paraId="19DD4A9A">
                            <w:pPr>
                              <w:pStyle w:val="10"/>
                              <w:keepNext w:val="0"/>
                              <w:keepLines w:val="0"/>
                              <w:pageBreakBefore w:val="0"/>
                              <w:widowControl w:val="0"/>
                              <w:kinsoku/>
                              <w:wordWrap/>
                              <w:overflowPunct/>
                              <w:topLinePunct w:val="0"/>
                              <w:bidi w:val="0"/>
                              <w:adjustRightInd/>
                              <w:snapToGrid/>
                              <w:spacing w:line="560" w:lineRule="exact"/>
                              <w:ind w:firstLine="0" w:firstLineChars="0"/>
                              <w:textAlignment w:val="auto"/>
                              <w:rPr>
                                <w:rFonts w:hint="default" w:ascii="仿宋" w:hAnsi="仿宋" w:eastAsia="仿宋" w:cs="仿宋"/>
                                <w:sz w:val="36"/>
                                <w:szCs w:val="36"/>
                                <w:lang w:val="en-US" w:eastAsia="zh-CN"/>
                              </w:rPr>
                            </w:pPr>
                            <w:r>
                              <w:rPr>
                                <w:rFonts w:hint="eastAsia" w:ascii="仿宋" w:hAnsi="仿宋" w:eastAsia="仿宋" w:cs="仿宋"/>
                                <w:sz w:val="36"/>
                                <w:szCs w:val="36"/>
                              </w:rPr>
                              <w:t>建设单位（盖章）：</w:t>
                            </w:r>
                            <w:r>
                              <w:rPr>
                                <w:rFonts w:hint="eastAsia" w:ascii="仿宋" w:hAnsi="仿宋" w:eastAsia="仿宋" w:cs="仿宋"/>
                                <w:sz w:val="36"/>
                                <w:szCs w:val="36"/>
                                <w:u w:val="single"/>
                                <w:lang w:val="en-US" w:eastAsia="zh-CN"/>
                              </w:rPr>
                              <w:t xml:space="preserve"> 山西鑫隆源工贸有限公司  </w:t>
                            </w:r>
                          </w:p>
                          <w:p w14:paraId="041D4AD2">
                            <w:pPr>
                              <w:pStyle w:val="10"/>
                              <w:keepNext w:val="0"/>
                              <w:keepLines w:val="0"/>
                              <w:pageBreakBefore w:val="0"/>
                              <w:widowControl w:val="0"/>
                              <w:kinsoku/>
                              <w:wordWrap/>
                              <w:overflowPunct/>
                              <w:topLinePunct w:val="0"/>
                              <w:bidi w:val="0"/>
                              <w:adjustRightInd/>
                              <w:snapToGrid/>
                              <w:spacing w:line="560" w:lineRule="exact"/>
                              <w:ind w:firstLine="0" w:firstLineChars="0"/>
                              <w:textAlignment w:val="auto"/>
                              <w:rPr>
                                <w:rFonts w:hint="eastAsia" w:ascii="仿宋" w:hAnsi="仿宋" w:eastAsia="仿宋" w:cs="仿宋"/>
                                <w:sz w:val="36"/>
                                <w:szCs w:val="36"/>
                                <w:u w:val="single"/>
                              </w:rPr>
                            </w:pPr>
                            <w:r>
                              <w:rPr>
                                <w:rFonts w:hint="eastAsia" w:ascii="仿宋" w:hAnsi="仿宋" w:eastAsia="仿宋" w:cs="仿宋"/>
                                <w:sz w:val="36"/>
                                <w:szCs w:val="36"/>
                              </w:rPr>
                              <w:t>编制日期：</w:t>
                            </w:r>
                            <w:r>
                              <w:rPr>
                                <w:rFonts w:hint="eastAsia" w:ascii="仿宋" w:hAnsi="仿宋" w:eastAsia="仿宋" w:cs="仿宋"/>
                                <w:sz w:val="36"/>
                                <w:szCs w:val="36"/>
                                <w:u w:val="single"/>
                                <w:lang w:val="en-US" w:eastAsia="zh-CN"/>
                              </w:rPr>
                              <w:t xml:space="preserve">           2026年7月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55pt;margin-top:455.7pt;height:149.4pt;width:389.65pt;mso-position-vertical-relative:page;z-index:251659264;mso-width-relative:page;mso-height-relative:page;" filled="f" stroked="f" coordsize="21600,21600" o:gfxdata="UEsDBAoAAAAAAIdO4kAAAAAAAAAAAAAAAAAEAAAAZHJzL1BLAwQUAAAACACHTuJAqVFEtNsAAAAL&#10;AQAADwAAAGRycy9kb3ducmV2LnhtbE2PTUvEMBCG74L/IYzgzU1St1Jr00UKiyB62HUv3tIm2xaT&#10;SW2yH/rrHU96m2Ee3nneanX2jh3tHMeACuRCALPYBTNir2D3tr4pgMWk0WgX0Cr4shFW9eVFpUsT&#10;Trixx23qGYVgLLWCIaWp5Dx2g/U6LsJkkW77MHudaJ17bmZ9onDveCbEHfd6RPow6Mk2g+0+tgev&#10;4LlZv+pNm/ni2zVPL/vH6XP3nit1fSXFA7Bkz+kPhl99UoeanNpwQBOZU5DnkkgF91IugRFQ3C5p&#10;aInMpMiA1xX/36H+AVBLAwQUAAAACACHTuJAIctdd00CAACABAAADgAAAGRycy9lMm9Eb2MueG1s&#10;rVRLbtswEN0X6B0I7htZiRV/EDlwE6QoEDQB0qJrmqIiAfyVpCOlB2hvkFU33fdcPkcfKeXTtIss&#10;uqFnOOM3894MdXTcK0luhPOt0SXN9yaUCM1N1errkn76ePZmTokPTFdMGi1Keis8PV69fnXU2aXY&#10;N42RlXAEINovO1vSJgS7zDLPG6GY3zNWaARr4xQLcN11VjnWAV3JbH8yOcw64yrrDBfe4/Z0CNIR&#10;0b0E0NR1y8Wp4VsldBhQnZAsgJJvWuvpKnVb14KHi7r2IhBZUjAN6UQR2Jt4Zqsjtrx2zDYtH1tg&#10;L2nhGSfFWo2iD1CnLDCyde1fUKrlznhThz1uVDYQSYqART55ps1Vw6xIXCC1tw+i+/8Hyz/cXDrS&#10;VtgESjRTGPju7vvux6/dz28kj/J01i+RdWWRF/q3po+p473HZWTd107FX/AhiC9meVFA4duSHubz&#10;+WRWDDqLPhCO+HQxnRdFQQlHRj5fzA7maRLZI5J1PrwTRpFolNRhkElfdnPuA6oj9T4lFtbmrJUy&#10;DVNq0qHuARr4I4J/SB1vRFqLESayG1hEK/SbfqS2MdUtGDszrIy3/KxFK+fMh0vmsCPgh1cULnDU&#10;0qCkGS1KGuO+/us+5mN0iFLSYedK6r9smROUyPcaQ13k02lc0uRMi9k+HPc0snka0Vt1YrDWGBy6&#10;S2bMD/LerJ1Rn/HY1rEqQkxz1C5puDdPwvAS8Fi5WK9TEtbSsnCuryyP0IOE620wdZt0jzIN2mAI&#10;0cFipnGMjyhu/lM/ZT1+OF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KlRRLTbAAAACwEAAA8A&#10;AAAAAAAAAQAgAAAAIgAAAGRycy9kb3ducmV2LnhtbFBLAQIUABQAAAAIAIdO4kAhy113TQIAAIAE&#10;AAAOAAAAAAAAAAEAIAAAACoBAABkcnMvZTJvRG9jLnhtbFBLBQYAAAAABgAGAFkBAADpBQAAAAA=&#10;">
                <v:fill on="f" focussize="0,0"/>
                <v:stroke on="f" weight="0.5pt"/>
                <v:imagedata o:title=""/>
                <o:lock v:ext="edit" aspectratio="f"/>
                <v:textbox>
                  <w:txbxContent>
                    <w:p w14:paraId="069432C7">
                      <w:pPr>
                        <w:pStyle w:val="10"/>
                        <w:keepNext w:val="0"/>
                        <w:keepLines w:val="0"/>
                        <w:pageBreakBefore w:val="0"/>
                        <w:widowControl w:val="0"/>
                        <w:kinsoku/>
                        <w:wordWrap/>
                        <w:overflowPunct/>
                        <w:topLinePunct w:val="0"/>
                        <w:bidi w:val="0"/>
                        <w:adjustRightInd/>
                        <w:snapToGrid/>
                        <w:spacing w:line="560" w:lineRule="exact"/>
                        <w:ind w:left="2160" w:hanging="2160" w:hangingChars="600"/>
                        <w:textAlignment w:val="auto"/>
                        <w:rPr>
                          <w:rFonts w:hint="default" w:ascii="仿宋" w:hAnsi="仿宋" w:eastAsia="仿宋" w:cs="仿宋"/>
                          <w:sz w:val="36"/>
                          <w:szCs w:val="36"/>
                          <w:u w:val="single"/>
                          <w:lang w:val="en-US" w:eastAsia="zh-CN"/>
                        </w:rPr>
                      </w:pPr>
                      <w:r>
                        <w:rPr>
                          <w:rFonts w:hint="eastAsia" w:ascii="仿宋" w:hAnsi="仿宋" w:eastAsia="仿宋" w:cs="仿宋"/>
                          <w:sz w:val="36"/>
                          <w:szCs w:val="36"/>
                        </w:rPr>
                        <w:t>项目名称：</w:t>
                      </w:r>
                      <w:r>
                        <w:rPr>
                          <w:rFonts w:hint="eastAsia" w:ascii="仿宋" w:hAnsi="仿宋" w:eastAsia="仿宋" w:cs="仿宋"/>
                          <w:sz w:val="36"/>
                          <w:szCs w:val="36"/>
                          <w:u w:val="single"/>
                          <w:lang w:val="en-US" w:eastAsia="zh-CN"/>
                        </w:rPr>
                        <w:t xml:space="preserve"> 山西鑫隆源工贸有限公司装配式建   </w:t>
                      </w:r>
                    </w:p>
                    <w:p w14:paraId="34239A0E">
                      <w:pPr>
                        <w:pStyle w:val="10"/>
                        <w:keepNext w:val="0"/>
                        <w:keepLines w:val="0"/>
                        <w:pageBreakBefore w:val="0"/>
                        <w:widowControl w:val="0"/>
                        <w:kinsoku/>
                        <w:wordWrap/>
                        <w:overflowPunct/>
                        <w:topLinePunct w:val="0"/>
                        <w:bidi w:val="0"/>
                        <w:adjustRightInd/>
                        <w:snapToGrid/>
                        <w:spacing w:line="560" w:lineRule="exact"/>
                        <w:ind w:left="2040" w:leftChars="700" w:hanging="360" w:hangingChars="100"/>
                        <w:textAlignment w:val="auto"/>
                        <w:rPr>
                          <w:rFonts w:hint="default" w:ascii="仿宋" w:hAnsi="仿宋" w:eastAsia="仿宋" w:cs="仿宋"/>
                          <w:color w:val="auto"/>
                          <w:sz w:val="36"/>
                          <w:szCs w:val="36"/>
                          <w:u w:val="single"/>
                          <w:lang w:val="en-US" w:eastAsia="zh-CN"/>
                        </w:rPr>
                      </w:pPr>
                      <w:r>
                        <w:rPr>
                          <w:rFonts w:hint="eastAsia" w:ascii="仿宋" w:hAnsi="仿宋" w:eastAsia="仿宋" w:cs="仿宋"/>
                          <w:sz w:val="36"/>
                          <w:szCs w:val="36"/>
                          <w:u w:val="single"/>
                          <w:lang w:val="en-US" w:eastAsia="zh-CN"/>
                        </w:rPr>
                        <w:t xml:space="preserve">             设项目                        </w:t>
                      </w:r>
                      <w:r>
                        <w:rPr>
                          <w:rFonts w:hint="eastAsia" w:ascii="仿宋" w:hAnsi="仿宋" w:eastAsia="仿宋" w:cs="仿宋"/>
                          <w:color w:val="auto"/>
                          <w:sz w:val="36"/>
                          <w:szCs w:val="36"/>
                          <w:u w:val="single"/>
                          <w:lang w:val="en-US" w:eastAsia="zh-CN"/>
                        </w:rPr>
                        <w:t xml:space="preserve">  </w:t>
                      </w:r>
                    </w:p>
                    <w:p w14:paraId="19DD4A9A">
                      <w:pPr>
                        <w:pStyle w:val="10"/>
                        <w:keepNext w:val="0"/>
                        <w:keepLines w:val="0"/>
                        <w:pageBreakBefore w:val="0"/>
                        <w:widowControl w:val="0"/>
                        <w:kinsoku/>
                        <w:wordWrap/>
                        <w:overflowPunct/>
                        <w:topLinePunct w:val="0"/>
                        <w:bidi w:val="0"/>
                        <w:adjustRightInd/>
                        <w:snapToGrid/>
                        <w:spacing w:line="560" w:lineRule="exact"/>
                        <w:ind w:firstLine="0" w:firstLineChars="0"/>
                        <w:textAlignment w:val="auto"/>
                        <w:rPr>
                          <w:rFonts w:hint="default" w:ascii="仿宋" w:hAnsi="仿宋" w:eastAsia="仿宋" w:cs="仿宋"/>
                          <w:sz w:val="36"/>
                          <w:szCs w:val="36"/>
                          <w:lang w:val="en-US" w:eastAsia="zh-CN"/>
                        </w:rPr>
                      </w:pPr>
                      <w:r>
                        <w:rPr>
                          <w:rFonts w:hint="eastAsia" w:ascii="仿宋" w:hAnsi="仿宋" w:eastAsia="仿宋" w:cs="仿宋"/>
                          <w:sz w:val="36"/>
                          <w:szCs w:val="36"/>
                        </w:rPr>
                        <w:t>建设单位（盖章）：</w:t>
                      </w:r>
                      <w:r>
                        <w:rPr>
                          <w:rFonts w:hint="eastAsia" w:ascii="仿宋" w:hAnsi="仿宋" w:eastAsia="仿宋" w:cs="仿宋"/>
                          <w:sz w:val="36"/>
                          <w:szCs w:val="36"/>
                          <w:u w:val="single"/>
                          <w:lang w:val="en-US" w:eastAsia="zh-CN"/>
                        </w:rPr>
                        <w:t xml:space="preserve"> 山西鑫隆源工贸有限公司  </w:t>
                      </w:r>
                    </w:p>
                    <w:p w14:paraId="041D4AD2">
                      <w:pPr>
                        <w:pStyle w:val="10"/>
                        <w:keepNext w:val="0"/>
                        <w:keepLines w:val="0"/>
                        <w:pageBreakBefore w:val="0"/>
                        <w:widowControl w:val="0"/>
                        <w:kinsoku/>
                        <w:wordWrap/>
                        <w:overflowPunct/>
                        <w:topLinePunct w:val="0"/>
                        <w:bidi w:val="0"/>
                        <w:adjustRightInd/>
                        <w:snapToGrid/>
                        <w:spacing w:line="560" w:lineRule="exact"/>
                        <w:ind w:firstLine="0" w:firstLineChars="0"/>
                        <w:textAlignment w:val="auto"/>
                        <w:rPr>
                          <w:rFonts w:hint="eastAsia" w:ascii="仿宋" w:hAnsi="仿宋" w:eastAsia="仿宋" w:cs="仿宋"/>
                          <w:sz w:val="36"/>
                          <w:szCs w:val="36"/>
                          <w:u w:val="single"/>
                        </w:rPr>
                      </w:pPr>
                      <w:r>
                        <w:rPr>
                          <w:rFonts w:hint="eastAsia" w:ascii="仿宋" w:hAnsi="仿宋" w:eastAsia="仿宋" w:cs="仿宋"/>
                          <w:sz w:val="36"/>
                          <w:szCs w:val="36"/>
                        </w:rPr>
                        <w:t>编制日期：</w:t>
                      </w:r>
                      <w:r>
                        <w:rPr>
                          <w:rFonts w:hint="eastAsia" w:ascii="仿宋" w:hAnsi="仿宋" w:eastAsia="仿宋" w:cs="仿宋"/>
                          <w:sz w:val="36"/>
                          <w:szCs w:val="36"/>
                          <w:u w:val="single"/>
                          <w:lang w:val="en-US" w:eastAsia="zh-CN"/>
                        </w:rPr>
                        <w:t xml:space="preserve">           2026年7月           </w:t>
                      </w:r>
                    </w:p>
                  </w:txbxContent>
                </v:textbox>
              </v:shape>
            </w:pict>
          </mc:Fallback>
        </mc:AlternateContent>
      </w:r>
    </w:p>
    <w:p w14:paraId="35028D23">
      <w:pPr>
        <w:pStyle w:val="10"/>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auto"/>
          <w:kern w:val="2"/>
          <w:sz w:val="36"/>
          <w:szCs w:val="36"/>
          <w:highlight w:val="none"/>
          <w:lang w:val="en-US" w:eastAsia="zh-CN" w:bidi="ar-SA"/>
        </w:rPr>
        <w:sectPr>
          <w:headerReference r:id="rId5" w:type="default"/>
          <w:footerReference r:id="rId6" w:type="default"/>
          <w:pgSz w:w="11906" w:h="16838"/>
          <w:pgMar w:top="1701" w:right="1417" w:bottom="1701" w:left="1417" w:header="851" w:footer="992" w:gutter="0"/>
          <w:pgBorders>
            <w:top w:val="none" w:sz="0" w:space="0"/>
            <w:left w:val="none" w:sz="0" w:space="0"/>
            <w:bottom w:val="none" w:sz="0" w:space="0"/>
            <w:right w:val="none" w:sz="0" w:space="0"/>
          </w:pgBorders>
          <w:pgNumType w:fmt="decimal" w:start="1"/>
          <w:cols w:space="0" w:num="1"/>
          <w:rtlGutter w:val="0"/>
          <w:docGrid w:type="lines" w:linePitch="327" w:charSpace="0"/>
        </w:sectPr>
      </w:pPr>
      <w:r>
        <w:rPr>
          <w:rFonts w:hint="eastAsia" w:ascii="楷体" w:hAnsi="楷体" w:eastAsia="楷体" w:cs="楷体"/>
          <w:color w:val="auto"/>
          <w:kern w:val="2"/>
          <w:sz w:val="36"/>
          <w:szCs w:val="36"/>
          <w:highlight w:val="none"/>
          <w:lang w:val="en-US" w:eastAsia="zh-CN" w:bidi="ar-SA"/>
        </w:rPr>
        <w:t>中华人民共和国生态环境部制</w:t>
      </w:r>
    </w:p>
    <w:p w14:paraId="4A3C1F83">
      <w:pPr>
        <w:pStyle w:val="9"/>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color w:val="auto"/>
          <w:highlight w:val="none"/>
          <w:lang w:eastAsia="zh-CN"/>
        </w:rPr>
      </w:pPr>
      <w:bookmarkStart w:id="0" w:name="_Toc240"/>
      <w:r>
        <w:rPr>
          <w:rFonts w:hint="default" w:ascii="黑体" w:hAnsi="黑体" w:eastAsia="黑体" w:cs="黑体"/>
          <w:color w:val="auto"/>
          <w:kern w:val="2"/>
          <w:sz w:val="2"/>
          <w:szCs w:val="2"/>
          <w:lang w:val="en-US" w:eastAsia="zh-CN" w:bidi="ar-SA"/>
        </w:rPr>
        <w:t>1</w:t>
      </w:r>
      <w:r>
        <w:rPr>
          <w:rFonts w:hint="eastAsia"/>
          <w:color w:val="auto"/>
          <w:highlight w:val="none"/>
          <w:lang w:val="en-US" w:eastAsia="zh-CN"/>
        </w:rPr>
        <w:t>一、</w:t>
      </w:r>
      <w:r>
        <w:rPr>
          <w:rFonts w:hint="eastAsia"/>
          <w:color w:val="auto"/>
          <w:highlight w:val="none"/>
          <w:lang w:eastAsia="zh-CN"/>
        </w:rPr>
        <w:t>建设项目基本情况</w:t>
      </w:r>
      <w:bookmarkEnd w:id="0"/>
    </w:p>
    <w:tbl>
      <w:tblPr>
        <w:tblStyle w:val="28"/>
        <w:tblW w:w="511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2174"/>
        <w:gridCol w:w="2091"/>
        <w:gridCol w:w="2038"/>
        <w:gridCol w:w="3058"/>
      </w:tblGrid>
      <w:tr w14:paraId="7BDEC1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164" w:type="dxa"/>
            <w:noWrap w:val="0"/>
            <w:tcMar>
              <w:top w:w="16" w:type="dxa"/>
              <w:left w:w="16" w:type="dxa"/>
              <w:right w:w="16" w:type="dxa"/>
            </w:tcMar>
            <w:vAlign w:val="center"/>
          </w:tcPr>
          <w:p w14:paraId="30D79946">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建设项目名称</w:t>
            </w:r>
          </w:p>
        </w:tc>
        <w:tc>
          <w:tcPr>
            <w:tcW w:w="7155" w:type="dxa"/>
            <w:gridSpan w:val="3"/>
            <w:noWrap w:val="0"/>
            <w:vAlign w:val="center"/>
          </w:tcPr>
          <w:p w14:paraId="3B6DC775">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eastAsia="zh-CN"/>
              </w:rPr>
              <w:t>山西鑫隆源工贸有限公司装配式建设项目</w:t>
            </w:r>
          </w:p>
        </w:tc>
      </w:tr>
      <w:tr w14:paraId="394F41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164" w:type="dxa"/>
            <w:noWrap w:val="0"/>
            <w:tcMar>
              <w:top w:w="16" w:type="dxa"/>
              <w:left w:w="16" w:type="dxa"/>
              <w:right w:w="16" w:type="dxa"/>
            </w:tcMar>
            <w:vAlign w:val="center"/>
          </w:tcPr>
          <w:p w14:paraId="011A64AA">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项目代码</w:t>
            </w:r>
          </w:p>
        </w:tc>
        <w:tc>
          <w:tcPr>
            <w:tcW w:w="7155" w:type="dxa"/>
            <w:gridSpan w:val="3"/>
            <w:noWrap w:val="0"/>
            <w:vAlign w:val="center"/>
          </w:tcPr>
          <w:p w14:paraId="666D270F">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p>
        </w:tc>
      </w:tr>
      <w:tr w14:paraId="18FBDB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164" w:type="dxa"/>
            <w:noWrap w:val="0"/>
            <w:tcMar>
              <w:top w:w="16" w:type="dxa"/>
              <w:left w:w="16" w:type="dxa"/>
              <w:right w:w="16" w:type="dxa"/>
            </w:tcMar>
            <w:vAlign w:val="center"/>
          </w:tcPr>
          <w:p w14:paraId="00F5E1DD">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建设单位联系人</w:t>
            </w:r>
          </w:p>
        </w:tc>
        <w:tc>
          <w:tcPr>
            <w:tcW w:w="2082" w:type="dxa"/>
            <w:noWrap w:val="0"/>
            <w:vAlign w:val="center"/>
          </w:tcPr>
          <w:p w14:paraId="4289F833">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lang w:val="en-US" w:eastAsia="zh-CN"/>
              </w:rPr>
            </w:pPr>
          </w:p>
        </w:tc>
        <w:tc>
          <w:tcPr>
            <w:tcW w:w="2029" w:type="dxa"/>
            <w:noWrap w:val="0"/>
            <w:vAlign w:val="center"/>
          </w:tcPr>
          <w:p w14:paraId="31698792">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联系方式</w:t>
            </w:r>
          </w:p>
        </w:tc>
        <w:tc>
          <w:tcPr>
            <w:tcW w:w="3044" w:type="dxa"/>
            <w:noWrap w:val="0"/>
            <w:vAlign w:val="center"/>
          </w:tcPr>
          <w:p w14:paraId="2380177A">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lang w:val="en-US" w:eastAsia="zh-CN"/>
              </w:rPr>
            </w:pPr>
          </w:p>
        </w:tc>
      </w:tr>
      <w:tr w14:paraId="045F10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164" w:type="dxa"/>
            <w:noWrap w:val="0"/>
            <w:tcMar>
              <w:top w:w="16" w:type="dxa"/>
              <w:left w:w="16" w:type="dxa"/>
              <w:right w:w="16" w:type="dxa"/>
            </w:tcMar>
            <w:vAlign w:val="center"/>
          </w:tcPr>
          <w:p w14:paraId="6756EA46">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建设地点</w:t>
            </w:r>
          </w:p>
        </w:tc>
        <w:tc>
          <w:tcPr>
            <w:tcW w:w="7155" w:type="dxa"/>
            <w:gridSpan w:val="3"/>
            <w:noWrap w:val="0"/>
            <w:vAlign w:val="center"/>
          </w:tcPr>
          <w:p w14:paraId="353F97F9">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山西省长治市壶关县集店镇常平村</w:t>
            </w:r>
          </w:p>
        </w:tc>
      </w:tr>
      <w:tr w14:paraId="46E6E7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164" w:type="dxa"/>
            <w:noWrap w:val="0"/>
            <w:tcMar>
              <w:top w:w="16" w:type="dxa"/>
              <w:left w:w="16" w:type="dxa"/>
              <w:right w:w="16" w:type="dxa"/>
            </w:tcMar>
            <w:vAlign w:val="center"/>
          </w:tcPr>
          <w:p w14:paraId="26753DE8">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地理坐标</w:t>
            </w:r>
          </w:p>
        </w:tc>
        <w:tc>
          <w:tcPr>
            <w:tcW w:w="7155" w:type="dxa"/>
            <w:gridSpan w:val="3"/>
            <w:noWrap w:val="0"/>
            <w:vAlign w:val="center"/>
          </w:tcPr>
          <w:p w14:paraId="5856E963">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p>
        </w:tc>
      </w:tr>
      <w:tr w14:paraId="4FBFC7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164" w:type="dxa"/>
            <w:noWrap w:val="0"/>
            <w:tcMar>
              <w:top w:w="16" w:type="dxa"/>
              <w:left w:w="16" w:type="dxa"/>
              <w:right w:w="16" w:type="dxa"/>
            </w:tcMar>
            <w:vAlign w:val="center"/>
          </w:tcPr>
          <w:p w14:paraId="62C17DEF">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国民经济</w:t>
            </w:r>
          </w:p>
          <w:p w14:paraId="1FD2D91A">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行业类别</w:t>
            </w:r>
          </w:p>
        </w:tc>
        <w:tc>
          <w:tcPr>
            <w:tcW w:w="2082" w:type="dxa"/>
            <w:noWrap w:val="0"/>
            <w:vAlign w:val="center"/>
          </w:tcPr>
          <w:p w14:paraId="48DF5B36">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 xml:space="preserve">C3021水泥制品制造；C3099 </w:t>
            </w:r>
            <w:r>
              <w:rPr>
                <w:rFonts w:hint="default" w:ascii="Times New Roman" w:hAnsi="Times New Roman" w:eastAsia="宋体" w:cs="Times New Roman"/>
                <w:color w:val="auto"/>
                <w:sz w:val="24"/>
                <w:szCs w:val="24"/>
                <w:highlight w:val="none"/>
              </w:rPr>
              <w:t>其他非金属矿物制品制造</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 xml:space="preserve">C3029 </w:t>
            </w:r>
            <w:r>
              <w:rPr>
                <w:rFonts w:hint="default" w:ascii="Times New Roman" w:hAnsi="Times New Roman" w:eastAsia="宋体" w:cs="Times New Roman"/>
                <w:color w:val="auto"/>
                <w:sz w:val="24"/>
                <w:szCs w:val="24"/>
                <w:highlight w:val="none"/>
              </w:rPr>
              <w:t>其他水泥类似制品制造</w:t>
            </w:r>
          </w:p>
        </w:tc>
        <w:tc>
          <w:tcPr>
            <w:tcW w:w="2029" w:type="dxa"/>
            <w:noWrap w:val="0"/>
            <w:vAlign w:val="center"/>
          </w:tcPr>
          <w:p w14:paraId="51A161B5">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w:t>
            </w:r>
          </w:p>
          <w:p w14:paraId="562C14B4">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行业类别</w:t>
            </w:r>
          </w:p>
        </w:tc>
        <w:tc>
          <w:tcPr>
            <w:tcW w:w="3044" w:type="dxa"/>
            <w:noWrap w:val="0"/>
            <w:vAlign w:val="center"/>
          </w:tcPr>
          <w:p w14:paraId="041122F3">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二十七、非金属矿物制品业</w:t>
            </w:r>
          </w:p>
          <w:p w14:paraId="221C0B90">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石膏、水泥制品及类似制品制造</w:t>
            </w:r>
            <w:r>
              <w:rPr>
                <w:rFonts w:hint="eastAsia" w:cs="Times New Roman"/>
                <w:color w:val="auto"/>
                <w:sz w:val="24"/>
                <w:szCs w:val="24"/>
                <w:highlight w:val="none"/>
                <w:lang w:eastAsia="zh-CN"/>
              </w:rPr>
              <w:t>—水泥制品制造；</w:t>
            </w:r>
          </w:p>
          <w:p w14:paraId="36BA726E">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石墨及其他非金属矿物制品制造</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其他</w:t>
            </w:r>
          </w:p>
        </w:tc>
      </w:tr>
      <w:tr w14:paraId="4335F5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164" w:type="dxa"/>
            <w:noWrap w:val="0"/>
            <w:tcMar>
              <w:top w:w="16" w:type="dxa"/>
              <w:left w:w="16" w:type="dxa"/>
              <w:right w:w="16" w:type="dxa"/>
            </w:tcMar>
            <w:vAlign w:val="center"/>
          </w:tcPr>
          <w:p w14:paraId="4D0B41AC">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建设性质</w:t>
            </w:r>
          </w:p>
        </w:tc>
        <w:tc>
          <w:tcPr>
            <w:tcW w:w="2082" w:type="dxa"/>
            <w:noWrap w:val="0"/>
            <w:vAlign w:val="center"/>
          </w:tcPr>
          <w:p w14:paraId="05F2519F">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☑新建（迁建）</w:t>
            </w:r>
          </w:p>
          <w:p w14:paraId="1C0A0097">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改建</w:t>
            </w:r>
          </w:p>
          <w:p w14:paraId="5EBAC27A">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扩建</w:t>
            </w:r>
          </w:p>
          <w:p w14:paraId="0763155E">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技术改造</w:t>
            </w:r>
          </w:p>
        </w:tc>
        <w:tc>
          <w:tcPr>
            <w:tcW w:w="2029" w:type="dxa"/>
            <w:noWrap w:val="0"/>
            <w:vAlign w:val="center"/>
          </w:tcPr>
          <w:p w14:paraId="3F36A9A9">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w:t>
            </w:r>
          </w:p>
          <w:p w14:paraId="13AD6C42">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申报情形</w:t>
            </w:r>
          </w:p>
        </w:tc>
        <w:tc>
          <w:tcPr>
            <w:tcW w:w="3044" w:type="dxa"/>
            <w:noWrap w:val="0"/>
            <w:vAlign w:val="center"/>
          </w:tcPr>
          <w:p w14:paraId="51155A13">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首次申报项目</w:t>
            </w:r>
          </w:p>
          <w:p w14:paraId="4CFE70ED">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不予批准后再次申报项目</w:t>
            </w:r>
          </w:p>
          <w:p w14:paraId="4DD65A2E">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超五年重新审核项目</w:t>
            </w:r>
          </w:p>
          <w:p w14:paraId="2AE05CC9">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重大变动重新报批项目</w:t>
            </w:r>
          </w:p>
        </w:tc>
      </w:tr>
      <w:tr w14:paraId="033E24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164" w:type="dxa"/>
            <w:noWrap w:val="0"/>
            <w:tcMar>
              <w:top w:w="16" w:type="dxa"/>
              <w:left w:w="16" w:type="dxa"/>
              <w:right w:w="16" w:type="dxa"/>
            </w:tcMar>
            <w:vAlign w:val="center"/>
          </w:tcPr>
          <w:p w14:paraId="53A8CC2A">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项目审批（核准/</w:t>
            </w:r>
          </w:p>
          <w:p w14:paraId="44737315">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备案）部门（选填）</w:t>
            </w:r>
          </w:p>
        </w:tc>
        <w:tc>
          <w:tcPr>
            <w:tcW w:w="2082" w:type="dxa"/>
            <w:noWrap w:val="0"/>
            <w:vAlign w:val="center"/>
          </w:tcPr>
          <w:p w14:paraId="7A9134FC">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壶关经济开发区管理委员会</w:t>
            </w:r>
          </w:p>
        </w:tc>
        <w:tc>
          <w:tcPr>
            <w:tcW w:w="2029" w:type="dxa"/>
            <w:noWrap w:val="0"/>
            <w:vAlign w:val="center"/>
          </w:tcPr>
          <w:p w14:paraId="3F84882A">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项目审批（核准/</w:t>
            </w:r>
          </w:p>
          <w:p w14:paraId="630F3537">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备案）文号（选填）</w:t>
            </w:r>
          </w:p>
        </w:tc>
        <w:tc>
          <w:tcPr>
            <w:tcW w:w="3044" w:type="dxa"/>
            <w:noWrap w:val="0"/>
            <w:vAlign w:val="center"/>
          </w:tcPr>
          <w:p w14:paraId="1EB10417">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eastAsia="zh-CN"/>
              </w:rPr>
              <w:t>2</w:t>
            </w:r>
            <w:r>
              <w:rPr>
                <w:rFonts w:hint="eastAsia" w:cs="Times New Roman"/>
                <w:color w:val="auto"/>
                <w:sz w:val="24"/>
                <w:szCs w:val="24"/>
                <w:highlight w:val="none"/>
                <w:lang w:val="en-US" w:eastAsia="zh-CN"/>
              </w:rPr>
              <w:t>604</w:t>
            </w:r>
            <w:r>
              <w:rPr>
                <w:rFonts w:hint="eastAsia" w:cs="Times New Roman"/>
                <w:color w:val="auto"/>
                <w:sz w:val="24"/>
                <w:szCs w:val="24"/>
                <w:highlight w:val="none"/>
                <w:lang w:eastAsia="zh-CN"/>
              </w:rPr>
              <w:t>-140452-89-05-</w:t>
            </w:r>
            <w:r>
              <w:rPr>
                <w:rFonts w:hint="eastAsia" w:cs="Times New Roman"/>
                <w:color w:val="auto"/>
                <w:sz w:val="24"/>
                <w:szCs w:val="24"/>
                <w:highlight w:val="none"/>
                <w:lang w:val="en-US" w:eastAsia="zh-CN"/>
              </w:rPr>
              <w:t>801649</w:t>
            </w:r>
          </w:p>
        </w:tc>
      </w:tr>
      <w:tr w14:paraId="7B175B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164" w:type="dxa"/>
            <w:noWrap w:val="0"/>
            <w:tcMar>
              <w:top w:w="16" w:type="dxa"/>
              <w:left w:w="16" w:type="dxa"/>
              <w:right w:w="16" w:type="dxa"/>
            </w:tcMar>
            <w:vAlign w:val="center"/>
          </w:tcPr>
          <w:p w14:paraId="1826BB4A">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总投资（万元）</w:t>
            </w:r>
          </w:p>
        </w:tc>
        <w:tc>
          <w:tcPr>
            <w:tcW w:w="2082" w:type="dxa"/>
            <w:noWrap w:val="0"/>
            <w:vAlign w:val="center"/>
          </w:tcPr>
          <w:p w14:paraId="02267DD2">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3000</w:t>
            </w:r>
          </w:p>
        </w:tc>
        <w:tc>
          <w:tcPr>
            <w:tcW w:w="2029" w:type="dxa"/>
            <w:noWrap w:val="0"/>
            <w:tcMar>
              <w:top w:w="16" w:type="dxa"/>
              <w:left w:w="16" w:type="dxa"/>
              <w:right w:w="16" w:type="dxa"/>
            </w:tcMar>
            <w:vAlign w:val="center"/>
          </w:tcPr>
          <w:p w14:paraId="3FCB8E79">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环保投资（万元）</w:t>
            </w:r>
          </w:p>
        </w:tc>
        <w:tc>
          <w:tcPr>
            <w:tcW w:w="3044" w:type="dxa"/>
            <w:noWrap w:val="0"/>
            <w:vAlign w:val="center"/>
          </w:tcPr>
          <w:p w14:paraId="2BB1206C">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75</w:t>
            </w:r>
          </w:p>
        </w:tc>
      </w:tr>
      <w:tr w14:paraId="38442D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164" w:type="dxa"/>
            <w:noWrap w:val="0"/>
            <w:tcMar>
              <w:top w:w="16" w:type="dxa"/>
              <w:left w:w="16" w:type="dxa"/>
              <w:right w:w="16" w:type="dxa"/>
            </w:tcMar>
            <w:vAlign w:val="center"/>
          </w:tcPr>
          <w:p w14:paraId="3A764067">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环保投资占比（%）</w:t>
            </w:r>
          </w:p>
        </w:tc>
        <w:tc>
          <w:tcPr>
            <w:tcW w:w="2082" w:type="dxa"/>
            <w:noWrap w:val="0"/>
            <w:vAlign w:val="center"/>
          </w:tcPr>
          <w:p w14:paraId="29F235F8">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2.5%</w:t>
            </w:r>
          </w:p>
        </w:tc>
        <w:tc>
          <w:tcPr>
            <w:tcW w:w="2029" w:type="dxa"/>
            <w:noWrap w:val="0"/>
            <w:tcMar>
              <w:top w:w="16" w:type="dxa"/>
              <w:left w:w="16" w:type="dxa"/>
              <w:right w:w="16" w:type="dxa"/>
            </w:tcMar>
            <w:vAlign w:val="center"/>
          </w:tcPr>
          <w:p w14:paraId="3CD9324B">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施工工期</w:t>
            </w:r>
          </w:p>
        </w:tc>
        <w:tc>
          <w:tcPr>
            <w:tcW w:w="3044" w:type="dxa"/>
            <w:noWrap w:val="0"/>
            <w:vAlign w:val="center"/>
          </w:tcPr>
          <w:p w14:paraId="5369D821">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12个月</w:t>
            </w:r>
          </w:p>
        </w:tc>
      </w:tr>
      <w:tr w14:paraId="1CA867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164" w:type="dxa"/>
            <w:noWrap w:val="0"/>
            <w:tcMar>
              <w:top w:w="16" w:type="dxa"/>
              <w:left w:w="16" w:type="dxa"/>
              <w:right w:w="16" w:type="dxa"/>
            </w:tcMar>
            <w:vAlign w:val="center"/>
          </w:tcPr>
          <w:p w14:paraId="3AA102A2">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是否开工建设</w:t>
            </w:r>
          </w:p>
        </w:tc>
        <w:tc>
          <w:tcPr>
            <w:tcW w:w="2082" w:type="dxa"/>
            <w:noWrap w:val="0"/>
            <w:vAlign w:val="center"/>
          </w:tcPr>
          <w:p w14:paraId="17D6DEBD">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both"/>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否</w:t>
            </w:r>
          </w:p>
          <w:p w14:paraId="7E3316BE">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是：</w:t>
            </w:r>
            <w:r>
              <w:rPr>
                <w:rFonts w:hint="eastAsia" w:ascii="Times New Roman" w:hAnsi="Times New Roman" w:eastAsia="宋体" w:cs="Times New Roman"/>
                <w:color w:val="auto"/>
                <w:sz w:val="24"/>
                <w:szCs w:val="24"/>
                <w:highlight w:val="none"/>
                <w:u w:val="single"/>
                <w:lang w:val="en-US" w:eastAsia="zh-CN"/>
              </w:rPr>
              <w:t xml:space="preserve">          </w:t>
            </w:r>
          </w:p>
        </w:tc>
        <w:tc>
          <w:tcPr>
            <w:tcW w:w="2029" w:type="dxa"/>
            <w:noWrap w:val="0"/>
            <w:tcMar>
              <w:top w:w="16" w:type="dxa"/>
              <w:left w:w="16" w:type="dxa"/>
              <w:right w:w="16" w:type="dxa"/>
            </w:tcMar>
            <w:vAlign w:val="center"/>
          </w:tcPr>
          <w:p w14:paraId="44EBF80E">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用地（用海）</w:t>
            </w:r>
          </w:p>
          <w:p w14:paraId="56CEB79A">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面积（m</w:t>
            </w:r>
            <w:r>
              <w:rPr>
                <w:rFonts w:hint="default" w:ascii="Times New Roman" w:hAnsi="Times New Roman" w:eastAsia="宋体" w:cs="Times New Roman"/>
                <w:color w:val="auto"/>
                <w:sz w:val="24"/>
                <w:szCs w:val="24"/>
                <w:highlight w:val="none"/>
                <w:vertAlign w:val="superscript"/>
              </w:rPr>
              <w:t>2</w:t>
            </w:r>
            <w:r>
              <w:rPr>
                <w:rFonts w:hint="default" w:ascii="Times New Roman" w:hAnsi="Times New Roman" w:eastAsia="宋体" w:cs="Times New Roman"/>
                <w:color w:val="auto"/>
                <w:sz w:val="24"/>
                <w:szCs w:val="24"/>
                <w:highlight w:val="none"/>
              </w:rPr>
              <w:t>）</w:t>
            </w:r>
          </w:p>
        </w:tc>
        <w:tc>
          <w:tcPr>
            <w:tcW w:w="3044" w:type="dxa"/>
            <w:noWrap w:val="0"/>
            <w:vAlign w:val="center"/>
          </w:tcPr>
          <w:p w14:paraId="4B4DA698">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42128.28</w:t>
            </w:r>
          </w:p>
        </w:tc>
      </w:tr>
      <w:tr w14:paraId="1680C0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907" w:hRule="atLeast"/>
          <w:jc w:val="center"/>
        </w:trPr>
        <w:tc>
          <w:tcPr>
            <w:tcW w:w="2164" w:type="dxa"/>
            <w:noWrap w:val="0"/>
            <w:tcMar>
              <w:top w:w="16" w:type="dxa"/>
              <w:left w:w="16" w:type="dxa"/>
              <w:right w:w="16" w:type="dxa"/>
            </w:tcMar>
            <w:vAlign w:val="center"/>
          </w:tcPr>
          <w:p w14:paraId="0A4F0C80">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专项评价设置情况</w:t>
            </w:r>
          </w:p>
        </w:tc>
        <w:tc>
          <w:tcPr>
            <w:tcW w:w="7155" w:type="dxa"/>
            <w:gridSpan w:val="3"/>
            <w:noWrap w:val="0"/>
            <w:vAlign w:val="center"/>
          </w:tcPr>
          <w:p w14:paraId="2F87612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lang w:val="en-US" w:eastAsia="zh-CN"/>
              </w:rPr>
            </w:pPr>
            <w:r>
              <w:rPr>
                <w:rFonts w:hint="eastAsia"/>
                <w:color w:val="auto"/>
                <w:lang w:val="en-US" w:eastAsia="zh-CN"/>
              </w:rPr>
              <w:t>无</w:t>
            </w:r>
          </w:p>
        </w:tc>
      </w:tr>
      <w:tr w14:paraId="6C88FA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164" w:type="dxa"/>
            <w:noWrap w:val="0"/>
            <w:tcMar>
              <w:top w:w="16" w:type="dxa"/>
              <w:left w:w="16" w:type="dxa"/>
              <w:right w:w="16" w:type="dxa"/>
            </w:tcMar>
            <w:vAlign w:val="center"/>
          </w:tcPr>
          <w:p w14:paraId="1ED69E6E">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规划情况</w:t>
            </w:r>
          </w:p>
        </w:tc>
        <w:tc>
          <w:tcPr>
            <w:tcW w:w="7155" w:type="dxa"/>
            <w:gridSpan w:val="3"/>
            <w:noWrap w:val="0"/>
            <w:vAlign w:val="center"/>
          </w:tcPr>
          <w:p w14:paraId="2F79E3EA">
            <w:pPr>
              <w:bidi w:val="0"/>
              <w:rPr>
                <w:rFonts w:hint="eastAsia"/>
                <w:color w:val="auto"/>
                <w:lang w:val="en-US" w:eastAsia="zh-CN"/>
              </w:rPr>
            </w:pPr>
            <w:r>
              <w:rPr>
                <w:rFonts w:hint="eastAsia"/>
                <w:color w:val="auto"/>
                <w:lang w:val="en-US" w:eastAsia="zh-CN"/>
              </w:rPr>
              <w:t>规划名称：《壶关经济开发区扩区总体规划（2020-2035）》</w:t>
            </w:r>
          </w:p>
          <w:p w14:paraId="29158D74">
            <w:pPr>
              <w:bidi w:val="0"/>
              <w:rPr>
                <w:rFonts w:hint="eastAsia"/>
                <w:color w:val="auto"/>
                <w:lang w:val="en-US" w:eastAsia="zh-CN"/>
              </w:rPr>
            </w:pPr>
            <w:r>
              <w:rPr>
                <w:rFonts w:hint="eastAsia"/>
                <w:color w:val="auto"/>
                <w:lang w:val="en-US" w:eastAsia="zh-CN"/>
              </w:rPr>
              <w:t>审批机关：山西省人民政府</w:t>
            </w:r>
          </w:p>
          <w:p w14:paraId="01EDA413">
            <w:pPr>
              <w:bidi w:val="0"/>
              <w:rPr>
                <w:rFonts w:hint="eastAsia"/>
                <w:color w:val="auto"/>
                <w:lang w:val="en-US" w:eastAsia="zh-CN"/>
              </w:rPr>
            </w:pPr>
            <w:r>
              <w:rPr>
                <w:rFonts w:hint="eastAsia"/>
                <w:color w:val="auto"/>
                <w:lang w:val="en-US" w:eastAsia="zh-CN"/>
              </w:rPr>
              <w:t>审批文号：《山西省人民政府关于同意壶关经济开发区扩区的批复》（晋政函〔2017〕117号）</w:t>
            </w:r>
          </w:p>
          <w:p w14:paraId="1C0B430C">
            <w:pPr>
              <w:bidi w:val="0"/>
              <w:rPr>
                <w:rFonts w:hint="default"/>
                <w:color w:val="auto"/>
                <w:highlight w:val="none"/>
                <w:lang w:val="en-US" w:eastAsia="zh-CN"/>
              </w:rPr>
            </w:pPr>
            <w:r>
              <w:rPr>
                <w:rFonts w:hint="eastAsia"/>
                <w:color w:val="auto"/>
                <w:lang w:val="en-US" w:eastAsia="zh-CN"/>
              </w:rPr>
              <w:t>规划名称：《壶关经济开发区扩区总体规划（2020-2035）》</w:t>
            </w:r>
          </w:p>
        </w:tc>
      </w:tr>
      <w:tr w14:paraId="7C8E1C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164" w:type="dxa"/>
            <w:noWrap w:val="0"/>
            <w:tcMar>
              <w:top w:w="16" w:type="dxa"/>
              <w:left w:w="16" w:type="dxa"/>
              <w:right w:w="16" w:type="dxa"/>
            </w:tcMar>
            <w:vAlign w:val="center"/>
          </w:tcPr>
          <w:p w14:paraId="1B495C8C">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规划环境影响</w:t>
            </w:r>
          </w:p>
          <w:p w14:paraId="21794B21">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评价情况</w:t>
            </w:r>
          </w:p>
        </w:tc>
        <w:tc>
          <w:tcPr>
            <w:tcW w:w="7155" w:type="dxa"/>
            <w:gridSpan w:val="3"/>
            <w:noWrap w:val="0"/>
            <w:vAlign w:val="center"/>
          </w:tcPr>
          <w:p w14:paraId="67D27A6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lang w:val="en-US" w:eastAsia="zh-CN"/>
              </w:rPr>
            </w:pPr>
            <w:r>
              <w:rPr>
                <w:rFonts w:hint="default"/>
                <w:color w:val="auto"/>
                <w:sz w:val="24"/>
                <w:lang w:val="en-US" w:eastAsia="zh-CN"/>
              </w:rPr>
              <w:t>规划环境影响评价文件名称：《壶关经济开发区扩区总体规划（2020-2035）扩区规划环境影响报告书》</w:t>
            </w:r>
          </w:p>
          <w:p w14:paraId="73854C0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sz w:val="24"/>
                <w:lang w:val="en-US" w:eastAsia="zh-CN"/>
              </w:rPr>
            </w:pPr>
            <w:r>
              <w:rPr>
                <w:rFonts w:hint="default"/>
                <w:color w:val="auto"/>
                <w:sz w:val="24"/>
                <w:lang w:val="en-US" w:eastAsia="zh-CN"/>
              </w:rPr>
              <w:t>召集审查机关：山西省生态环境厅</w:t>
            </w:r>
          </w:p>
          <w:p w14:paraId="317987C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lang w:val="en-US" w:eastAsia="zh-CN"/>
              </w:rPr>
            </w:pPr>
            <w:r>
              <w:rPr>
                <w:rFonts w:hint="default"/>
                <w:color w:val="auto"/>
                <w:sz w:val="24"/>
                <w:lang w:val="en-US" w:eastAsia="zh-CN"/>
              </w:rPr>
              <w:t>审查文件文号：</w:t>
            </w:r>
            <w:r>
              <w:rPr>
                <w:rFonts w:hint="eastAsia" w:ascii="宋体" w:hAnsi="宋体" w:eastAsia="宋体" w:cs="宋体"/>
                <w:color w:val="auto"/>
                <w:kern w:val="0"/>
                <w:sz w:val="24"/>
                <w:szCs w:val="24"/>
                <w:lang w:val="en-US" w:eastAsia="zh-CN" w:bidi="ar"/>
              </w:rPr>
              <w:t>山西省生态环境厅《关于壶关经济开发区扩区总体规划（</w:t>
            </w:r>
            <w:r>
              <w:rPr>
                <w:rFonts w:hint="default" w:ascii="Times New Roman" w:hAnsi="Times New Roman" w:eastAsia="宋体" w:cs="Times New Roman"/>
                <w:color w:val="auto"/>
                <w:kern w:val="0"/>
                <w:sz w:val="24"/>
                <w:szCs w:val="24"/>
                <w:lang w:val="en-US" w:eastAsia="zh-CN" w:bidi="ar"/>
              </w:rPr>
              <w:t>2020-2035</w:t>
            </w:r>
            <w:r>
              <w:rPr>
                <w:rFonts w:hint="eastAsia" w:ascii="宋体" w:hAnsi="宋体" w:eastAsia="宋体" w:cs="宋体"/>
                <w:color w:val="auto"/>
                <w:kern w:val="0"/>
                <w:sz w:val="24"/>
                <w:szCs w:val="24"/>
                <w:lang w:val="en-US" w:eastAsia="zh-CN" w:bidi="ar"/>
              </w:rPr>
              <w:t>）环境影响报告书》的审查意见（</w:t>
            </w:r>
            <w:r>
              <w:rPr>
                <w:rFonts w:hint="default"/>
                <w:color w:val="auto"/>
                <w:sz w:val="24"/>
                <w:lang w:val="en-US" w:eastAsia="zh-CN"/>
              </w:rPr>
              <w:t>晋环函〔2023〕573号</w:t>
            </w:r>
            <w:r>
              <w:rPr>
                <w:rFonts w:hint="eastAsia"/>
                <w:color w:val="auto"/>
                <w:sz w:val="24"/>
                <w:lang w:val="en-US" w:eastAsia="zh-CN"/>
              </w:rPr>
              <w:t>）</w:t>
            </w:r>
          </w:p>
        </w:tc>
      </w:tr>
      <w:tr w14:paraId="38B7E5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164" w:type="dxa"/>
            <w:noWrap w:val="0"/>
            <w:tcMar>
              <w:top w:w="16" w:type="dxa"/>
              <w:left w:w="16" w:type="dxa"/>
              <w:right w:w="16" w:type="dxa"/>
            </w:tcMar>
            <w:vAlign w:val="center"/>
          </w:tcPr>
          <w:p w14:paraId="45097163">
            <w:pPr>
              <w:pStyle w:val="10"/>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规划及规划环境影响评价符合性分析</w:t>
            </w:r>
          </w:p>
        </w:tc>
        <w:tc>
          <w:tcPr>
            <w:tcW w:w="7155" w:type="dxa"/>
            <w:gridSpan w:val="3"/>
            <w:noWrap w:val="0"/>
            <w:vAlign w:val="center"/>
          </w:tcPr>
          <w:p w14:paraId="010471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宋体" w:cs="宋体"/>
                <w:b/>
                <w:bCs/>
                <w:color w:val="auto"/>
                <w:kern w:val="2"/>
                <w:sz w:val="24"/>
                <w:szCs w:val="24"/>
                <w:lang w:val="en-US" w:eastAsia="zh-CN" w:bidi="ar-SA"/>
              </w:rPr>
            </w:pPr>
            <w:r>
              <w:rPr>
                <w:rFonts w:hint="default" w:ascii="Times New Roman" w:hAnsi="Times New Roman" w:eastAsia="宋体" w:cs="宋体"/>
                <w:b/>
                <w:bCs/>
                <w:color w:val="auto"/>
                <w:kern w:val="2"/>
                <w:sz w:val="24"/>
                <w:szCs w:val="24"/>
                <w:lang w:val="en-US" w:eastAsia="zh-CN" w:bidi="ar-SA"/>
              </w:rPr>
              <w:t>1.1与《山西省壶关经济开发区扩区总体规划（2020-2035）》的符合性分析</w:t>
            </w:r>
          </w:p>
          <w:p w14:paraId="6E1FDE65">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default"/>
                <w:b/>
                <w:bCs/>
                <w:color w:val="auto"/>
                <w:sz w:val="24"/>
                <w:lang w:val="en-US" w:eastAsia="zh-CN"/>
              </w:rPr>
            </w:pPr>
            <w:r>
              <w:rPr>
                <w:rFonts w:hint="eastAsia" w:cs="宋体"/>
                <w:b/>
                <w:bCs/>
                <w:color w:val="auto"/>
                <w:kern w:val="2"/>
                <w:sz w:val="24"/>
                <w:szCs w:val="24"/>
                <w:lang w:val="en-US" w:eastAsia="zh-CN" w:bidi="ar-SA"/>
              </w:rPr>
              <w:t>（1）</w:t>
            </w:r>
            <w:r>
              <w:rPr>
                <w:rFonts w:hint="default"/>
                <w:b/>
                <w:bCs/>
                <w:color w:val="auto"/>
                <w:sz w:val="24"/>
                <w:lang w:val="en-US" w:eastAsia="zh-CN"/>
              </w:rPr>
              <w:t>规划</w:t>
            </w:r>
            <w:r>
              <w:rPr>
                <w:rFonts w:hint="eastAsia"/>
                <w:b/>
                <w:bCs/>
                <w:color w:val="auto"/>
                <w:sz w:val="24"/>
                <w:lang w:val="en-US" w:eastAsia="zh-CN"/>
              </w:rPr>
              <w:t>范围</w:t>
            </w:r>
          </w:p>
          <w:p w14:paraId="5303A2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Times New Roman" w:hAnsi="Times New Roman" w:eastAsia="宋体"/>
                <w:color w:val="auto"/>
                <w:sz w:val="24"/>
              </w:rPr>
            </w:pPr>
            <w:r>
              <w:rPr>
                <w:rFonts w:hint="eastAsia" w:ascii="Times New Roman" w:hAnsi="Times New Roman" w:eastAsia="宋体" w:cs="宋体"/>
                <w:color w:val="auto"/>
                <w:kern w:val="0"/>
                <w:sz w:val="24"/>
                <w:szCs w:val="24"/>
                <w:lang w:val="en-US" w:eastAsia="zh-CN" w:bidi="ar"/>
              </w:rPr>
              <w:t xml:space="preserve">本次规划范围为壶关县行政辖区，分为县域和中心城区两个层次。 </w:t>
            </w:r>
          </w:p>
          <w:p w14:paraId="14F7299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Times New Roman" w:hAnsi="Times New Roman" w:eastAsia="宋体"/>
                <w:color w:val="auto"/>
                <w:sz w:val="24"/>
              </w:rPr>
            </w:pPr>
            <w:r>
              <w:rPr>
                <w:rFonts w:hint="eastAsia" w:ascii="Times New Roman" w:hAnsi="Times New Roman" w:eastAsia="宋体" w:cs="宋体"/>
                <w:color w:val="auto"/>
                <w:kern w:val="0"/>
                <w:sz w:val="24"/>
                <w:szCs w:val="24"/>
                <w:lang w:val="en-US" w:eastAsia="zh-CN" w:bidi="ar"/>
              </w:rPr>
              <w:t>1）县城范围：包括所辖 7个建制镇 (龙泉镇、百尺镇、店上镇、晋庄镇、树掌镇、大峡谷镇、集店镇) 和3个乡(黄山乡、东井岭乡、石坡乡)</w:t>
            </w:r>
            <w:r>
              <w:rPr>
                <w:rFonts w:hint="eastAsia" w:cs="宋体"/>
                <w:color w:val="auto"/>
                <w:kern w:val="0"/>
                <w:sz w:val="24"/>
                <w:szCs w:val="24"/>
                <w:lang w:val="en-US" w:eastAsia="zh-CN" w:bidi="ar"/>
              </w:rPr>
              <w:t>。</w:t>
            </w:r>
            <w:r>
              <w:rPr>
                <w:rFonts w:hint="eastAsia" w:ascii="Times New Roman" w:hAnsi="Times New Roman" w:eastAsia="宋体" w:cs="宋体"/>
                <w:color w:val="auto"/>
                <w:kern w:val="0"/>
                <w:sz w:val="24"/>
                <w:szCs w:val="24"/>
                <w:lang w:val="en-US" w:eastAsia="zh-CN" w:bidi="ar"/>
              </w:rPr>
              <w:t xml:space="preserve"> </w:t>
            </w:r>
          </w:p>
          <w:p w14:paraId="6B93A6CE">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宋体"/>
                <w:color w:val="auto"/>
                <w:kern w:val="0"/>
                <w:sz w:val="24"/>
                <w:szCs w:val="24"/>
                <w:lang w:val="en-US" w:eastAsia="zh-CN" w:bidi="ar"/>
              </w:rPr>
            </w:pPr>
            <w:r>
              <w:rPr>
                <w:rFonts w:hint="eastAsia" w:ascii="Times New Roman" w:hAnsi="Times New Roman" w:eastAsia="宋体" w:cs="宋体"/>
                <w:color w:val="auto"/>
                <w:kern w:val="0"/>
                <w:sz w:val="24"/>
                <w:szCs w:val="24"/>
                <w:lang w:val="en-US" w:eastAsia="zh-CN" w:bidi="ar"/>
              </w:rPr>
              <w:t>2）中心城区范围：包括龙泉镇、集店镇的城镇集中连片区域。</w:t>
            </w:r>
          </w:p>
          <w:p w14:paraId="003D784E">
            <w:pPr>
              <w:keepNext w:val="0"/>
              <w:keepLines w:val="0"/>
              <w:pageBreakBefore w:val="0"/>
              <w:kinsoku/>
              <w:wordWrap/>
              <w:overflowPunct/>
              <w:topLinePunct w:val="0"/>
              <w:autoSpaceDE/>
              <w:autoSpaceDN/>
              <w:bidi w:val="0"/>
              <w:adjustRightInd/>
              <w:snapToGrid/>
              <w:spacing w:line="360" w:lineRule="auto"/>
              <w:jc w:val="both"/>
              <w:textAlignment w:val="auto"/>
              <w:rPr>
                <w:rFonts w:hint="default"/>
                <w:color w:val="auto"/>
                <w:sz w:val="24"/>
                <w:lang w:val="en-US" w:eastAsia="zh-CN"/>
              </w:rPr>
            </w:pPr>
            <w:r>
              <w:rPr>
                <w:rFonts w:hint="eastAsia"/>
                <w:b/>
                <w:bCs/>
                <w:color w:val="auto"/>
                <w:sz w:val="24"/>
                <w:lang w:val="en-US" w:eastAsia="zh-CN"/>
              </w:rPr>
              <w:t>（2）</w:t>
            </w:r>
            <w:r>
              <w:rPr>
                <w:rFonts w:hint="default"/>
                <w:b/>
                <w:bCs/>
                <w:color w:val="auto"/>
                <w:sz w:val="24"/>
                <w:lang w:val="en-US" w:eastAsia="zh-CN"/>
              </w:rPr>
              <w:t>规划期限：</w:t>
            </w:r>
            <w:r>
              <w:rPr>
                <w:rFonts w:hint="default"/>
                <w:color w:val="auto"/>
                <w:sz w:val="24"/>
                <w:lang w:val="en-US" w:eastAsia="zh-CN"/>
              </w:rPr>
              <w:t>本规划的期限为202</w:t>
            </w:r>
            <w:r>
              <w:rPr>
                <w:rFonts w:hint="eastAsia"/>
                <w:color w:val="auto"/>
                <w:sz w:val="24"/>
                <w:lang w:val="en-US" w:eastAsia="zh-CN"/>
              </w:rPr>
              <w:t>0</w:t>
            </w:r>
            <w:r>
              <w:rPr>
                <w:rFonts w:hint="default"/>
                <w:color w:val="auto"/>
                <w:sz w:val="24"/>
                <w:lang w:val="en-US" w:eastAsia="zh-CN"/>
              </w:rPr>
              <w:t>年—2035年，近期为202</w:t>
            </w:r>
            <w:r>
              <w:rPr>
                <w:rFonts w:hint="eastAsia"/>
                <w:color w:val="auto"/>
                <w:sz w:val="24"/>
                <w:lang w:val="en-US" w:eastAsia="zh-CN"/>
              </w:rPr>
              <w:t>0</w:t>
            </w:r>
            <w:r>
              <w:rPr>
                <w:rFonts w:hint="default"/>
                <w:color w:val="auto"/>
                <w:sz w:val="24"/>
                <w:lang w:val="en-US" w:eastAsia="zh-CN"/>
              </w:rPr>
              <w:t>年—2025年，远期为2026年—2035年。</w:t>
            </w:r>
          </w:p>
          <w:p w14:paraId="115C3FFD">
            <w:pPr>
              <w:keepNext w:val="0"/>
              <w:keepLines w:val="0"/>
              <w:pageBreakBefore w:val="0"/>
              <w:kinsoku/>
              <w:wordWrap/>
              <w:overflowPunct/>
              <w:topLinePunct w:val="0"/>
              <w:autoSpaceDE/>
              <w:autoSpaceDN/>
              <w:bidi w:val="0"/>
              <w:adjustRightInd/>
              <w:snapToGrid/>
              <w:spacing w:line="360" w:lineRule="auto"/>
              <w:jc w:val="both"/>
              <w:textAlignment w:val="auto"/>
              <w:rPr>
                <w:rFonts w:hint="default"/>
                <w:color w:val="auto"/>
                <w:sz w:val="24"/>
                <w:lang w:val="en-US" w:eastAsia="zh-CN"/>
              </w:rPr>
            </w:pPr>
            <w:r>
              <w:rPr>
                <w:rFonts w:hint="eastAsia"/>
                <w:b/>
                <w:bCs/>
                <w:color w:val="auto"/>
                <w:sz w:val="24"/>
                <w:lang w:val="en-US" w:eastAsia="zh-CN"/>
              </w:rPr>
              <w:t>（3）</w:t>
            </w:r>
            <w:r>
              <w:rPr>
                <w:rFonts w:hint="default"/>
                <w:b/>
                <w:bCs/>
                <w:color w:val="auto"/>
                <w:sz w:val="24"/>
                <w:lang w:val="en-US" w:eastAsia="zh-CN"/>
              </w:rPr>
              <w:t>规划定位：</w:t>
            </w:r>
            <w:r>
              <w:rPr>
                <w:rFonts w:hint="default"/>
                <w:color w:val="auto"/>
                <w:sz w:val="24"/>
                <w:lang w:val="en-US" w:eastAsia="zh-CN"/>
              </w:rPr>
              <w:t>全国特色产业基地，壶关生态新城。以新材料、装备制造业、文化旅游为特色的产业基地，壶关生态新城。</w:t>
            </w:r>
          </w:p>
          <w:p w14:paraId="2449B101">
            <w:pPr>
              <w:keepNext w:val="0"/>
              <w:keepLines w:val="0"/>
              <w:pageBreakBefore w:val="0"/>
              <w:kinsoku/>
              <w:wordWrap/>
              <w:overflowPunct/>
              <w:topLinePunct w:val="0"/>
              <w:autoSpaceDE/>
              <w:autoSpaceDN/>
              <w:bidi w:val="0"/>
              <w:adjustRightInd/>
              <w:snapToGrid/>
              <w:spacing w:line="360" w:lineRule="auto"/>
              <w:jc w:val="both"/>
              <w:textAlignment w:val="auto"/>
              <w:rPr>
                <w:rFonts w:hint="default"/>
                <w:b/>
                <w:bCs/>
                <w:color w:val="auto"/>
                <w:sz w:val="24"/>
                <w:lang w:val="en-US" w:eastAsia="zh-CN"/>
              </w:rPr>
            </w:pPr>
            <w:r>
              <w:rPr>
                <w:rFonts w:hint="eastAsia"/>
                <w:b/>
                <w:bCs/>
                <w:color w:val="auto"/>
                <w:sz w:val="24"/>
                <w:lang w:val="en-US" w:eastAsia="zh-CN"/>
              </w:rPr>
              <w:t>（4）</w:t>
            </w:r>
            <w:r>
              <w:rPr>
                <w:rFonts w:hint="default"/>
                <w:b/>
                <w:bCs/>
                <w:color w:val="auto"/>
                <w:sz w:val="24"/>
                <w:lang w:val="en-US" w:eastAsia="zh-CN"/>
              </w:rPr>
              <w:t>产业发展规划：</w:t>
            </w:r>
          </w:p>
          <w:p w14:paraId="6485B2BE">
            <w:pPr>
              <w:keepNext w:val="0"/>
              <w:keepLines w:val="0"/>
              <w:pageBreakBefore w:val="0"/>
              <w:kinsoku/>
              <w:wordWrap/>
              <w:overflowPunct/>
              <w:topLinePunct w:val="0"/>
              <w:autoSpaceDE/>
              <w:autoSpaceDN/>
              <w:bidi w:val="0"/>
              <w:adjustRightInd/>
              <w:snapToGrid/>
              <w:spacing w:line="360" w:lineRule="auto"/>
              <w:jc w:val="both"/>
              <w:textAlignment w:val="auto"/>
              <w:rPr>
                <w:rFonts w:hint="default"/>
                <w:color w:val="auto"/>
                <w:sz w:val="24"/>
                <w:lang w:val="en-US" w:eastAsia="zh-CN"/>
              </w:rPr>
            </w:pPr>
            <w:r>
              <w:rPr>
                <w:rFonts w:hint="default"/>
                <w:color w:val="auto"/>
                <w:sz w:val="24"/>
                <w:lang w:val="en-US" w:eastAsia="zh-CN"/>
              </w:rPr>
              <w:t>主导产业体系：建构</w:t>
            </w:r>
            <w:r>
              <w:rPr>
                <w:rFonts w:hint="eastAsia"/>
                <w:color w:val="auto"/>
                <w:sz w:val="24"/>
                <w:lang w:val="en-US" w:eastAsia="zh-CN"/>
              </w:rPr>
              <w:t>“</w:t>
            </w:r>
            <w:r>
              <w:rPr>
                <w:rFonts w:hint="default"/>
                <w:color w:val="auto"/>
                <w:sz w:val="24"/>
                <w:lang w:val="en-US" w:eastAsia="zh-CN"/>
              </w:rPr>
              <w:t>1+2+1</w:t>
            </w:r>
            <w:r>
              <w:rPr>
                <w:rFonts w:hint="eastAsia"/>
                <w:color w:val="auto"/>
                <w:sz w:val="24"/>
                <w:lang w:val="en-US" w:eastAsia="zh-CN"/>
              </w:rPr>
              <w:t>”</w:t>
            </w:r>
            <w:r>
              <w:rPr>
                <w:rFonts w:hint="default"/>
                <w:color w:val="auto"/>
                <w:sz w:val="24"/>
                <w:lang w:val="en-US" w:eastAsia="zh-CN"/>
              </w:rPr>
              <w:t>的主导产业体系，以新材料产业为引擎产业；以先进装备制造产业和文化旅游产业为支柱产业；以现代服务业为支撑产业。</w:t>
            </w:r>
          </w:p>
          <w:p w14:paraId="5B6077A0">
            <w:pPr>
              <w:keepNext w:val="0"/>
              <w:keepLines w:val="0"/>
              <w:pageBreakBefore w:val="0"/>
              <w:kinsoku/>
              <w:wordWrap/>
              <w:overflowPunct/>
              <w:topLinePunct w:val="0"/>
              <w:autoSpaceDE/>
              <w:autoSpaceDN/>
              <w:bidi w:val="0"/>
              <w:adjustRightInd/>
              <w:snapToGrid/>
              <w:spacing w:line="360" w:lineRule="auto"/>
              <w:jc w:val="both"/>
              <w:textAlignment w:val="auto"/>
              <w:rPr>
                <w:rFonts w:hint="default"/>
                <w:b/>
                <w:bCs/>
                <w:color w:val="auto"/>
                <w:sz w:val="24"/>
                <w:lang w:val="en-US" w:eastAsia="zh-CN"/>
              </w:rPr>
            </w:pPr>
            <w:r>
              <w:rPr>
                <w:rFonts w:hint="eastAsia"/>
                <w:b/>
                <w:bCs/>
                <w:color w:val="auto"/>
                <w:sz w:val="24"/>
                <w:lang w:val="en-US" w:eastAsia="zh-CN"/>
              </w:rPr>
              <w:t>（5）</w:t>
            </w:r>
            <w:r>
              <w:rPr>
                <w:rFonts w:hint="default"/>
                <w:b/>
                <w:bCs/>
                <w:color w:val="auto"/>
                <w:sz w:val="24"/>
                <w:lang w:val="en-US" w:eastAsia="zh-CN"/>
              </w:rPr>
              <w:t>总体空间布局：</w:t>
            </w:r>
          </w:p>
          <w:p w14:paraId="52A9A8FC">
            <w:pPr>
              <w:keepNext w:val="0"/>
              <w:keepLines w:val="0"/>
              <w:pageBreakBefore w:val="0"/>
              <w:kinsoku/>
              <w:wordWrap/>
              <w:overflowPunct/>
              <w:topLinePunct w:val="0"/>
              <w:autoSpaceDE/>
              <w:autoSpaceDN/>
              <w:bidi w:val="0"/>
              <w:adjustRightInd/>
              <w:snapToGrid/>
              <w:spacing w:line="360" w:lineRule="auto"/>
              <w:jc w:val="both"/>
              <w:textAlignment w:val="auto"/>
              <w:rPr>
                <w:rFonts w:hint="default"/>
                <w:color w:val="auto"/>
                <w:sz w:val="24"/>
                <w:lang w:val="en-US" w:eastAsia="zh-CN"/>
              </w:rPr>
            </w:pPr>
            <w:r>
              <w:rPr>
                <w:rFonts w:hint="default"/>
                <w:color w:val="auto"/>
                <w:sz w:val="24"/>
                <w:lang w:val="en-US" w:eastAsia="zh-CN"/>
              </w:rPr>
              <w:t>壶关经济开发区规划形成</w:t>
            </w:r>
            <w:r>
              <w:rPr>
                <w:rFonts w:hint="eastAsia"/>
                <w:color w:val="auto"/>
                <w:sz w:val="24"/>
                <w:lang w:val="en-US" w:eastAsia="zh-CN"/>
              </w:rPr>
              <w:t>“</w:t>
            </w:r>
            <w:r>
              <w:rPr>
                <w:rFonts w:hint="default"/>
                <w:color w:val="auto"/>
                <w:sz w:val="24"/>
                <w:lang w:val="en-US" w:eastAsia="zh-CN"/>
              </w:rPr>
              <w:t>一核、一轴、一廊、四区</w:t>
            </w:r>
            <w:r>
              <w:rPr>
                <w:rFonts w:hint="eastAsia"/>
                <w:color w:val="auto"/>
                <w:sz w:val="24"/>
                <w:lang w:val="en-US" w:eastAsia="zh-CN"/>
              </w:rPr>
              <w:t>”</w:t>
            </w:r>
            <w:r>
              <w:rPr>
                <w:rFonts w:hint="default"/>
                <w:color w:val="auto"/>
                <w:sz w:val="24"/>
                <w:lang w:val="en-US" w:eastAsia="zh-CN"/>
              </w:rPr>
              <w:t>的空间结构。</w:t>
            </w:r>
          </w:p>
          <w:p w14:paraId="7CE8C573">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1）</w:t>
            </w:r>
            <w:r>
              <w:rPr>
                <w:rFonts w:hint="default"/>
                <w:color w:val="auto"/>
                <w:sz w:val="24"/>
                <w:lang w:val="en-US" w:eastAsia="zh-CN"/>
              </w:rPr>
              <w:t>一核</w:t>
            </w:r>
          </w:p>
          <w:p w14:paraId="222D2560">
            <w:pPr>
              <w:keepNext w:val="0"/>
              <w:keepLines w:val="0"/>
              <w:pageBreakBefore w:val="0"/>
              <w:kinsoku/>
              <w:wordWrap/>
              <w:overflowPunct/>
              <w:topLinePunct w:val="0"/>
              <w:autoSpaceDE/>
              <w:autoSpaceDN/>
              <w:bidi w:val="0"/>
              <w:adjustRightInd/>
              <w:snapToGrid/>
              <w:spacing w:line="360" w:lineRule="auto"/>
              <w:jc w:val="both"/>
              <w:textAlignment w:val="auto"/>
              <w:rPr>
                <w:rFonts w:hint="default"/>
                <w:color w:val="auto"/>
                <w:sz w:val="24"/>
                <w:lang w:val="en-US" w:eastAsia="zh-CN"/>
              </w:rPr>
            </w:pPr>
            <w:r>
              <w:rPr>
                <w:rFonts w:hint="default"/>
                <w:color w:val="auto"/>
                <w:sz w:val="24"/>
                <w:lang w:val="en-US" w:eastAsia="zh-CN"/>
              </w:rPr>
              <w:t>综合服务核，位于长平高速连接线与西城北路交汇处，依托优越的交通地理位置和现有发展基础，规划为整个开发区提供城市综合服务的集行政办公、商业商务、企业总部、居住生活、科创研发、旅游接待等功能于一体的综合服务核心，带动城市与产业共生发展。</w:t>
            </w:r>
          </w:p>
          <w:p w14:paraId="18A9F887">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2）</w:t>
            </w:r>
            <w:r>
              <w:rPr>
                <w:rFonts w:hint="default"/>
                <w:color w:val="auto"/>
                <w:sz w:val="24"/>
                <w:lang w:val="en-US" w:eastAsia="zh-CN"/>
              </w:rPr>
              <w:t>一轴</w:t>
            </w:r>
          </w:p>
          <w:p w14:paraId="577EAC75">
            <w:pPr>
              <w:keepNext w:val="0"/>
              <w:keepLines w:val="0"/>
              <w:pageBreakBefore w:val="0"/>
              <w:kinsoku/>
              <w:wordWrap/>
              <w:overflowPunct/>
              <w:topLinePunct w:val="0"/>
              <w:autoSpaceDE/>
              <w:autoSpaceDN/>
              <w:bidi w:val="0"/>
              <w:adjustRightInd/>
              <w:snapToGrid/>
              <w:spacing w:line="360" w:lineRule="auto"/>
              <w:jc w:val="both"/>
              <w:textAlignment w:val="auto"/>
              <w:rPr>
                <w:rFonts w:hint="default"/>
                <w:color w:val="auto"/>
                <w:sz w:val="24"/>
                <w:lang w:val="en-US" w:eastAsia="zh-CN"/>
              </w:rPr>
            </w:pPr>
            <w:r>
              <w:rPr>
                <w:rFonts w:hint="default"/>
                <w:color w:val="auto"/>
                <w:sz w:val="24"/>
                <w:lang w:val="en-US" w:eastAsia="zh-CN"/>
              </w:rPr>
              <w:t>依托西城北路和北部水系形成贯穿开发区南北产城融合发展轴，该轴线是壶关县域重要的城镇发展轴，是联系县城与开发区的重要发展轴带，在开发区内部串联各大功能片区，连接生活配套、商业商务、产业片区等多个发展组团。</w:t>
            </w:r>
          </w:p>
          <w:p w14:paraId="6A3688AA">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3）</w:t>
            </w:r>
            <w:r>
              <w:rPr>
                <w:rFonts w:hint="default"/>
                <w:color w:val="auto"/>
                <w:sz w:val="24"/>
                <w:lang w:val="en-US" w:eastAsia="zh-CN"/>
              </w:rPr>
              <w:t>一廊</w:t>
            </w:r>
          </w:p>
          <w:p w14:paraId="295CFBAC">
            <w:pPr>
              <w:keepNext w:val="0"/>
              <w:keepLines w:val="0"/>
              <w:pageBreakBefore w:val="0"/>
              <w:kinsoku/>
              <w:wordWrap/>
              <w:overflowPunct/>
              <w:topLinePunct w:val="0"/>
              <w:autoSpaceDE/>
              <w:autoSpaceDN/>
              <w:bidi w:val="0"/>
              <w:adjustRightInd/>
              <w:snapToGrid/>
              <w:spacing w:line="360" w:lineRule="auto"/>
              <w:jc w:val="both"/>
              <w:textAlignment w:val="auto"/>
              <w:rPr>
                <w:rFonts w:hint="default"/>
                <w:color w:val="auto"/>
                <w:sz w:val="24"/>
                <w:lang w:val="en-US" w:eastAsia="zh-CN"/>
              </w:rPr>
            </w:pPr>
            <w:r>
              <w:rPr>
                <w:rFonts w:hint="default"/>
                <w:color w:val="auto"/>
                <w:sz w:val="24"/>
                <w:lang w:val="en-US" w:eastAsia="zh-CN"/>
              </w:rPr>
              <w:t>依托石子河形成石子河生态廊道，保障生态基流，提升河流防洪排涝能力，保护和修复水生态系统，加强滨水地区生态化治理，营造水清、岸绿、安全、宜人的滨水空间。</w:t>
            </w:r>
          </w:p>
          <w:p w14:paraId="22A73FD8">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4）</w:t>
            </w:r>
            <w:r>
              <w:rPr>
                <w:rFonts w:hint="default"/>
                <w:color w:val="auto"/>
                <w:sz w:val="24"/>
                <w:lang w:val="en-US" w:eastAsia="zh-CN"/>
              </w:rPr>
              <w:t>四区</w:t>
            </w:r>
          </w:p>
          <w:p w14:paraId="60C33934">
            <w:pPr>
              <w:keepNext w:val="0"/>
              <w:keepLines w:val="0"/>
              <w:pageBreakBefore w:val="0"/>
              <w:kinsoku/>
              <w:wordWrap/>
              <w:overflowPunct/>
              <w:topLinePunct w:val="0"/>
              <w:autoSpaceDE/>
              <w:autoSpaceDN/>
              <w:bidi w:val="0"/>
              <w:adjustRightInd/>
              <w:snapToGrid/>
              <w:spacing w:line="360" w:lineRule="auto"/>
              <w:jc w:val="both"/>
              <w:textAlignment w:val="auto"/>
              <w:rPr>
                <w:rFonts w:hint="eastAsia"/>
                <w:b/>
                <w:bCs/>
                <w:color w:val="auto"/>
                <w:sz w:val="24"/>
                <w:lang w:val="en-US" w:eastAsia="zh-CN"/>
              </w:rPr>
            </w:pPr>
            <w:r>
              <w:rPr>
                <w:rFonts w:hint="default"/>
                <w:color w:val="auto"/>
                <w:sz w:val="24"/>
                <w:lang w:val="en-US" w:eastAsia="zh-CN"/>
              </w:rPr>
              <w:t>即中部综合配套服务区、南部产业集聚区、北部产业集聚区、乡村振兴及生态涵养区。</w:t>
            </w:r>
          </w:p>
          <w:p w14:paraId="74E0C01E">
            <w:pPr>
              <w:keepNext w:val="0"/>
              <w:keepLines w:val="0"/>
              <w:pageBreakBefore w:val="0"/>
              <w:kinsoku/>
              <w:wordWrap/>
              <w:overflowPunct/>
              <w:topLinePunct w:val="0"/>
              <w:autoSpaceDE/>
              <w:autoSpaceDN/>
              <w:bidi w:val="0"/>
              <w:adjustRightInd/>
              <w:snapToGrid/>
              <w:spacing w:line="360" w:lineRule="auto"/>
              <w:jc w:val="both"/>
              <w:textAlignment w:val="auto"/>
              <w:rPr>
                <w:rFonts w:hint="default"/>
                <w:b/>
                <w:bCs/>
                <w:color w:val="auto"/>
                <w:sz w:val="24"/>
                <w:lang w:val="en-US" w:eastAsia="zh-CN"/>
              </w:rPr>
            </w:pPr>
            <w:r>
              <w:rPr>
                <w:rFonts w:hint="eastAsia"/>
                <w:b/>
                <w:bCs/>
                <w:color w:val="auto"/>
                <w:sz w:val="24"/>
                <w:lang w:val="en-US" w:eastAsia="zh-CN"/>
              </w:rPr>
              <w:t>（6）</w:t>
            </w:r>
            <w:r>
              <w:rPr>
                <w:rFonts w:hint="default"/>
                <w:b/>
                <w:bCs/>
                <w:color w:val="auto"/>
                <w:sz w:val="24"/>
                <w:lang w:val="en-US" w:eastAsia="zh-CN"/>
              </w:rPr>
              <w:t>用地布局：</w:t>
            </w:r>
          </w:p>
          <w:p w14:paraId="596EF494">
            <w:pPr>
              <w:keepNext w:val="0"/>
              <w:keepLines w:val="0"/>
              <w:pageBreakBefore w:val="0"/>
              <w:kinsoku/>
              <w:wordWrap/>
              <w:overflowPunct/>
              <w:topLinePunct w:val="0"/>
              <w:autoSpaceDE/>
              <w:autoSpaceDN/>
              <w:bidi w:val="0"/>
              <w:adjustRightInd/>
              <w:snapToGrid/>
              <w:spacing w:line="360" w:lineRule="auto"/>
              <w:jc w:val="both"/>
              <w:textAlignment w:val="auto"/>
              <w:rPr>
                <w:rFonts w:hint="default"/>
                <w:color w:val="auto"/>
                <w:sz w:val="24"/>
                <w:lang w:val="en-US" w:eastAsia="zh-CN"/>
              </w:rPr>
            </w:pPr>
            <w:r>
              <w:rPr>
                <w:rFonts w:hint="default"/>
                <w:color w:val="auto"/>
                <w:sz w:val="24"/>
                <w:lang w:val="en-US" w:eastAsia="zh-CN"/>
              </w:rPr>
              <w:t>开发区布局划分为12个功能片区。</w:t>
            </w:r>
          </w:p>
          <w:p w14:paraId="4927BD4F">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1）</w:t>
            </w:r>
            <w:r>
              <w:rPr>
                <w:rFonts w:hint="default"/>
                <w:color w:val="auto"/>
                <w:sz w:val="24"/>
                <w:lang w:val="en-US" w:eastAsia="zh-CN"/>
              </w:rPr>
              <w:t>综合服务配套片区：片区位于开发区中部，高速连接线南侧。规划布局安排管委会大楼、商务办公、研发中心、酒店宾馆、医院等公服设施，以及少量的配套居住用地。</w:t>
            </w:r>
          </w:p>
          <w:p w14:paraId="12D0C993">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2）</w:t>
            </w:r>
            <w:r>
              <w:rPr>
                <w:rFonts w:hint="default"/>
                <w:color w:val="auto"/>
                <w:sz w:val="24"/>
                <w:lang w:val="en-US" w:eastAsia="zh-CN"/>
              </w:rPr>
              <w:t>欢乐谷旅游配套片区：位于综合服务配套片区北侧，长平高速连接线南侧。规划欢乐谷景区逐步扩建到项目规划规模，在其南部安排一处商业设施用地，作为奥特莱斯项目用地。</w:t>
            </w:r>
          </w:p>
          <w:p w14:paraId="3FB93553">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3）</w:t>
            </w:r>
            <w:r>
              <w:rPr>
                <w:rFonts w:hint="default"/>
                <w:color w:val="auto"/>
                <w:sz w:val="24"/>
                <w:lang w:val="en-US" w:eastAsia="zh-CN"/>
              </w:rPr>
              <w:t>站前物流片区：位于中南铁路东侧，长平高速连接线北侧。规划结合长治一运项目，布局仓储物流用地，在站前广场两侧各布置一处商业设施用地。</w:t>
            </w:r>
          </w:p>
          <w:p w14:paraId="107F56E5">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4）</w:t>
            </w:r>
            <w:r>
              <w:rPr>
                <w:rFonts w:hint="default"/>
                <w:color w:val="auto"/>
                <w:sz w:val="24"/>
                <w:lang w:val="en-US" w:eastAsia="zh-CN"/>
              </w:rPr>
              <w:t>新材料产业片区：位于长钢货运专用线南侧，石子河北侧，规划特种钢产能控制在200万吨，积极盘活常平街两侧原常平集团老旧工业存量用地，实现工业用地二次开发和集约利用，培育新材料集群，布置新材料上下游企业。在中钢西部厂区（集店）南侧增加布置工业用地，安排中钢冷轧厂及配套项目用地。</w:t>
            </w:r>
          </w:p>
          <w:p w14:paraId="7E47E4FD">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5）</w:t>
            </w:r>
            <w:r>
              <w:rPr>
                <w:rFonts w:hint="default"/>
                <w:color w:val="auto"/>
                <w:sz w:val="24"/>
                <w:lang w:val="en-US" w:eastAsia="zh-CN"/>
              </w:rPr>
              <w:t>新材料及物流片区：位于中钢货运专用线北侧，综合服务配套片区南部，西城。规划在西部布置新材料产业用地、物流仓储用地以及配套的商业、商务办公设施。东部布局新材料工业用地。围绕科研用地周围布置一类工业用地，建设相关产业双创基地。</w:t>
            </w:r>
          </w:p>
          <w:p w14:paraId="5D73FE6C">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6）</w:t>
            </w:r>
            <w:r>
              <w:rPr>
                <w:rFonts w:hint="default"/>
                <w:color w:val="auto"/>
                <w:sz w:val="24"/>
                <w:lang w:val="en-US" w:eastAsia="zh-CN"/>
              </w:rPr>
              <w:t>装备制造业片区：位于长平高速连接线以北，规划布置二类工业用地，作为装备制造企业用地。在高速出入口的西南侧布局一处仓储物流用地。</w:t>
            </w:r>
          </w:p>
          <w:p w14:paraId="6FC984F6">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7）</w:t>
            </w:r>
            <w:r>
              <w:rPr>
                <w:rFonts w:hint="default"/>
                <w:color w:val="auto"/>
                <w:sz w:val="24"/>
                <w:lang w:val="en-US" w:eastAsia="zh-CN"/>
              </w:rPr>
              <w:t>民爆产业片区：片区位于开发区最南端，石子河南岸。规划布局为工业用地，为壶化集团关联项目用地。</w:t>
            </w:r>
          </w:p>
          <w:p w14:paraId="09EE03E1">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8）</w:t>
            </w:r>
            <w:r>
              <w:rPr>
                <w:rFonts w:hint="default"/>
                <w:color w:val="auto"/>
                <w:sz w:val="24"/>
                <w:lang w:val="en-US" w:eastAsia="zh-CN"/>
              </w:rPr>
              <w:t>太行风情文旅片区：位于元宝山南麓，石子河以北。规划结合现有的小镇项目及元宝山生态修复与整治，与太行欢乐谷项目联动发展，着力提升品质档次，让太行风情文旅融合更有深度。</w:t>
            </w:r>
          </w:p>
          <w:p w14:paraId="27DC1BB8">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9）</w:t>
            </w:r>
            <w:r>
              <w:rPr>
                <w:rFonts w:hint="default"/>
                <w:color w:val="auto"/>
                <w:sz w:val="24"/>
                <w:lang w:val="en-US" w:eastAsia="zh-CN"/>
              </w:rPr>
              <w:t>集店、常平居住片区：主要结合集店镇和常平村规划以居住为主的生活组团。规划主要布置行政办公用地、商业设施用地、居住用地、中小学用地、公共绿地等。常平居住片区主要在现状基础上增加商业设施和公园绿地。</w:t>
            </w:r>
          </w:p>
          <w:p w14:paraId="1B3D782B">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10）</w:t>
            </w:r>
            <w:r>
              <w:rPr>
                <w:rFonts w:hint="default"/>
                <w:color w:val="auto"/>
                <w:sz w:val="24"/>
                <w:lang w:val="en-US" w:eastAsia="zh-CN"/>
              </w:rPr>
              <w:t>乡村振兴示范片区：位于高速连接线与欢乐谷景区以东。规划保留现有三座村庄，深化与开发区产业融合，按照发展全域全季旅游的要求，结合现有的凤凰山庄项目，拓展“农文旅”的融合发展之路，推动康养结合的乡村旅游模式，积极培育家庭工场、手工作坊、乡村车间，就地吸纳农业人口。</w:t>
            </w:r>
          </w:p>
          <w:p w14:paraId="624049EB">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11）</w:t>
            </w:r>
            <w:r>
              <w:rPr>
                <w:rFonts w:hint="default"/>
                <w:color w:val="auto"/>
                <w:sz w:val="24"/>
                <w:lang w:val="en-US" w:eastAsia="zh-CN"/>
              </w:rPr>
              <w:t>美丽乡村与生态涵养区：片区位于开发区北部。规划推进人居环境整治，围绕精品民宿、文旅体验、户外运动、健康养老等绿色项目，推进美丽乡村建设。通过生态手段，推进南大河生态治理与修复。</w:t>
            </w:r>
          </w:p>
          <w:p w14:paraId="75308755">
            <w:pPr>
              <w:keepNext w:val="0"/>
              <w:keepLines w:val="0"/>
              <w:pageBreakBefore w:val="0"/>
              <w:kinsoku/>
              <w:wordWrap/>
              <w:overflowPunct/>
              <w:topLinePunct w:val="0"/>
              <w:autoSpaceDE/>
              <w:autoSpaceDN/>
              <w:bidi w:val="0"/>
              <w:adjustRightInd/>
              <w:snapToGrid/>
              <w:spacing w:line="360" w:lineRule="auto"/>
              <w:jc w:val="both"/>
              <w:textAlignment w:val="auto"/>
              <w:rPr>
                <w:rFonts w:hint="default"/>
                <w:color w:val="auto"/>
                <w:sz w:val="24"/>
                <w:highlight w:val="none"/>
                <w:lang w:val="en-US" w:eastAsia="zh-CN"/>
              </w:rPr>
            </w:pPr>
            <w:r>
              <w:rPr>
                <w:rFonts w:hint="eastAsia"/>
                <w:color w:val="auto"/>
                <w:sz w:val="24"/>
                <w:lang w:val="en-US" w:eastAsia="zh-CN"/>
              </w:rPr>
              <w:t>本项目为装配式建设项目，属于</w:t>
            </w:r>
            <w:r>
              <w:rPr>
                <w:rFonts w:hint="eastAsia"/>
                <w:color w:val="auto"/>
                <w:sz w:val="24"/>
                <w:highlight w:val="none"/>
                <w:lang w:val="en-US" w:eastAsia="zh-CN"/>
              </w:rPr>
              <w:t>水泥制品和</w:t>
            </w:r>
            <w:r>
              <w:rPr>
                <w:rFonts w:hint="default"/>
                <w:color w:val="auto"/>
                <w:sz w:val="24"/>
                <w:highlight w:val="none"/>
                <w:lang w:val="en-US" w:eastAsia="zh-CN"/>
              </w:rPr>
              <w:t>石墨及其他非金属矿物制品制造</w:t>
            </w:r>
            <w:r>
              <w:rPr>
                <w:rFonts w:hint="eastAsia"/>
                <w:color w:val="auto"/>
                <w:sz w:val="24"/>
                <w:highlight w:val="none"/>
                <w:lang w:val="en-US" w:eastAsia="zh-CN"/>
              </w:rPr>
              <w:t>，项目占地为工业用地，位于壶关经济开发区的东南部。对照壶关经济开发区总体规划空间结构规划图，本项目属于南部产业集聚区，项目建设</w:t>
            </w:r>
            <w:r>
              <w:rPr>
                <w:rFonts w:hint="eastAsia"/>
                <w:color w:val="auto"/>
                <w:sz w:val="24"/>
                <w:lang w:val="en-US" w:eastAsia="zh-CN"/>
              </w:rPr>
              <w:t>不违背</w:t>
            </w:r>
            <w:r>
              <w:rPr>
                <w:rFonts w:hint="default"/>
                <w:color w:val="auto"/>
                <w:sz w:val="24"/>
                <w:lang w:val="en-US" w:eastAsia="zh-CN"/>
              </w:rPr>
              <w:t>《壶关经济开发区扩区总体规划（2020-2035）》。</w:t>
            </w:r>
          </w:p>
          <w:p w14:paraId="38DA0871">
            <w:pPr>
              <w:keepNext w:val="0"/>
              <w:keepLines w:val="0"/>
              <w:pageBreakBefore w:val="0"/>
              <w:kinsoku/>
              <w:wordWrap/>
              <w:overflowPunct/>
              <w:topLinePunct w:val="0"/>
              <w:autoSpaceDE/>
              <w:autoSpaceDN/>
              <w:bidi w:val="0"/>
              <w:adjustRightInd/>
              <w:snapToGrid/>
              <w:spacing w:line="360" w:lineRule="auto"/>
              <w:jc w:val="both"/>
              <w:textAlignment w:val="auto"/>
              <w:rPr>
                <w:rFonts w:hint="default"/>
                <w:b/>
                <w:bCs/>
                <w:color w:val="auto"/>
                <w:sz w:val="24"/>
                <w:lang w:val="en-US" w:eastAsia="zh-CN"/>
              </w:rPr>
            </w:pPr>
            <w:r>
              <w:rPr>
                <w:rFonts w:hint="eastAsia"/>
                <w:b/>
                <w:bCs/>
                <w:color w:val="auto"/>
                <w:sz w:val="24"/>
                <w:lang w:val="en-US" w:eastAsia="zh-CN"/>
              </w:rPr>
              <w:t>（7）</w:t>
            </w:r>
            <w:r>
              <w:rPr>
                <w:rFonts w:hint="default"/>
                <w:b/>
                <w:bCs/>
                <w:color w:val="auto"/>
                <w:sz w:val="24"/>
                <w:lang w:val="en-US" w:eastAsia="zh-CN"/>
              </w:rPr>
              <w:t>开发区基础设施建设情况：</w:t>
            </w:r>
          </w:p>
          <w:p w14:paraId="6AC50511">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1）</w:t>
            </w:r>
            <w:r>
              <w:rPr>
                <w:rFonts w:hint="default"/>
                <w:color w:val="auto"/>
                <w:sz w:val="24"/>
                <w:lang w:val="en-US" w:eastAsia="zh-CN"/>
              </w:rPr>
              <w:t>给水工程规划</w:t>
            </w:r>
          </w:p>
          <w:p w14:paraId="76956F63">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color w:val="auto"/>
                <w:sz w:val="24"/>
                <w:lang w:val="en-US" w:eastAsia="zh-CN"/>
              </w:rPr>
              <w:t>供水水源：开发区内生活用水主要由城市供水系统统一进行供给，引自城市给水管道系统。由壶关县第一水厂、第二水厂作为主要水源。积极开发利用中水回用水源为工业用水水源。</w:t>
            </w:r>
          </w:p>
          <w:p w14:paraId="3020442A">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color w:val="auto"/>
                <w:sz w:val="24"/>
                <w:lang w:val="en-US" w:eastAsia="zh-CN"/>
              </w:rPr>
              <w:t>给水管网规划：管网规划结合开发区主干路网布置成环状主管网。给水主干管为DN400-DN600，支管为DN200-DN300。</w:t>
            </w:r>
          </w:p>
          <w:p w14:paraId="275B246E">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color w:val="auto"/>
                <w:sz w:val="24"/>
                <w:lang w:val="en-US" w:eastAsia="zh-CN"/>
              </w:rPr>
              <w:t>再生水规划：开发区北侧的开发区污水处理厂配建再生水厂（两厂场址合设）。再生水回用根据不同用途，水质必须符合《城市污水再生利用分类》（GB/T18919-2002）等相关标准的要求。</w:t>
            </w:r>
          </w:p>
          <w:p w14:paraId="18A8E7D1">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2）</w:t>
            </w:r>
            <w:r>
              <w:rPr>
                <w:rFonts w:hint="default"/>
                <w:color w:val="auto"/>
                <w:sz w:val="24"/>
                <w:lang w:val="en-US" w:eastAsia="zh-CN"/>
              </w:rPr>
              <w:t>排水工程规划</w:t>
            </w:r>
          </w:p>
          <w:p w14:paraId="0218C718">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color w:val="auto"/>
                <w:sz w:val="24"/>
                <w:lang w:val="en-US" w:eastAsia="zh-CN"/>
              </w:rPr>
              <w:t>排水体制选择：采用雨污分流的排水体制。</w:t>
            </w:r>
          </w:p>
          <w:p w14:paraId="7F6A868F">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color w:val="auto"/>
                <w:sz w:val="24"/>
                <w:lang w:val="en-US" w:eastAsia="zh-CN"/>
              </w:rPr>
              <w:t>雨水工程规划：依地面高程使雨水分散排入石子河和南大河沟。</w:t>
            </w:r>
          </w:p>
          <w:p w14:paraId="286AF96B">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color w:val="auto"/>
                <w:sz w:val="24"/>
                <w:lang w:val="en-US" w:eastAsia="zh-CN"/>
              </w:rPr>
              <w:t>污水处理厂规划：规划污水厂位于开发区北部，污水统一收集后排入污水处理厂进行净化和处理。</w:t>
            </w:r>
          </w:p>
          <w:p w14:paraId="5AD634F0">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color w:val="auto"/>
                <w:sz w:val="24"/>
                <w:lang w:val="en-US" w:eastAsia="zh-CN"/>
              </w:rPr>
              <w:t>污水管网布局：污水管道按照南高北低、东高西低的坡向顺坡敷设，以实现最佳的排放效果。根据地形条件，结合污水收集分区，各分区污水管线应结合道路网规划与市政道路同步施工建设。</w:t>
            </w:r>
          </w:p>
          <w:p w14:paraId="3F846329">
            <w:pPr>
              <w:keepNext w:val="0"/>
              <w:keepLines w:val="0"/>
              <w:pageBreakBefore w:val="0"/>
              <w:kinsoku/>
              <w:wordWrap/>
              <w:overflowPunct/>
              <w:topLinePunct w:val="0"/>
              <w:autoSpaceDE/>
              <w:autoSpaceDN/>
              <w:bidi w:val="0"/>
              <w:adjustRightInd/>
              <w:snapToGrid/>
              <w:spacing w:line="360" w:lineRule="auto"/>
              <w:jc w:val="both"/>
              <w:textAlignment w:val="auto"/>
              <w:rPr>
                <w:rFonts w:hint="default"/>
                <w:color w:val="auto"/>
                <w:sz w:val="24"/>
                <w:lang w:val="en-US" w:eastAsia="zh-CN"/>
              </w:rPr>
            </w:pPr>
            <w:r>
              <w:rPr>
                <w:rFonts w:hint="default"/>
                <w:color w:val="auto"/>
                <w:sz w:val="24"/>
                <w:lang w:val="en-US" w:eastAsia="zh-CN"/>
              </w:rPr>
              <w:t>各排水分区的污水收集后，经各分区污水干管送入规划的污水处理厂处理。污水管道的管径取D400-D1200。</w:t>
            </w:r>
          </w:p>
          <w:p w14:paraId="6FD96745">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3）</w:t>
            </w:r>
            <w:r>
              <w:rPr>
                <w:rFonts w:hint="default"/>
                <w:color w:val="auto"/>
                <w:sz w:val="24"/>
                <w:lang w:val="en-US" w:eastAsia="zh-CN"/>
              </w:rPr>
              <w:t>电力工程规划</w:t>
            </w:r>
          </w:p>
          <w:p w14:paraId="7EDBBA61">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color w:val="auto"/>
                <w:sz w:val="24"/>
                <w:lang w:val="en-US" w:eastAsia="zh-CN"/>
              </w:rPr>
              <w:t>电源规划：开发区电源引自西庄220KV变电站、集店110KV变电站和杜家河110KV变电站。</w:t>
            </w:r>
          </w:p>
          <w:p w14:paraId="7CFA5595">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color w:val="auto"/>
                <w:sz w:val="24"/>
                <w:lang w:val="en-US" w:eastAsia="zh-CN"/>
              </w:rPr>
              <w:t>电网规划：开发区10千伏配电网以10千伏开闭所为供电节点，形成电缆环网结线系统。开闭所主接线采用单母线分段，以确保每个开闭所都有两个方向的电源线。为避免近电远送，交叉供电，每个开闭所应有明确的供电区域。开闭所及10千伏电缆线路结合开发区规划建设同步进行。</w:t>
            </w:r>
          </w:p>
          <w:p w14:paraId="53E4461A">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4）</w:t>
            </w:r>
            <w:r>
              <w:rPr>
                <w:rFonts w:hint="default"/>
                <w:color w:val="auto"/>
                <w:sz w:val="24"/>
                <w:lang w:val="en-US" w:eastAsia="zh-CN"/>
              </w:rPr>
              <w:t>燃气工程规划</w:t>
            </w:r>
          </w:p>
          <w:p w14:paraId="286C4DFA">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color w:val="auto"/>
                <w:sz w:val="24"/>
                <w:lang w:val="en-US" w:eastAsia="zh-CN"/>
              </w:rPr>
              <w:t>气源规划：壶关城北燃气调压站作为开发区主要气源。</w:t>
            </w:r>
          </w:p>
          <w:p w14:paraId="451D7D6B">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color w:val="auto"/>
                <w:sz w:val="24"/>
                <w:lang w:val="en-US" w:eastAsia="zh-CN"/>
              </w:rPr>
              <w:t>燃气管网规划：居民用户燃气管网采用中压一级管网方式，天然气管网布置采用环状为主，环枝结合的方式。</w:t>
            </w:r>
          </w:p>
          <w:p w14:paraId="27F37516">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ascii="Times New Roman" w:hAnsi="Times New Roman" w:eastAsia="宋体" w:cs="宋体"/>
                <w:color w:val="auto"/>
                <w:kern w:val="2"/>
                <w:sz w:val="24"/>
                <w:szCs w:val="24"/>
                <w:lang w:val="en-US" w:eastAsia="zh-CN" w:bidi="ar-SA"/>
              </w:rPr>
              <w:t>5）</w:t>
            </w:r>
            <w:r>
              <w:rPr>
                <w:rFonts w:hint="default"/>
                <w:color w:val="auto"/>
                <w:sz w:val="24"/>
                <w:lang w:val="en-US" w:eastAsia="zh-CN"/>
              </w:rPr>
              <w:t>供热工程规划</w:t>
            </w:r>
          </w:p>
          <w:p w14:paraId="2A2ABAD5">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color w:val="auto"/>
                <w:sz w:val="24"/>
                <w:lang w:val="en-US" w:eastAsia="zh-CN"/>
              </w:rPr>
              <w:t>热源：规划采用集中供热的方式为主，其他热源作为补充。工业企业采暖可考虑结合蒸汽需求设置小型燃气锅炉房，采用太阳能系统、工业余热系统、设置分布式能源站等方式进行供暖。规划在西庄村南部设置区域锅炉房一座，占地4.26公顷。</w:t>
            </w:r>
          </w:p>
          <w:p w14:paraId="12C22B73">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sz w:val="24"/>
                <w:lang w:val="en-US" w:eastAsia="zh-CN"/>
              </w:rPr>
            </w:pPr>
            <w:r>
              <w:rPr>
                <w:rFonts w:hint="default"/>
                <w:color w:val="auto"/>
                <w:sz w:val="24"/>
                <w:lang w:val="en-US" w:eastAsia="zh-CN"/>
              </w:rPr>
              <w:t>供热管网规划：供热管网采用枝状方式布置直埋敷设，穿越河流时可随桥架空敷设。管网布置力求管路短直，干管尽可能通过热负荷中心和接引支管较多的区域，尽可能缩短管网的总长度。</w:t>
            </w:r>
          </w:p>
          <w:p w14:paraId="2420ECF7">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宋体"/>
                <w:b/>
                <w:bCs/>
                <w:color w:val="auto"/>
                <w:kern w:val="2"/>
                <w:sz w:val="24"/>
                <w:szCs w:val="24"/>
                <w:lang w:val="en-US" w:eastAsia="zh-CN" w:bidi="ar-SA"/>
              </w:rPr>
            </w:pPr>
            <w:r>
              <w:rPr>
                <w:rFonts w:hint="default"/>
                <w:color w:val="auto"/>
                <w:sz w:val="24"/>
                <w:lang w:val="en-US" w:eastAsia="zh-CN"/>
              </w:rPr>
              <w:t>本项目为</w:t>
            </w:r>
            <w:r>
              <w:rPr>
                <w:rFonts w:hint="default"/>
                <w:color w:val="auto"/>
                <w:sz w:val="24"/>
                <w:highlight w:val="none"/>
                <w:lang w:val="en-US" w:eastAsia="zh-CN"/>
              </w:rPr>
              <w:t>水泥制品和石墨及其他非金属矿物制品制造</w:t>
            </w:r>
            <w:r>
              <w:rPr>
                <w:rFonts w:hint="default"/>
                <w:color w:val="auto"/>
                <w:sz w:val="24"/>
                <w:lang w:val="en-US" w:eastAsia="zh-CN"/>
              </w:rPr>
              <w:t>，不使用天然气；生产车间不供暖，办公区供暖采用空调；</w:t>
            </w:r>
            <w:r>
              <w:rPr>
                <w:rFonts w:hint="default"/>
                <w:color w:val="auto"/>
                <w:sz w:val="24"/>
                <w:highlight w:val="none"/>
                <w:lang w:val="en-US" w:eastAsia="zh-CN"/>
              </w:rPr>
              <w:t>职工</w:t>
            </w:r>
            <w:r>
              <w:rPr>
                <w:rFonts w:hint="eastAsia"/>
                <w:color w:val="auto"/>
                <w:sz w:val="24"/>
                <w:highlight w:val="none"/>
                <w:lang w:val="en-US" w:eastAsia="zh-CN"/>
              </w:rPr>
              <w:t>生活污水通过厂区总排口排入市政污水管网进入壶关县第二污水处理厂处理</w:t>
            </w:r>
            <w:r>
              <w:rPr>
                <w:rFonts w:hint="default"/>
                <w:color w:val="auto"/>
                <w:sz w:val="24"/>
                <w:highlight w:val="none"/>
                <w:lang w:val="en-US" w:eastAsia="zh-CN"/>
              </w:rPr>
              <w:t>，生产废水综合利用，不外排</w:t>
            </w:r>
            <w:r>
              <w:rPr>
                <w:rFonts w:hint="default"/>
                <w:color w:val="auto"/>
                <w:sz w:val="24"/>
                <w:lang w:val="en-US" w:eastAsia="zh-CN"/>
              </w:rPr>
              <w:t>；项目主要消耗能源为电能和水，根据开发区基础设施规划，开发区供电、供水管网可接至本项目厂区，可满足本项目需求。</w:t>
            </w:r>
          </w:p>
          <w:p w14:paraId="26669C20">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Times New Roman" w:hAnsi="Times New Roman" w:eastAsia="宋体" w:cs="宋体"/>
                <w:b/>
                <w:bCs/>
                <w:color w:val="auto"/>
                <w:kern w:val="2"/>
                <w:sz w:val="24"/>
                <w:szCs w:val="24"/>
                <w:lang w:val="en-US" w:eastAsia="zh-CN" w:bidi="ar-SA"/>
              </w:rPr>
            </w:pPr>
            <w:r>
              <w:rPr>
                <w:rFonts w:hint="eastAsia" w:ascii="Times New Roman" w:hAnsi="Times New Roman" w:eastAsia="宋体" w:cs="宋体"/>
                <w:b/>
                <w:bCs/>
                <w:color w:val="auto"/>
                <w:kern w:val="2"/>
                <w:sz w:val="24"/>
                <w:szCs w:val="24"/>
                <w:lang w:val="en-US" w:eastAsia="zh-CN" w:bidi="ar-SA"/>
              </w:rPr>
              <w:t>1.2与《壶关经济开发区扩区总体规划（2020-2035）环境影响报告书》</w:t>
            </w:r>
            <w:r>
              <w:rPr>
                <w:rFonts w:hint="eastAsia" w:cs="宋体"/>
                <w:b/>
                <w:bCs/>
                <w:color w:val="auto"/>
                <w:kern w:val="2"/>
                <w:sz w:val="24"/>
                <w:szCs w:val="24"/>
                <w:lang w:val="en-US" w:eastAsia="zh-CN" w:bidi="ar-SA"/>
              </w:rPr>
              <w:t>及其审查意见</w:t>
            </w:r>
            <w:r>
              <w:rPr>
                <w:rFonts w:hint="eastAsia" w:ascii="Times New Roman" w:hAnsi="Times New Roman" w:eastAsia="宋体" w:cs="宋体"/>
                <w:b/>
                <w:bCs/>
                <w:color w:val="auto"/>
                <w:kern w:val="2"/>
                <w:sz w:val="24"/>
                <w:szCs w:val="24"/>
                <w:lang w:val="en-US" w:eastAsia="zh-CN" w:bidi="ar-SA"/>
              </w:rPr>
              <w:t>的符合性分析</w:t>
            </w:r>
          </w:p>
          <w:p w14:paraId="22810111">
            <w:pPr>
              <w:keepNext w:val="0"/>
              <w:keepLines w:val="0"/>
              <w:pageBreakBefore w:val="0"/>
              <w:widowControl/>
              <w:kinsoku/>
              <w:wordWrap/>
              <w:overflowPunct/>
              <w:topLinePunct w:val="0"/>
              <w:autoSpaceDE/>
              <w:autoSpaceDN/>
              <w:bidi w:val="0"/>
              <w:adjustRightInd/>
              <w:snapToGrid w:val="0"/>
              <w:spacing w:before="328" w:beforeLines="100" w:line="240" w:lineRule="auto"/>
              <w:ind w:left="0" w:leftChars="0" w:firstLine="0" w:firstLineChars="0"/>
              <w:contextualSpacing/>
              <w:jc w:val="center"/>
              <w:textAlignment w:val="baseline"/>
              <w:rPr>
                <w:rFonts w:hint="eastAsia" w:eastAsia="宋体"/>
                <w:b/>
                <w:bCs w:val="0"/>
                <w:color w:val="auto"/>
                <w:kern w:val="0"/>
                <w:sz w:val="21"/>
                <w:szCs w:val="21"/>
                <w:u w:val="none" w:color="000000"/>
                <w:lang w:val="en-US" w:eastAsia="zh-CN"/>
              </w:rPr>
            </w:pPr>
            <w:r>
              <w:rPr>
                <w:rFonts w:hint="eastAsia" w:eastAsia="宋体"/>
                <w:b/>
                <w:bCs w:val="0"/>
                <w:color w:val="auto"/>
                <w:kern w:val="0"/>
                <w:sz w:val="21"/>
                <w:szCs w:val="21"/>
                <w:u w:val="none" w:color="000000"/>
                <w:lang w:val="en-US" w:eastAsia="zh-CN"/>
              </w:rPr>
              <w:t>表1-1与《壶关经济开发区扩区总体规划（2020-2035）环境影响报告书》符合性分析一览表</w:t>
            </w:r>
          </w:p>
          <w:tbl>
            <w:tblPr>
              <w:tblStyle w:val="28"/>
              <w:tblW w:w="5000" w:type="pct"/>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395"/>
              <w:gridCol w:w="3810"/>
              <w:gridCol w:w="1970"/>
              <w:gridCol w:w="878"/>
            </w:tblGrid>
            <w:tr w14:paraId="26BA8FF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280" w:type="pct"/>
                  <w:noWrap w:val="0"/>
                  <w:vAlign w:val="center"/>
                </w:tcPr>
                <w:p w14:paraId="7FFBBE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color w:val="auto"/>
                      <w:sz w:val="21"/>
                      <w:szCs w:val="21"/>
                    </w:rPr>
                  </w:pPr>
                  <w:r>
                    <w:rPr>
                      <w:rFonts w:hint="eastAsia" w:ascii="Times New Roman" w:hAnsi="Times New Roman" w:eastAsia="宋体"/>
                      <w:b/>
                      <w:color w:val="auto"/>
                      <w:sz w:val="21"/>
                      <w:szCs w:val="21"/>
                    </w:rPr>
                    <w:t>序号</w:t>
                  </w:r>
                </w:p>
              </w:tc>
              <w:tc>
                <w:tcPr>
                  <w:tcW w:w="2700" w:type="pct"/>
                  <w:noWrap w:val="0"/>
                  <w:vAlign w:val="center"/>
                </w:tcPr>
                <w:p w14:paraId="1ACE13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color w:val="auto"/>
                      <w:sz w:val="21"/>
                      <w:szCs w:val="21"/>
                      <w:lang w:eastAsia="zh-CN"/>
                    </w:rPr>
                  </w:pPr>
                  <w:r>
                    <w:rPr>
                      <w:rFonts w:hint="eastAsia"/>
                      <w:b/>
                      <w:color w:val="auto"/>
                      <w:sz w:val="21"/>
                      <w:szCs w:val="21"/>
                      <w:lang w:val="en-US" w:eastAsia="zh-CN"/>
                    </w:rPr>
                    <w:t>规划要求</w:t>
                  </w:r>
                </w:p>
              </w:tc>
              <w:tc>
                <w:tcPr>
                  <w:tcW w:w="1396" w:type="pct"/>
                  <w:noWrap w:val="0"/>
                  <w:vAlign w:val="center"/>
                </w:tcPr>
                <w:p w14:paraId="152CAD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color w:val="auto"/>
                      <w:sz w:val="21"/>
                      <w:szCs w:val="21"/>
                      <w:lang w:eastAsia="zh-CN"/>
                    </w:rPr>
                  </w:pPr>
                  <w:r>
                    <w:rPr>
                      <w:rFonts w:hint="eastAsia" w:ascii="Times New Roman" w:hAnsi="Times New Roman" w:eastAsia="宋体"/>
                      <w:b/>
                      <w:color w:val="auto"/>
                      <w:sz w:val="21"/>
                      <w:szCs w:val="21"/>
                    </w:rPr>
                    <w:t>本项目</w:t>
                  </w:r>
                  <w:r>
                    <w:rPr>
                      <w:rFonts w:hint="eastAsia"/>
                      <w:b/>
                      <w:color w:val="auto"/>
                      <w:sz w:val="21"/>
                      <w:szCs w:val="21"/>
                      <w:lang w:val="en-US" w:eastAsia="zh-CN"/>
                    </w:rPr>
                    <w:t>情况</w:t>
                  </w:r>
                </w:p>
              </w:tc>
              <w:tc>
                <w:tcPr>
                  <w:tcW w:w="622" w:type="pct"/>
                  <w:noWrap w:val="0"/>
                  <w:vAlign w:val="center"/>
                </w:tcPr>
                <w:p w14:paraId="3F1075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color w:val="auto"/>
                      <w:sz w:val="21"/>
                      <w:szCs w:val="21"/>
                    </w:rPr>
                  </w:pPr>
                  <w:r>
                    <w:rPr>
                      <w:rFonts w:hint="eastAsia" w:ascii="Times New Roman" w:hAnsi="Times New Roman" w:eastAsia="宋体"/>
                      <w:b/>
                      <w:color w:val="auto"/>
                      <w:sz w:val="21"/>
                      <w:szCs w:val="21"/>
                    </w:rPr>
                    <w:t>符合性</w:t>
                  </w:r>
                </w:p>
              </w:tc>
            </w:tr>
            <w:tr w14:paraId="41B9DFF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280" w:type="pct"/>
                  <w:noWrap w:val="0"/>
                  <w:vAlign w:val="center"/>
                </w:tcPr>
                <w:p w14:paraId="54D5B8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1</w:t>
                  </w:r>
                </w:p>
              </w:tc>
              <w:tc>
                <w:tcPr>
                  <w:tcW w:w="2700" w:type="pct"/>
                  <w:noWrap w:val="0"/>
                  <w:vAlign w:val="center"/>
                </w:tcPr>
                <w:p w14:paraId="594275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对易产生扬尘的粉状、粒状物料密闭储存，采用密闭皮带、封闭通廊、管状带式输送机或密闭车厢、真空罐车、气力输送等密闭输送方式运输；块状物料采用入棚入仓或建设防风抑尘网等方式进行存储，并设有洒水、喷淋、苫盖等综合措施进行抑尘。</w:t>
                  </w:r>
                </w:p>
                <w:p w14:paraId="702B51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生产工艺产尘点（装置）应加盖封闭，设置集气罩并配备除尘设施；生产现场和料场路面应实施硬化，出口处配备车轮和车身清洗装置。</w:t>
                  </w:r>
                </w:p>
                <w:p w14:paraId="5DB9B0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园区内企业依法使用排放合格的机械设备，鼓励优先使用新能源或清洁能源非道路移动机械。开发区内新增和更换的场吊、吊车等作业机械，主要采用新能源或清洁能源机械。提高机动车船和非道路移动机械绿色低碳水平。</w:t>
                  </w:r>
                </w:p>
              </w:tc>
              <w:tc>
                <w:tcPr>
                  <w:tcW w:w="1396" w:type="pct"/>
                  <w:noWrap w:val="0"/>
                  <w:vAlign w:val="center"/>
                </w:tcPr>
                <w:p w14:paraId="65B886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本项目</w:t>
                  </w:r>
                  <w:r>
                    <w:rPr>
                      <w:rFonts w:hint="eastAsia"/>
                      <w:color w:val="auto"/>
                      <w:sz w:val="21"/>
                      <w:szCs w:val="21"/>
                      <w:lang w:val="en-US" w:eastAsia="zh-CN"/>
                    </w:rPr>
                    <w:t>原料石子、水洗砂、水泥、粉煤灰采用密闭皮带的</w:t>
                  </w:r>
                  <w:r>
                    <w:rPr>
                      <w:rFonts w:hint="eastAsia" w:ascii="Times New Roman" w:hAnsi="Times New Roman" w:eastAsia="宋体"/>
                      <w:color w:val="auto"/>
                      <w:sz w:val="21"/>
                      <w:szCs w:val="21"/>
                    </w:rPr>
                    <w:t>密闭输送方式运输</w:t>
                  </w:r>
                  <w:r>
                    <w:rPr>
                      <w:rFonts w:hint="eastAsia" w:ascii="Times New Roman" w:hAnsi="Times New Roman" w:eastAsia="宋体"/>
                      <w:color w:val="auto"/>
                      <w:sz w:val="21"/>
                      <w:szCs w:val="21"/>
                      <w:lang w:eastAsia="zh-CN"/>
                    </w:rPr>
                    <w:t>，</w:t>
                  </w:r>
                  <w:r>
                    <w:rPr>
                      <w:rFonts w:hint="eastAsia"/>
                      <w:color w:val="auto"/>
                      <w:sz w:val="21"/>
                      <w:szCs w:val="21"/>
                      <w:lang w:val="en-US" w:eastAsia="zh-CN"/>
                    </w:rPr>
                    <w:t>并在封闭车间、原料库、成品堆场设有喷淋等综合措施进行抑尘。</w:t>
                  </w:r>
                  <w:r>
                    <w:rPr>
                      <w:rFonts w:hint="eastAsia" w:ascii="Times New Roman" w:hAnsi="Times New Roman" w:eastAsia="宋体"/>
                      <w:color w:val="auto"/>
                      <w:sz w:val="21"/>
                      <w:szCs w:val="21"/>
                      <w:lang w:eastAsia="zh-CN"/>
                    </w:rPr>
                    <w:t>入料口设置了集气罩并配备除尘设施；路面进行硬化处理</w:t>
                  </w:r>
                  <w:r>
                    <w:rPr>
                      <w:rFonts w:hint="eastAsia"/>
                      <w:color w:val="auto"/>
                      <w:sz w:val="21"/>
                      <w:szCs w:val="21"/>
                      <w:lang w:eastAsia="zh-CN"/>
                    </w:rPr>
                    <w:t>；</w:t>
                  </w:r>
                  <w:r>
                    <w:rPr>
                      <w:rFonts w:hint="eastAsia"/>
                      <w:color w:val="auto"/>
                      <w:sz w:val="21"/>
                      <w:szCs w:val="21"/>
                      <w:lang w:val="en-US" w:eastAsia="zh-CN"/>
                    </w:rPr>
                    <w:t>出入口处设置洗车平台对车轮和车身进行冲洗</w:t>
                  </w:r>
                  <w:r>
                    <w:rPr>
                      <w:rFonts w:hint="eastAsia" w:ascii="Times New Roman" w:hAnsi="Times New Roman" w:eastAsia="宋体"/>
                      <w:color w:val="auto"/>
                      <w:sz w:val="21"/>
                      <w:szCs w:val="21"/>
                      <w:lang w:eastAsia="zh-CN"/>
                    </w:rPr>
                    <w:t>。环评要求使用</w:t>
                  </w:r>
                  <w:r>
                    <w:rPr>
                      <w:rFonts w:hint="eastAsia"/>
                      <w:color w:val="auto"/>
                      <w:sz w:val="21"/>
                      <w:szCs w:val="21"/>
                      <w:lang w:val="en-US" w:eastAsia="zh-CN"/>
                    </w:rPr>
                    <w:t>新能源</w:t>
                  </w:r>
                  <w:r>
                    <w:rPr>
                      <w:rFonts w:hint="eastAsia" w:ascii="Times New Roman" w:hAnsi="Times New Roman" w:eastAsia="宋体"/>
                      <w:color w:val="auto"/>
                      <w:sz w:val="21"/>
                      <w:szCs w:val="21"/>
                    </w:rPr>
                    <w:t>汽车或符合国</w:t>
                  </w:r>
                  <w:r>
                    <w:rPr>
                      <w:rFonts w:hint="eastAsia"/>
                      <w:color w:val="auto"/>
                      <w:sz w:val="21"/>
                      <w:szCs w:val="21"/>
                      <w:lang w:val="en-US" w:eastAsia="zh-CN"/>
                    </w:rPr>
                    <w:t>六及以上</w:t>
                  </w:r>
                  <w:r>
                    <w:rPr>
                      <w:rFonts w:hint="eastAsia" w:ascii="Times New Roman" w:hAnsi="Times New Roman" w:eastAsia="宋体"/>
                      <w:color w:val="auto"/>
                      <w:sz w:val="21"/>
                      <w:szCs w:val="21"/>
                    </w:rPr>
                    <w:t>标准的车辆</w:t>
                  </w:r>
                  <w:r>
                    <w:rPr>
                      <w:rFonts w:hint="eastAsia" w:ascii="Times New Roman" w:hAnsi="Times New Roman" w:eastAsia="宋体"/>
                      <w:color w:val="auto"/>
                      <w:sz w:val="21"/>
                      <w:szCs w:val="21"/>
                      <w:lang w:eastAsia="zh-CN"/>
                    </w:rPr>
                    <w:t>。</w:t>
                  </w:r>
                </w:p>
              </w:tc>
              <w:tc>
                <w:tcPr>
                  <w:tcW w:w="622" w:type="pct"/>
                  <w:noWrap w:val="0"/>
                  <w:vAlign w:val="center"/>
                </w:tcPr>
                <w:p w14:paraId="59A7A9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符合</w:t>
                  </w:r>
                </w:p>
              </w:tc>
            </w:tr>
            <w:tr w14:paraId="58AF2CE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280" w:type="pct"/>
                  <w:noWrap w:val="0"/>
                  <w:vAlign w:val="center"/>
                </w:tcPr>
                <w:p w14:paraId="7791D6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2</w:t>
                  </w:r>
                </w:p>
              </w:tc>
              <w:tc>
                <w:tcPr>
                  <w:tcW w:w="2700" w:type="pct"/>
                  <w:noWrap w:val="0"/>
                  <w:vAlign w:val="center"/>
                </w:tcPr>
                <w:p w14:paraId="396F5F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强化入区企业和开发区层面的雨污分流、清污分流管网建设，加大各类废水的收集率，为节约水资源，实现水的处</w:t>
                  </w:r>
                </w:p>
                <w:p w14:paraId="744A82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理和回用提供条件，做到分质利用。规划入区企业产生的含污染废水收集率达 100%，处理率达 100%。入区企业</w:t>
                  </w:r>
                </w:p>
                <w:p w14:paraId="23A4B5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内部及开发区排水体制均采取清污分流、雨污分流。企业内部分别设置污水管网和雨水管网，分别收集各类污废</w:t>
                  </w:r>
                </w:p>
                <w:p w14:paraId="3F13F2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水，尽可能实现企业内部分质回用。</w:t>
                  </w:r>
                </w:p>
                <w:p w14:paraId="72D8EE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入区企业内部应设置合理规模的事故池，用于收集事故废水和初期雨水，确保事故情况下污水不外排。</w:t>
                  </w:r>
                </w:p>
              </w:tc>
              <w:tc>
                <w:tcPr>
                  <w:tcW w:w="1396" w:type="pct"/>
                  <w:noWrap w:val="0"/>
                  <w:vAlign w:val="center"/>
                </w:tcPr>
                <w:p w14:paraId="13408B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本项目</w:t>
                  </w:r>
                  <w:r>
                    <w:rPr>
                      <w:rFonts w:hint="eastAsia"/>
                      <w:color w:val="auto"/>
                      <w:sz w:val="21"/>
                      <w:szCs w:val="21"/>
                      <w:lang w:val="en-US" w:eastAsia="zh-CN"/>
                    </w:rPr>
                    <w:t>实行雨污分流，</w:t>
                  </w:r>
                  <w:r>
                    <w:rPr>
                      <w:rFonts w:hint="eastAsia" w:ascii="Times New Roman" w:hAnsi="Times New Roman" w:eastAsia="宋体"/>
                      <w:color w:val="auto"/>
                      <w:sz w:val="21"/>
                      <w:szCs w:val="21"/>
                      <w:lang w:val="en-US" w:eastAsia="zh-CN"/>
                    </w:rPr>
                    <w:t>生产废水</w:t>
                  </w:r>
                  <w:r>
                    <w:rPr>
                      <w:rFonts w:hint="eastAsia"/>
                      <w:color w:val="auto"/>
                      <w:sz w:val="21"/>
                      <w:szCs w:val="21"/>
                      <w:lang w:val="en-US" w:eastAsia="zh-CN"/>
                    </w:rPr>
                    <w:t>进入集水罐沉淀处理后</w:t>
                  </w:r>
                  <w:r>
                    <w:rPr>
                      <w:rFonts w:hint="eastAsia" w:ascii="Times New Roman" w:hAnsi="Times New Roman" w:eastAsia="宋体"/>
                      <w:color w:val="auto"/>
                      <w:sz w:val="21"/>
                      <w:szCs w:val="21"/>
                      <w:lang w:val="en-US" w:eastAsia="zh-CN"/>
                    </w:rPr>
                    <w:t>回用不外排</w:t>
                  </w:r>
                  <w:r>
                    <w:rPr>
                      <w:rFonts w:hint="eastAsia"/>
                      <w:color w:val="auto"/>
                      <w:sz w:val="21"/>
                      <w:szCs w:val="21"/>
                      <w:lang w:val="en-US" w:eastAsia="zh-CN"/>
                    </w:rPr>
                    <w:t>，节约水资源；雨水经雨水收集池收集后用于道路洒水</w:t>
                  </w:r>
                  <w:r>
                    <w:rPr>
                      <w:rFonts w:hint="eastAsia" w:ascii="Times New Roman" w:hAnsi="Times New Roman" w:eastAsia="宋体"/>
                      <w:color w:val="auto"/>
                      <w:sz w:val="21"/>
                      <w:szCs w:val="21"/>
                      <w:lang w:val="en-US" w:eastAsia="zh-CN"/>
                    </w:rPr>
                    <w:t>。</w:t>
                  </w:r>
                </w:p>
              </w:tc>
              <w:tc>
                <w:tcPr>
                  <w:tcW w:w="622" w:type="pct"/>
                  <w:noWrap w:val="0"/>
                  <w:vAlign w:val="center"/>
                </w:tcPr>
                <w:p w14:paraId="54540F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符合</w:t>
                  </w:r>
                </w:p>
              </w:tc>
            </w:tr>
            <w:tr w14:paraId="12AA891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280" w:type="pct"/>
                  <w:noWrap w:val="0"/>
                  <w:vAlign w:val="center"/>
                </w:tcPr>
                <w:p w14:paraId="361A14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3</w:t>
                  </w:r>
                </w:p>
              </w:tc>
              <w:tc>
                <w:tcPr>
                  <w:tcW w:w="2700" w:type="pct"/>
                  <w:noWrap w:val="0"/>
                  <w:vAlign w:val="center"/>
                </w:tcPr>
                <w:p w14:paraId="3D9A67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入区项目的噪声设备应选择低噪声先进设备，因地制宜安装消声器、隔声罩、减震底座，建隔声间、隔声门窗、车</w:t>
                  </w:r>
                </w:p>
                <w:p w14:paraId="4A747D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间装设吸声材料等多种措施，严格按照经批准的环境影响评价报告书（表）中规定的噪声污染防治措施实施。</w:t>
                  </w:r>
                </w:p>
                <w:p w14:paraId="01684E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加强厂区绿化，特别是在有高噪声设备处和厂界之间应设置绿化带，利用树木的吸声、消声作用减小厂界噪声影响。</w:t>
                  </w:r>
                </w:p>
                <w:p w14:paraId="5ACCF3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eastAsia="zh-CN"/>
                    </w:rPr>
                    <w:t>在工业区和居住区之间应建立绿化隔离带，并加强对影响周围居民的噪声超标单位进行限期治理。</w:t>
                  </w:r>
                </w:p>
              </w:tc>
              <w:tc>
                <w:tcPr>
                  <w:tcW w:w="1396" w:type="pct"/>
                  <w:noWrap w:val="0"/>
                  <w:vAlign w:val="center"/>
                </w:tcPr>
                <w:p w14:paraId="06A62D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本项目采用了低</w:t>
                  </w:r>
                </w:p>
                <w:p w14:paraId="164A5C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噪声先进设备，采</w:t>
                  </w:r>
                </w:p>
                <w:p w14:paraId="3DD389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取了减震、密闭车</w:t>
                  </w:r>
                </w:p>
                <w:p w14:paraId="19DD4C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间隔声等措施。厂</w:t>
                  </w:r>
                </w:p>
                <w:p w14:paraId="6AA5CF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区内设有绿化，以</w:t>
                  </w:r>
                </w:p>
                <w:p w14:paraId="11D981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减少噪声影响。</w:t>
                  </w:r>
                </w:p>
              </w:tc>
              <w:tc>
                <w:tcPr>
                  <w:tcW w:w="622" w:type="pct"/>
                  <w:noWrap w:val="0"/>
                  <w:vAlign w:val="center"/>
                </w:tcPr>
                <w:p w14:paraId="49A246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符合</w:t>
                  </w:r>
                </w:p>
              </w:tc>
            </w:tr>
            <w:tr w14:paraId="7755A2F6">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280" w:type="pct"/>
                  <w:noWrap w:val="0"/>
                  <w:vAlign w:val="center"/>
                </w:tcPr>
                <w:p w14:paraId="0AB348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4</w:t>
                  </w:r>
                </w:p>
              </w:tc>
              <w:tc>
                <w:tcPr>
                  <w:tcW w:w="2700" w:type="pct"/>
                  <w:noWrap w:val="0"/>
                  <w:vAlign w:val="center"/>
                </w:tcPr>
                <w:p w14:paraId="41C2CB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开发区可通过调整工业结构，废金属、废塑料等固体废物的综合利用，积极拓展和延伸废物综合利用的产业链，实现对一般工业固体废物排放和处置的</w:t>
                  </w:r>
                  <w:r>
                    <w:rPr>
                      <w:rFonts w:hint="eastAsia"/>
                      <w:color w:val="auto"/>
                      <w:sz w:val="21"/>
                      <w:szCs w:val="21"/>
                      <w:lang w:val="en-US" w:eastAsia="zh-CN"/>
                    </w:rPr>
                    <w:t>控制</w:t>
                  </w:r>
                  <w:r>
                    <w:rPr>
                      <w:rFonts w:hint="eastAsia" w:ascii="Times New Roman" w:hAnsi="Times New Roman" w:eastAsia="宋体"/>
                      <w:color w:val="auto"/>
                      <w:sz w:val="21"/>
                      <w:szCs w:val="21"/>
                    </w:rPr>
                    <w:t>。</w:t>
                  </w:r>
                </w:p>
                <w:p w14:paraId="7AC27A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lang w:eastAsia="zh-CN"/>
                    </w:rPr>
                  </w:pPr>
                  <w:r>
                    <w:rPr>
                      <w:rFonts w:hint="eastAsia" w:ascii="Times New Roman" w:hAnsi="Times New Roman" w:eastAsia="宋体"/>
                      <w:color w:val="auto"/>
                      <w:sz w:val="21"/>
                      <w:szCs w:val="21"/>
                    </w:rPr>
                    <w:t>1）强化源头管理</w:t>
                  </w:r>
                  <w:r>
                    <w:rPr>
                      <w:rFonts w:hint="eastAsia"/>
                      <w:color w:val="auto"/>
                      <w:sz w:val="21"/>
                      <w:szCs w:val="21"/>
                      <w:lang w:eastAsia="zh-CN"/>
                    </w:rPr>
                    <w:t>。</w:t>
                  </w:r>
                  <w:r>
                    <w:rPr>
                      <w:rFonts w:hint="eastAsia" w:ascii="Times New Roman" w:hAnsi="Times New Roman" w:eastAsia="宋体"/>
                      <w:color w:val="auto"/>
                      <w:sz w:val="21"/>
                      <w:szCs w:val="21"/>
                    </w:rPr>
                    <w:t>加强对开发区新材料、装备制造等重点行业的能源、原材料、水等资源的消耗管理，实现能源的梯级利用、资源的高效循环利用，努力提高资源的产出效益。要从产品设计入手，优化采用资源利用率高、污染物产生量少以及有利于产品废弃后回收利用的技术和工艺，提高设备制造技术水平</w:t>
                  </w:r>
                  <w:r>
                    <w:rPr>
                      <w:rFonts w:hint="eastAsia"/>
                      <w:color w:val="auto"/>
                      <w:sz w:val="21"/>
                      <w:szCs w:val="21"/>
                      <w:lang w:eastAsia="zh-CN"/>
                    </w:rPr>
                    <w:t>。</w:t>
                  </w:r>
                </w:p>
                <w:p w14:paraId="68F036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2）合理处置一般工业固体废弃物强化废弃物在企业内部的循环使用和综合利用，减少废弃物产生量。开发区工业</w:t>
                  </w:r>
                </w:p>
                <w:p w14:paraId="28C1FA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主要以炉渣、金属、塑料为原料，因此应积极拓展和延伸炉渣、废金属、废塑料综合利用的产业链。由于危险废物的危害性较大，所以降低其危害性的最好措施就是控制危险废物的产生，实施源头控制。对产生危险废物的主要行业的工艺流程进行严格监督管理，通过改善生产工艺、提高资源利用率、优化产业结构等方式减少危险废物的产量。对危险废物的控制由末端控制逐渐转为源头控制，并对产生的废物进行分类处理，避免危险废物混入一般生活垃圾中。加强危险废物产生和处置单位规范化整治，大力削减危险废物产生量，实施危险废物的收集、贮存、运输、利用和处理处置全过程管理，防止危险废物随意倾倒和非法转移。区内企业、商业设施、居住区等应当按照环境卫生专业规划和环境卫生标准，配套建设生活垃圾收集设施。</w:t>
                  </w:r>
                </w:p>
              </w:tc>
              <w:tc>
                <w:tcPr>
                  <w:tcW w:w="1396" w:type="pct"/>
                  <w:noWrap w:val="0"/>
                  <w:vAlign w:val="center"/>
                </w:tcPr>
                <w:p w14:paraId="1F1D75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highlight w:val="none"/>
                      <w:lang w:eastAsia="zh-CN"/>
                    </w:rPr>
                    <w:t>本项目设置了</w:t>
                  </w:r>
                  <w:r>
                    <w:rPr>
                      <w:rFonts w:hint="eastAsia"/>
                      <w:color w:val="auto"/>
                      <w:sz w:val="21"/>
                      <w:szCs w:val="21"/>
                      <w:highlight w:val="none"/>
                      <w:lang w:eastAsia="zh-CN"/>
                    </w:rPr>
                    <w:t>危废贮存库</w:t>
                  </w:r>
                  <w:r>
                    <w:rPr>
                      <w:rFonts w:hint="eastAsia" w:ascii="Times New Roman" w:hAnsi="Times New Roman" w:eastAsia="宋体"/>
                      <w:color w:val="auto"/>
                      <w:sz w:val="21"/>
                      <w:szCs w:val="21"/>
                      <w:highlight w:val="none"/>
                      <w:lang w:eastAsia="zh-CN"/>
                    </w:rPr>
                    <w:t>，用于暂存废</w:t>
                  </w:r>
                  <w:r>
                    <w:rPr>
                      <w:rFonts w:hint="eastAsia"/>
                      <w:color w:val="auto"/>
                      <w:sz w:val="21"/>
                      <w:szCs w:val="21"/>
                      <w:highlight w:val="none"/>
                      <w:lang w:val="en-US" w:eastAsia="zh-CN"/>
                    </w:rPr>
                    <w:t>润滑油、废油桶</w:t>
                  </w:r>
                  <w:r>
                    <w:rPr>
                      <w:rFonts w:hint="eastAsia" w:ascii="Times New Roman" w:hAnsi="Times New Roman" w:eastAsia="宋体"/>
                      <w:color w:val="auto"/>
                      <w:sz w:val="21"/>
                      <w:szCs w:val="21"/>
                      <w:highlight w:val="none"/>
                      <w:lang w:eastAsia="zh-CN"/>
                    </w:rPr>
                    <w:t>等危险废物，危废定期交由有资质单位处理。厂区内设有垃圾桶，对生活垃圾分类收集后，定期交由环卫部门处理</w:t>
                  </w:r>
                  <w:r>
                    <w:rPr>
                      <w:rFonts w:hint="eastAsia"/>
                      <w:color w:val="auto"/>
                      <w:sz w:val="21"/>
                      <w:szCs w:val="21"/>
                      <w:highlight w:val="none"/>
                      <w:lang w:eastAsia="zh-CN"/>
                    </w:rPr>
                    <w:t>；</w:t>
                  </w:r>
                  <w:r>
                    <w:rPr>
                      <w:rFonts w:hint="eastAsia"/>
                      <w:color w:val="auto"/>
                      <w:sz w:val="21"/>
                      <w:szCs w:val="21"/>
                      <w:highlight w:val="none"/>
                      <w:lang w:val="en-US" w:eastAsia="zh-CN"/>
                    </w:rPr>
                    <w:t>布袋除尘器除尘灰作为原料回收利用；废边角料外售废品收购站；压滤后的泥饼不进行贮存，立即运至壶关县鑫融建材有限公司用于生产；残次品集中收集后送至建材厂或砖厂综合处置。</w:t>
                  </w:r>
                </w:p>
              </w:tc>
              <w:tc>
                <w:tcPr>
                  <w:tcW w:w="622" w:type="pct"/>
                  <w:noWrap w:val="0"/>
                  <w:vAlign w:val="center"/>
                </w:tcPr>
                <w:p w14:paraId="2DAD0F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符合</w:t>
                  </w:r>
                </w:p>
              </w:tc>
            </w:tr>
          </w:tbl>
          <w:p w14:paraId="51285252">
            <w:pPr>
              <w:keepNext w:val="0"/>
              <w:keepLines w:val="0"/>
              <w:pageBreakBefore w:val="0"/>
              <w:widowControl/>
              <w:kinsoku/>
              <w:wordWrap/>
              <w:overflowPunct/>
              <w:topLinePunct w:val="0"/>
              <w:autoSpaceDE/>
              <w:autoSpaceDN/>
              <w:bidi w:val="0"/>
              <w:adjustRightInd/>
              <w:snapToGrid w:val="0"/>
              <w:spacing w:before="165" w:beforeLines="50" w:line="240" w:lineRule="auto"/>
              <w:ind w:left="0" w:leftChars="0" w:firstLine="0" w:firstLineChars="0"/>
              <w:contextualSpacing/>
              <w:jc w:val="center"/>
              <w:textAlignment w:val="baseline"/>
              <w:rPr>
                <w:rFonts w:eastAsia="宋体"/>
                <w:b/>
                <w:bCs w:val="0"/>
                <w:color w:val="auto"/>
                <w:kern w:val="0"/>
                <w:sz w:val="21"/>
                <w:szCs w:val="21"/>
                <w:u w:val="none" w:color="000000"/>
              </w:rPr>
            </w:pPr>
            <w:r>
              <w:rPr>
                <w:rFonts w:eastAsia="宋体"/>
                <w:b/>
                <w:bCs w:val="0"/>
                <w:color w:val="auto"/>
                <w:kern w:val="0"/>
                <w:sz w:val="21"/>
                <w:szCs w:val="21"/>
                <w:u w:val="none" w:color="000000"/>
              </w:rPr>
              <w:t>表</w:t>
            </w:r>
            <w:r>
              <w:rPr>
                <w:rFonts w:hint="eastAsia"/>
                <w:b/>
                <w:bCs w:val="0"/>
                <w:color w:val="auto"/>
                <w:kern w:val="0"/>
                <w:sz w:val="21"/>
                <w:szCs w:val="21"/>
                <w:u w:val="none" w:color="000000"/>
                <w:lang w:val="en-US" w:eastAsia="zh-CN"/>
              </w:rPr>
              <w:t>1-2</w:t>
            </w:r>
            <w:r>
              <w:rPr>
                <w:rFonts w:eastAsia="宋体"/>
                <w:b/>
                <w:bCs w:val="0"/>
                <w:color w:val="auto"/>
                <w:kern w:val="0"/>
                <w:sz w:val="21"/>
                <w:szCs w:val="21"/>
                <w:u w:val="none" w:color="000000"/>
              </w:rPr>
              <w:t xml:space="preserve">  </w:t>
            </w:r>
            <w:r>
              <w:rPr>
                <w:rFonts w:hint="eastAsia" w:eastAsia="宋体"/>
                <w:b/>
                <w:bCs w:val="0"/>
                <w:color w:val="auto"/>
                <w:kern w:val="0"/>
                <w:sz w:val="21"/>
                <w:szCs w:val="21"/>
                <w:u w:val="none" w:color="000000"/>
              </w:rPr>
              <w:t>与《壶关经济开发区扩区总体规划（2020-2035）环境影响报告书》审查意见的符合性分析一览表</w:t>
            </w:r>
          </w:p>
          <w:tbl>
            <w:tblPr>
              <w:tblStyle w:val="28"/>
              <w:tblW w:w="5000" w:type="pct"/>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594"/>
              <w:gridCol w:w="3495"/>
              <w:gridCol w:w="2085"/>
              <w:gridCol w:w="879"/>
            </w:tblGrid>
            <w:tr w14:paraId="5F7DCD9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421" w:type="pct"/>
                  <w:noWrap w:val="0"/>
                  <w:vAlign w:val="center"/>
                </w:tcPr>
                <w:p w14:paraId="404862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color w:val="auto"/>
                      <w:sz w:val="21"/>
                      <w:szCs w:val="21"/>
                    </w:rPr>
                  </w:pPr>
                  <w:r>
                    <w:rPr>
                      <w:rFonts w:hint="eastAsia" w:ascii="Times New Roman" w:hAnsi="Times New Roman" w:eastAsia="宋体"/>
                      <w:b/>
                      <w:color w:val="auto"/>
                      <w:sz w:val="21"/>
                      <w:szCs w:val="21"/>
                    </w:rPr>
                    <w:t>序号</w:t>
                  </w:r>
                </w:p>
              </w:tc>
              <w:tc>
                <w:tcPr>
                  <w:tcW w:w="2477" w:type="pct"/>
                  <w:noWrap w:val="0"/>
                  <w:vAlign w:val="center"/>
                </w:tcPr>
                <w:p w14:paraId="19E999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color w:val="auto"/>
                      <w:sz w:val="21"/>
                      <w:szCs w:val="21"/>
                    </w:rPr>
                  </w:pPr>
                  <w:r>
                    <w:rPr>
                      <w:rFonts w:hint="eastAsia" w:ascii="Times New Roman" w:hAnsi="Times New Roman" w:eastAsia="宋体"/>
                      <w:b/>
                      <w:color w:val="auto"/>
                      <w:sz w:val="21"/>
                      <w:szCs w:val="21"/>
                    </w:rPr>
                    <w:t>文件</w:t>
                  </w:r>
                  <w:r>
                    <w:rPr>
                      <w:rFonts w:ascii="Times New Roman" w:hAnsi="Times New Roman" w:eastAsia="宋体"/>
                      <w:b/>
                      <w:color w:val="auto"/>
                      <w:sz w:val="21"/>
                      <w:szCs w:val="21"/>
                    </w:rPr>
                    <w:t>相关要求</w:t>
                  </w:r>
                </w:p>
              </w:tc>
              <w:tc>
                <w:tcPr>
                  <w:tcW w:w="1478" w:type="pct"/>
                  <w:noWrap w:val="0"/>
                  <w:vAlign w:val="center"/>
                </w:tcPr>
                <w:p w14:paraId="49AB19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color w:val="auto"/>
                      <w:sz w:val="21"/>
                      <w:szCs w:val="21"/>
                    </w:rPr>
                  </w:pPr>
                  <w:r>
                    <w:rPr>
                      <w:rFonts w:hint="eastAsia" w:ascii="Times New Roman" w:hAnsi="Times New Roman" w:eastAsia="宋体"/>
                      <w:b/>
                      <w:color w:val="auto"/>
                      <w:sz w:val="21"/>
                      <w:szCs w:val="21"/>
                    </w:rPr>
                    <w:t>本项目</w:t>
                  </w:r>
                  <w:r>
                    <w:rPr>
                      <w:rFonts w:ascii="Times New Roman" w:hAnsi="Times New Roman" w:eastAsia="宋体"/>
                      <w:b/>
                      <w:color w:val="auto"/>
                      <w:sz w:val="21"/>
                      <w:szCs w:val="21"/>
                    </w:rPr>
                    <w:t>建设内容</w:t>
                  </w:r>
                </w:p>
              </w:tc>
              <w:tc>
                <w:tcPr>
                  <w:tcW w:w="623" w:type="pct"/>
                  <w:noWrap w:val="0"/>
                  <w:vAlign w:val="center"/>
                </w:tcPr>
                <w:p w14:paraId="143B0E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color w:val="auto"/>
                      <w:sz w:val="21"/>
                      <w:szCs w:val="21"/>
                    </w:rPr>
                  </w:pPr>
                  <w:r>
                    <w:rPr>
                      <w:rFonts w:hint="eastAsia" w:ascii="Times New Roman" w:hAnsi="Times New Roman" w:eastAsia="宋体"/>
                      <w:b/>
                      <w:color w:val="auto"/>
                      <w:sz w:val="21"/>
                      <w:szCs w:val="21"/>
                    </w:rPr>
                    <w:t>符合性</w:t>
                  </w:r>
                </w:p>
              </w:tc>
            </w:tr>
            <w:tr w14:paraId="26AA46A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421" w:type="pct"/>
                  <w:noWrap w:val="0"/>
                  <w:vAlign w:val="center"/>
                </w:tcPr>
                <w:p w14:paraId="099BB2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1</w:t>
                  </w:r>
                </w:p>
              </w:tc>
              <w:tc>
                <w:tcPr>
                  <w:tcW w:w="2477" w:type="pct"/>
                  <w:noWrap w:val="0"/>
                  <w:vAlign w:val="center"/>
                </w:tcPr>
                <w:p w14:paraId="283DC9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坚持生态优先，促进绿色低碳发展。立足开发区产业定位，坚决遏制“两高”项目盲目发展，规划实施的项目应符合国家产业政策、生态环境分区管控和污染物排放区域削减等要求，依托区域产业优势，推动开发区产业链向下游延伸产品向高端转型，构建园区循环经济产业体系.根据区域资源环境承载力，进一步优化调整《规划》的产业定位、规模、布局和开发建设时序，以生态环境高水平保护助推开发区高质量发展。</w:t>
                  </w:r>
                </w:p>
              </w:tc>
              <w:tc>
                <w:tcPr>
                  <w:tcW w:w="1478" w:type="pct"/>
                  <w:noWrap w:val="0"/>
                  <w:vAlign w:val="center"/>
                </w:tcPr>
                <w:p w14:paraId="049284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rPr>
                    <w:t>本项目符合国家产业政策、生态环境分区管控要求</w:t>
                  </w:r>
                  <w:r>
                    <w:rPr>
                      <w:rFonts w:hint="eastAsia" w:ascii="Times New Roman" w:hAnsi="Times New Roman" w:eastAsia="宋体"/>
                      <w:color w:val="auto"/>
                      <w:sz w:val="21"/>
                      <w:szCs w:val="21"/>
                      <w:lang w:eastAsia="zh-CN"/>
                    </w:rPr>
                    <w:t>。</w:t>
                  </w:r>
                </w:p>
              </w:tc>
              <w:tc>
                <w:tcPr>
                  <w:tcW w:w="623" w:type="pct"/>
                  <w:noWrap w:val="0"/>
                  <w:vAlign w:val="center"/>
                </w:tcPr>
                <w:p w14:paraId="2CD7E2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符合</w:t>
                  </w:r>
                </w:p>
              </w:tc>
            </w:tr>
            <w:tr w14:paraId="3283A55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421" w:type="pct"/>
                  <w:noWrap w:val="0"/>
                  <w:vAlign w:val="center"/>
                </w:tcPr>
                <w:p w14:paraId="02C510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2</w:t>
                  </w:r>
                </w:p>
              </w:tc>
              <w:tc>
                <w:tcPr>
                  <w:tcW w:w="2477" w:type="pct"/>
                  <w:noWrap w:val="0"/>
                  <w:vAlign w:val="center"/>
                </w:tcPr>
                <w:p w14:paraId="2BEDFA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rPr>
                    <w:t>强化规划约束，优化空间布局。做好与国土空间规划的衔接，严守城镇开发边界，落实《规划》提出的四区空间管制和建设引导，统筹保护好水陆域生态空间。石子河、南大河留设满足要求的生态防护廊道，保护河流生态环境。民爆产业片区距离县城较近，建议控制现有生产规模，逐步有序搬迁中钢特材周围居民区分布较多，要充分考虑对周边居民和村庄的环境影响，避免造成不良环境影响</w:t>
                  </w:r>
                  <w:r>
                    <w:rPr>
                      <w:rFonts w:hint="eastAsia" w:ascii="Times New Roman" w:hAnsi="Times New Roman" w:eastAsia="宋体"/>
                      <w:color w:val="auto"/>
                      <w:sz w:val="21"/>
                      <w:szCs w:val="21"/>
                      <w:lang w:eastAsia="zh-CN"/>
                    </w:rPr>
                    <w:t>。</w:t>
                  </w:r>
                </w:p>
              </w:tc>
              <w:tc>
                <w:tcPr>
                  <w:tcW w:w="1478" w:type="pct"/>
                  <w:noWrap w:val="0"/>
                  <w:vAlign w:val="center"/>
                </w:tcPr>
                <w:p w14:paraId="2FEB33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本项目符合国土空间规划，石子河位于项目南</w:t>
                  </w:r>
                  <w:r>
                    <w:rPr>
                      <w:rFonts w:hint="eastAsia" w:ascii="Times New Roman" w:hAnsi="Times New Roman" w:eastAsia="宋体"/>
                      <w:color w:val="auto"/>
                      <w:sz w:val="21"/>
                      <w:szCs w:val="21"/>
                      <w:highlight w:val="none"/>
                      <w:lang w:val="en-US" w:eastAsia="zh-CN"/>
                    </w:rPr>
                    <w:t>0.5</w:t>
                  </w:r>
                  <w:r>
                    <w:rPr>
                      <w:rFonts w:hint="eastAsia" w:ascii="Times New Roman" w:hAnsi="Times New Roman" w:eastAsia="宋体"/>
                      <w:color w:val="auto"/>
                      <w:sz w:val="21"/>
                      <w:szCs w:val="21"/>
                      <w:highlight w:val="none"/>
                    </w:rPr>
                    <w:t>km</w:t>
                  </w:r>
                  <w:r>
                    <w:rPr>
                      <w:rFonts w:hint="eastAsia" w:ascii="Times New Roman" w:hAnsi="Times New Roman" w:eastAsia="宋体"/>
                      <w:color w:val="auto"/>
                      <w:sz w:val="21"/>
                      <w:szCs w:val="21"/>
                    </w:rPr>
                    <w:t>，距离较远，</w:t>
                  </w:r>
                  <w:r>
                    <w:rPr>
                      <w:rFonts w:hint="eastAsia" w:ascii="Times New Roman" w:hAnsi="Times New Roman" w:eastAsia="宋体"/>
                      <w:color w:val="auto"/>
                      <w:sz w:val="21"/>
                      <w:szCs w:val="21"/>
                      <w:lang w:val="en-US" w:eastAsia="zh-CN"/>
                    </w:rPr>
                    <w:t>且生产废水经</w:t>
                  </w:r>
                  <w:r>
                    <w:rPr>
                      <w:rFonts w:hint="eastAsia"/>
                      <w:color w:val="auto"/>
                      <w:sz w:val="21"/>
                      <w:szCs w:val="21"/>
                      <w:lang w:val="en-US" w:eastAsia="zh-CN"/>
                    </w:rPr>
                    <w:t>集水罐处理后</w:t>
                  </w:r>
                  <w:r>
                    <w:rPr>
                      <w:rFonts w:hint="eastAsia" w:ascii="Times New Roman" w:hAnsi="Times New Roman" w:eastAsia="宋体"/>
                      <w:color w:val="auto"/>
                      <w:sz w:val="21"/>
                      <w:szCs w:val="21"/>
                      <w:lang w:val="en-US" w:eastAsia="zh-CN"/>
                    </w:rPr>
                    <w:t>回用不外排，</w:t>
                  </w:r>
                  <w:r>
                    <w:rPr>
                      <w:rFonts w:hint="eastAsia"/>
                      <w:color w:val="auto"/>
                      <w:sz w:val="21"/>
                      <w:szCs w:val="21"/>
                      <w:lang w:val="en-US" w:eastAsia="zh-CN"/>
                    </w:rPr>
                    <w:t>不会对地表水环境产生影响</w:t>
                  </w:r>
                  <w:r>
                    <w:rPr>
                      <w:rFonts w:hint="eastAsia" w:ascii="Times New Roman" w:hAnsi="Times New Roman" w:eastAsia="宋体"/>
                      <w:color w:val="auto"/>
                      <w:sz w:val="21"/>
                      <w:szCs w:val="21"/>
                      <w:lang w:val="en-US" w:eastAsia="zh-CN"/>
                    </w:rPr>
                    <w:t>。</w:t>
                  </w:r>
                </w:p>
              </w:tc>
              <w:tc>
                <w:tcPr>
                  <w:tcW w:w="623" w:type="pct"/>
                  <w:noWrap w:val="0"/>
                  <w:vAlign w:val="center"/>
                </w:tcPr>
                <w:p w14:paraId="092E4B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符合</w:t>
                  </w:r>
                </w:p>
              </w:tc>
            </w:tr>
            <w:tr w14:paraId="3A829C67">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421" w:type="pct"/>
                  <w:noWrap w:val="0"/>
                  <w:vAlign w:val="center"/>
                </w:tcPr>
                <w:p w14:paraId="1ABDAD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3</w:t>
                  </w:r>
                </w:p>
              </w:tc>
              <w:tc>
                <w:tcPr>
                  <w:tcW w:w="2477" w:type="pct"/>
                  <w:noWrap w:val="0"/>
                  <w:vAlign w:val="center"/>
                </w:tcPr>
                <w:p w14:paraId="1E1A32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rPr>
                    <w:t>对标先进水平，持续改善环境质量。新建、扩建项目应采用先进适用的工艺技术和装备，单位产品物耗、能耗、水耗等达到清洁生产先进水平，推进现有钢铁企业深度治理改造。优化文旅片区、乡村片区和周边村庄的基础设施建设，因地制宜推进清洁取暖设施建设，加大现有工业余热利用项目推进力度。积极推进大宗物料“公转铁”，落实路铁联运式的物流产业发展，公路运输时应采用新能源汽车或符合国六标准的车辆。强化挥发性有机物全过程管控，推进低挥发性有机物原辅料替代，配备高效收集处理装置，确保区域环境质量持续改善</w:t>
                  </w:r>
                  <w:r>
                    <w:rPr>
                      <w:rFonts w:hint="eastAsia" w:ascii="Times New Roman" w:hAnsi="Times New Roman" w:eastAsia="宋体"/>
                      <w:color w:val="auto"/>
                      <w:sz w:val="21"/>
                      <w:szCs w:val="21"/>
                      <w:lang w:eastAsia="zh-CN"/>
                    </w:rPr>
                    <w:t>。</w:t>
                  </w:r>
                </w:p>
              </w:tc>
              <w:tc>
                <w:tcPr>
                  <w:tcW w:w="1478" w:type="pct"/>
                  <w:noWrap w:val="0"/>
                  <w:vAlign w:val="center"/>
                </w:tcPr>
                <w:p w14:paraId="28B4DE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本项目属于新建项目，采用了先进适用的工艺技术和装备</w:t>
                  </w:r>
                  <w:r>
                    <w:rPr>
                      <w:rFonts w:hint="eastAsia" w:ascii="Times New Roman" w:hAnsi="Times New Roman" w:eastAsia="宋体"/>
                      <w:color w:val="auto"/>
                      <w:sz w:val="21"/>
                      <w:szCs w:val="21"/>
                      <w:lang w:eastAsia="zh-CN"/>
                    </w:rPr>
                    <w:t>；</w:t>
                  </w:r>
                  <w:r>
                    <w:rPr>
                      <w:rFonts w:hint="eastAsia" w:ascii="Times New Roman" w:hAnsi="Times New Roman" w:eastAsia="宋体"/>
                      <w:color w:val="auto"/>
                      <w:sz w:val="21"/>
                      <w:szCs w:val="21"/>
                      <w:lang w:val="en-US" w:eastAsia="zh-CN"/>
                    </w:rPr>
                    <w:t>采用空气能取暖，是兼顾环保、节能与清洁取暖的设施建设；项目采用汽运的方式运输，</w:t>
                  </w:r>
                  <w:r>
                    <w:rPr>
                      <w:rFonts w:hint="eastAsia" w:ascii="Times New Roman" w:hAnsi="Times New Roman" w:eastAsia="宋体"/>
                      <w:color w:val="auto"/>
                      <w:sz w:val="21"/>
                      <w:szCs w:val="21"/>
                    </w:rPr>
                    <w:t>采用新能源汽车或符合国</w:t>
                  </w:r>
                  <w:r>
                    <w:rPr>
                      <w:rFonts w:hint="eastAsia"/>
                      <w:color w:val="auto"/>
                      <w:sz w:val="21"/>
                      <w:szCs w:val="21"/>
                      <w:lang w:val="en-US" w:eastAsia="zh-CN"/>
                    </w:rPr>
                    <w:t>六</w:t>
                  </w:r>
                  <w:r>
                    <w:rPr>
                      <w:rFonts w:hint="eastAsia" w:ascii="Times New Roman" w:hAnsi="Times New Roman" w:eastAsia="宋体"/>
                      <w:color w:val="auto"/>
                      <w:sz w:val="21"/>
                      <w:szCs w:val="21"/>
                    </w:rPr>
                    <w:t>标准的车辆</w:t>
                  </w:r>
                  <w:r>
                    <w:rPr>
                      <w:rFonts w:hint="eastAsia" w:ascii="Times New Roman" w:hAnsi="Times New Roman" w:eastAsia="宋体"/>
                      <w:color w:val="auto"/>
                      <w:sz w:val="21"/>
                      <w:szCs w:val="21"/>
                      <w:lang w:eastAsia="zh-CN"/>
                    </w:rPr>
                    <w:t>；本项目为水泥制品和石墨及其他非金属矿物制品制造，</w:t>
                  </w:r>
                  <w:r>
                    <w:rPr>
                      <w:rFonts w:hint="eastAsia" w:ascii="Times New Roman" w:hAnsi="Times New Roman" w:eastAsia="宋体"/>
                      <w:color w:val="auto"/>
                      <w:sz w:val="21"/>
                      <w:szCs w:val="21"/>
                      <w:lang w:val="en-US" w:eastAsia="zh-CN"/>
                    </w:rPr>
                    <w:t>无挥发性有机物。</w:t>
                  </w:r>
                </w:p>
              </w:tc>
              <w:tc>
                <w:tcPr>
                  <w:tcW w:w="623" w:type="pct"/>
                  <w:noWrap w:val="0"/>
                  <w:vAlign w:val="center"/>
                </w:tcPr>
                <w:p w14:paraId="677FAB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符合</w:t>
                  </w:r>
                </w:p>
              </w:tc>
            </w:tr>
            <w:tr w14:paraId="53E9AA95">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421" w:type="pct"/>
                  <w:noWrap w:val="0"/>
                  <w:vAlign w:val="center"/>
                </w:tcPr>
                <w:p w14:paraId="044E0E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4</w:t>
                  </w:r>
                </w:p>
              </w:tc>
              <w:tc>
                <w:tcPr>
                  <w:tcW w:w="2477" w:type="pct"/>
                  <w:noWrap w:val="0"/>
                  <w:vAlign w:val="center"/>
                </w:tcPr>
                <w:p w14:paraId="7C498C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加强水资源保护，提升水环境质量。坚守水资源利用上线，落实“以水定产”的要求，优化用水结构、提高用水效率。加快雨污分流管网建设，按照生态环境部《关于进一步规范城镇(园区)污水处理环境管理的通知》要求，加快污水集中处理设施及配套污水收集、中水回用管网建设，工业废水和生活污水应分别处理，做好水资源梯级利用，提高中水回用率，减少外排水量。</w:t>
                  </w:r>
                </w:p>
              </w:tc>
              <w:tc>
                <w:tcPr>
                  <w:tcW w:w="1478" w:type="pct"/>
                  <w:noWrap w:val="0"/>
                  <w:vAlign w:val="center"/>
                </w:tcPr>
                <w:p w14:paraId="297E91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highlight w:val="none"/>
                    </w:rPr>
                    <w:t>项目厂区实行雨污分流，无废水外排</w:t>
                  </w:r>
                  <w:r>
                    <w:rPr>
                      <w:rFonts w:hint="eastAsia" w:ascii="Times New Roman" w:hAnsi="Times New Roman" w:eastAsia="宋体"/>
                      <w:color w:val="auto"/>
                      <w:sz w:val="21"/>
                      <w:szCs w:val="21"/>
                      <w:highlight w:val="none"/>
                      <w:lang w:eastAsia="zh-CN"/>
                    </w:rPr>
                    <w:t>。</w:t>
                  </w:r>
                </w:p>
              </w:tc>
              <w:tc>
                <w:tcPr>
                  <w:tcW w:w="623" w:type="pct"/>
                  <w:noWrap w:val="0"/>
                  <w:vAlign w:val="center"/>
                </w:tcPr>
                <w:p w14:paraId="72B270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符合</w:t>
                  </w:r>
                </w:p>
              </w:tc>
            </w:tr>
            <w:tr w14:paraId="2A76589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421" w:type="pct"/>
                  <w:noWrap w:val="0"/>
                  <w:vAlign w:val="center"/>
                </w:tcPr>
                <w:p w14:paraId="62627F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5</w:t>
                  </w:r>
                </w:p>
              </w:tc>
              <w:tc>
                <w:tcPr>
                  <w:tcW w:w="2477" w:type="pct"/>
                  <w:noWrap w:val="0"/>
                  <w:vAlign w:val="center"/>
                </w:tcPr>
                <w:p w14:paraId="78AE6D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加强地下水保护，严控土壤污染。按照“控源头防新增、重监管、保安全”的原则，强化地下水污染协同防治加强水环境风险防控，强化重点区域防渗措施，有效保护地下水环境安全。纳入土壤污染重点监管单位名录的企业严格落实自行监测、隐患排查等土壤污染防治责任。依法开展已搬迁的常平焦化遗留场地土壤污染状况调查，做好污染场地的风险评估和治理修复工作。</w:t>
                  </w:r>
                </w:p>
              </w:tc>
              <w:tc>
                <w:tcPr>
                  <w:tcW w:w="1478" w:type="pct"/>
                  <w:noWrap w:val="0"/>
                  <w:vAlign w:val="center"/>
                </w:tcPr>
                <w:p w14:paraId="0C1B78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val="en-US" w:eastAsia="zh-CN"/>
                    </w:rPr>
                    <w:t>项目产生的危险废物主要涉及废润滑油和废油桶，暂存于</w:t>
                  </w:r>
                  <w:r>
                    <w:rPr>
                      <w:rFonts w:hint="eastAsia"/>
                      <w:color w:val="auto"/>
                      <w:sz w:val="21"/>
                      <w:szCs w:val="21"/>
                      <w:lang w:val="en-US" w:eastAsia="zh-CN"/>
                    </w:rPr>
                    <w:t>危废贮存库</w:t>
                  </w:r>
                  <w:r>
                    <w:rPr>
                      <w:rFonts w:hint="eastAsia" w:ascii="Times New Roman" w:hAnsi="Times New Roman" w:eastAsia="宋体"/>
                      <w:color w:val="auto"/>
                      <w:sz w:val="21"/>
                      <w:szCs w:val="21"/>
                      <w:lang w:val="en-US" w:eastAsia="zh-CN"/>
                    </w:rPr>
                    <w:t>，地面采取防渗措施后，</w:t>
                  </w:r>
                  <w:r>
                    <w:rPr>
                      <w:rFonts w:hint="eastAsia" w:ascii="Times New Roman" w:hAnsi="Times New Roman" w:eastAsia="宋体"/>
                      <w:color w:val="auto"/>
                      <w:sz w:val="21"/>
                      <w:szCs w:val="21"/>
                    </w:rPr>
                    <w:t>不会对地下水、土壤造成影响</w:t>
                  </w:r>
                  <w:r>
                    <w:rPr>
                      <w:rFonts w:hint="eastAsia" w:ascii="Times New Roman" w:hAnsi="Times New Roman" w:eastAsia="宋体"/>
                      <w:color w:val="auto"/>
                      <w:sz w:val="21"/>
                      <w:szCs w:val="21"/>
                      <w:lang w:eastAsia="zh-CN"/>
                    </w:rPr>
                    <w:t>。</w:t>
                  </w:r>
                </w:p>
              </w:tc>
              <w:tc>
                <w:tcPr>
                  <w:tcW w:w="623" w:type="pct"/>
                  <w:noWrap w:val="0"/>
                  <w:vAlign w:val="center"/>
                </w:tcPr>
                <w:p w14:paraId="1F6674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符合</w:t>
                  </w:r>
                </w:p>
              </w:tc>
            </w:tr>
            <w:tr w14:paraId="5DE67D6C">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421" w:type="pct"/>
                  <w:noWrap w:val="0"/>
                  <w:vAlign w:val="center"/>
                </w:tcPr>
                <w:p w14:paraId="5873E3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6</w:t>
                  </w:r>
                </w:p>
              </w:tc>
              <w:tc>
                <w:tcPr>
                  <w:tcW w:w="2477" w:type="pct"/>
                  <w:noWrap w:val="0"/>
                  <w:vAlign w:val="center"/>
                </w:tcPr>
                <w:p w14:paraId="675C68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加强声环境管理，安全处置固体废物。应优先选用低噪声设备、绿化降噪等措施，减缓噪声影响，确保满足声环境功能区要求。加强交通噪声管理，声环境敏感路段应采用低噪声路面，交通干线两侧建设绿化带作为隔声屏障，有效控制交通噪声污染。按照“减量化、资源化、无害化”的原则，工业固体废物实行分类收集，鼓励固体废物综合利用，减少固体废物产生量。生活垃圾应分类收集，配套建设生活垃圾收集设施。</w:t>
                  </w:r>
                </w:p>
              </w:tc>
              <w:tc>
                <w:tcPr>
                  <w:tcW w:w="1478" w:type="pct"/>
                  <w:noWrap w:val="0"/>
                  <w:vAlign w:val="center"/>
                </w:tcPr>
                <w:p w14:paraId="0820AF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rPr>
                    <w:t>项目</w:t>
                  </w:r>
                  <w:r>
                    <w:rPr>
                      <w:rFonts w:hint="eastAsia" w:ascii="Times New Roman" w:hAnsi="Times New Roman" w:eastAsia="宋体"/>
                      <w:color w:val="auto"/>
                      <w:sz w:val="21"/>
                      <w:szCs w:val="21"/>
                      <w:lang w:val="en-US" w:eastAsia="zh-CN"/>
                    </w:rPr>
                    <w:t>优先</w:t>
                  </w:r>
                  <w:r>
                    <w:rPr>
                      <w:rFonts w:hint="eastAsia" w:ascii="Times New Roman" w:hAnsi="Times New Roman" w:eastAsia="宋体"/>
                      <w:color w:val="auto"/>
                      <w:sz w:val="21"/>
                      <w:lang w:val="en-US" w:eastAsia="zh-CN"/>
                    </w:rPr>
                    <w:t>选用低噪声设备，加强设备维护；排气筒引风机设置隔声、基础减震措施；运输车辆减速慢行</w:t>
                  </w:r>
                  <w:r>
                    <w:rPr>
                      <w:rFonts w:hint="eastAsia" w:ascii="Times New Roman" w:hAnsi="Times New Roman" w:eastAsia="宋体"/>
                      <w:color w:val="auto"/>
                      <w:sz w:val="21"/>
                      <w:szCs w:val="21"/>
                    </w:rPr>
                    <w:t>后</w:t>
                  </w:r>
                  <w:r>
                    <w:rPr>
                      <w:rFonts w:hint="eastAsia" w:ascii="Times New Roman" w:hAnsi="Times New Roman" w:eastAsia="宋体"/>
                      <w:color w:val="auto"/>
                      <w:sz w:val="21"/>
                      <w:szCs w:val="21"/>
                      <w:lang w:eastAsia="zh-CN"/>
                    </w:rPr>
                    <w:t>，</w:t>
                  </w:r>
                  <w:r>
                    <w:rPr>
                      <w:rFonts w:hint="eastAsia" w:ascii="Times New Roman" w:hAnsi="Times New Roman" w:eastAsia="宋体"/>
                      <w:color w:val="auto"/>
                      <w:sz w:val="21"/>
                      <w:szCs w:val="21"/>
                    </w:rPr>
                    <w:t>不会对周围环境造成影响；项目固体废物分类收集，</w:t>
                  </w:r>
                  <w:r>
                    <w:rPr>
                      <w:rFonts w:hint="eastAsia"/>
                      <w:color w:val="auto"/>
                      <w:sz w:val="21"/>
                      <w:szCs w:val="21"/>
                      <w:lang w:val="en-US" w:eastAsia="zh-CN"/>
                    </w:rPr>
                    <w:t>沉淀池</w:t>
                  </w:r>
                  <w:r>
                    <w:rPr>
                      <w:rFonts w:hint="eastAsia" w:ascii="Times New Roman" w:hAnsi="Times New Roman" w:eastAsia="宋体"/>
                      <w:color w:val="auto"/>
                      <w:sz w:val="21"/>
                      <w:szCs w:val="21"/>
                    </w:rPr>
                    <w:t>沉渣回用于生产，综合利用</w:t>
                  </w:r>
                  <w:r>
                    <w:rPr>
                      <w:rFonts w:hint="eastAsia" w:ascii="Times New Roman" w:hAnsi="Times New Roman" w:eastAsia="宋体"/>
                      <w:color w:val="auto"/>
                      <w:sz w:val="21"/>
                      <w:szCs w:val="21"/>
                      <w:lang w:eastAsia="zh-CN"/>
                    </w:rPr>
                    <w:t>。</w:t>
                  </w:r>
                </w:p>
              </w:tc>
              <w:tc>
                <w:tcPr>
                  <w:tcW w:w="623" w:type="pct"/>
                  <w:noWrap w:val="0"/>
                  <w:vAlign w:val="center"/>
                </w:tcPr>
                <w:p w14:paraId="423BD1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符合</w:t>
                  </w:r>
                </w:p>
              </w:tc>
            </w:tr>
            <w:tr w14:paraId="5702D8B0">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421" w:type="pct"/>
                  <w:noWrap w:val="0"/>
                  <w:vAlign w:val="center"/>
                </w:tcPr>
                <w:p w14:paraId="0D2C07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7</w:t>
                  </w:r>
                </w:p>
              </w:tc>
              <w:tc>
                <w:tcPr>
                  <w:tcW w:w="2477" w:type="pct"/>
                  <w:noWrap w:val="0"/>
                  <w:vAlign w:val="center"/>
                </w:tcPr>
                <w:p w14:paraId="44D877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严格风险源管理，防范环境风险。开发区应建立完善环境风险防控体系，加强环境应急能力建设，编制突发环境事件应急预案，落实环境风险三级防控措施。建设满足要求的事故废水收集系统，严控对石子河的环境风险。做好危险废物收集、贮存、转运和处置，严控废物利用、处置不当可能导致的环境风险。</w:t>
                  </w:r>
                </w:p>
              </w:tc>
              <w:tc>
                <w:tcPr>
                  <w:tcW w:w="1478" w:type="pct"/>
                  <w:noWrap w:val="0"/>
                  <w:vAlign w:val="center"/>
                </w:tcPr>
                <w:p w14:paraId="276978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rPr>
                    <w:t>项目危险废物主要是废</w:t>
                  </w:r>
                  <w:r>
                    <w:rPr>
                      <w:rFonts w:hint="eastAsia" w:ascii="Times New Roman" w:hAnsi="Times New Roman" w:eastAsia="宋体"/>
                      <w:color w:val="auto"/>
                      <w:sz w:val="21"/>
                      <w:szCs w:val="21"/>
                      <w:lang w:val="en-US" w:eastAsia="zh-CN"/>
                    </w:rPr>
                    <w:t>润滑</w:t>
                  </w:r>
                  <w:r>
                    <w:rPr>
                      <w:rFonts w:hint="eastAsia" w:ascii="Times New Roman" w:hAnsi="Times New Roman" w:eastAsia="宋体"/>
                      <w:color w:val="auto"/>
                      <w:sz w:val="21"/>
                      <w:szCs w:val="21"/>
                    </w:rPr>
                    <w:t>油</w:t>
                  </w:r>
                  <w:r>
                    <w:rPr>
                      <w:rFonts w:hint="eastAsia" w:ascii="Times New Roman" w:hAnsi="Times New Roman" w:eastAsia="宋体"/>
                      <w:color w:val="auto"/>
                      <w:sz w:val="21"/>
                      <w:szCs w:val="21"/>
                      <w:lang w:val="en-US" w:eastAsia="zh-CN"/>
                    </w:rPr>
                    <w:t>和废油桶</w:t>
                  </w:r>
                  <w:r>
                    <w:rPr>
                      <w:rFonts w:hint="eastAsia" w:ascii="Times New Roman" w:hAnsi="Times New Roman" w:eastAsia="宋体"/>
                      <w:color w:val="auto"/>
                      <w:sz w:val="21"/>
                      <w:szCs w:val="21"/>
                    </w:rPr>
                    <w:t>，废</w:t>
                  </w:r>
                  <w:r>
                    <w:rPr>
                      <w:rFonts w:hint="eastAsia" w:ascii="Times New Roman" w:hAnsi="Times New Roman" w:eastAsia="宋体"/>
                      <w:color w:val="auto"/>
                      <w:sz w:val="21"/>
                      <w:szCs w:val="21"/>
                      <w:lang w:val="en-US" w:eastAsia="zh-CN"/>
                    </w:rPr>
                    <w:t>润滑</w:t>
                  </w:r>
                  <w:r>
                    <w:rPr>
                      <w:rFonts w:hint="eastAsia" w:ascii="Times New Roman" w:hAnsi="Times New Roman" w:eastAsia="宋体"/>
                      <w:color w:val="auto"/>
                      <w:sz w:val="21"/>
                      <w:szCs w:val="21"/>
                    </w:rPr>
                    <w:t>油</w:t>
                  </w:r>
                  <w:r>
                    <w:rPr>
                      <w:rFonts w:hint="eastAsia" w:ascii="Times New Roman" w:hAnsi="Times New Roman" w:eastAsia="宋体"/>
                      <w:color w:val="auto"/>
                      <w:sz w:val="21"/>
                      <w:szCs w:val="21"/>
                      <w:lang w:val="en-US" w:eastAsia="zh-CN"/>
                    </w:rPr>
                    <w:t>和废油桶暂存于</w:t>
                  </w:r>
                  <w:r>
                    <w:rPr>
                      <w:rFonts w:hint="eastAsia"/>
                      <w:color w:val="auto"/>
                      <w:sz w:val="21"/>
                      <w:szCs w:val="21"/>
                      <w:lang w:val="en-US" w:eastAsia="zh-CN"/>
                    </w:rPr>
                    <w:t>危废贮存库</w:t>
                  </w:r>
                  <w:r>
                    <w:rPr>
                      <w:rFonts w:hint="eastAsia" w:ascii="Times New Roman" w:hAnsi="Times New Roman" w:eastAsia="宋体"/>
                      <w:color w:val="auto"/>
                      <w:sz w:val="21"/>
                      <w:szCs w:val="21"/>
                      <w:lang w:val="en-US" w:eastAsia="zh-CN"/>
                    </w:rPr>
                    <w:t>，定期交由</w:t>
                  </w:r>
                  <w:r>
                    <w:rPr>
                      <w:rFonts w:hint="eastAsia" w:ascii="Times New Roman" w:hAnsi="Times New Roman" w:eastAsia="宋体"/>
                      <w:color w:val="auto"/>
                      <w:sz w:val="21"/>
                      <w:szCs w:val="21"/>
                    </w:rPr>
                    <w:t>资质单位转运处置</w:t>
                  </w:r>
                  <w:r>
                    <w:rPr>
                      <w:rFonts w:hint="eastAsia" w:ascii="Times New Roman" w:hAnsi="Times New Roman" w:eastAsia="宋体"/>
                      <w:color w:val="auto"/>
                      <w:sz w:val="21"/>
                      <w:szCs w:val="21"/>
                      <w:lang w:eastAsia="zh-CN"/>
                    </w:rPr>
                    <w:t>；</w:t>
                  </w:r>
                  <w:r>
                    <w:rPr>
                      <w:rFonts w:hint="eastAsia" w:ascii="Times New Roman" w:hAnsi="Times New Roman" w:eastAsia="宋体"/>
                      <w:color w:val="auto"/>
                      <w:sz w:val="21"/>
                      <w:szCs w:val="21"/>
                      <w:lang w:val="en-US" w:eastAsia="zh-CN"/>
                    </w:rPr>
                    <w:t>环评要求企业要</w:t>
                  </w:r>
                  <w:r>
                    <w:rPr>
                      <w:rFonts w:hint="eastAsia" w:ascii="Times New Roman" w:hAnsi="Times New Roman" w:eastAsia="宋体"/>
                      <w:color w:val="auto"/>
                      <w:sz w:val="21"/>
                      <w:szCs w:val="21"/>
                      <w:lang w:eastAsia="zh-CN"/>
                    </w:rPr>
                    <w:t>制定风险应急措施，编制环境风险应急预案，加强监控和环境管理。</w:t>
                  </w:r>
                </w:p>
              </w:tc>
              <w:tc>
                <w:tcPr>
                  <w:tcW w:w="623" w:type="pct"/>
                  <w:noWrap w:val="0"/>
                  <w:vAlign w:val="center"/>
                </w:tcPr>
                <w:p w14:paraId="2F1B59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符合</w:t>
                  </w:r>
                </w:p>
              </w:tc>
            </w:tr>
            <w:tr w14:paraId="5065D17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jc w:val="center"/>
              </w:trPr>
              <w:tc>
                <w:tcPr>
                  <w:tcW w:w="421" w:type="pct"/>
                  <w:noWrap w:val="0"/>
                  <w:vAlign w:val="center"/>
                </w:tcPr>
                <w:p w14:paraId="78AA27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8</w:t>
                  </w:r>
                </w:p>
              </w:tc>
              <w:tc>
                <w:tcPr>
                  <w:tcW w:w="2477" w:type="pct"/>
                  <w:noWrap w:val="0"/>
                  <w:vAlign w:val="center"/>
                </w:tcPr>
                <w:p w14:paraId="0BBA04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健全规划环评实施机制，落实跟踪评价制度。开发区规划实施过程应重视规划环评成果的运用，切实落实规划环评提出的优化调整意见建议和减缓不良生态环境影响的各项措施。对规划实施可能导致的不良环境影响进行长期跟踪监测，建立预警机制。在规划实施过程中，适时开展规划环境影响跟踪评价，规划修编时应重新编制环境影响报告书，</w:t>
                  </w:r>
                </w:p>
              </w:tc>
              <w:tc>
                <w:tcPr>
                  <w:tcW w:w="1478" w:type="pct"/>
                  <w:noWrap w:val="0"/>
                  <w:vAlign w:val="center"/>
                </w:tcPr>
                <w:p w14:paraId="365064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w:t>
                  </w:r>
                </w:p>
              </w:tc>
              <w:tc>
                <w:tcPr>
                  <w:tcW w:w="623" w:type="pct"/>
                  <w:noWrap w:val="0"/>
                  <w:vAlign w:val="center"/>
                </w:tcPr>
                <w:p w14:paraId="3B8425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w:t>
                  </w:r>
                </w:p>
              </w:tc>
            </w:tr>
          </w:tbl>
          <w:p w14:paraId="628A3D58">
            <w:pPr>
              <w:bidi w:val="0"/>
              <w:ind w:left="0" w:leftChars="0" w:firstLine="0" w:firstLineChars="0"/>
              <w:rPr>
                <w:rFonts w:hint="default"/>
                <w:color w:val="auto"/>
                <w:lang w:val="en-US" w:eastAsia="zh-CN"/>
              </w:rPr>
            </w:pPr>
          </w:p>
        </w:tc>
      </w:tr>
      <w:tr w14:paraId="2E7552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10" w:hRule="atLeast"/>
          <w:jc w:val="center"/>
        </w:trPr>
        <w:tc>
          <w:tcPr>
            <w:tcW w:w="2164" w:type="dxa"/>
            <w:noWrap w:val="0"/>
            <w:tcMar>
              <w:top w:w="57" w:type="dxa"/>
              <w:left w:w="57" w:type="dxa"/>
              <w:bottom w:w="57" w:type="dxa"/>
              <w:right w:w="57" w:type="dxa"/>
            </w:tcMar>
            <w:vAlign w:val="center"/>
          </w:tcPr>
          <w:p w14:paraId="011D2D5A">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val="en-US" w:eastAsia="zh-CN"/>
              </w:rPr>
            </w:pPr>
            <w:r>
              <w:rPr>
                <w:color w:val="auto"/>
                <w:sz w:val="24"/>
                <w:szCs w:val="24"/>
                <w:highlight w:val="none"/>
              </w:rPr>
              <w:t>其他符合性分析</w:t>
            </w:r>
          </w:p>
        </w:tc>
        <w:tc>
          <w:tcPr>
            <w:tcW w:w="7155" w:type="dxa"/>
            <w:gridSpan w:val="3"/>
            <w:noWrap w:val="0"/>
            <w:tcMar>
              <w:top w:w="57" w:type="dxa"/>
              <w:left w:w="57" w:type="dxa"/>
              <w:bottom w:w="57" w:type="dxa"/>
              <w:right w:w="57" w:type="dxa"/>
            </w:tcMar>
            <w:vAlign w:val="center"/>
          </w:tcPr>
          <w:p w14:paraId="52126489">
            <w:pPr>
              <w:numPr>
                <w:ilvl w:val="0"/>
                <w:numId w:val="0"/>
              </w:numPr>
              <w:bidi w:val="0"/>
              <w:ind w:firstLine="480" w:firstLineChars="200"/>
              <w:rPr>
                <w:rFonts w:hint="default"/>
                <w:color w:val="auto"/>
                <w:highlight w:val="none"/>
                <w:lang w:val="en-US" w:eastAsia="zh-CN"/>
              </w:rPr>
            </w:pPr>
            <w:r>
              <w:rPr>
                <w:rFonts w:hint="eastAsia" w:cs="宋体"/>
                <w:color w:val="auto"/>
                <w:kern w:val="2"/>
                <w:sz w:val="24"/>
                <w:szCs w:val="24"/>
                <w:lang w:val="en-US" w:eastAsia="zh-CN" w:bidi="ar-SA"/>
              </w:rPr>
              <w:t>1</w:t>
            </w:r>
            <w:r>
              <w:rPr>
                <w:rFonts w:hint="default" w:ascii="Times New Roman" w:hAnsi="Times New Roman" w:eastAsia="宋体" w:cs="宋体"/>
                <w:color w:val="auto"/>
                <w:kern w:val="2"/>
                <w:sz w:val="24"/>
                <w:szCs w:val="24"/>
                <w:lang w:val="en-US" w:eastAsia="zh-CN" w:bidi="ar-SA"/>
              </w:rPr>
              <w:t>、</w:t>
            </w:r>
            <w:r>
              <w:rPr>
                <w:rFonts w:hint="default"/>
                <w:color w:val="auto"/>
                <w:highlight w:val="none"/>
                <w:lang w:val="en-US" w:eastAsia="zh-CN"/>
              </w:rPr>
              <w:t>与《长治市2023年度生态环境分区管控动态更新工作方案》的符合性分析</w:t>
            </w:r>
          </w:p>
          <w:p w14:paraId="53BB9C0D">
            <w:pPr>
              <w:bidi w:val="0"/>
              <w:rPr>
                <w:color w:val="auto"/>
                <w:highlight w:val="none"/>
              </w:rPr>
            </w:pPr>
            <w:r>
              <w:rPr>
                <w:rFonts w:hint="default"/>
                <w:color w:val="auto"/>
                <w:highlight w:val="none"/>
                <w:lang w:val="en-US" w:eastAsia="zh-CN"/>
              </w:rPr>
              <w:t>根据长治市生态环境局《长治市2023年度生态环境分区管控动态更新工作方案》，本项目建设</w:t>
            </w:r>
            <w:r>
              <w:rPr>
                <w:rFonts w:hint="eastAsia"/>
                <w:color w:val="auto"/>
                <w:highlight w:val="none"/>
                <w:lang w:val="en-US" w:eastAsia="zh-CN"/>
              </w:rPr>
              <w:t>位</w:t>
            </w:r>
            <w:r>
              <w:rPr>
                <w:rFonts w:hint="default"/>
                <w:color w:val="auto"/>
                <w:highlight w:val="none"/>
                <w:lang w:val="en-US" w:eastAsia="zh-CN"/>
              </w:rPr>
              <w:t>于其划定的重点管控单元区域内</w:t>
            </w:r>
            <w:r>
              <w:rPr>
                <w:rFonts w:hint="eastAsia"/>
                <w:color w:val="auto"/>
                <w:highlight w:val="none"/>
                <w:lang w:val="en-US" w:eastAsia="zh-CN"/>
              </w:rPr>
              <w:t>，具体内容见1-3。</w:t>
            </w:r>
            <w:bookmarkStart w:id="1" w:name="_Ref11124"/>
          </w:p>
          <w:p w14:paraId="789D05C3">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default"/>
                <w:color w:val="auto"/>
                <w:highlight w:val="none"/>
                <w:lang w:val="en-US" w:eastAsia="zh-CN"/>
              </w:rPr>
            </w:pPr>
            <w:r>
              <w:rPr>
                <w:color w:val="auto"/>
                <w:highlight w:val="none"/>
              </w:rPr>
              <w:t>表</w:t>
            </w:r>
            <w:bookmarkEnd w:id="1"/>
            <w:r>
              <w:rPr>
                <w:rFonts w:hint="eastAsia"/>
                <w:color w:val="auto"/>
                <w:highlight w:val="none"/>
                <w:lang w:val="en-US" w:eastAsia="zh-CN"/>
              </w:rPr>
              <w:t>1-3  本项目在环境管控单元中信息一览表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065"/>
              <w:gridCol w:w="1065"/>
              <w:gridCol w:w="2356"/>
              <w:gridCol w:w="854"/>
              <w:gridCol w:w="1184"/>
            </w:tblGrid>
            <w:tr w14:paraId="23AD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9" w:type="dxa"/>
                  <w:vAlign w:val="center"/>
                </w:tcPr>
                <w:p w14:paraId="0AA1FA43">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序号</w:t>
                  </w:r>
                </w:p>
              </w:tc>
              <w:tc>
                <w:tcPr>
                  <w:tcW w:w="1065" w:type="dxa"/>
                  <w:vAlign w:val="center"/>
                </w:tcPr>
                <w:p w14:paraId="4390E0CA">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行政区划</w:t>
                  </w:r>
                </w:p>
              </w:tc>
              <w:tc>
                <w:tcPr>
                  <w:tcW w:w="1065" w:type="dxa"/>
                  <w:vAlign w:val="center"/>
                </w:tcPr>
                <w:p w14:paraId="5D5C7A2F">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管控单元编码</w:t>
                  </w:r>
                </w:p>
              </w:tc>
              <w:tc>
                <w:tcPr>
                  <w:tcW w:w="2356" w:type="dxa"/>
                  <w:vAlign w:val="center"/>
                </w:tcPr>
                <w:p w14:paraId="0C5CEFEF">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管控单元名称</w:t>
                  </w:r>
                </w:p>
              </w:tc>
              <w:tc>
                <w:tcPr>
                  <w:tcW w:w="854" w:type="dxa"/>
                  <w:vAlign w:val="center"/>
                </w:tcPr>
                <w:p w14:paraId="373957DF">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管控区</w:t>
                  </w:r>
                </w:p>
                <w:p w14:paraId="43251A6C">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分类</w:t>
                  </w:r>
                </w:p>
              </w:tc>
              <w:tc>
                <w:tcPr>
                  <w:tcW w:w="1184" w:type="dxa"/>
                  <w:vAlign w:val="center"/>
                </w:tcPr>
                <w:p w14:paraId="08467000">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重叠面积</w:t>
                  </w:r>
                  <w:r>
                    <w:rPr>
                      <w:rFonts w:hint="eastAsia" w:ascii="Times New Roman" w:hAnsi="Times New Roman" w:eastAsia="宋体"/>
                      <w:color w:val="auto"/>
                      <w:sz w:val="21"/>
                      <w:highlight w:val="none"/>
                      <w:lang w:val="en-US" w:eastAsia="zh-CN"/>
                    </w:rPr>
                    <w:t>（公顷）</w:t>
                  </w:r>
                </w:p>
              </w:tc>
            </w:tr>
            <w:tr w14:paraId="191DB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9" w:type="dxa"/>
                  <w:vAlign w:val="center"/>
                </w:tcPr>
                <w:p w14:paraId="4CCF8BF0">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w:t>
                  </w:r>
                </w:p>
              </w:tc>
              <w:tc>
                <w:tcPr>
                  <w:tcW w:w="1065" w:type="dxa"/>
                  <w:vAlign w:val="center"/>
                </w:tcPr>
                <w:p w14:paraId="0ADE2A82">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壶关县</w:t>
                  </w:r>
                </w:p>
              </w:tc>
              <w:tc>
                <w:tcPr>
                  <w:tcW w:w="1065" w:type="dxa"/>
                  <w:vAlign w:val="center"/>
                </w:tcPr>
                <w:p w14:paraId="0707F6D9">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ZH1404</w:t>
                  </w:r>
                  <w:r>
                    <w:rPr>
                      <w:rFonts w:hint="eastAsia" w:ascii="Times New Roman" w:hAnsi="Times New Roman" w:eastAsia="宋体"/>
                      <w:color w:val="auto"/>
                      <w:sz w:val="21"/>
                      <w:highlight w:val="none"/>
                      <w:lang w:val="en-US" w:eastAsia="zh-CN"/>
                    </w:rPr>
                    <w:t>2720002</w:t>
                  </w:r>
                </w:p>
              </w:tc>
              <w:tc>
                <w:tcPr>
                  <w:tcW w:w="2356" w:type="dxa"/>
                  <w:vAlign w:val="center"/>
                </w:tcPr>
                <w:p w14:paraId="69A1B204">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壶关经济开发区大气环境高排放</w:t>
                  </w:r>
                  <w:r>
                    <w:rPr>
                      <w:rFonts w:hint="default" w:ascii="Times New Roman" w:hAnsi="Times New Roman" w:eastAsia="宋体"/>
                      <w:color w:val="auto"/>
                      <w:sz w:val="21"/>
                      <w:highlight w:val="none"/>
                      <w:lang w:val="en-US" w:eastAsia="zh-CN"/>
                    </w:rPr>
                    <w:t>重点管控单元</w:t>
                  </w:r>
                </w:p>
              </w:tc>
              <w:tc>
                <w:tcPr>
                  <w:tcW w:w="854" w:type="dxa"/>
                  <w:vAlign w:val="center"/>
                </w:tcPr>
                <w:p w14:paraId="2BA6AA23">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重点管控单元</w:t>
                  </w:r>
                </w:p>
              </w:tc>
              <w:tc>
                <w:tcPr>
                  <w:tcW w:w="1184" w:type="dxa"/>
                  <w:vAlign w:val="center"/>
                </w:tcPr>
                <w:p w14:paraId="45C29CDD">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4.</w:t>
                  </w:r>
                  <w:r>
                    <w:rPr>
                      <w:rFonts w:hint="eastAsia"/>
                      <w:color w:val="auto"/>
                      <w:sz w:val="21"/>
                      <w:highlight w:val="none"/>
                      <w:lang w:val="en-US" w:eastAsia="zh-CN"/>
                    </w:rPr>
                    <w:t>2133</w:t>
                  </w:r>
                </w:p>
              </w:tc>
            </w:tr>
          </w:tbl>
          <w:p w14:paraId="3EE7C851">
            <w:pPr>
              <w:pStyle w:val="34"/>
              <w:keepNext w:val="0"/>
              <w:keepLines w:val="0"/>
              <w:pageBreakBefore w:val="0"/>
              <w:widowControl/>
              <w:kinsoku/>
              <w:wordWrap/>
              <w:overflowPunct/>
              <w:topLinePunct w:val="0"/>
              <w:autoSpaceDE/>
              <w:autoSpaceDN/>
              <w:bidi w:val="0"/>
              <w:adjustRightInd/>
              <w:snapToGrid/>
              <w:spacing w:line="20" w:lineRule="exact"/>
              <w:textAlignment w:val="auto"/>
              <w:rPr>
                <w:rFonts w:hint="default"/>
                <w:color w:val="auto"/>
                <w:highlight w:val="none"/>
                <w:lang w:val="en-US" w:eastAsia="zh-CN"/>
              </w:rPr>
            </w:pPr>
            <w:r>
              <w:rPr>
                <w:rFonts w:hint="eastAsia"/>
                <w:color w:val="auto"/>
                <w:highlight w:val="none"/>
                <w:lang w:val="en-US" w:eastAsia="zh-CN"/>
              </w:rPr>
              <w:t xml:space="preserve">  </w:t>
            </w:r>
          </w:p>
          <w:p w14:paraId="29AB04EE">
            <w:pPr>
              <w:bidi w:val="0"/>
              <w:rPr>
                <w:rFonts w:hint="eastAsia"/>
                <w:color w:val="auto"/>
                <w:highlight w:val="none"/>
                <w:lang w:eastAsia="zh-CN"/>
              </w:rPr>
            </w:pPr>
            <w:r>
              <w:rPr>
                <w:rFonts w:hint="eastAsia"/>
                <w:color w:val="auto"/>
                <w:highlight w:val="none"/>
              </w:rPr>
              <w:t>本项目在环境管控单元中的位置如下图所示</w:t>
            </w:r>
            <w:r>
              <w:rPr>
                <w:rFonts w:hint="eastAsia"/>
                <w:color w:val="auto"/>
                <w:highlight w:val="none"/>
                <w:lang w:eastAsia="zh-CN"/>
              </w:rPr>
              <w:t>。</w:t>
            </w:r>
          </w:p>
          <w:p w14:paraId="41B766E8">
            <w:pPr>
              <w:pStyle w:val="27"/>
              <w:rPr>
                <w:rFonts w:hint="eastAsia"/>
                <w:color w:val="auto"/>
                <w:highlight w:val="none"/>
                <w:lang w:eastAsia="zh-CN"/>
              </w:rPr>
            </w:pPr>
          </w:p>
          <w:p w14:paraId="7A532964">
            <w:pPr>
              <w:ind w:left="0" w:leftChars="0" w:firstLine="0" w:firstLineChars="0"/>
              <w:rPr>
                <w:rFonts w:hint="eastAsia"/>
                <w:color w:val="auto"/>
                <w:lang w:eastAsia="zh-CN"/>
              </w:rPr>
            </w:pPr>
          </w:p>
          <w:tbl>
            <w:tblPr>
              <w:tblStyle w:val="29"/>
              <w:tblW w:w="5000" w:type="pct"/>
              <w:jc w:val="center"/>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68"/>
            </w:tblGrid>
            <w:tr w14:paraId="7E1BE402">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7073" w:type="dxa"/>
                  <w:tcBorders>
                    <w:top w:val="nil"/>
                    <w:bottom w:val="nil"/>
                    <w:right w:val="nil"/>
                  </w:tcBorders>
                  <w:vAlign w:val="top"/>
                </w:tcPr>
                <w:p w14:paraId="7A63074B">
                  <w:pPr>
                    <w:pStyle w:val="34"/>
                    <w:keepNext w:val="0"/>
                    <w:keepLines w:val="0"/>
                    <w:pageBreakBefore w:val="0"/>
                    <w:widowControl/>
                    <w:kinsoku/>
                    <w:wordWrap/>
                    <w:overflowPunct/>
                    <w:topLinePunct w:val="0"/>
                    <w:autoSpaceDE/>
                    <w:autoSpaceDN/>
                    <w:bidi w:val="0"/>
                    <w:adjustRightInd/>
                    <w:snapToGrid/>
                    <w:spacing w:line="240" w:lineRule="atLeast"/>
                    <w:textAlignment w:val="auto"/>
                    <w:rPr>
                      <w:rFonts w:hint="eastAsia"/>
                      <w:color w:val="auto"/>
                      <w:sz w:val="10"/>
                      <w:szCs w:val="10"/>
                      <w:highlight w:val="none"/>
                      <w:lang w:eastAsia="zh-CN"/>
                    </w:rPr>
                  </w:pPr>
                  <w:r>
                    <w:rPr>
                      <w:color w:val="auto"/>
                    </w:rPr>
                    <w:drawing>
                      <wp:inline distT="0" distB="0" distL="114300" distR="114300">
                        <wp:extent cx="3333115" cy="2376170"/>
                        <wp:effectExtent l="0" t="0" r="635" b="5080"/>
                        <wp:docPr id="1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2"/>
                                <pic:cNvPicPr>
                                  <a:picLocks noChangeAspect="1"/>
                                </pic:cNvPicPr>
                              </pic:nvPicPr>
                              <pic:blipFill>
                                <a:blip r:embed="rId11"/>
                                <a:stretch>
                                  <a:fillRect/>
                                </a:stretch>
                              </pic:blipFill>
                              <pic:spPr>
                                <a:xfrm>
                                  <a:off x="0" y="0"/>
                                  <a:ext cx="3333115" cy="2376170"/>
                                </a:xfrm>
                                <a:prstGeom prst="rect">
                                  <a:avLst/>
                                </a:prstGeom>
                                <a:noFill/>
                                <a:ln>
                                  <a:noFill/>
                                </a:ln>
                              </pic:spPr>
                            </pic:pic>
                          </a:graphicData>
                        </a:graphic>
                      </wp:inline>
                    </w:drawing>
                  </w:r>
                </w:p>
              </w:tc>
            </w:tr>
            <w:tr w14:paraId="72CB707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 w:hRule="atLeast"/>
                <w:jc w:val="center"/>
              </w:trPr>
              <w:tc>
                <w:tcPr>
                  <w:tcW w:w="7073" w:type="dxa"/>
                  <w:tcBorders>
                    <w:top w:val="nil"/>
                    <w:bottom w:val="nil"/>
                    <w:right w:val="nil"/>
                  </w:tcBorders>
                  <w:vAlign w:val="top"/>
                </w:tcPr>
                <w:p w14:paraId="14C2B543">
                  <w:pPr>
                    <w:pStyle w:val="20"/>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eastAsia"/>
                      <w:color w:val="auto"/>
                      <w:sz w:val="10"/>
                      <w:szCs w:val="10"/>
                      <w:highlight w:val="none"/>
                      <w:lang w:eastAsia="zh-CN"/>
                    </w:rPr>
                  </w:pPr>
                  <w:r>
                    <w:rPr>
                      <w:color w:val="auto"/>
                      <w:highlight w:val="none"/>
                    </w:rPr>
                    <w:t>图</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1</w:t>
                  </w:r>
                  <w:r>
                    <w:rPr>
                      <w:color w:val="auto"/>
                      <w:highlight w:val="none"/>
                    </w:rPr>
                    <w:fldChar w:fldCharType="end"/>
                  </w:r>
                  <w:r>
                    <w:rPr>
                      <w:rFonts w:hint="eastAsia"/>
                      <w:color w:val="auto"/>
                      <w:highlight w:val="none"/>
                      <w:lang w:eastAsia="zh-CN"/>
                    </w:rPr>
                    <w:t>-</w:t>
                  </w:r>
                  <w:r>
                    <w:rPr>
                      <w:color w:val="auto"/>
                      <w:highlight w:val="none"/>
                    </w:rPr>
                    <w:fldChar w:fldCharType="begin"/>
                  </w:r>
                  <w:r>
                    <w:rPr>
                      <w:color w:val="auto"/>
                      <w:highlight w:val="none"/>
                    </w:rPr>
                    <w:instrText xml:space="preserve"> SEQ 图 \* ARABIC \s 1 </w:instrText>
                  </w:r>
                  <w:r>
                    <w:rPr>
                      <w:color w:val="auto"/>
                      <w:highlight w:val="none"/>
                    </w:rPr>
                    <w:fldChar w:fldCharType="separate"/>
                  </w:r>
                  <w:r>
                    <w:rPr>
                      <w:color w:val="auto"/>
                      <w:highlight w:val="none"/>
                    </w:rPr>
                    <w:t>1</w:t>
                  </w:r>
                  <w:r>
                    <w:rPr>
                      <w:color w:val="auto"/>
                      <w:highlight w:val="none"/>
                    </w:rPr>
                    <w:fldChar w:fldCharType="end"/>
                  </w:r>
                  <w:r>
                    <w:rPr>
                      <w:rFonts w:hint="eastAsia"/>
                      <w:color w:val="auto"/>
                      <w:highlight w:val="none"/>
                      <w:lang w:val="en-US" w:eastAsia="zh-CN"/>
                    </w:rPr>
                    <w:t xml:space="preserve">  项目所属管控单元位置图</w:t>
                  </w:r>
                </w:p>
              </w:tc>
            </w:tr>
          </w:tbl>
          <w:p w14:paraId="71F7335D">
            <w:pPr>
              <w:bidi w:val="0"/>
              <w:rPr>
                <w:rFonts w:hint="eastAsia" w:eastAsia="宋体"/>
                <w:color w:val="auto"/>
                <w:highlight w:val="none"/>
                <w:lang w:eastAsia="zh-CN"/>
              </w:rPr>
            </w:pPr>
            <w:r>
              <w:rPr>
                <w:rFonts w:hint="eastAsia"/>
                <w:color w:val="auto"/>
                <w:highlight w:val="none"/>
              </w:rPr>
              <w:t>本项目与该管控单元准入要求符合性分析见</w:t>
            </w:r>
            <w:r>
              <w:rPr>
                <w:rFonts w:hint="eastAsia"/>
                <w:color w:val="auto"/>
                <w:highlight w:val="none"/>
                <w:lang w:val="en-US" w:eastAsia="zh-CN"/>
              </w:rPr>
              <w:t>表1-4</w:t>
            </w:r>
            <w:r>
              <w:rPr>
                <w:rFonts w:hint="eastAsia"/>
                <w:color w:val="auto"/>
                <w:highlight w:val="none"/>
                <w:lang w:eastAsia="zh-CN"/>
              </w:rPr>
              <w:t>。</w:t>
            </w:r>
          </w:p>
          <w:p w14:paraId="1445FB28">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default"/>
                <w:color w:val="auto"/>
                <w:highlight w:val="none"/>
                <w:shd w:val="clear" w:color="auto" w:fill="auto"/>
                <w:lang w:val="en-US" w:eastAsia="zh-CN"/>
              </w:rPr>
            </w:pPr>
            <w:bookmarkStart w:id="2" w:name="_Ref11143"/>
            <w:r>
              <w:rPr>
                <w:color w:val="auto"/>
                <w:highlight w:val="none"/>
                <w:shd w:val="clear" w:color="auto" w:fill="auto"/>
              </w:rPr>
              <w:t>表</w:t>
            </w:r>
            <w:bookmarkEnd w:id="2"/>
            <w:r>
              <w:rPr>
                <w:rFonts w:hint="eastAsia"/>
                <w:color w:val="auto"/>
                <w:highlight w:val="none"/>
                <w:shd w:val="clear" w:color="auto" w:fill="auto"/>
                <w:lang w:val="en-US" w:eastAsia="zh-CN"/>
              </w:rPr>
              <w:t xml:space="preserve">1-4  </w:t>
            </w:r>
            <w:r>
              <w:rPr>
                <w:rFonts w:hint="default"/>
                <w:color w:val="auto"/>
                <w:highlight w:val="none"/>
                <w:shd w:val="clear" w:color="auto" w:fill="auto"/>
                <w:lang w:val="en-US" w:eastAsia="zh-CN"/>
              </w:rPr>
              <w:t>管控要求一览表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98"/>
              <w:gridCol w:w="889"/>
              <w:gridCol w:w="2280"/>
              <w:gridCol w:w="2299"/>
              <w:gridCol w:w="798"/>
            </w:tblGrid>
            <w:tr w14:paraId="0DC8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98" w:type="dxa"/>
                  <w:vAlign w:val="center"/>
                </w:tcPr>
                <w:p w14:paraId="4AADCCBE">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管控单元名称</w:t>
                  </w:r>
                </w:p>
              </w:tc>
              <w:tc>
                <w:tcPr>
                  <w:tcW w:w="889" w:type="dxa"/>
                  <w:vAlign w:val="center"/>
                </w:tcPr>
                <w:p w14:paraId="17D6CEE2">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管控类别</w:t>
                  </w:r>
                </w:p>
              </w:tc>
              <w:tc>
                <w:tcPr>
                  <w:tcW w:w="2280" w:type="dxa"/>
                  <w:vAlign w:val="center"/>
                </w:tcPr>
                <w:p w14:paraId="662275F7">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管控要求</w:t>
                  </w:r>
                </w:p>
              </w:tc>
              <w:tc>
                <w:tcPr>
                  <w:tcW w:w="2299" w:type="dxa"/>
                  <w:vAlign w:val="center"/>
                </w:tcPr>
                <w:p w14:paraId="401A6D68">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本项目情况</w:t>
                  </w:r>
                </w:p>
              </w:tc>
              <w:tc>
                <w:tcPr>
                  <w:tcW w:w="798" w:type="dxa"/>
                  <w:vAlign w:val="center"/>
                </w:tcPr>
                <w:p w14:paraId="07F5608C">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相符性</w:t>
                  </w:r>
                </w:p>
              </w:tc>
            </w:tr>
            <w:tr w14:paraId="052D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98" w:type="dxa"/>
                  <w:vMerge w:val="restart"/>
                  <w:vAlign w:val="center"/>
                </w:tcPr>
                <w:p w14:paraId="56563ED0">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壶关经济开发区大气高排放</w:t>
                  </w:r>
                  <w:r>
                    <w:rPr>
                      <w:rFonts w:hint="default" w:ascii="Times New Roman" w:hAnsi="Times New Roman" w:eastAsia="宋体"/>
                      <w:color w:val="auto"/>
                      <w:sz w:val="21"/>
                      <w:highlight w:val="none"/>
                      <w:lang w:val="en-US" w:eastAsia="zh-CN"/>
                    </w:rPr>
                    <w:t>重点管控单元</w:t>
                  </w:r>
                </w:p>
              </w:tc>
              <w:tc>
                <w:tcPr>
                  <w:tcW w:w="889" w:type="dxa"/>
                  <w:vAlign w:val="center"/>
                </w:tcPr>
                <w:p w14:paraId="408DC1E4">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空间布局约束</w:t>
                  </w:r>
                </w:p>
              </w:tc>
              <w:tc>
                <w:tcPr>
                  <w:tcW w:w="2280" w:type="dxa"/>
                  <w:vAlign w:val="center"/>
                </w:tcPr>
                <w:p w14:paraId="66EA93F2">
                  <w:pPr>
                    <w:pStyle w:val="34"/>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s="宋体"/>
                      <w:color w:val="auto"/>
                      <w:kern w:val="2"/>
                      <w:sz w:val="21"/>
                      <w:szCs w:val="21"/>
                      <w:lang w:val="en-US" w:eastAsia="zh-CN" w:bidi="ar"/>
                    </w:rPr>
                    <w:t>1.</w:t>
                  </w:r>
                  <w:r>
                    <w:rPr>
                      <w:rFonts w:hint="default" w:ascii="Times New Roman" w:hAnsi="Times New Roman" w:eastAsia="宋体"/>
                      <w:color w:val="auto"/>
                      <w:sz w:val="21"/>
                      <w:highlight w:val="none"/>
                      <w:lang w:val="en-US" w:eastAsia="zh-CN"/>
                    </w:rPr>
                    <w:t>执行山西省、长治市</w:t>
                  </w:r>
                  <w:r>
                    <w:rPr>
                      <w:rFonts w:hint="eastAsia" w:ascii="Times New Roman" w:hAnsi="Times New Roman" w:eastAsia="宋体"/>
                      <w:color w:val="auto"/>
                      <w:sz w:val="21"/>
                      <w:highlight w:val="none"/>
                      <w:lang w:val="en-US" w:eastAsia="zh-CN"/>
                    </w:rPr>
                    <w:t>的</w:t>
                  </w:r>
                  <w:r>
                    <w:rPr>
                      <w:rFonts w:hint="default" w:ascii="Times New Roman" w:hAnsi="Times New Roman" w:eastAsia="宋体"/>
                      <w:color w:val="auto"/>
                      <w:sz w:val="21"/>
                      <w:highlight w:val="none"/>
                      <w:lang w:val="en-US" w:eastAsia="zh-CN"/>
                    </w:rPr>
                    <w:t>空间布局准入要求。入园企业需符合园区产业定位。</w:t>
                  </w:r>
                </w:p>
                <w:p w14:paraId="254D0C59">
                  <w:pPr>
                    <w:pStyle w:val="34"/>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2.严格环境准入，限制资源消耗大、污染程度重、风险级别高的项目及企业入区。</w:t>
                  </w:r>
                </w:p>
              </w:tc>
              <w:tc>
                <w:tcPr>
                  <w:tcW w:w="2299" w:type="dxa"/>
                  <w:vAlign w:val="center"/>
                </w:tcPr>
                <w:p w14:paraId="7DE91994">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本项目为水泥制品和石墨及其他非金属矿物制品制造</w:t>
                  </w:r>
                  <w:r>
                    <w:rPr>
                      <w:rFonts w:hint="eastAsia" w:ascii="Times New Roman" w:hAnsi="Times New Roman" w:eastAsia="宋体"/>
                      <w:color w:val="auto"/>
                      <w:sz w:val="21"/>
                      <w:highlight w:val="none"/>
                      <w:lang w:val="en-US" w:eastAsia="zh-CN"/>
                    </w:rPr>
                    <w:t>项目，不属于</w:t>
                  </w:r>
                  <w:r>
                    <w:rPr>
                      <w:rFonts w:hint="default" w:ascii="Times New Roman" w:hAnsi="Times New Roman" w:eastAsia="宋体"/>
                      <w:color w:val="auto"/>
                      <w:sz w:val="21"/>
                      <w:highlight w:val="none"/>
                      <w:lang w:val="en-US" w:eastAsia="zh-CN"/>
                    </w:rPr>
                    <w:t>资源消耗大、污染程度重、风险级别高的</w:t>
                  </w:r>
                  <w:r>
                    <w:rPr>
                      <w:rFonts w:hint="eastAsia" w:ascii="Times New Roman" w:hAnsi="Times New Roman" w:eastAsia="宋体"/>
                      <w:color w:val="auto"/>
                      <w:sz w:val="21"/>
                      <w:highlight w:val="none"/>
                      <w:lang w:val="en-US" w:eastAsia="zh-CN"/>
                    </w:rPr>
                    <w:t>项目，不在生态保护红线区域内；生产过程中排放的污染物主要为颗粒物，经本评价提出的相关措施后可达标排放，对区域大气环境影响较小。</w:t>
                  </w:r>
                </w:p>
              </w:tc>
              <w:tc>
                <w:tcPr>
                  <w:tcW w:w="798" w:type="dxa"/>
                  <w:vAlign w:val="center"/>
                </w:tcPr>
                <w:p w14:paraId="62FCB794">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7E67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98" w:type="dxa"/>
                  <w:vMerge w:val="continue"/>
                  <w:vAlign w:val="center"/>
                </w:tcPr>
                <w:p w14:paraId="6E6F7DB9">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p>
              </w:tc>
              <w:tc>
                <w:tcPr>
                  <w:tcW w:w="889" w:type="dxa"/>
                  <w:vAlign w:val="center"/>
                </w:tcPr>
                <w:p w14:paraId="3F3023BF">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污染物排放管控</w:t>
                  </w:r>
                </w:p>
              </w:tc>
              <w:tc>
                <w:tcPr>
                  <w:tcW w:w="2280" w:type="dxa"/>
                  <w:vAlign w:val="center"/>
                </w:tcPr>
                <w:p w14:paraId="1AF7782D">
                  <w:pPr>
                    <w:pStyle w:val="34"/>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s="宋体"/>
                      <w:color w:val="auto"/>
                      <w:kern w:val="2"/>
                      <w:sz w:val="21"/>
                      <w:szCs w:val="21"/>
                      <w:lang w:val="en-US" w:eastAsia="zh-CN" w:bidi="ar"/>
                    </w:rPr>
                    <w:t>1.</w:t>
                  </w:r>
                  <w:r>
                    <w:rPr>
                      <w:rFonts w:hint="default" w:ascii="Times New Roman" w:hAnsi="Times New Roman" w:eastAsia="宋体"/>
                      <w:color w:val="auto"/>
                      <w:sz w:val="21"/>
                      <w:highlight w:val="none"/>
                      <w:lang w:val="en-US" w:eastAsia="zh-CN"/>
                    </w:rPr>
                    <w:t>执行山西省、长治市的污染物排放控制要求。</w:t>
                  </w:r>
                </w:p>
                <w:p w14:paraId="50AE493D">
                  <w:pPr>
                    <w:pStyle w:val="34"/>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2.开发区内各重点企业应安装废水排放在线监测装置，对企业排放废水随时进行监控。</w:t>
                  </w:r>
                </w:p>
                <w:p w14:paraId="1DC9DC13">
                  <w:pPr>
                    <w:pStyle w:val="34"/>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3.园区新建、改扩建需排放污染物项目，需按倍量削减要求进行总量置换。</w:t>
                  </w:r>
                </w:p>
                <w:p w14:paraId="402734A4">
                  <w:pPr>
                    <w:pStyle w:val="34"/>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4.根据《山西省推进运输结构调整实施方案》的要求，完善园区的铁路运输建设，减少大宗物料的公路运输量，以减少对园区物料运输产生的污染对区域环境的影响。</w:t>
                  </w:r>
                </w:p>
                <w:p w14:paraId="4D8F4645">
                  <w:pPr>
                    <w:pStyle w:val="34"/>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5.鼓励有条件的地区、企业探索实施减污降碳协同治理和碳捕集、封存、综合利用工程试点、示范。</w:t>
                  </w:r>
                </w:p>
              </w:tc>
              <w:tc>
                <w:tcPr>
                  <w:tcW w:w="2299" w:type="dxa"/>
                  <w:vAlign w:val="center"/>
                </w:tcPr>
                <w:p w14:paraId="2F0AB6A8">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本项目严格</w:t>
                  </w:r>
                  <w:r>
                    <w:rPr>
                      <w:rFonts w:hint="default" w:ascii="Times New Roman" w:hAnsi="Times New Roman" w:eastAsia="宋体"/>
                      <w:color w:val="auto"/>
                      <w:sz w:val="21"/>
                      <w:highlight w:val="none"/>
                      <w:lang w:val="en-US" w:eastAsia="zh-CN"/>
                    </w:rPr>
                    <w:t>执行山西省、长治市的污染物排放控制要求。</w:t>
                  </w:r>
                  <w:r>
                    <w:rPr>
                      <w:rFonts w:hint="eastAsia" w:ascii="Times New Roman" w:hAnsi="Times New Roman" w:eastAsia="宋体"/>
                      <w:color w:val="auto"/>
                      <w:sz w:val="21"/>
                      <w:szCs w:val="21"/>
                      <w:highlight w:val="none"/>
                      <w:lang w:val="en-US" w:eastAsia="zh-CN"/>
                    </w:rPr>
                    <w:t>运输车辆采取</w:t>
                  </w:r>
                  <w:r>
                    <w:rPr>
                      <w:rFonts w:hint="default" w:ascii="Times New Roman" w:hAnsi="Times New Roman" w:eastAsia="宋体"/>
                      <w:color w:val="auto"/>
                      <w:sz w:val="21"/>
                      <w:szCs w:val="21"/>
                      <w:highlight w:val="none"/>
                      <w:lang w:val="en-US" w:eastAsia="zh-CN"/>
                    </w:rPr>
                    <w:t>密闭或者其他措施防止物料遗撒造成扬尘污染，并按照规定路线行驶</w:t>
                  </w:r>
                  <w:r>
                    <w:rPr>
                      <w:rFonts w:hint="eastAsia" w:ascii="Times New Roman" w:hAnsi="Times New Roman" w:eastAsia="宋体"/>
                      <w:color w:val="auto"/>
                      <w:sz w:val="21"/>
                      <w:szCs w:val="21"/>
                      <w:highlight w:val="none"/>
                      <w:lang w:val="en-US" w:eastAsia="zh-CN"/>
                    </w:rPr>
                    <w:t>。</w:t>
                  </w:r>
                </w:p>
              </w:tc>
              <w:tc>
                <w:tcPr>
                  <w:tcW w:w="798" w:type="dxa"/>
                  <w:vAlign w:val="center"/>
                </w:tcPr>
                <w:p w14:paraId="6FFF7C7F">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6D96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98" w:type="dxa"/>
                  <w:vMerge w:val="continue"/>
                  <w:vAlign w:val="center"/>
                </w:tcPr>
                <w:p w14:paraId="5FB08544">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p>
              </w:tc>
              <w:tc>
                <w:tcPr>
                  <w:tcW w:w="889" w:type="dxa"/>
                  <w:vAlign w:val="center"/>
                </w:tcPr>
                <w:p w14:paraId="2DF7B5CB">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环境风险防控</w:t>
                  </w:r>
                </w:p>
              </w:tc>
              <w:tc>
                <w:tcPr>
                  <w:tcW w:w="2280" w:type="dxa"/>
                  <w:vAlign w:val="center"/>
                </w:tcPr>
                <w:p w14:paraId="12646B5E">
                  <w:pPr>
                    <w:pStyle w:val="34"/>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s="宋体"/>
                      <w:color w:val="auto"/>
                      <w:kern w:val="2"/>
                      <w:sz w:val="21"/>
                      <w:szCs w:val="21"/>
                      <w:lang w:val="en-US" w:eastAsia="zh-CN" w:bidi="ar"/>
                    </w:rPr>
                    <w:t>1.</w:t>
                  </w:r>
                  <w:r>
                    <w:rPr>
                      <w:rFonts w:hint="default" w:ascii="Times New Roman" w:hAnsi="Times New Roman" w:eastAsia="宋体"/>
                      <w:color w:val="auto"/>
                      <w:sz w:val="21"/>
                      <w:highlight w:val="none"/>
                      <w:lang w:val="en-US" w:eastAsia="zh-CN"/>
                    </w:rPr>
                    <w:t>对产生危废企业的单位，要求建成具有防水、防渗、防流失的专用危险废物贮存设施贮存危险废物。贮存设施基础必须防渗、有足够地面承载能力，并能确保雨水不会流至贮存设施内，贮存设施应封闭。</w:t>
                  </w:r>
                </w:p>
                <w:p w14:paraId="4061713A">
                  <w:pPr>
                    <w:pStyle w:val="34"/>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2.废水处理站废水处理构筑物采取严格防渗措施后，阻止废水下渗。</w:t>
                  </w:r>
                </w:p>
                <w:p w14:paraId="4B25A6B9">
                  <w:pPr>
                    <w:pStyle w:val="34"/>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3.限制废水中还有有毒有害的企业入区。</w:t>
                  </w:r>
                </w:p>
                <w:p w14:paraId="03F8FFF1">
                  <w:pPr>
                    <w:pStyle w:val="34"/>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4.各涉水企业确保污水处理设施稳定运行，设置缓冲应急池及配套管网布设，确保事故状态下超标废水不外排。</w:t>
                  </w:r>
                </w:p>
                <w:p w14:paraId="4F2915E5">
                  <w:pPr>
                    <w:pStyle w:val="34"/>
                    <w:keepNext w:val="0"/>
                    <w:keepLines w:val="0"/>
                    <w:pageBreakBefore w:val="0"/>
                    <w:widowControl/>
                    <w:numPr>
                      <w:ilvl w:val="0"/>
                      <w:numId w:val="0"/>
                    </w:numPr>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5.应严格控制具有重大环境风险源的工业生产项目进入，必须制定完善的环境风险防控措施；涉及危险化学品的企业，首先要进入化工及新材料组团中的化工板块，并且远离居民区布置，同时设计做好防渗、围堰</w:t>
                  </w:r>
                </w:p>
                <w:p w14:paraId="79013FC0">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及事故池等，防治危化品泄露造成环境污染。6.企业环境应急预案要求、园区环境应急预案和风险防范措施要求、建设用地土壤污染风险防控、区域应急联动。</w:t>
                  </w:r>
                </w:p>
                <w:p w14:paraId="4C7AF8EB">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7.土壤环境质量执行《土壤环境质量建设用地土壤污染风险管控标准（试行）》。</w:t>
                  </w:r>
                </w:p>
              </w:tc>
              <w:tc>
                <w:tcPr>
                  <w:tcW w:w="2299" w:type="dxa"/>
                  <w:vAlign w:val="center"/>
                </w:tcPr>
                <w:p w14:paraId="0843A497">
                  <w:pPr>
                    <w:pStyle w:val="34"/>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本项目</w:t>
                  </w:r>
                  <w:r>
                    <w:rPr>
                      <w:rFonts w:hint="eastAsia"/>
                      <w:color w:val="auto"/>
                      <w:sz w:val="21"/>
                      <w:highlight w:val="none"/>
                      <w:lang w:val="en-US" w:eastAsia="zh-CN"/>
                    </w:rPr>
                    <w:t>危废贮存库</w:t>
                  </w:r>
                  <w:r>
                    <w:rPr>
                      <w:rFonts w:hint="eastAsia" w:ascii="Times New Roman" w:hAnsi="Times New Roman" w:eastAsia="宋体"/>
                      <w:color w:val="auto"/>
                      <w:sz w:val="21"/>
                      <w:highlight w:val="none"/>
                      <w:lang w:val="en-US" w:eastAsia="zh-CN"/>
                    </w:rPr>
                    <w:t>具有</w:t>
                  </w:r>
                  <w:r>
                    <w:rPr>
                      <w:rFonts w:hint="default" w:ascii="Times New Roman" w:hAnsi="Times New Roman" w:eastAsia="宋体"/>
                      <w:color w:val="auto"/>
                      <w:sz w:val="21"/>
                      <w:highlight w:val="none"/>
                      <w:lang w:val="en-US" w:eastAsia="zh-CN"/>
                    </w:rPr>
                    <w:t>防水、防渗、防流失</w:t>
                  </w:r>
                  <w:r>
                    <w:rPr>
                      <w:rFonts w:hint="eastAsia" w:ascii="Times New Roman" w:hAnsi="Times New Roman" w:eastAsia="宋体"/>
                      <w:color w:val="auto"/>
                      <w:sz w:val="21"/>
                      <w:highlight w:val="none"/>
                      <w:lang w:val="en-US" w:eastAsia="zh-CN"/>
                    </w:rPr>
                    <w:t>功能，本次评价要求企业建设完成后编制突发环境事件应急预案，并定期开展应急演练。</w:t>
                  </w:r>
                </w:p>
                <w:p w14:paraId="69543B23">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p>
              </w:tc>
              <w:tc>
                <w:tcPr>
                  <w:tcW w:w="798" w:type="dxa"/>
                  <w:vAlign w:val="center"/>
                </w:tcPr>
                <w:p w14:paraId="7DB3A33B">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r w14:paraId="51B8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98" w:type="dxa"/>
                  <w:vMerge w:val="continue"/>
                  <w:vAlign w:val="center"/>
                </w:tcPr>
                <w:p w14:paraId="7285F526">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p>
              </w:tc>
              <w:tc>
                <w:tcPr>
                  <w:tcW w:w="889" w:type="dxa"/>
                  <w:vAlign w:val="center"/>
                </w:tcPr>
                <w:p w14:paraId="17981F53">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资源开发效率要求</w:t>
                  </w:r>
                </w:p>
              </w:tc>
              <w:tc>
                <w:tcPr>
                  <w:tcW w:w="2280" w:type="dxa"/>
                  <w:vAlign w:val="center"/>
                </w:tcPr>
                <w:p w14:paraId="7CA227B9">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1.提高工业用水效率，推进产业园区用水系统集成优化，实现串联用水、分质用水、一水多用、梯级利用和再生利用。</w:t>
                  </w:r>
                </w:p>
              </w:tc>
              <w:tc>
                <w:tcPr>
                  <w:tcW w:w="2299" w:type="dxa"/>
                  <w:vAlign w:val="center"/>
                </w:tcPr>
                <w:p w14:paraId="0344A213">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本项目用水由常平村自来水管网供给，洗车废水经沉淀池处理后回用</w:t>
                  </w:r>
                  <w:r>
                    <w:rPr>
                      <w:rFonts w:hint="eastAsia"/>
                      <w:color w:val="auto"/>
                      <w:sz w:val="21"/>
                      <w:highlight w:val="none"/>
                      <w:lang w:val="en-US" w:eastAsia="zh-CN"/>
                    </w:rPr>
                    <w:t>。</w:t>
                  </w:r>
                </w:p>
              </w:tc>
              <w:tc>
                <w:tcPr>
                  <w:tcW w:w="798" w:type="dxa"/>
                  <w:vAlign w:val="center"/>
                </w:tcPr>
                <w:p w14:paraId="33E1D5D5">
                  <w:pPr>
                    <w:pStyle w:val="34"/>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符合</w:t>
                  </w:r>
                </w:p>
              </w:tc>
            </w:tr>
          </w:tbl>
          <w:p w14:paraId="14C2ECD5">
            <w:pPr>
              <w:keepNext w:val="0"/>
              <w:pageBreakBefore w:val="0"/>
              <w:widowControl w:val="0"/>
              <w:kinsoku/>
              <w:wordWrap/>
              <w:overflowPunct/>
              <w:topLinePunct w:val="0"/>
              <w:autoSpaceDE/>
              <w:autoSpaceDN/>
              <w:bidi w:val="0"/>
              <w:adjustRightInd/>
              <w:snapToGrid/>
              <w:textAlignment w:val="auto"/>
              <w:rPr>
                <w:rFonts w:hint="default"/>
                <w:color w:val="auto"/>
                <w:highlight w:val="none"/>
                <w:lang w:val="en-US" w:eastAsia="zh-CN"/>
              </w:rPr>
            </w:pPr>
            <w:r>
              <w:rPr>
                <w:rFonts w:hint="default"/>
                <w:color w:val="auto"/>
                <w:highlight w:val="none"/>
                <w:lang w:val="en-US" w:eastAsia="zh-CN"/>
              </w:rPr>
              <w:t>本项目位于</w:t>
            </w:r>
            <w:r>
              <w:rPr>
                <w:rFonts w:hint="eastAsia"/>
                <w:color w:val="auto"/>
                <w:highlight w:val="none"/>
                <w:lang w:val="en-US" w:eastAsia="zh-CN"/>
              </w:rPr>
              <w:t>壶关经济开发区大气高排放</w:t>
            </w:r>
            <w:r>
              <w:rPr>
                <w:rFonts w:hint="default"/>
                <w:color w:val="auto"/>
                <w:highlight w:val="none"/>
                <w:lang w:val="en-US" w:eastAsia="zh-CN"/>
              </w:rPr>
              <w:t>重点管控单元，为水泥制品和石墨及其他非金属矿物制品制造项目，</w:t>
            </w:r>
            <w:r>
              <w:rPr>
                <w:rFonts w:hint="eastAsia"/>
                <w:color w:val="auto"/>
                <w:highlight w:val="none"/>
                <w:lang w:val="en-US" w:eastAsia="zh-CN"/>
              </w:rPr>
              <w:t>不涉及“高温、烧成、化工合成”等工艺，</w:t>
            </w:r>
            <w:r>
              <w:rPr>
                <w:rFonts w:hint="default"/>
                <w:color w:val="auto"/>
                <w:highlight w:val="none"/>
                <w:lang w:val="en-US" w:eastAsia="zh-CN"/>
              </w:rPr>
              <w:t>不属于</w:t>
            </w:r>
            <w:r>
              <w:rPr>
                <w:rFonts w:hint="eastAsia"/>
                <w:color w:val="auto"/>
                <w:highlight w:val="none"/>
                <w:lang w:val="en-US" w:eastAsia="zh-CN"/>
              </w:rPr>
              <w:t>“</w:t>
            </w:r>
            <w:r>
              <w:rPr>
                <w:rFonts w:hint="default"/>
                <w:color w:val="auto"/>
                <w:highlight w:val="none"/>
                <w:lang w:val="en-US" w:eastAsia="zh-CN"/>
              </w:rPr>
              <w:t>两高</w:t>
            </w:r>
            <w:r>
              <w:rPr>
                <w:rFonts w:hint="eastAsia"/>
                <w:color w:val="auto"/>
                <w:highlight w:val="none"/>
                <w:lang w:val="en-US" w:eastAsia="zh-CN"/>
              </w:rPr>
              <w:t>”</w:t>
            </w:r>
            <w:r>
              <w:rPr>
                <w:rFonts w:hint="default"/>
                <w:color w:val="auto"/>
                <w:highlight w:val="none"/>
                <w:lang w:val="en-US" w:eastAsia="zh-CN"/>
              </w:rPr>
              <w:t>项目。生产过程中排放的污染物主要为</w:t>
            </w:r>
            <w:r>
              <w:rPr>
                <w:rFonts w:hint="eastAsia"/>
                <w:color w:val="auto"/>
                <w:highlight w:val="none"/>
                <w:lang w:val="en-US" w:eastAsia="zh-CN"/>
              </w:rPr>
              <w:t>颗粒物</w:t>
            </w:r>
            <w:r>
              <w:rPr>
                <w:rFonts w:hint="default"/>
                <w:color w:val="auto"/>
                <w:highlight w:val="none"/>
                <w:lang w:val="en-US" w:eastAsia="zh-CN"/>
              </w:rPr>
              <w:t>，经本评价提出的相关措施后可达标排放。项目严格执行环评提出后的各项环保措施后，对周围环境影响较小，因此，本项目建设符合《长治市2023年度生态环境分区管控动态更新工作方案》的要求。</w:t>
            </w:r>
          </w:p>
          <w:p w14:paraId="43AEC1DA">
            <w:pPr>
              <w:keepNext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color w:val="auto"/>
                <w:highlight w:val="none"/>
                <w:lang w:val="en-US" w:eastAsia="zh-CN"/>
              </w:rPr>
            </w:pPr>
            <w:r>
              <w:rPr>
                <w:rFonts w:hint="eastAsia" w:cs="宋体"/>
                <w:color w:val="auto"/>
                <w:kern w:val="2"/>
                <w:sz w:val="24"/>
                <w:szCs w:val="24"/>
                <w:lang w:val="en-US" w:eastAsia="zh-CN" w:bidi="ar-SA"/>
              </w:rPr>
              <w:t>2</w:t>
            </w:r>
            <w:r>
              <w:rPr>
                <w:rFonts w:hint="default" w:ascii="Times New Roman" w:hAnsi="Times New Roman" w:eastAsia="宋体" w:cs="宋体"/>
                <w:color w:val="auto"/>
                <w:kern w:val="2"/>
                <w:sz w:val="24"/>
                <w:szCs w:val="24"/>
                <w:lang w:val="en-US" w:eastAsia="zh-CN" w:bidi="ar-SA"/>
              </w:rPr>
              <w:t>、</w:t>
            </w:r>
            <w:r>
              <w:rPr>
                <w:rFonts w:hint="default"/>
                <w:color w:val="auto"/>
                <w:highlight w:val="none"/>
                <w:lang w:val="en-US" w:eastAsia="zh-CN"/>
              </w:rPr>
              <w:t>环境敏感性相符性分析</w:t>
            </w:r>
          </w:p>
          <w:p w14:paraId="0810A81C">
            <w:pPr>
              <w:keepNext w:val="0"/>
              <w:pageBreakBefore w:val="0"/>
              <w:widowControl w:val="0"/>
              <w:kinsoku/>
              <w:wordWrap/>
              <w:overflowPunct/>
              <w:topLinePunct w:val="0"/>
              <w:autoSpaceDE/>
              <w:autoSpaceDN/>
              <w:bidi w:val="0"/>
              <w:adjustRightInd/>
              <w:snapToGrid/>
              <w:textAlignment w:val="auto"/>
              <w:rPr>
                <w:rFonts w:hint="default"/>
                <w:color w:val="auto"/>
                <w:highlight w:val="none"/>
                <w:lang w:val="en-US" w:eastAsia="zh-CN"/>
              </w:rPr>
            </w:pPr>
            <w:r>
              <w:rPr>
                <w:rFonts w:hint="default"/>
                <w:color w:val="auto"/>
                <w:highlight w:val="none"/>
                <w:lang w:val="en-US" w:eastAsia="zh-CN"/>
              </w:rPr>
              <w:t>根据《建设项目环境影响评价分类管理名录》</w:t>
            </w:r>
            <w:r>
              <w:rPr>
                <w:rFonts w:hint="eastAsia"/>
                <w:color w:val="auto"/>
                <w:highlight w:val="none"/>
                <w:lang w:val="en-US" w:eastAsia="zh-CN"/>
              </w:rPr>
              <w:t>（2021年版）</w:t>
            </w:r>
            <w:r>
              <w:rPr>
                <w:rFonts w:hint="default"/>
                <w:color w:val="auto"/>
                <w:highlight w:val="none"/>
                <w:lang w:val="en-US" w:eastAsia="zh-CN"/>
              </w:rPr>
              <w:t>中规定的环境敏感区分析本项目所在地的环境特征。</w:t>
            </w:r>
          </w:p>
          <w:p w14:paraId="2F3E0E19">
            <w:pPr>
              <w:keepNext w:val="0"/>
              <w:pageBreakBefore w:val="0"/>
              <w:widowControl w:val="0"/>
              <w:kinsoku/>
              <w:wordWrap/>
              <w:overflowPunct/>
              <w:topLinePunct w:val="0"/>
              <w:autoSpaceDE/>
              <w:autoSpaceDN/>
              <w:bidi w:val="0"/>
              <w:adjustRightInd/>
              <w:snapToGrid/>
              <w:textAlignment w:val="auto"/>
              <w:rPr>
                <w:rFonts w:hint="default"/>
                <w:color w:val="auto"/>
                <w:highlight w:val="none"/>
                <w:lang w:val="en-US" w:eastAsia="zh-CN"/>
              </w:rPr>
            </w:pPr>
            <w:r>
              <w:rPr>
                <w:rFonts w:hint="default"/>
                <w:color w:val="auto"/>
                <w:highlight w:val="none"/>
                <w:lang w:val="en-US" w:eastAsia="zh-CN"/>
              </w:rPr>
              <w:t>项目区不在</w:t>
            </w:r>
            <w:r>
              <w:rPr>
                <w:rFonts w:hint="eastAsia"/>
                <w:color w:val="auto"/>
                <w:highlight w:val="none"/>
                <w:lang w:val="en-US" w:eastAsia="zh-CN"/>
              </w:rPr>
              <w:t>“</w:t>
            </w:r>
            <w:r>
              <w:rPr>
                <w:rFonts w:hint="default"/>
                <w:color w:val="auto"/>
                <w:highlight w:val="none"/>
                <w:lang w:val="en-US" w:eastAsia="zh-CN"/>
              </w:rPr>
              <w:t>国家公园</w:t>
            </w:r>
            <w:r>
              <w:rPr>
                <w:rFonts w:hint="eastAsia"/>
                <w:color w:val="auto"/>
                <w:highlight w:val="none"/>
                <w:lang w:val="en-US" w:eastAsia="zh-CN"/>
              </w:rPr>
              <w:t>”“</w:t>
            </w:r>
            <w:r>
              <w:rPr>
                <w:rFonts w:hint="default"/>
                <w:color w:val="auto"/>
                <w:highlight w:val="none"/>
                <w:lang w:val="en-US" w:eastAsia="zh-CN"/>
              </w:rPr>
              <w:t>自然保护区</w:t>
            </w:r>
            <w:r>
              <w:rPr>
                <w:rFonts w:hint="eastAsia"/>
                <w:color w:val="auto"/>
                <w:highlight w:val="none"/>
                <w:lang w:val="en-US" w:eastAsia="zh-CN"/>
              </w:rPr>
              <w:t>”</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风景名胜区</w:t>
            </w:r>
            <w:r>
              <w:rPr>
                <w:rFonts w:hint="eastAsia"/>
                <w:color w:val="auto"/>
                <w:highlight w:val="none"/>
                <w:lang w:val="en-US" w:eastAsia="zh-CN"/>
              </w:rPr>
              <w:t>”</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世界文化和自然遗产地</w:t>
            </w:r>
            <w:r>
              <w:rPr>
                <w:rFonts w:hint="eastAsia"/>
                <w:color w:val="auto"/>
                <w:highlight w:val="none"/>
                <w:lang w:val="en-US" w:eastAsia="zh-CN"/>
              </w:rPr>
              <w:t>”</w:t>
            </w:r>
            <w:r>
              <w:rPr>
                <w:rFonts w:hint="default"/>
                <w:color w:val="auto"/>
                <w:highlight w:val="none"/>
                <w:lang w:val="en-US" w:eastAsia="zh-CN"/>
              </w:rPr>
              <w:t>等地区内；不涉及</w:t>
            </w:r>
            <w:r>
              <w:rPr>
                <w:rFonts w:hint="eastAsia"/>
                <w:color w:val="auto"/>
                <w:highlight w:val="none"/>
                <w:lang w:val="en-US" w:eastAsia="zh-CN"/>
              </w:rPr>
              <w:t>“</w:t>
            </w:r>
            <w:r>
              <w:rPr>
                <w:rFonts w:hint="default"/>
                <w:color w:val="auto"/>
                <w:highlight w:val="none"/>
                <w:lang w:val="en-US" w:eastAsia="zh-CN"/>
              </w:rPr>
              <w:t>永久基本农田</w:t>
            </w:r>
            <w:r>
              <w:rPr>
                <w:rFonts w:hint="eastAsia"/>
                <w:color w:val="auto"/>
                <w:highlight w:val="none"/>
                <w:lang w:val="en-US" w:eastAsia="zh-CN"/>
              </w:rPr>
              <w:t>”</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基本草原</w:t>
            </w:r>
            <w:r>
              <w:rPr>
                <w:rFonts w:hint="eastAsia"/>
                <w:color w:val="auto"/>
                <w:highlight w:val="none"/>
                <w:lang w:val="en-US" w:eastAsia="zh-CN"/>
              </w:rPr>
              <w:t>”</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森林公园</w:t>
            </w:r>
            <w:r>
              <w:rPr>
                <w:rFonts w:hint="eastAsia"/>
                <w:color w:val="auto"/>
                <w:highlight w:val="none"/>
                <w:lang w:val="en-US" w:eastAsia="zh-CN"/>
              </w:rPr>
              <w:t>”</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地质公园</w:t>
            </w:r>
            <w:r>
              <w:rPr>
                <w:rFonts w:hint="eastAsia"/>
                <w:color w:val="auto"/>
                <w:highlight w:val="none"/>
                <w:lang w:val="en-US" w:eastAsia="zh-CN"/>
              </w:rPr>
              <w:t>”</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重要湿地</w:t>
            </w:r>
            <w:r>
              <w:rPr>
                <w:rFonts w:hint="eastAsia"/>
                <w:color w:val="auto"/>
                <w:highlight w:val="none"/>
                <w:lang w:val="en-US" w:eastAsia="zh-CN"/>
              </w:rPr>
              <w:t>”</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天然林</w:t>
            </w:r>
            <w:r>
              <w:rPr>
                <w:rFonts w:hint="eastAsia"/>
                <w:color w:val="auto"/>
                <w:highlight w:val="none"/>
                <w:lang w:val="en-US" w:eastAsia="zh-CN"/>
              </w:rPr>
              <w:t>”</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重点保护野生动物重要栖息地</w:t>
            </w:r>
            <w:r>
              <w:rPr>
                <w:rFonts w:hint="eastAsia"/>
                <w:color w:val="auto"/>
                <w:highlight w:val="none"/>
                <w:lang w:val="en-US" w:eastAsia="zh-CN"/>
              </w:rPr>
              <w:t>”</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重点保护野生植物生长繁殖地</w:t>
            </w:r>
            <w:r>
              <w:rPr>
                <w:rFonts w:hint="eastAsia"/>
                <w:color w:val="auto"/>
                <w:highlight w:val="none"/>
                <w:lang w:val="en-US" w:eastAsia="zh-CN"/>
              </w:rPr>
              <w:t>”</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文物保护单位</w:t>
            </w:r>
            <w:r>
              <w:rPr>
                <w:rFonts w:hint="eastAsia"/>
                <w:color w:val="auto"/>
                <w:highlight w:val="none"/>
                <w:lang w:val="en-US" w:eastAsia="zh-CN"/>
              </w:rPr>
              <w:t>”</w:t>
            </w:r>
            <w:r>
              <w:rPr>
                <w:rFonts w:hint="default"/>
                <w:color w:val="auto"/>
                <w:highlight w:val="none"/>
                <w:lang w:val="en-US" w:eastAsia="zh-CN"/>
              </w:rPr>
              <w:t>及水源地等敏感区。</w:t>
            </w:r>
          </w:p>
          <w:p w14:paraId="62ACFF11">
            <w:pPr>
              <w:keepNext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color w:val="auto"/>
                <w:highlight w:val="none"/>
                <w:lang w:val="en-US" w:eastAsia="zh-CN"/>
              </w:rPr>
            </w:pPr>
            <w:r>
              <w:rPr>
                <w:rFonts w:hint="eastAsia" w:cs="宋体"/>
                <w:color w:val="auto"/>
                <w:kern w:val="2"/>
                <w:sz w:val="24"/>
                <w:szCs w:val="24"/>
                <w:lang w:val="en-US" w:eastAsia="zh-CN" w:bidi="ar-SA"/>
              </w:rPr>
              <w:t>3</w:t>
            </w:r>
            <w:r>
              <w:rPr>
                <w:rFonts w:hint="default" w:ascii="Times New Roman" w:hAnsi="Times New Roman" w:eastAsia="宋体" w:cs="宋体"/>
                <w:color w:val="auto"/>
                <w:kern w:val="2"/>
                <w:sz w:val="24"/>
                <w:szCs w:val="24"/>
                <w:lang w:val="en-US" w:eastAsia="zh-CN" w:bidi="ar-SA"/>
              </w:rPr>
              <w:t>、</w:t>
            </w:r>
            <w:r>
              <w:rPr>
                <w:rFonts w:hint="default"/>
                <w:color w:val="auto"/>
                <w:highlight w:val="none"/>
                <w:lang w:val="en-US" w:eastAsia="zh-CN"/>
              </w:rPr>
              <w:t>水源地保护符合性分析</w:t>
            </w:r>
          </w:p>
          <w:p w14:paraId="2E6A9A5C">
            <w:pPr>
              <w:keepNext w:val="0"/>
              <w:keepLines/>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根据山西省人民政府</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关于同意长治市乡镇集中式饮用水水源地保护区划定方案的通知</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（晋政函</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2012</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136号），长治市</w:t>
            </w:r>
            <w:r>
              <w:rPr>
                <w:rFonts w:hint="eastAsia" w:ascii="Times New Roman" w:hAnsi="Times New Roman" w:eastAsia="宋体" w:cs="Times New Roman"/>
                <w:color w:val="auto"/>
                <w:sz w:val="24"/>
                <w:szCs w:val="24"/>
                <w:lang w:val="en-US" w:eastAsia="zh-CN"/>
              </w:rPr>
              <w:t>壶关县</w:t>
            </w:r>
            <w:r>
              <w:rPr>
                <w:rFonts w:hint="default" w:ascii="Times New Roman" w:hAnsi="Times New Roman" w:eastAsia="宋体" w:cs="Times New Roman"/>
                <w:color w:val="auto"/>
                <w:sz w:val="24"/>
                <w:szCs w:val="24"/>
                <w:lang w:val="en-US" w:eastAsia="zh-CN"/>
              </w:rPr>
              <w:t>乡镇集中式饮用水水源地共有</w:t>
            </w:r>
            <w:r>
              <w:rPr>
                <w:rFonts w:hint="eastAsia" w:ascii="Times New Roman" w:hAnsi="Times New Roman" w:eastAsia="宋体" w:cs="Times New Roman"/>
                <w:color w:val="auto"/>
                <w:sz w:val="24"/>
                <w:szCs w:val="24"/>
                <w:lang w:val="en-US" w:eastAsia="zh-CN"/>
              </w:rPr>
              <w:t>7</w:t>
            </w:r>
            <w:r>
              <w:rPr>
                <w:rFonts w:hint="default" w:ascii="Times New Roman" w:hAnsi="Times New Roman" w:eastAsia="宋体" w:cs="Times New Roman"/>
                <w:color w:val="auto"/>
                <w:sz w:val="24"/>
                <w:szCs w:val="24"/>
                <w:lang w:val="en-US" w:eastAsia="zh-CN"/>
              </w:rPr>
              <w:t>个：龙泉镇修善集中供水水源、百尺镇集中供水水源、韩庄集中供水水源、集店</w:t>
            </w:r>
            <w:r>
              <w:rPr>
                <w:rFonts w:hint="eastAsia" w:cs="Times New Roman"/>
                <w:color w:val="auto"/>
                <w:sz w:val="24"/>
                <w:szCs w:val="24"/>
                <w:lang w:val="en-US" w:eastAsia="zh-CN"/>
              </w:rPr>
              <w:t>镇</w:t>
            </w:r>
            <w:r>
              <w:rPr>
                <w:rFonts w:hint="default" w:ascii="Times New Roman" w:hAnsi="Times New Roman" w:eastAsia="宋体" w:cs="Times New Roman"/>
                <w:color w:val="auto"/>
                <w:sz w:val="24"/>
                <w:szCs w:val="24"/>
                <w:lang w:val="en-US" w:eastAsia="zh-CN"/>
              </w:rPr>
              <w:t>集中供水水源、黄山集中供水水源、七里栈集中供水水源、</w:t>
            </w:r>
            <w:r>
              <w:rPr>
                <w:rFonts w:hint="eastAsia" w:cs="Times New Roman"/>
                <w:color w:val="auto"/>
                <w:sz w:val="24"/>
                <w:szCs w:val="24"/>
                <w:lang w:val="en-US" w:eastAsia="zh-CN"/>
              </w:rPr>
              <w:t>常平</w:t>
            </w:r>
            <w:r>
              <w:rPr>
                <w:rFonts w:hint="default" w:ascii="Times New Roman" w:hAnsi="Times New Roman" w:eastAsia="宋体" w:cs="Times New Roman"/>
                <w:color w:val="auto"/>
                <w:sz w:val="24"/>
                <w:szCs w:val="24"/>
                <w:lang w:val="en-US" w:eastAsia="zh-CN"/>
              </w:rPr>
              <w:t>经济开发区集中供水</w:t>
            </w:r>
            <w:r>
              <w:rPr>
                <w:rFonts w:hint="eastAsia" w:ascii="Times New Roman" w:hAnsi="Times New Roman" w:eastAsia="宋体" w:cs="Times New Roman"/>
                <w:color w:val="auto"/>
                <w:sz w:val="24"/>
                <w:szCs w:val="24"/>
                <w:lang w:val="en-US" w:eastAsia="zh-CN"/>
              </w:rPr>
              <w:t>水源</w:t>
            </w:r>
            <w:r>
              <w:rPr>
                <w:rFonts w:hint="default" w:ascii="Times New Roman" w:hAnsi="Times New Roman" w:eastAsia="宋体" w:cs="Times New Roman"/>
                <w:color w:val="auto"/>
                <w:sz w:val="24"/>
                <w:szCs w:val="24"/>
                <w:lang w:val="en-US" w:eastAsia="zh-CN"/>
              </w:rPr>
              <w:t>。其中龙泉镇修善集中供水水源</w:t>
            </w:r>
            <w:r>
              <w:rPr>
                <w:rFonts w:hint="eastAsia" w:ascii="Times New Roman" w:hAnsi="Times New Roman" w:eastAsia="宋体" w:cs="Times New Roman"/>
                <w:color w:val="auto"/>
                <w:sz w:val="24"/>
                <w:szCs w:val="24"/>
                <w:lang w:val="en-US" w:eastAsia="zh-CN"/>
              </w:rPr>
              <w:t>地一级保护区半径为10m，二级保护区面积为0.0107km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百尺镇集中供水水源地一级保护区半径为</w:t>
            </w:r>
            <w:r>
              <w:rPr>
                <w:rFonts w:hint="eastAsia"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lang w:val="en-US" w:eastAsia="zh-CN"/>
              </w:rPr>
              <w:t>m，二级保护区半径为</w:t>
            </w:r>
            <w:r>
              <w:rPr>
                <w:rFonts w:hint="eastAsia" w:ascii="Times New Roman" w:hAnsi="Times New Roman" w:eastAsia="宋体" w:cs="Times New Roman"/>
                <w:color w:val="auto"/>
                <w:sz w:val="24"/>
                <w:szCs w:val="24"/>
                <w:lang w:val="en-US" w:eastAsia="zh-CN"/>
              </w:rPr>
              <w:t>100</w:t>
            </w:r>
            <w:r>
              <w:rPr>
                <w:rFonts w:hint="default"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韩庄集中供水水源地一级保护区半径为</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lang w:val="en-US" w:eastAsia="zh-CN"/>
              </w:rPr>
              <w:t>m，二级保护区半径为</w:t>
            </w:r>
            <w:r>
              <w:rPr>
                <w:rFonts w:hint="eastAsia" w:ascii="Times New Roman" w:hAnsi="Times New Roman" w:eastAsia="宋体" w:cs="Times New Roman"/>
                <w:color w:val="auto"/>
                <w:sz w:val="24"/>
                <w:szCs w:val="24"/>
                <w:lang w:val="en-US" w:eastAsia="zh-CN"/>
              </w:rPr>
              <w:t>90</w:t>
            </w:r>
            <w:r>
              <w:rPr>
                <w:rFonts w:hint="default"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lang w:val="en-US" w:eastAsia="zh-CN"/>
              </w:rPr>
              <w:t>；其余水源地</w:t>
            </w:r>
            <w:r>
              <w:rPr>
                <w:rFonts w:hint="default" w:ascii="Times New Roman" w:hAnsi="Times New Roman" w:eastAsia="宋体" w:cs="Times New Roman"/>
                <w:color w:val="auto"/>
                <w:sz w:val="24"/>
                <w:szCs w:val="24"/>
                <w:lang w:val="en-US" w:eastAsia="zh-CN"/>
              </w:rPr>
              <w:t>只划分一级保护区，集店</w:t>
            </w:r>
            <w:r>
              <w:rPr>
                <w:rFonts w:hint="eastAsia" w:cs="Times New Roman"/>
                <w:color w:val="auto"/>
                <w:sz w:val="24"/>
                <w:szCs w:val="24"/>
                <w:lang w:val="en-US" w:eastAsia="zh-CN"/>
              </w:rPr>
              <w:t>镇</w:t>
            </w:r>
            <w:r>
              <w:rPr>
                <w:rFonts w:hint="default" w:ascii="Times New Roman" w:hAnsi="Times New Roman" w:eastAsia="宋体" w:cs="Times New Roman"/>
                <w:color w:val="auto"/>
                <w:sz w:val="24"/>
                <w:szCs w:val="24"/>
                <w:lang w:val="en-US" w:eastAsia="zh-CN"/>
              </w:rPr>
              <w:t>集中供水水源</w:t>
            </w:r>
            <w:r>
              <w:rPr>
                <w:rFonts w:hint="eastAsia" w:ascii="Times New Roman" w:hAnsi="Times New Roman" w:eastAsia="宋体" w:cs="Times New Roman"/>
                <w:color w:val="auto"/>
                <w:sz w:val="24"/>
                <w:szCs w:val="24"/>
                <w:lang w:val="en-US" w:eastAsia="zh-CN"/>
              </w:rPr>
              <w:t>地</w:t>
            </w:r>
            <w:r>
              <w:rPr>
                <w:rFonts w:hint="default" w:ascii="Times New Roman" w:hAnsi="Times New Roman" w:eastAsia="宋体" w:cs="Times New Roman"/>
                <w:color w:val="auto"/>
                <w:sz w:val="24"/>
                <w:szCs w:val="24"/>
                <w:lang w:val="en-US" w:eastAsia="zh-CN"/>
              </w:rPr>
              <w:t>保护区半径为</w:t>
            </w:r>
            <w:r>
              <w:rPr>
                <w:rFonts w:hint="eastAsia" w:ascii="Times New Roman" w:hAnsi="Times New Roman" w:eastAsia="宋体" w:cs="Times New Roman"/>
                <w:color w:val="auto"/>
                <w:sz w:val="24"/>
                <w:szCs w:val="24"/>
                <w:lang w:val="en-US" w:eastAsia="zh-CN"/>
              </w:rPr>
              <w:t>18</w:t>
            </w:r>
            <w:r>
              <w:rPr>
                <w:rFonts w:hint="default"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黄山集中供水水源</w:t>
            </w:r>
            <w:r>
              <w:rPr>
                <w:rFonts w:hint="eastAsia" w:ascii="Times New Roman" w:hAnsi="Times New Roman" w:eastAsia="宋体" w:cs="Times New Roman"/>
                <w:color w:val="auto"/>
                <w:sz w:val="24"/>
                <w:szCs w:val="24"/>
                <w:lang w:val="en-US" w:eastAsia="zh-CN"/>
              </w:rPr>
              <w:t>地保护半径为10</w:t>
            </w:r>
            <w:r>
              <w:rPr>
                <w:rFonts w:hint="default"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七里栈集中供水水源</w:t>
            </w:r>
            <w:r>
              <w:rPr>
                <w:rFonts w:hint="eastAsia" w:ascii="Times New Roman" w:hAnsi="Times New Roman" w:eastAsia="宋体" w:cs="Times New Roman"/>
                <w:color w:val="auto"/>
                <w:sz w:val="24"/>
                <w:szCs w:val="24"/>
                <w:lang w:val="en-US" w:eastAsia="zh-CN"/>
              </w:rPr>
              <w:t>地保护面积为0.5486km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常平经济开发区集中供水</w:t>
            </w:r>
            <w:r>
              <w:rPr>
                <w:rFonts w:hint="eastAsia" w:ascii="Times New Roman" w:hAnsi="Times New Roman" w:eastAsia="宋体" w:cs="Times New Roman"/>
                <w:color w:val="auto"/>
                <w:sz w:val="24"/>
                <w:szCs w:val="24"/>
                <w:lang w:val="en-US" w:eastAsia="zh-CN"/>
              </w:rPr>
              <w:t>水源地保护面积为0.0049km</w:t>
            </w:r>
            <w:r>
              <w:rPr>
                <w:rFonts w:hint="eastAsia"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w:t>
            </w:r>
          </w:p>
          <w:p w14:paraId="3BE959CD">
            <w:pPr>
              <w:keepNext w:val="0"/>
              <w:pageBreakBefore w:val="0"/>
              <w:widowControl w:val="0"/>
              <w:kinsoku/>
              <w:wordWrap/>
              <w:overflowPunct/>
              <w:topLinePunct w:val="0"/>
              <w:autoSpaceDE/>
              <w:autoSpaceDN/>
              <w:bidi w:val="0"/>
              <w:adjustRightInd/>
              <w:snapToGrid/>
              <w:textAlignment w:val="auto"/>
              <w:rPr>
                <w:rFonts w:hint="default"/>
                <w:color w:val="auto"/>
                <w:highlight w:val="none"/>
                <w:lang w:val="en-US" w:eastAsia="zh-CN"/>
              </w:rPr>
            </w:pPr>
            <w:r>
              <w:rPr>
                <w:rFonts w:hint="default"/>
                <w:color w:val="auto"/>
                <w:highlight w:val="none"/>
                <w:lang w:val="en-US" w:eastAsia="zh-CN"/>
              </w:rPr>
              <w:t>本项目位于</w:t>
            </w:r>
            <w:r>
              <w:rPr>
                <w:rFonts w:hint="eastAsia"/>
                <w:color w:val="auto"/>
                <w:highlight w:val="none"/>
                <w:lang w:val="en-US" w:eastAsia="zh-CN"/>
              </w:rPr>
              <w:t>长治市壶关县集店镇常平村</w:t>
            </w:r>
            <w:r>
              <w:rPr>
                <w:rFonts w:hint="default"/>
                <w:color w:val="auto"/>
                <w:highlight w:val="none"/>
                <w:lang w:val="en-US" w:eastAsia="zh-CN"/>
              </w:rPr>
              <w:t>，</w:t>
            </w:r>
            <w:r>
              <w:rPr>
                <w:rFonts w:hint="default" w:ascii="Times New Roman" w:hAnsi="Times New Roman" w:eastAsia="宋体" w:cs="Times New Roman"/>
                <w:color w:val="auto"/>
                <w:sz w:val="24"/>
                <w:highlight w:val="none"/>
              </w:rPr>
              <w:t>距离项目最近的水源地为</w:t>
            </w:r>
            <w:r>
              <w:rPr>
                <w:rFonts w:hint="default" w:ascii="Times New Roman" w:hAnsi="Times New Roman" w:eastAsia="宋体" w:cs="Times New Roman"/>
                <w:color w:val="auto"/>
                <w:sz w:val="24"/>
                <w:szCs w:val="24"/>
                <w:lang w:val="en-US" w:eastAsia="zh-CN"/>
              </w:rPr>
              <w:t>常平经济开发区集中供水</w:t>
            </w:r>
            <w:r>
              <w:rPr>
                <w:rFonts w:hint="eastAsia" w:ascii="Times New Roman" w:hAnsi="Times New Roman" w:eastAsia="宋体" w:cs="Times New Roman"/>
                <w:color w:val="auto"/>
                <w:sz w:val="24"/>
                <w:szCs w:val="24"/>
                <w:lang w:val="en-US" w:eastAsia="zh-CN"/>
              </w:rPr>
              <w:t>水源地</w:t>
            </w:r>
            <w:r>
              <w:rPr>
                <w:rFonts w:hint="default" w:ascii="Times New Roman" w:hAnsi="Times New Roman" w:eastAsia="宋体" w:cs="Times New Roman"/>
                <w:color w:val="auto"/>
                <w:sz w:val="24"/>
                <w:highlight w:val="none"/>
              </w:rPr>
              <w:t>，该水源地一级保护区面积</w:t>
            </w:r>
            <w:r>
              <w:rPr>
                <w:rFonts w:hint="eastAsia" w:cs="Times New Roman"/>
                <w:color w:val="auto"/>
                <w:sz w:val="24"/>
                <w:highlight w:val="none"/>
                <w:lang w:val="en-US" w:eastAsia="zh-CN"/>
              </w:rPr>
              <w:t>0.0049</w:t>
            </w:r>
            <w:r>
              <w:rPr>
                <w:rFonts w:hint="default" w:ascii="Times New Roman" w:hAnsi="Times New Roman" w:eastAsia="宋体" w:cs="Times New Roman"/>
                <w:color w:val="auto"/>
                <w:sz w:val="24"/>
                <w:highlight w:val="none"/>
              </w:rPr>
              <w:t>km</w:t>
            </w:r>
            <w:r>
              <w:rPr>
                <w:rFonts w:hint="default" w:ascii="Times New Roman" w:hAnsi="Times New Roman" w:eastAsia="宋体" w:cs="Times New Roman"/>
                <w:color w:val="auto"/>
                <w:sz w:val="24"/>
                <w:highlight w:val="none"/>
                <w:vertAlign w:val="superscript"/>
              </w:rPr>
              <w:t>2</w:t>
            </w:r>
            <w:r>
              <w:rPr>
                <w:rFonts w:hint="default" w:ascii="Times New Roman" w:hAnsi="Times New Roman" w:eastAsia="宋体" w:cs="Times New Roman"/>
                <w:color w:val="auto"/>
                <w:sz w:val="24"/>
                <w:highlight w:val="none"/>
              </w:rPr>
              <w:t>。</w:t>
            </w:r>
            <w:r>
              <w:rPr>
                <w:rFonts w:hint="default"/>
                <w:color w:val="auto"/>
                <w:highlight w:val="none"/>
                <w:lang w:val="en-US" w:eastAsia="zh-CN"/>
              </w:rPr>
              <w:t>本项目不在</w:t>
            </w:r>
            <w:r>
              <w:rPr>
                <w:rFonts w:hint="default" w:ascii="Times New Roman" w:hAnsi="Times New Roman" w:eastAsia="宋体" w:cs="Times New Roman"/>
                <w:color w:val="auto"/>
                <w:sz w:val="24"/>
                <w:szCs w:val="24"/>
                <w:lang w:val="en-US" w:eastAsia="zh-CN"/>
              </w:rPr>
              <w:t>常平经济开发区</w:t>
            </w:r>
            <w:r>
              <w:rPr>
                <w:rFonts w:hint="eastAsia" w:ascii="Times New Roman" w:hAnsi="Times New Roman" w:eastAsia="宋体" w:cs="Times New Roman"/>
                <w:color w:val="auto"/>
                <w:sz w:val="24"/>
                <w:highlight w:val="none"/>
                <w:lang w:val="en-US" w:eastAsia="zh-CN"/>
              </w:rPr>
              <w:t>集中供水水源地</w:t>
            </w:r>
            <w:r>
              <w:rPr>
                <w:rFonts w:hint="default"/>
                <w:color w:val="auto"/>
                <w:highlight w:val="none"/>
                <w:lang w:val="en-US" w:eastAsia="zh-CN"/>
              </w:rPr>
              <w:t>保护区范围内，距离该水源</w:t>
            </w:r>
            <w:r>
              <w:rPr>
                <w:rFonts w:hint="eastAsia"/>
                <w:color w:val="auto"/>
                <w:highlight w:val="none"/>
                <w:lang w:val="en-US" w:eastAsia="zh-CN"/>
              </w:rPr>
              <w:t>约1.68</w:t>
            </w:r>
            <w:r>
              <w:rPr>
                <w:rFonts w:hint="default"/>
                <w:color w:val="auto"/>
                <w:highlight w:val="none"/>
                <w:lang w:val="en-US" w:eastAsia="zh-CN"/>
              </w:rPr>
              <w:t>km，故符合水源地保护要求。</w:t>
            </w:r>
          </w:p>
          <w:p w14:paraId="57F5585E">
            <w:pPr>
              <w:keepNext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color w:val="auto"/>
                <w:highlight w:val="none"/>
                <w:lang w:val="en-US" w:eastAsia="zh-CN"/>
              </w:rPr>
            </w:pPr>
            <w:r>
              <w:rPr>
                <w:rFonts w:hint="eastAsia" w:cs="宋体"/>
                <w:color w:val="auto"/>
                <w:kern w:val="2"/>
                <w:sz w:val="24"/>
                <w:szCs w:val="24"/>
                <w:lang w:val="en-US" w:eastAsia="zh-CN" w:bidi="ar-SA"/>
              </w:rPr>
              <w:t>4</w:t>
            </w:r>
            <w:r>
              <w:rPr>
                <w:rFonts w:hint="default" w:ascii="Times New Roman" w:hAnsi="Times New Roman" w:eastAsia="宋体" w:cs="宋体"/>
                <w:color w:val="auto"/>
                <w:kern w:val="2"/>
                <w:sz w:val="24"/>
                <w:szCs w:val="24"/>
                <w:lang w:val="en-US" w:eastAsia="zh-CN" w:bidi="ar-SA"/>
              </w:rPr>
              <w:t>、</w:t>
            </w:r>
            <w:r>
              <w:rPr>
                <w:rFonts w:hint="eastAsia"/>
                <w:color w:val="auto"/>
                <w:highlight w:val="none"/>
                <w:lang w:val="en-US" w:eastAsia="zh-CN"/>
              </w:rPr>
              <w:t>本项目</w:t>
            </w:r>
            <w:r>
              <w:rPr>
                <w:rFonts w:hint="default"/>
                <w:color w:val="auto"/>
                <w:highlight w:val="none"/>
                <w:lang w:val="en-US" w:eastAsia="zh-CN"/>
              </w:rPr>
              <w:t>与</w:t>
            </w:r>
            <w:r>
              <w:rPr>
                <w:rFonts w:hint="eastAsia"/>
                <w:color w:val="auto"/>
                <w:highlight w:val="none"/>
                <w:lang w:val="en-US" w:eastAsia="zh-CN"/>
              </w:rPr>
              <w:t>长治市辛安泉域生态环境准入要求符合性分析</w:t>
            </w:r>
          </w:p>
          <w:p w14:paraId="3A3907C7">
            <w:pPr>
              <w:keepNext w:val="0"/>
              <w:pageBreakBefore w:val="0"/>
              <w:widowControl w:val="0"/>
              <w:kinsoku/>
              <w:wordWrap/>
              <w:overflowPunct/>
              <w:topLinePunct w:val="0"/>
              <w:autoSpaceDE/>
              <w:autoSpaceDN/>
              <w:bidi w:val="0"/>
              <w:adjustRightInd/>
              <w:snapToGrid/>
              <w:textAlignment w:val="auto"/>
              <w:rPr>
                <w:rFonts w:hint="default"/>
                <w:color w:val="auto"/>
                <w:highlight w:val="none"/>
                <w:lang w:val="en-US" w:eastAsia="zh-CN"/>
              </w:rPr>
            </w:pPr>
            <w:r>
              <w:rPr>
                <w:rFonts w:hint="default"/>
                <w:color w:val="auto"/>
                <w:highlight w:val="none"/>
                <w:lang w:val="en-US" w:eastAsia="zh-CN"/>
              </w:rPr>
              <w:t>根据《长治市辛安泉饮用水水源地保护条例》，辛安泉饮用水水源地保护区划分为一级保护区、二级保护区，并在保护区外围设立准保护区，实行分级保护与管理。</w:t>
            </w:r>
          </w:p>
          <w:p w14:paraId="78DD61D9">
            <w:pPr>
              <w:keepNext w:val="0"/>
              <w:pageBreakBefore w:val="0"/>
              <w:widowControl w:val="0"/>
              <w:kinsoku/>
              <w:wordWrap/>
              <w:overflowPunct/>
              <w:topLinePunct w:val="0"/>
              <w:autoSpaceDE/>
              <w:autoSpaceDN/>
              <w:bidi w:val="0"/>
              <w:adjustRightInd/>
              <w:snapToGrid/>
              <w:textAlignment w:val="auto"/>
              <w:rPr>
                <w:rFonts w:hint="default"/>
                <w:color w:val="auto"/>
                <w:highlight w:val="none"/>
                <w:lang w:val="en-US" w:eastAsia="zh-CN"/>
              </w:rPr>
            </w:pPr>
            <w:r>
              <w:rPr>
                <w:rFonts w:hint="default"/>
                <w:color w:val="auto"/>
                <w:highlight w:val="none"/>
                <w:lang w:val="en-US" w:eastAsia="zh-CN"/>
              </w:rPr>
              <w:t>辛安泉饮用水水源地</w:t>
            </w:r>
            <w:r>
              <w:rPr>
                <w:rFonts w:hint="eastAsia"/>
                <w:color w:val="auto"/>
                <w:highlight w:val="none"/>
                <w:lang w:val="en-US" w:eastAsia="zh-CN"/>
              </w:rPr>
              <w:t>一</w:t>
            </w:r>
            <w:r>
              <w:rPr>
                <w:rFonts w:hint="default"/>
                <w:color w:val="auto"/>
                <w:highlight w:val="none"/>
                <w:lang w:val="en-US" w:eastAsia="zh-CN"/>
              </w:rPr>
              <w:t>级保护区范围为现有水源井组周边区域，涉及潞城区辛安泉镇西流北村（西北村）西流南村（西南村），黎城县程家山乡北流村，面积3.73平方公里。辛安泉饮用水水源地二级保护区范围为东至黎城县隆旺村东－北流村东－南堡村东一线，南至平顺县王曲村北，西至潞城区西流南村（西南村）西1.3公里－涧口村西一线，北至潞城区续村南－黎城县东窑上村北一线，面积24.9平方公里。辛安泉饮用水水源地准保护区范围为水源地上游辛安泉域灰岩裸露补给区，涉及潞州区、上党区、潞城区、壶关县、平顺县、黎城县、武乡县、襄垣县，面积约1260平方公里。</w:t>
            </w:r>
          </w:p>
          <w:p w14:paraId="0111FCF5">
            <w:pPr>
              <w:keepNext w:val="0"/>
              <w:pageBreakBefore w:val="0"/>
              <w:widowControl w:val="0"/>
              <w:kinsoku/>
              <w:wordWrap/>
              <w:overflowPunct/>
              <w:topLinePunct w:val="0"/>
              <w:autoSpaceDE/>
              <w:autoSpaceDN/>
              <w:bidi w:val="0"/>
              <w:adjustRightInd/>
              <w:snapToGrid/>
              <w:textAlignment w:val="auto"/>
              <w:rPr>
                <w:rFonts w:hint="default"/>
                <w:color w:val="auto"/>
                <w:highlight w:val="none"/>
                <w:lang w:val="en-US" w:eastAsia="zh-CN"/>
              </w:rPr>
            </w:pPr>
            <w:r>
              <w:rPr>
                <w:rFonts w:hint="default"/>
                <w:color w:val="auto"/>
                <w:highlight w:val="none"/>
                <w:lang w:val="en-US" w:eastAsia="zh-CN"/>
              </w:rPr>
              <w:t>本项目</w:t>
            </w:r>
            <w:r>
              <w:rPr>
                <w:rFonts w:hint="eastAsia"/>
                <w:color w:val="auto"/>
                <w:highlight w:val="none"/>
                <w:lang w:val="en-US" w:eastAsia="zh-CN"/>
              </w:rPr>
              <w:t>不在</w:t>
            </w:r>
            <w:r>
              <w:rPr>
                <w:rFonts w:hint="default"/>
                <w:color w:val="auto"/>
                <w:highlight w:val="none"/>
                <w:lang w:val="en-US" w:eastAsia="zh-CN"/>
              </w:rPr>
              <w:t>辛安泉域重点保护区范围内，距离辛安泉域重点保护区文王山地垒渗漏段约</w:t>
            </w:r>
            <w:r>
              <w:rPr>
                <w:rFonts w:hint="eastAsia"/>
                <w:color w:val="auto"/>
                <w:highlight w:val="none"/>
                <w:lang w:val="en-US" w:eastAsia="zh-CN"/>
              </w:rPr>
              <w:t>25</w:t>
            </w:r>
            <w:r>
              <w:rPr>
                <w:rFonts w:hint="default"/>
                <w:color w:val="auto"/>
                <w:highlight w:val="none"/>
                <w:lang w:val="en-US" w:eastAsia="zh-CN"/>
              </w:rPr>
              <w:t>km，辛安泉域重点保护区泉水集中出露带</w:t>
            </w:r>
            <w:r>
              <w:rPr>
                <w:rFonts w:hint="eastAsia"/>
                <w:color w:val="auto"/>
                <w:highlight w:val="none"/>
                <w:lang w:val="en-US" w:eastAsia="zh-CN"/>
              </w:rPr>
              <w:t>19</w:t>
            </w:r>
            <w:r>
              <w:rPr>
                <w:rFonts w:hint="default"/>
                <w:color w:val="auto"/>
                <w:highlight w:val="none"/>
                <w:lang w:val="en-US" w:eastAsia="zh-CN"/>
              </w:rPr>
              <w:t>km</w:t>
            </w:r>
            <w:r>
              <w:rPr>
                <w:rFonts w:hint="eastAsia"/>
                <w:color w:val="auto"/>
                <w:highlight w:val="none"/>
                <w:lang w:val="en-US" w:eastAsia="zh-CN"/>
              </w:rPr>
              <w:t>，不违背辛安泉域保护要求</w:t>
            </w:r>
            <w:r>
              <w:rPr>
                <w:rFonts w:hint="default"/>
                <w:color w:val="auto"/>
                <w:highlight w:val="none"/>
                <w:lang w:val="en-US" w:eastAsia="zh-CN"/>
              </w:rPr>
              <w:t>。项目建成后职工生活污水、司乘人员废水通过厂区总排口排入市政污水管网进入壶关县第二污水处理厂处理；洗车废水经沉淀</w:t>
            </w:r>
            <w:r>
              <w:rPr>
                <w:rFonts w:hint="eastAsia"/>
                <w:color w:val="auto"/>
                <w:highlight w:val="none"/>
                <w:lang w:val="en-US" w:eastAsia="zh-CN"/>
              </w:rPr>
              <w:t>池</w:t>
            </w:r>
            <w:r>
              <w:rPr>
                <w:rFonts w:hint="default"/>
                <w:color w:val="auto"/>
                <w:highlight w:val="none"/>
                <w:lang w:val="en-US" w:eastAsia="zh-CN"/>
              </w:rPr>
              <w:t>处理后回用</w:t>
            </w:r>
            <w:r>
              <w:rPr>
                <w:rFonts w:hint="eastAsia"/>
                <w:color w:val="auto"/>
                <w:highlight w:val="none"/>
                <w:lang w:val="en-US" w:eastAsia="zh-CN"/>
              </w:rPr>
              <w:t>，</w:t>
            </w:r>
            <w:r>
              <w:rPr>
                <w:rFonts w:hint="default"/>
                <w:color w:val="auto"/>
                <w:highlight w:val="none"/>
                <w:lang w:val="en-US" w:eastAsia="zh-CN"/>
              </w:rPr>
              <w:t>本建设项目对水体污染影响较小。综上，本建设项目符合《长治市辛安泉饮用水水源地保护条例》的要求。</w:t>
            </w:r>
          </w:p>
          <w:p w14:paraId="6E91CF7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Style w:val="40"/>
                <w:rFonts w:hint="eastAsia"/>
                <w:b/>
                <w:color w:val="auto"/>
                <w:highlight w:val="none"/>
                <w:lang w:eastAsia="zh-CN"/>
              </w:rPr>
            </w:pPr>
            <w:r>
              <w:rPr>
                <w:rStyle w:val="40"/>
                <w:rFonts w:hint="eastAsia" w:ascii="Times New Roman" w:hAnsi="Times New Roman" w:eastAsia="宋体" w:cs="Times New Roman"/>
                <w:b/>
                <w:color w:val="auto"/>
                <w:highlight w:val="none"/>
              </w:rPr>
              <w:t>表</w:t>
            </w:r>
            <w:r>
              <w:rPr>
                <w:rStyle w:val="40"/>
                <w:rFonts w:hint="eastAsia"/>
                <w:b/>
                <w:color w:val="auto"/>
                <w:highlight w:val="none"/>
                <w:lang w:val="en-US" w:eastAsia="zh-CN"/>
              </w:rPr>
              <w:t xml:space="preserve">1-5 </w:t>
            </w:r>
            <w:r>
              <w:rPr>
                <w:rStyle w:val="40"/>
                <w:rFonts w:hint="eastAsia"/>
                <w:b/>
                <w:color w:val="auto"/>
                <w:highlight w:val="none"/>
              </w:rPr>
              <w:t>本项目与长治市辛安泉域生态环境准入</w:t>
            </w:r>
            <w:r>
              <w:rPr>
                <w:rStyle w:val="40"/>
                <w:rFonts w:hint="eastAsia"/>
                <w:b/>
                <w:color w:val="auto"/>
                <w:highlight w:val="none"/>
                <w:lang w:eastAsia="zh-CN"/>
              </w:rPr>
              <w:t>要求符合性分析</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4627"/>
              <w:gridCol w:w="1040"/>
              <w:gridCol w:w="698"/>
            </w:tblGrid>
            <w:tr w14:paraId="1C0B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494" w:type="pct"/>
                  <w:noWrap w:val="0"/>
                  <w:vAlign w:val="center"/>
                </w:tcPr>
                <w:p w14:paraId="3FAECB3E">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管控类别</w:t>
                  </w:r>
                </w:p>
              </w:tc>
              <w:tc>
                <w:tcPr>
                  <w:tcW w:w="3275" w:type="pct"/>
                  <w:noWrap w:val="0"/>
                  <w:vAlign w:val="center"/>
                </w:tcPr>
                <w:p w14:paraId="0D056EA1">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管控要求</w:t>
                  </w:r>
                </w:p>
              </w:tc>
              <w:tc>
                <w:tcPr>
                  <w:tcW w:w="736" w:type="pct"/>
                  <w:noWrap w:val="0"/>
                  <w:vAlign w:val="center"/>
                </w:tcPr>
                <w:p w14:paraId="57F79E01">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本项目</w:t>
                  </w:r>
                </w:p>
              </w:tc>
              <w:tc>
                <w:tcPr>
                  <w:tcW w:w="494" w:type="pct"/>
                  <w:noWrap w:val="0"/>
                  <w:vAlign w:val="center"/>
                </w:tcPr>
                <w:p w14:paraId="22FC556E">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符合性</w:t>
                  </w:r>
                </w:p>
              </w:tc>
            </w:tr>
            <w:tr w14:paraId="1D74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494" w:type="pct"/>
                  <w:noWrap w:val="0"/>
                  <w:vAlign w:val="center"/>
                </w:tcPr>
                <w:p w14:paraId="0EE8679E">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空间布局约束</w:t>
                  </w:r>
                </w:p>
              </w:tc>
              <w:tc>
                <w:tcPr>
                  <w:tcW w:w="3275" w:type="pct"/>
                  <w:noWrap w:val="0"/>
                  <w:vAlign w:val="center"/>
                </w:tcPr>
                <w:p w14:paraId="6D0035DC">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1．泉域的重点保护区内禁止在泉水出露带进行采煤、开矿、开山采石和兴建地下工程，新建、改建、扩建与供水设施</w:t>
                  </w:r>
                  <w:r>
                    <w:rPr>
                      <w:rFonts w:hint="eastAsia" w:ascii="Times New Roman" w:hAnsi="Times New Roman" w:eastAsia="宋体"/>
                      <w:color w:val="auto"/>
                      <w:sz w:val="21"/>
                      <w:szCs w:val="21"/>
                      <w:highlight w:val="none"/>
                    </w:rPr>
                    <w:t>和保护水源无关的建设项目；重点保护区以外的泉域范围内严格控制兴建耗水量</w:t>
                  </w:r>
                  <w:r>
                    <w:rPr>
                      <w:rFonts w:hint="eastAsia" w:ascii="Times New Roman" w:hAnsi="Times New Roman" w:eastAsia="宋体"/>
                      <w:color w:val="auto"/>
                      <w:sz w:val="21"/>
                      <w:szCs w:val="21"/>
                      <w:highlight w:val="none"/>
                      <w:lang w:eastAsia="zh-CN"/>
                    </w:rPr>
                    <w:t>大</w:t>
                  </w:r>
                  <w:r>
                    <w:rPr>
                      <w:rFonts w:hint="eastAsia" w:ascii="Times New Roman" w:hAnsi="Times New Roman" w:eastAsia="宋体"/>
                      <w:color w:val="auto"/>
                      <w:sz w:val="21"/>
                      <w:szCs w:val="21"/>
                      <w:highlight w:val="none"/>
                    </w:rPr>
                    <w:t>或对水资源有污染的建设项目。</w:t>
                  </w:r>
                </w:p>
                <w:p w14:paraId="7406DEFC">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2．辛安泉饮用水水源地一级保护区内禁止新建、改建、扩建与供水设施、防洪设施和保护水源无关的建设项目。</w:t>
                  </w:r>
                </w:p>
                <w:p w14:paraId="5B67D0F2">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3．辛安泉饮用水水源地二级保护区内禁止新建、改建、扩建炼焦、化工、炼油、冶炼、电镀、皮革、造纸、制浆、印</w:t>
                  </w:r>
                  <w:r>
                    <w:rPr>
                      <w:rFonts w:hint="eastAsia" w:ascii="Times New Roman" w:hAnsi="Times New Roman" w:eastAsia="宋体"/>
                      <w:color w:val="auto"/>
                      <w:sz w:val="21"/>
                      <w:szCs w:val="21"/>
                      <w:highlight w:val="none"/>
                    </w:rPr>
                    <w:t>染、染料、放射性以及其他排放污染物的建设项目；禁止建设畜禽养殖场、养殖小区；禁止建设工业固体废物、粪便和易溶、有毒有害废弃物集中贮存、处置的设施、场所和生活垃圾填埋场、转运站。</w:t>
                  </w:r>
                </w:p>
                <w:p w14:paraId="6AC2EE55">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4．辛安泉饮用水水源地准保护区范围内禁止新建、扩建对水体污染严重的建设项目。</w:t>
                  </w:r>
                </w:p>
              </w:tc>
              <w:tc>
                <w:tcPr>
                  <w:tcW w:w="736" w:type="pct"/>
                  <w:vMerge w:val="restart"/>
                  <w:noWrap w:val="0"/>
                  <w:vAlign w:val="center"/>
                </w:tcPr>
                <w:p w14:paraId="642DADFE">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本项目不在其重点保护区范围内，距离辛安泉域重点保护区文王山地垒渗漏段约25km，辛安泉域重点保护区泉水集中出露带19km。项目建成后生产废水不外排，对水体污染较小。</w:t>
                  </w:r>
                </w:p>
              </w:tc>
              <w:tc>
                <w:tcPr>
                  <w:tcW w:w="494" w:type="pct"/>
                  <w:vMerge w:val="restart"/>
                  <w:noWrap w:val="0"/>
                  <w:vAlign w:val="center"/>
                </w:tcPr>
                <w:p w14:paraId="54193F18">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符合</w:t>
                  </w:r>
                </w:p>
              </w:tc>
            </w:tr>
            <w:tr w14:paraId="16B8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pct"/>
                  <w:noWrap w:val="0"/>
                  <w:vAlign w:val="center"/>
                </w:tcPr>
                <w:p w14:paraId="0843F464">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污染物</w:t>
                  </w:r>
                  <w:r>
                    <w:rPr>
                      <w:rFonts w:hint="eastAsia" w:ascii="Times New Roman" w:hAnsi="Times New Roman" w:eastAsia="宋体"/>
                      <w:color w:val="auto"/>
                      <w:sz w:val="21"/>
                      <w:szCs w:val="21"/>
                      <w:highlight w:val="none"/>
                    </w:rPr>
                    <w:t>排</w:t>
                  </w:r>
                  <w:r>
                    <w:rPr>
                      <w:rFonts w:ascii="Times New Roman" w:hAnsi="Times New Roman" w:eastAsia="宋体"/>
                      <w:color w:val="auto"/>
                      <w:sz w:val="21"/>
                      <w:szCs w:val="21"/>
                      <w:highlight w:val="none"/>
                    </w:rPr>
                    <w:t>放管控</w:t>
                  </w:r>
                </w:p>
              </w:tc>
              <w:tc>
                <w:tcPr>
                  <w:tcW w:w="3275" w:type="pct"/>
                  <w:noWrap w:val="0"/>
                  <w:vAlign w:val="center"/>
                </w:tcPr>
                <w:p w14:paraId="05D72DA9">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1．泉域的重点保护区内禁止将已污染含水层与未污染含水层的地下水混合开采，禁止倾倒、排放工业废渣和城市生活</w:t>
                  </w:r>
                  <w:r>
                    <w:rPr>
                      <w:rFonts w:hint="eastAsia" w:ascii="Times New Roman" w:hAnsi="Times New Roman" w:eastAsia="宋体"/>
                      <w:color w:val="auto"/>
                      <w:sz w:val="21"/>
                      <w:szCs w:val="21"/>
                      <w:highlight w:val="none"/>
                    </w:rPr>
                    <w:t>垃圾、污水及其他废弃物：重点保护区以外的泉域范围内不得利用渗坑、渗井、溶洞、废弃钻孔等排放工业废水、城市生活污水，倾倒污物、废渣和城市生活垃圾。</w:t>
                  </w:r>
                </w:p>
                <w:p w14:paraId="6B6C414C">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2．辛安泉饮用水水源地一级保护区内禁止倾倒、堆放工业废渣、废液、垃圾、粪便、油类和其他有害废弃物；禁止从</w:t>
                  </w:r>
                  <w:r>
                    <w:rPr>
                      <w:rFonts w:hint="eastAsia" w:ascii="Times New Roman" w:hAnsi="Times New Roman" w:eastAsia="宋体"/>
                      <w:color w:val="auto"/>
                      <w:sz w:val="21"/>
                      <w:szCs w:val="21"/>
                      <w:highlight w:val="none"/>
                    </w:rPr>
                    <w:t>事网箱养殖、旅游、游泳、垂钓、水上训练或者其他可能</w:t>
                  </w:r>
                  <w:r>
                    <w:rPr>
                      <w:rFonts w:hint="eastAsia" w:ascii="Times New Roman" w:hAnsi="Times New Roman" w:eastAsia="宋体"/>
                      <w:color w:val="auto"/>
                      <w:sz w:val="21"/>
                      <w:szCs w:val="21"/>
                      <w:highlight w:val="none"/>
                      <w:lang w:val="en-US" w:eastAsia="zh-CN"/>
                    </w:rPr>
                    <w:t>污</w:t>
                  </w:r>
                  <w:r>
                    <w:rPr>
                      <w:rFonts w:ascii="Times New Roman" w:hAnsi="Times New Roman" w:eastAsia="宋体"/>
                      <w:color w:val="auto"/>
                      <w:sz w:val="21"/>
                      <w:szCs w:val="21"/>
                      <w:highlight w:val="none"/>
                    </w:rPr>
                    <w:t>染饮用水水体的活动。</w:t>
                  </w:r>
                </w:p>
                <w:p w14:paraId="0D59C3EC">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3．辛安泉饮用水水源地二级保护区内禁止使用农药，丢弃农药、农药包装物或者清洗施药器械；禁止利用未经净化的</w:t>
                  </w:r>
                  <w:r>
                    <w:rPr>
                      <w:rFonts w:hint="eastAsia" w:ascii="Times New Roman" w:hAnsi="Times New Roman" w:eastAsia="宋体"/>
                      <w:color w:val="auto"/>
                      <w:sz w:val="21"/>
                      <w:szCs w:val="21"/>
                      <w:highlight w:val="none"/>
                    </w:rPr>
                    <w:t>污水灌溉农田。</w:t>
                  </w:r>
                </w:p>
                <w:p w14:paraId="5A39CB4E">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4．辛安泉饮用水水源地准保护区范围内禁止直接或者间接向水域排放不符合国家以及地方规定排放标准的废水；禁止</w:t>
                  </w:r>
                  <w:r>
                    <w:rPr>
                      <w:rFonts w:hint="eastAsia" w:ascii="Times New Roman" w:hAnsi="Times New Roman" w:eastAsia="宋体"/>
                      <w:color w:val="auto"/>
                      <w:sz w:val="21"/>
                      <w:szCs w:val="21"/>
                      <w:highlight w:val="none"/>
                    </w:rPr>
                    <w:t>使用不符合《农田灌溉水质标准》的污水灌溉农田；禁止利用渗井、废弃矿井、废弃井孔等排放工业废水、生活污水和矿坑水。</w:t>
                  </w:r>
                </w:p>
              </w:tc>
              <w:tc>
                <w:tcPr>
                  <w:tcW w:w="736" w:type="pct"/>
                  <w:vMerge w:val="continue"/>
                  <w:noWrap w:val="0"/>
                  <w:vAlign w:val="center"/>
                </w:tcPr>
                <w:p w14:paraId="6216BCB5">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p>
              </w:tc>
              <w:tc>
                <w:tcPr>
                  <w:tcW w:w="494" w:type="pct"/>
                  <w:vMerge w:val="continue"/>
                  <w:noWrap w:val="0"/>
                  <w:vAlign w:val="center"/>
                </w:tcPr>
                <w:p w14:paraId="220AA12D">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p>
              </w:tc>
            </w:tr>
            <w:tr w14:paraId="345E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pct"/>
                  <w:noWrap w:val="0"/>
                  <w:vAlign w:val="center"/>
                </w:tcPr>
                <w:p w14:paraId="2B511BDC">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环境风险防控</w:t>
                  </w:r>
                </w:p>
              </w:tc>
              <w:tc>
                <w:tcPr>
                  <w:tcW w:w="3275" w:type="pct"/>
                  <w:noWrap w:val="0"/>
                  <w:vAlign w:val="center"/>
                </w:tcPr>
                <w:p w14:paraId="4C4E4817">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泉域范围内，石化生产、存贮、销售企业以及工业园区、矿山开采区、矿山渣场、垃圾填埋场以及危险废物堆放场等</w:t>
                  </w:r>
                  <w:r>
                    <w:rPr>
                      <w:rFonts w:hint="eastAsia" w:ascii="Times New Roman" w:hAnsi="Times New Roman" w:eastAsia="宋体"/>
                      <w:color w:val="auto"/>
                      <w:sz w:val="21"/>
                      <w:szCs w:val="21"/>
                      <w:highlight w:val="none"/>
                    </w:rPr>
                    <w:t>的运营、管理单位应当进行必要的防渗处理。报废矿井、钻井以及取水井应当实施封井回填。</w:t>
                  </w:r>
                </w:p>
              </w:tc>
              <w:tc>
                <w:tcPr>
                  <w:tcW w:w="736" w:type="pct"/>
                  <w:vMerge w:val="continue"/>
                  <w:noWrap w:val="0"/>
                  <w:vAlign w:val="center"/>
                </w:tcPr>
                <w:p w14:paraId="2A876187">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p>
              </w:tc>
              <w:tc>
                <w:tcPr>
                  <w:tcW w:w="494" w:type="pct"/>
                  <w:vMerge w:val="continue"/>
                  <w:noWrap w:val="0"/>
                  <w:vAlign w:val="center"/>
                </w:tcPr>
                <w:p w14:paraId="1213F453">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p>
              </w:tc>
            </w:tr>
            <w:tr w14:paraId="7DCF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494" w:type="pct"/>
                  <w:noWrap w:val="0"/>
                  <w:vAlign w:val="center"/>
                </w:tcPr>
                <w:p w14:paraId="4B2328BA">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hint="eastAsia" w:ascii="Times New Roman" w:hAnsi="Times New Roman" w:eastAsia="宋体"/>
                      <w:color w:val="auto"/>
                      <w:sz w:val="21"/>
                      <w:szCs w:val="21"/>
                      <w:highlight w:val="none"/>
                    </w:rPr>
                    <w:t>资源利用效率</w:t>
                  </w:r>
                </w:p>
              </w:tc>
              <w:tc>
                <w:tcPr>
                  <w:tcW w:w="3275" w:type="pct"/>
                  <w:noWrap w:val="0"/>
                  <w:vAlign w:val="center"/>
                </w:tcPr>
                <w:p w14:paraId="5C934345">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1．泉域的重点保护区内禁止擅自打井、挖泉、截流、引水；重点保护区以外的泉域范围内应控制岩溶地下水开采，合</w:t>
                  </w:r>
                  <w:r>
                    <w:rPr>
                      <w:rFonts w:hint="eastAsia" w:ascii="Times New Roman" w:hAnsi="Times New Roman" w:eastAsia="宋体"/>
                      <w:color w:val="auto"/>
                      <w:sz w:val="21"/>
                      <w:szCs w:val="21"/>
                      <w:highlight w:val="none"/>
                    </w:rPr>
                    <w:t>理开发孔隙裂隙地下水。</w:t>
                  </w:r>
                </w:p>
                <w:p w14:paraId="22BD1716">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2．泉域范围内，任何单位或者个人取用岩溶地下水，应当依法办理取水许可手续，严禁未经批准擅自取水；经批准取</w:t>
                  </w:r>
                  <w:r>
                    <w:rPr>
                      <w:rFonts w:hint="eastAsia" w:ascii="Times New Roman" w:hAnsi="Times New Roman" w:eastAsia="宋体"/>
                      <w:color w:val="auto"/>
                      <w:sz w:val="21"/>
                      <w:szCs w:val="21"/>
                      <w:highlight w:val="none"/>
                    </w:rPr>
                    <w:t>用辛安泉岩溶地下水的单位或者个人，应当依照取水许可规定的条件取水，不得超出核定的取水量，不得转供水。未经批准不得擅自改变取水用途，确需改变的，需经原批准机关审查同意；严格控制辛安泉岩溶地下水开采，实行区域限制许可制度，制定各县</w:t>
                  </w:r>
                  <w:r>
                    <w:rPr>
                      <w:rFonts w:ascii="Times New Roman" w:hAnsi="Times New Roman" w:eastAsia="宋体"/>
                      <w:color w:val="auto"/>
                      <w:sz w:val="21"/>
                      <w:szCs w:val="21"/>
                      <w:highlight w:val="none"/>
                    </w:rPr>
                    <w:t>(区)岩溶水开采控制指标。对岩溶水取水量已达到或者超过控制指标的县(区)，暂停新增岩溶水取水</w:t>
                  </w:r>
                  <w:r>
                    <w:rPr>
                      <w:rFonts w:hint="eastAsia" w:ascii="Times New Roman" w:hAnsi="Times New Roman" w:eastAsia="宋体"/>
                      <w:color w:val="auto"/>
                      <w:sz w:val="21"/>
                      <w:szCs w:val="21"/>
                      <w:highlight w:val="none"/>
                    </w:rPr>
                    <w:t>许可；对岩溶水取水量接近控制指标的县</w:t>
                  </w:r>
                  <w:r>
                    <w:rPr>
                      <w:rFonts w:ascii="Times New Roman" w:hAnsi="Times New Roman" w:eastAsia="宋体"/>
                      <w:color w:val="auto"/>
                      <w:sz w:val="21"/>
                      <w:szCs w:val="21"/>
                      <w:highlight w:val="none"/>
                    </w:rPr>
                    <w:t>(区)，限制新增岩溶水取水许可。</w:t>
                  </w:r>
                </w:p>
              </w:tc>
              <w:tc>
                <w:tcPr>
                  <w:tcW w:w="736" w:type="pct"/>
                  <w:vMerge w:val="continue"/>
                  <w:noWrap w:val="0"/>
                  <w:vAlign w:val="center"/>
                </w:tcPr>
                <w:p w14:paraId="33AAEA81">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p>
              </w:tc>
              <w:tc>
                <w:tcPr>
                  <w:tcW w:w="494" w:type="pct"/>
                  <w:vMerge w:val="continue"/>
                  <w:noWrap w:val="0"/>
                  <w:vAlign w:val="center"/>
                </w:tcPr>
                <w:p w14:paraId="0953F2ED">
                  <w:pPr>
                    <w:pStyle w:val="42"/>
                    <w:keepNext w:val="0"/>
                    <w:keepLines w:val="0"/>
                    <w:pageBreakBefore w:val="0"/>
                    <w:widowControl/>
                    <w:kinsoku/>
                    <w:wordWrap/>
                    <w:overflowPunct/>
                    <w:topLinePunct w:val="0"/>
                    <w:autoSpaceDE/>
                    <w:autoSpaceDN/>
                    <w:bidi w:val="0"/>
                    <w:adjustRightInd w:val="0"/>
                    <w:snapToGrid w:val="0"/>
                    <w:spacing w:before="0" w:after="0" w:line="240" w:lineRule="auto"/>
                    <w:textAlignment w:val="auto"/>
                    <w:rPr>
                      <w:rFonts w:ascii="Times New Roman" w:hAnsi="Times New Roman" w:eastAsia="宋体"/>
                      <w:color w:val="auto"/>
                      <w:sz w:val="21"/>
                      <w:szCs w:val="21"/>
                      <w:highlight w:val="none"/>
                    </w:rPr>
                  </w:pPr>
                </w:p>
              </w:tc>
            </w:tr>
          </w:tbl>
          <w:p w14:paraId="26BAFE96">
            <w:pPr>
              <w:numPr>
                <w:ilvl w:val="0"/>
                <w:numId w:val="0"/>
              </w:numPr>
              <w:bidi w:val="0"/>
              <w:ind w:firstLine="480" w:firstLineChars="200"/>
              <w:rPr>
                <w:rFonts w:hint="default"/>
                <w:b/>
                <w:bCs/>
                <w:color w:val="auto"/>
                <w:sz w:val="21"/>
                <w:szCs w:val="21"/>
                <w:highlight w:val="none"/>
                <w:lang w:val="en-US" w:eastAsia="zh-CN"/>
              </w:rPr>
            </w:pPr>
            <w:r>
              <w:rPr>
                <w:rFonts w:hint="eastAsia" w:cs="宋体"/>
                <w:color w:val="auto"/>
                <w:kern w:val="2"/>
                <w:sz w:val="24"/>
                <w:szCs w:val="24"/>
                <w:lang w:val="en-US" w:eastAsia="zh-CN" w:bidi="ar-SA"/>
              </w:rPr>
              <w:t>5</w:t>
            </w:r>
            <w:r>
              <w:rPr>
                <w:rFonts w:hint="default" w:ascii="Times New Roman" w:hAnsi="Times New Roman" w:eastAsia="宋体" w:cs="宋体"/>
                <w:color w:val="auto"/>
                <w:kern w:val="2"/>
                <w:sz w:val="24"/>
                <w:szCs w:val="24"/>
                <w:lang w:val="en-US" w:eastAsia="zh-CN" w:bidi="ar-SA"/>
              </w:rPr>
              <w:t>、与《山西省深入推进扬尘污染防治工作方案》符合性分析</w:t>
            </w:r>
          </w:p>
          <w:p w14:paraId="595D720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表</w:t>
            </w:r>
            <w:r>
              <w:rPr>
                <w:rFonts w:hint="eastAsia"/>
                <w:b/>
                <w:bCs/>
                <w:color w:val="auto"/>
                <w:sz w:val="21"/>
                <w:szCs w:val="21"/>
                <w:highlight w:val="none"/>
                <w:lang w:val="en-US" w:eastAsia="zh-CN"/>
              </w:rPr>
              <w:t>1-6</w:t>
            </w:r>
            <w:r>
              <w:rPr>
                <w:rFonts w:hint="default"/>
                <w:b/>
                <w:bCs/>
                <w:color w:val="auto"/>
                <w:sz w:val="21"/>
                <w:szCs w:val="21"/>
                <w:highlight w:val="none"/>
                <w:lang w:val="en-US" w:eastAsia="zh-CN"/>
              </w:rPr>
              <w:t xml:space="preserve">  与《山西省深入推进扬尘污染防治工作方案》符合性分析</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3710"/>
              <w:gridCol w:w="2372"/>
              <w:gridCol w:w="471"/>
            </w:tblGrid>
            <w:tr w14:paraId="11F8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1" w:type="pct"/>
                  <w:noWrap w:val="0"/>
                  <w:vAlign w:val="center"/>
                </w:tcPr>
                <w:p w14:paraId="47FBE9D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宋体"/>
                      <w:b/>
                      <w:color w:val="auto"/>
                      <w:sz w:val="21"/>
                      <w:szCs w:val="21"/>
                    </w:rPr>
                  </w:pPr>
                  <w:r>
                    <w:rPr>
                      <w:rFonts w:hint="eastAsia" w:ascii="Times New Roman" w:hAnsi="Times New Roman" w:eastAsia="宋体"/>
                      <w:b w:val="0"/>
                      <w:bCs/>
                      <w:color w:val="auto"/>
                      <w:sz w:val="21"/>
                      <w:szCs w:val="21"/>
                    </w:rPr>
                    <w:t>序号</w:t>
                  </w:r>
                </w:p>
              </w:tc>
              <w:tc>
                <w:tcPr>
                  <w:tcW w:w="2626" w:type="pct"/>
                  <w:noWrap w:val="0"/>
                  <w:vAlign w:val="center"/>
                </w:tcPr>
                <w:p w14:paraId="1170DF1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宋体"/>
                      <w:b/>
                      <w:color w:val="auto"/>
                      <w:sz w:val="21"/>
                      <w:szCs w:val="21"/>
                    </w:rPr>
                  </w:pPr>
                  <w:r>
                    <w:rPr>
                      <w:rFonts w:hint="eastAsia" w:ascii="Times New Roman" w:hAnsi="Times New Roman" w:eastAsia="宋体"/>
                      <w:b w:val="0"/>
                      <w:bCs/>
                      <w:color w:val="auto"/>
                      <w:sz w:val="21"/>
                      <w:szCs w:val="21"/>
                    </w:rPr>
                    <w:t>主要任务</w:t>
                  </w:r>
                </w:p>
              </w:tc>
              <w:tc>
                <w:tcPr>
                  <w:tcW w:w="1679" w:type="pct"/>
                  <w:noWrap w:val="0"/>
                  <w:vAlign w:val="center"/>
                </w:tcPr>
                <w:p w14:paraId="06DF804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宋体"/>
                      <w:b/>
                      <w:color w:val="auto"/>
                      <w:sz w:val="21"/>
                      <w:szCs w:val="21"/>
                    </w:rPr>
                  </w:pPr>
                  <w:r>
                    <w:rPr>
                      <w:rFonts w:ascii="Times New Roman" w:hAnsi="Times New Roman" w:eastAsia="宋体"/>
                      <w:b w:val="0"/>
                      <w:bCs/>
                      <w:color w:val="auto"/>
                      <w:sz w:val="21"/>
                      <w:szCs w:val="21"/>
                    </w:rPr>
                    <w:t>本项目情况</w:t>
                  </w:r>
                </w:p>
              </w:tc>
              <w:tc>
                <w:tcPr>
                  <w:tcW w:w="333" w:type="pct"/>
                  <w:noWrap w:val="0"/>
                  <w:vAlign w:val="center"/>
                </w:tcPr>
                <w:p w14:paraId="10CFC2C4">
                  <w:pPr>
                    <w:pStyle w:val="43"/>
                    <w:keepNext w:val="0"/>
                    <w:keepLines w:val="0"/>
                    <w:pageBreakBefore w:val="0"/>
                    <w:widowControl w:val="0"/>
                    <w:kinsoku/>
                    <w:wordWrap/>
                    <w:overflowPunct/>
                    <w:topLinePunct w:val="0"/>
                    <w:bidi w:val="0"/>
                    <w:spacing w:line="240" w:lineRule="auto"/>
                    <w:ind w:firstLine="0" w:firstLineChars="0"/>
                    <w:jc w:val="center"/>
                    <w:textAlignment w:val="auto"/>
                    <w:rPr>
                      <w:rFonts w:ascii="Times New Roman" w:hAnsi="Times New Roman" w:eastAsia="宋体" w:cs="Times New Roman"/>
                      <w:b/>
                      <w:color w:val="auto"/>
                      <w:sz w:val="21"/>
                      <w:szCs w:val="21"/>
                      <w:lang w:val="en-US" w:eastAsia="zh-CN"/>
                    </w:rPr>
                  </w:pPr>
                  <w:r>
                    <w:rPr>
                      <w:rFonts w:ascii="Times New Roman" w:hAnsi="Times New Roman" w:eastAsia="宋体" w:cs="Times New Roman"/>
                      <w:b w:val="0"/>
                      <w:bCs/>
                      <w:color w:val="auto"/>
                      <w:sz w:val="21"/>
                      <w:szCs w:val="21"/>
                    </w:rPr>
                    <w:t>符合性</w:t>
                  </w:r>
                </w:p>
              </w:tc>
            </w:tr>
            <w:tr w14:paraId="6139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1" w:type="pct"/>
                  <w:noWrap w:val="0"/>
                  <w:vAlign w:val="center"/>
                </w:tcPr>
                <w:p w14:paraId="65CC0C4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1</w:t>
                  </w:r>
                </w:p>
              </w:tc>
              <w:tc>
                <w:tcPr>
                  <w:tcW w:w="2626" w:type="pct"/>
                  <w:noWrap w:val="0"/>
                  <w:vAlign w:val="center"/>
                </w:tcPr>
                <w:p w14:paraId="37B2F2C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olor w:val="auto"/>
                      <w:kern w:val="0"/>
                      <w:sz w:val="21"/>
                      <w:szCs w:val="21"/>
                      <w:lang w:eastAsia="zh-CN"/>
                    </w:rPr>
                  </w:pPr>
                  <w:r>
                    <w:rPr>
                      <w:rFonts w:hint="eastAsia" w:ascii="Times New Roman" w:hAnsi="Times New Roman" w:eastAsia="宋体"/>
                      <w:color w:val="auto"/>
                      <w:kern w:val="0"/>
                      <w:sz w:val="21"/>
                      <w:szCs w:val="21"/>
                    </w:rPr>
                    <w:t>深入开展工业企业无组织排放治理。开展钢铁、水泥、建材、有色、火电、焦化、铸造等重点行业及燃煤锅炉无组织排放排查，建立管理台账，对物料（含废渣）运输、装卸、 储存、转移和工艺过程等无组织排放实施深度治理。易产生扬尘的粉状、粒状物料及燃料应当密闭储存，运输采用密闭皮带、 封闭通廊、管状带式输送机或密闭车厢、真空罐车、气力输送等密闭运输方式。厂区料场路面应实施硬化，出入口应配备车轮、车身清洗装置或者采取其他控制措施。装卸过程中，应配备除尘设施，同时采取洒水喷淋措施。物料储存应采用入棚、入仓储存，并设有洒水、喷淋、苫盖等综合措施进行抑尘。工业企业生产过程中，上料系统应密闭运行，生产设备、废气收集、除尘收集系统应同步运行，确保废气有效收集，车间不可有可见烟尘外逸。上料系统、生产设备、废气收集系统或者污染治理设施发生故障或者检修时，应停止运转对应的生产工艺设备，待检修完毕后投入使用</w:t>
                  </w:r>
                  <w:r>
                    <w:rPr>
                      <w:rFonts w:hint="eastAsia" w:ascii="Times New Roman" w:hAnsi="Times New Roman" w:eastAsia="宋体"/>
                      <w:color w:val="auto"/>
                      <w:kern w:val="0"/>
                      <w:sz w:val="21"/>
                      <w:szCs w:val="21"/>
                      <w:lang w:eastAsia="zh-CN"/>
                    </w:rPr>
                    <w:t>。</w:t>
                  </w:r>
                </w:p>
              </w:tc>
              <w:tc>
                <w:tcPr>
                  <w:tcW w:w="1679" w:type="pct"/>
                  <w:noWrap w:val="0"/>
                  <w:vAlign w:val="center"/>
                </w:tcPr>
                <w:p w14:paraId="695CA297">
                  <w:pPr>
                    <w:pStyle w:val="27"/>
                    <w:keepNext w:val="0"/>
                    <w:keepLines w:val="0"/>
                    <w:pageBreakBefore w:val="0"/>
                    <w:widowControl w:val="0"/>
                    <w:kinsoku/>
                    <w:wordWrap/>
                    <w:overflowPunct/>
                    <w:topLinePunct w:val="0"/>
                    <w:bidi w:val="0"/>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项目</w:t>
                  </w:r>
                  <w:r>
                    <w:rPr>
                      <w:rFonts w:hint="eastAsia" w:ascii="Times New Roman" w:hAnsi="Times New Roman" w:eastAsia="宋体"/>
                      <w:color w:val="auto"/>
                      <w:sz w:val="21"/>
                      <w:szCs w:val="21"/>
                      <w:lang w:val="en-US" w:eastAsia="zh-CN"/>
                    </w:rPr>
                    <w:t>石子、水洗砂储存在全封闭厂房内，水泥、粉煤灰储存在水泥料仓和粉煤灰料仓内，水洗砂、水稳料、湿拌砂浆、预制构件工序的上料口、料仓呼吸孔、水稳料、湿拌砂浆、预制构件工序的搅拌机进料口、预制构件工序的焊接工位设置了集气罩，项目原料采用全封闭皮带输送，厂区出入口设洗车平台。装卸过程洒水抑尘。项目上料系统密闭运行。颗粒物经收集后引入袋式除尘器处理达标后排放。</w:t>
                  </w:r>
                </w:p>
              </w:tc>
              <w:tc>
                <w:tcPr>
                  <w:tcW w:w="333" w:type="pct"/>
                  <w:noWrap w:val="0"/>
                  <w:vAlign w:val="center"/>
                </w:tcPr>
                <w:p w14:paraId="654D83BE">
                  <w:pPr>
                    <w:keepNext w:val="0"/>
                    <w:keepLines w:val="0"/>
                    <w:pageBreakBefore w:val="0"/>
                    <w:widowControl w:val="0"/>
                    <w:kinsoku/>
                    <w:wordWrap/>
                    <w:overflowPunct/>
                    <w:topLinePunct w:val="0"/>
                    <w:bidi w:val="0"/>
                    <w:spacing w:line="240" w:lineRule="auto"/>
                    <w:ind w:firstLine="0" w:firstLineChars="0"/>
                    <w:jc w:val="center"/>
                    <w:textAlignment w:val="auto"/>
                    <w:rPr>
                      <w:rFonts w:ascii="Times New Roman" w:hAnsi="Times New Roman" w:eastAsia="宋体"/>
                      <w:color w:val="auto"/>
                      <w:sz w:val="21"/>
                      <w:szCs w:val="21"/>
                      <w:lang w:bidi="zh-TW"/>
                    </w:rPr>
                  </w:pPr>
                  <w:r>
                    <w:rPr>
                      <w:rFonts w:ascii="Times New Roman" w:hAnsi="Times New Roman" w:eastAsia="宋体"/>
                      <w:color w:val="auto"/>
                      <w:sz w:val="21"/>
                      <w:szCs w:val="21"/>
                    </w:rPr>
                    <w:t>符合</w:t>
                  </w:r>
                </w:p>
              </w:tc>
            </w:tr>
            <w:tr w14:paraId="7B2E3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1" w:type="pct"/>
                  <w:noWrap w:val="0"/>
                  <w:vAlign w:val="center"/>
                </w:tcPr>
                <w:p w14:paraId="0B47BFB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2</w:t>
                  </w:r>
                </w:p>
              </w:tc>
              <w:tc>
                <w:tcPr>
                  <w:tcW w:w="2626" w:type="pct"/>
                  <w:noWrap w:val="0"/>
                  <w:vAlign w:val="center"/>
                </w:tcPr>
                <w:p w14:paraId="3048A13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宋体"/>
                      <w:color w:val="auto"/>
                      <w:kern w:val="0"/>
                      <w:sz w:val="21"/>
                      <w:szCs w:val="21"/>
                    </w:rPr>
                  </w:pPr>
                  <w:r>
                    <w:rPr>
                      <w:rFonts w:hint="eastAsia" w:ascii="Times New Roman" w:hAnsi="Times New Roman" w:eastAsia="宋体"/>
                      <w:color w:val="auto"/>
                      <w:kern w:val="0"/>
                      <w:sz w:val="21"/>
                      <w:szCs w:val="21"/>
                    </w:rPr>
                    <w:t>深入开展施工工地扬尘污染治理。严格落实建筑施工扬尘“六个百分之百”，将防治扬尘污染费用纳入工程造价，规模以上施工工地安装视频监控设施，并接入当地监管平台。 各类土石方开挖施工，必须采取有效抑尘措施，确保不产生扬尘污染。暂时不能开工的裸露空置建设用地和因旧城改造、城中村改造、违法建筑拆除等产生的裸露空置地块要及时全部进行覆盖或者绿化。遇有大风或重污染天气，应按规定停止土方开挖、回填、拆除等可能产生扬尘的作业，落实重污染天气应急响应扬尘防治差异化管控措施。施工现场渣土、垃圾应及时清运,在场地内堆存的,应遮盖密闭式防尘网。扎实开展非道路移动机械监管，做好进出施工现场信息登记，严禁未经信息编码登记的非道路移动机械进入施工现场作业。充分发挥大型施工企业、重点项目示范引领和带动作用，适时组织观摩，以点带面，提高扬尘污染防治水平。</w:t>
                  </w:r>
                </w:p>
              </w:tc>
              <w:tc>
                <w:tcPr>
                  <w:tcW w:w="1679" w:type="pct"/>
                  <w:noWrap w:val="0"/>
                  <w:vAlign w:val="center"/>
                </w:tcPr>
                <w:p w14:paraId="76FEBAD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rPr>
                    <w:t>项目施工期严格落实建筑施工扬尘“六个百分之百”。</w:t>
                  </w:r>
                  <w:r>
                    <w:rPr>
                      <w:rFonts w:hint="eastAsia" w:ascii="Times New Roman" w:hAnsi="Times New Roman" w:eastAsia="宋体"/>
                      <w:color w:val="auto"/>
                      <w:sz w:val="21"/>
                      <w:szCs w:val="21"/>
                      <w:lang w:val="en-US" w:eastAsia="zh-CN"/>
                    </w:rPr>
                    <w:t>采取有效抑尘措施，</w:t>
                  </w:r>
                  <w:r>
                    <w:rPr>
                      <w:rFonts w:hint="eastAsia" w:ascii="Times New Roman" w:hAnsi="Times New Roman" w:eastAsia="宋体"/>
                      <w:color w:val="auto"/>
                      <w:kern w:val="0"/>
                      <w:sz w:val="21"/>
                      <w:szCs w:val="21"/>
                    </w:rPr>
                    <w:t>裸露空置地块要及时全部进行覆盖或者绿化</w:t>
                  </w:r>
                  <w:r>
                    <w:rPr>
                      <w:rFonts w:hint="eastAsia" w:ascii="Times New Roman" w:hAnsi="Times New Roman" w:eastAsia="宋体"/>
                      <w:color w:val="auto"/>
                      <w:kern w:val="0"/>
                      <w:sz w:val="21"/>
                      <w:szCs w:val="21"/>
                      <w:lang w:eastAsia="zh-CN"/>
                    </w:rPr>
                    <w:t>，</w:t>
                  </w:r>
                  <w:r>
                    <w:rPr>
                      <w:rFonts w:hint="eastAsia" w:ascii="Times New Roman" w:hAnsi="Times New Roman" w:eastAsia="宋体"/>
                      <w:color w:val="auto"/>
                      <w:kern w:val="0"/>
                      <w:sz w:val="21"/>
                      <w:szCs w:val="21"/>
                      <w:lang w:val="en-US" w:eastAsia="zh-CN"/>
                    </w:rPr>
                    <w:t>严格落实</w:t>
                  </w:r>
                  <w:r>
                    <w:rPr>
                      <w:rFonts w:hint="eastAsia" w:ascii="Times New Roman" w:hAnsi="Times New Roman" w:eastAsia="宋体"/>
                      <w:color w:val="auto"/>
                      <w:kern w:val="0"/>
                      <w:sz w:val="21"/>
                      <w:szCs w:val="21"/>
                    </w:rPr>
                    <w:t>重污染天气应急响应扬尘防治差异化管控措施</w:t>
                  </w:r>
                  <w:r>
                    <w:rPr>
                      <w:rFonts w:hint="eastAsia" w:ascii="Times New Roman" w:hAnsi="Times New Roman" w:eastAsia="宋体"/>
                      <w:color w:val="auto"/>
                      <w:kern w:val="0"/>
                      <w:sz w:val="21"/>
                      <w:szCs w:val="21"/>
                      <w:lang w:eastAsia="zh-CN"/>
                    </w:rPr>
                    <w:t>，</w:t>
                  </w:r>
                  <w:r>
                    <w:rPr>
                      <w:rFonts w:hint="eastAsia" w:ascii="Times New Roman" w:hAnsi="Times New Roman" w:eastAsia="宋体"/>
                      <w:color w:val="auto"/>
                      <w:kern w:val="0"/>
                      <w:sz w:val="21"/>
                      <w:szCs w:val="21"/>
                    </w:rPr>
                    <w:t>施工现场渣土、垃圾及时清运,在场地内堆存的,遮盖密闭式防尘网</w:t>
                  </w:r>
                  <w:r>
                    <w:rPr>
                      <w:rFonts w:hint="eastAsia" w:ascii="Times New Roman" w:hAnsi="Times New Roman" w:eastAsia="宋体"/>
                      <w:color w:val="auto"/>
                      <w:kern w:val="0"/>
                      <w:sz w:val="21"/>
                      <w:szCs w:val="21"/>
                      <w:lang w:eastAsia="zh-CN"/>
                    </w:rPr>
                    <w:t>。</w:t>
                  </w:r>
                </w:p>
              </w:tc>
              <w:tc>
                <w:tcPr>
                  <w:tcW w:w="333" w:type="pct"/>
                  <w:noWrap w:val="0"/>
                  <w:vAlign w:val="center"/>
                </w:tcPr>
                <w:p w14:paraId="4165662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符合</w:t>
                  </w:r>
                </w:p>
              </w:tc>
            </w:tr>
            <w:tr w14:paraId="6A0C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1" w:type="pct"/>
                  <w:noWrap w:val="0"/>
                  <w:vAlign w:val="center"/>
                </w:tcPr>
                <w:p w14:paraId="52686CE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3</w:t>
                  </w:r>
                </w:p>
              </w:tc>
              <w:tc>
                <w:tcPr>
                  <w:tcW w:w="2626" w:type="pct"/>
                  <w:noWrap w:val="0"/>
                  <w:vAlign w:val="center"/>
                </w:tcPr>
                <w:p w14:paraId="2F9E778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olor w:val="auto"/>
                      <w:kern w:val="0"/>
                      <w:sz w:val="21"/>
                      <w:szCs w:val="21"/>
                      <w:lang w:eastAsia="zh-CN"/>
                    </w:rPr>
                  </w:pPr>
                  <w:r>
                    <w:rPr>
                      <w:rFonts w:hint="eastAsia" w:ascii="Times New Roman" w:hAnsi="Times New Roman" w:eastAsia="宋体"/>
                      <w:color w:val="auto"/>
                      <w:kern w:val="0"/>
                      <w:sz w:val="21"/>
                      <w:szCs w:val="21"/>
                    </w:rPr>
                    <w:t>深入开展道路扬尘污染治理。对城市建成区主次干道及人行道、慢行道，高速公路和国、省、市、县、乡级公路积土积尘进行全面清理清洗，并实行定期保洁、机械化清扫、定时洒水制度，部分路段辅以人工清扫，综合使用冲、刷、吸、扫等工艺，有条件的地方要使用道路抑尘剂，及时清理清洗积尘路面，路面范围内达到路见本色、基本无浮土。加大巡查力度，强化对市政道路、背街小巷等地段的砂堆、渣堆、煤堆、土堆、垃圾堆等“五堆”清理。重污染天气应急期间，根据空气质量变化情况增加抑尘或者降尘措施实施频次</w:t>
                  </w:r>
                  <w:r>
                    <w:rPr>
                      <w:rFonts w:hint="eastAsia" w:ascii="Times New Roman" w:hAnsi="Times New Roman" w:eastAsia="宋体"/>
                      <w:color w:val="auto"/>
                      <w:kern w:val="0"/>
                      <w:sz w:val="21"/>
                      <w:szCs w:val="21"/>
                      <w:lang w:eastAsia="zh-CN"/>
                    </w:rPr>
                    <w:t>。</w:t>
                  </w:r>
                </w:p>
              </w:tc>
              <w:tc>
                <w:tcPr>
                  <w:tcW w:w="1679" w:type="pct"/>
                  <w:noWrap w:val="0"/>
                  <w:vAlign w:val="center"/>
                </w:tcPr>
                <w:p w14:paraId="12FCF91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rPr>
                    <w:t>重污染天气应急期间，企业应根据空气质量变化情况增加抑尘或者降尘措施实施频次</w:t>
                  </w:r>
                  <w:r>
                    <w:rPr>
                      <w:rFonts w:hint="eastAsia" w:ascii="Times New Roman" w:hAnsi="Times New Roman" w:eastAsia="宋体"/>
                      <w:color w:val="auto"/>
                      <w:sz w:val="21"/>
                      <w:szCs w:val="21"/>
                      <w:lang w:eastAsia="zh-CN"/>
                    </w:rPr>
                    <w:t>。</w:t>
                  </w:r>
                </w:p>
              </w:tc>
              <w:tc>
                <w:tcPr>
                  <w:tcW w:w="333" w:type="pct"/>
                  <w:noWrap w:val="0"/>
                  <w:vAlign w:val="center"/>
                </w:tcPr>
                <w:p w14:paraId="53759FA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符合</w:t>
                  </w:r>
                </w:p>
              </w:tc>
            </w:tr>
          </w:tbl>
          <w:p w14:paraId="7D8CDFC3">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cs="宋体"/>
                <w:color w:val="auto"/>
                <w:kern w:val="2"/>
                <w:sz w:val="24"/>
                <w:szCs w:val="24"/>
                <w:lang w:val="en-US" w:eastAsia="zh-CN" w:bidi="ar-SA"/>
              </w:rPr>
            </w:pPr>
          </w:p>
          <w:p w14:paraId="19E108AB">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color w:val="auto"/>
                <w:lang w:val="en-US" w:eastAsia="zh-CN"/>
              </w:rPr>
            </w:pPr>
            <w:r>
              <w:rPr>
                <w:rFonts w:hint="eastAsia" w:cs="宋体"/>
                <w:color w:val="auto"/>
                <w:kern w:val="2"/>
                <w:sz w:val="24"/>
                <w:szCs w:val="24"/>
                <w:lang w:val="en-US" w:eastAsia="zh-CN" w:bidi="ar-SA"/>
              </w:rPr>
              <w:t>6</w:t>
            </w:r>
            <w:r>
              <w:rPr>
                <w:rFonts w:hint="eastAsia" w:ascii="Times New Roman" w:hAnsi="Times New Roman" w:eastAsia="宋体" w:cs="宋体"/>
                <w:color w:val="auto"/>
                <w:kern w:val="2"/>
                <w:sz w:val="24"/>
                <w:szCs w:val="24"/>
                <w:lang w:val="en-US" w:eastAsia="zh-CN" w:bidi="ar-SA"/>
              </w:rPr>
              <w:t>、</w:t>
            </w:r>
            <w:r>
              <w:rPr>
                <w:rFonts w:hint="eastAsia"/>
                <w:color w:val="auto"/>
                <w:lang w:val="en-US" w:eastAsia="zh-CN"/>
              </w:rPr>
              <w:t>与《关于推进机制砂石行业高质量发展的若干意见》（工信部联原〔2019〕239号）的符合性分析</w:t>
            </w:r>
          </w:p>
          <w:p w14:paraId="0D5B0CB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bCs/>
                <w:color w:val="auto"/>
                <w:sz w:val="21"/>
                <w:szCs w:val="21"/>
                <w:lang w:val="en-US" w:eastAsia="zh-CN"/>
              </w:rPr>
            </w:pPr>
            <w:r>
              <w:rPr>
                <w:rFonts w:hint="eastAsia"/>
                <w:b/>
                <w:bCs/>
                <w:color w:val="auto"/>
                <w:sz w:val="21"/>
                <w:szCs w:val="21"/>
                <w:lang w:val="en-US" w:eastAsia="zh-CN"/>
              </w:rPr>
              <w:t>表1-7 与《关于推进机制砂石行业高质量发展的若干意见》（工信部联原〔2019〕239号）的符合性分析一览表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3448"/>
              <w:gridCol w:w="2053"/>
              <w:gridCol w:w="861"/>
            </w:tblGrid>
            <w:tr w14:paraId="4950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7" w:type="pct"/>
                  <w:gridSpan w:val="2"/>
                  <w:noWrap w:val="0"/>
                  <w:vAlign w:val="center"/>
                </w:tcPr>
                <w:p w14:paraId="3B00C9E2">
                  <w:pPr>
                    <w:pStyle w:val="34"/>
                    <w:bidi w:val="0"/>
                    <w:rPr>
                      <w:color w:val="auto"/>
                    </w:rPr>
                  </w:pPr>
                  <w:r>
                    <w:rPr>
                      <w:color w:val="auto"/>
                    </w:rPr>
                    <w:t>文件要求</w:t>
                  </w:r>
                </w:p>
              </w:tc>
              <w:tc>
                <w:tcPr>
                  <w:tcW w:w="1453" w:type="pct"/>
                  <w:noWrap w:val="0"/>
                  <w:vAlign w:val="center"/>
                </w:tcPr>
                <w:p w14:paraId="09C7E4B6">
                  <w:pPr>
                    <w:pStyle w:val="34"/>
                    <w:bidi w:val="0"/>
                    <w:rPr>
                      <w:color w:val="auto"/>
                    </w:rPr>
                  </w:pPr>
                  <w:r>
                    <w:rPr>
                      <w:rFonts w:hint="eastAsia"/>
                      <w:color w:val="auto"/>
                      <w:lang w:val="en-US" w:eastAsia="zh-CN"/>
                    </w:rPr>
                    <w:t>本</w:t>
                  </w:r>
                  <w:r>
                    <w:rPr>
                      <w:color w:val="auto"/>
                    </w:rPr>
                    <w:t>项目情况</w:t>
                  </w:r>
                </w:p>
              </w:tc>
              <w:tc>
                <w:tcPr>
                  <w:tcW w:w="609" w:type="pct"/>
                  <w:noWrap w:val="0"/>
                  <w:vAlign w:val="center"/>
                </w:tcPr>
                <w:p w14:paraId="3F7787DB">
                  <w:pPr>
                    <w:pStyle w:val="34"/>
                    <w:bidi w:val="0"/>
                    <w:rPr>
                      <w:rFonts w:hint="eastAsia" w:eastAsia="宋体"/>
                      <w:color w:val="auto"/>
                      <w:lang w:val="en-US" w:eastAsia="zh-CN"/>
                    </w:rPr>
                  </w:pPr>
                  <w:r>
                    <w:rPr>
                      <w:rFonts w:hint="eastAsia"/>
                      <w:color w:val="auto"/>
                      <w:lang w:val="en-US" w:eastAsia="zh-CN"/>
                    </w:rPr>
                    <w:t>相符性</w:t>
                  </w:r>
                </w:p>
              </w:tc>
            </w:tr>
            <w:tr w14:paraId="6801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7" w:type="pct"/>
                  <w:gridSpan w:val="2"/>
                  <w:noWrap w:val="0"/>
                  <w:vAlign w:val="center"/>
                </w:tcPr>
                <w:p w14:paraId="2ED5600E">
                  <w:pPr>
                    <w:pStyle w:val="34"/>
                    <w:bidi w:val="0"/>
                    <w:rPr>
                      <w:color w:val="auto"/>
                    </w:rPr>
                  </w:pPr>
                  <w:r>
                    <w:rPr>
                      <w:color w:val="auto"/>
                    </w:rPr>
                    <w:t>一、总体要求发展目标：到2025年，形成较为完善合理的机制砂石供应保障体系，产品质量符合GB/T14684《建设用砂》等有关要求，以Ⅰ类产品为代表的高品质机制砂石比例大幅提升，年产1000万吨及以上的</w:t>
                  </w:r>
                  <w:r>
                    <w:rPr>
                      <w:rFonts w:hint="eastAsia"/>
                      <w:color w:val="auto"/>
                    </w:rPr>
                    <w:t>超</w:t>
                  </w:r>
                  <w:r>
                    <w:rPr>
                      <w:color w:val="auto"/>
                    </w:rPr>
                    <w:t>大型机制砂石企业产能占比达到40%，利用尾矿、废石、建筑垃圾等生产的机制砂石占比明显提高，</w:t>
                  </w:r>
                  <w:r>
                    <w:rPr>
                      <w:rFonts w:hint="eastAsia"/>
                      <w:color w:val="auto"/>
                      <w:lang w:eastAsia="zh-CN"/>
                    </w:rPr>
                    <w:t>“</w:t>
                  </w:r>
                  <w:r>
                    <w:rPr>
                      <w:color w:val="auto"/>
                    </w:rPr>
                    <w:t>公转铁、公转水</w:t>
                  </w:r>
                  <w:r>
                    <w:rPr>
                      <w:rFonts w:hint="eastAsia"/>
                      <w:color w:val="auto"/>
                      <w:lang w:eastAsia="zh-CN"/>
                    </w:rPr>
                    <w:t>”</w:t>
                  </w:r>
                  <w:r>
                    <w:rPr>
                      <w:color w:val="auto"/>
                    </w:rPr>
                    <w:t>运输取得明显进展</w:t>
                  </w:r>
                </w:p>
              </w:tc>
              <w:tc>
                <w:tcPr>
                  <w:tcW w:w="1453" w:type="pct"/>
                  <w:noWrap w:val="0"/>
                  <w:vAlign w:val="center"/>
                </w:tcPr>
                <w:p w14:paraId="2EF8EF51">
                  <w:pPr>
                    <w:pStyle w:val="34"/>
                    <w:bidi w:val="0"/>
                    <w:rPr>
                      <w:rFonts w:hint="eastAsia" w:eastAsia="宋体"/>
                      <w:color w:val="auto"/>
                      <w:lang w:eastAsia="zh-CN"/>
                    </w:rPr>
                  </w:pPr>
                  <w:r>
                    <w:rPr>
                      <w:color w:val="auto"/>
                    </w:rPr>
                    <w:t>本项目</w:t>
                  </w:r>
                  <w:r>
                    <w:rPr>
                      <w:rFonts w:hint="eastAsia"/>
                      <w:color w:val="auto"/>
                      <w:lang w:val="en-US" w:eastAsia="zh-CN"/>
                    </w:rPr>
                    <w:t>年产水洗砂产品</w:t>
                  </w:r>
                  <w:r>
                    <w:rPr>
                      <w:color w:val="auto"/>
                    </w:rPr>
                    <w:t>，产品质量要求符合《建设用砂》</w:t>
                  </w:r>
                  <w:r>
                    <w:rPr>
                      <w:rFonts w:hint="eastAsia"/>
                      <w:color w:val="auto"/>
                      <w:lang w:eastAsia="zh-CN"/>
                    </w:rPr>
                    <w:t>（</w:t>
                  </w:r>
                  <w:r>
                    <w:rPr>
                      <w:color w:val="auto"/>
                    </w:rPr>
                    <w:t>GB/T14684</w:t>
                  </w:r>
                  <w:r>
                    <w:rPr>
                      <w:rFonts w:hint="eastAsia"/>
                      <w:color w:val="auto"/>
                      <w:lang w:eastAsia="zh-CN"/>
                    </w:rPr>
                    <w:t>）</w:t>
                  </w:r>
                  <w:r>
                    <w:rPr>
                      <w:color w:val="auto"/>
                    </w:rPr>
                    <w:t>标准</w:t>
                  </w:r>
                  <w:r>
                    <w:rPr>
                      <w:rFonts w:hint="eastAsia"/>
                      <w:color w:val="auto"/>
                      <w:lang w:eastAsia="zh-CN"/>
                    </w:rPr>
                    <w:t>。</w:t>
                  </w:r>
                </w:p>
              </w:tc>
              <w:tc>
                <w:tcPr>
                  <w:tcW w:w="609" w:type="pct"/>
                  <w:noWrap w:val="0"/>
                  <w:vAlign w:val="center"/>
                </w:tcPr>
                <w:p w14:paraId="408D09C4">
                  <w:pPr>
                    <w:pStyle w:val="34"/>
                    <w:bidi w:val="0"/>
                    <w:rPr>
                      <w:color w:val="auto"/>
                    </w:rPr>
                  </w:pPr>
                  <w:r>
                    <w:rPr>
                      <w:rFonts w:hint="eastAsia"/>
                      <w:color w:val="auto"/>
                    </w:rPr>
                    <w:t>符合</w:t>
                  </w:r>
                </w:p>
              </w:tc>
            </w:tr>
            <w:tr w14:paraId="78A0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6" w:type="pct"/>
                  <w:vMerge w:val="restart"/>
                  <w:noWrap w:val="0"/>
                  <w:vAlign w:val="center"/>
                </w:tcPr>
                <w:p w14:paraId="4D247892">
                  <w:pPr>
                    <w:pStyle w:val="34"/>
                    <w:bidi w:val="0"/>
                    <w:rPr>
                      <w:color w:val="auto"/>
                    </w:rPr>
                  </w:pPr>
                  <w:r>
                    <w:rPr>
                      <w:color w:val="auto"/>
                    </w:rPr>
                    <w:t>二、多措并举保障市场供应</w:t>
                  </w:r>
                </w:p>
              </w:tc>
              <w:tc>
                <w:tcPr>
                  <w:tcW w:w="2440" w:type="pct"/>
                  <w:noWrap w:val="0"/>
                  <w:vAlign w:val="center"/>
                </w:tcPr>
                <w:p w14:paraId="16ECDE29">
                  <w:pPr>
                    <w:pStyle w:val="34"/>
                    <w:bidi w:val="0"/>
                    <w:rPr>
                      <w:color w:val="auto"/>
                    </w:rPr>
                  </w:pPr>
                  <w:r>
                    <w:rPr>
                      <w:rFonts w:hint="eastAsia"/>
                      <w:color w:val="auto"/>
                    </w:rPr>
                    <w:t>统筹协调布局。根据“十四五”投资建设需要，统筹考虑矿产资源、市场需求、交通物流等因素，按照安全、环保、功能区等方面要求，科学规划、合理布局，建立国内合理的机制砂石供应体系，既保障供给，又防止“一哄而上”造成产能过剩。市、县区域合理布局服务当地的砂石加工基地或集散中心。</w:t>
                  </w:r>
                </w:p>
              </w:tc>
              <w:tc>
                <w:tcPr>
                  <w:tcW w:w="1453" w:type="pct"/>
                  <w:noWrap w:val="0"/>
                  <w:vAlign w:val="center"/>
                </w:tcPr>
                <w:p w14:paraId="056697B6">
                  <w:pPr>
                    <w:pStyle w:val="34"/>
                    <w:bidi w:val="0"/>
                    <w:rPr>
                      <w:rFonts w:hint="default" w:eastAsia="宋体"/>
                      <w:color w:val="auto"/>
                      <w:lang w:val="en-US" w:eastAsia="zh-CN"/>
                    </w:rPr>
                  </w:pPr>
                  <w:r>
                    <w:rPr>
                      <w:color w:val="auto"/>
                    </w:rPr>
                    <w:t>本项目</w:t>
                  </w:r>
                  <w:r>
                    <w:rPr>
                      <w:rFonts w:hint="eastAsia"/>
                      <w:color w:val="auto"/>
                    </w:rPr>
                    <w:t>建设位置位于山西省长治市壶关县集店镇常平村，本项目</w:t>
                  </w:r>
                  <w:r>
                    <w:rPr>
                      <w:rFonts w:hint="eastAsia"/>
                      <w:color w:val="auto"/>
                      <w:lang w:val="en-US" w:eastAsia="zh-CN"/>
                    </w:rPr>
                    <w:t>布局合理。</w:t>
                  </w:r>
                </w:p>
              </w:tc>
              <w:tc>
                <w:tcPr>
                  <w:tcW w:w="609" w:type="pct"/>
                  <w:noWrap w:val="0"/>
                  <w:vAlign w:val="center"/>
                </w:tcPr>
                <w:p w14:paraId="65956C2B">
                  <w:pPr>
                    <w:pStyle w:val="34"/>
                    <w:bidi w:val="0"/>
                    <w:rPr>
                      <w:rFonts w:hint="eastAsia"/>
                      <w:color w:val="auto"/>
                    </w:rPr>
                  </w:pPr>
                  <w:r>
                    <w:rPr>
                      <w:rFonts w:hint="eastAsia"/>
                      <w:color w:val="auto"/>
                    </w:rPr>
                    <w:t>符合</w:t>
                  </w:r>
                </w:p>
              </w:tc>
            </w:tr>
            <w:tr w14:paraId="061C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6" w:type="pct"/>
                  <w:vMerge w:val="continue"/>
                  <w:noWrap w:val="0"/>
                  <w:vAlign w:val="center"/>
                </w:tcPr>
                <w:p w14:paraId="06851CEB">
                  <w:pPr>
                    <w:pStyle w:val="34"/>
                    <w:bidi w:val="0"/>
                    <w:rPr>
                      <w:color w:val="auto"/>
                    </w:rPr>
                  </w:pPr>
                </w:p>
              </w:tc>
              <w:tc>
                <w:tcPr>
                  <w:tcW w:w="2440" w:type="pct"/>
                  <w:noWrap w:val="0"/>
                  <w:vAlign w:val="center"/>
                </w:tcPr>
                <w:p w14:paraId="7521FB17">
                  <w:pPr>
                    <w:pStyle w:val="34"/>
                    <w:bidi w:val="0"/>
                    <w:rPr>
                      <w:color w:val="auto"/>
                    </w:rPr>
                  </w:pPr>
                  <w:r>
                    <w:rPr>
                      <w:rFonts w:hint="eastAsia"/>
                      <w:color w:val="auto"/>
                    </w:rPr>
                    <w:t>拓展砂石来源。规范砂石资源管理，鼓励利用废石以及铁、钼、钒钛等矿山的尾矿生产机制砂石，节约天然资源，提高产业固体废物综合利用水平。支持就地取材，利用开山、道路、隧洞、场地平整等建设工程产生的砂石料生产机制砂石，减少长距离运输外来砂石，满足建设需要。发展“互联网+砂石骨料”，构建机制砂石电子商务平台，完善支撑服务体系，培育适合砂石产业的O2O、C2B等电商模式，实现砂石电子商务交易中的信息交流、市场交易、物流配送、支付结算、售后服务等功能。</w:t>
                  </w:r>
                </w:p>
              </w:tc>
              <w:tc>
                <w:tcPr>
                  <w:tcW w:w="1453" w:type="pct"/>
                  <w:noWrap w:val="0"/>
                  <w:vAlign w:val="center"/>
                </w:tcPr>
                <w:p w14:paraId="5F1F121C">
                  <w:pPr>
                    <w:pStyle w:val="34"/>
                    <w:bidi w:val="0"/>
                    <w:rPr>
                      <w:rFonts w:hint="eastAsia"/>
                      <w:color w:val="auto"/>
                    </w:rPr>
                  </w:pPr>
                  <w:r>
                    <w:rPr>
                      <w:rFonts w:hint="eastAsia"/>
                      <w:color w:val="auto"/>
                    </w:rPr>
                    <w:t>本项目</w:t>
                  </w:r>
                  <w:r>
                    <w:rPr>
                      <w:rFonts w:hint="eastAsia"/>
                      <w:color w:val="auto"/>
                      <w:lang w:val="en-US" w:eastAsia="zh-CN"/>
                    </w:rPr>
                    <w:t>石子由附近采石场购入，运输距离较短，</w:t>
                  </w:r>
                  <w:r>
                    <w:rPr>
                      <w:rFonts w:hint="eastAsia"/>
                      <w:color w:val="auto"/>
                    </w:rPr>
                    <w:t>满足建设需要。</w:t>
                  </w:r>
                </w:p>
              </w:tc>
              <w:tc>
                <w:tcPr>
                  <w:tcW w:w="609" w:type="pct"/>
                  <w:noWrap w:val="0"/>
                  <w:vAlign w:val="center"/>
                </w:tcPr>
                <w:p w14:paraId="5DC3DA1F">
                  <w:pPr>
                    <w:pStyle w:val="34"/>
                    <w:bidi w:val="0"/>
                    <w:rPr>
                      <w:color w:val="auto"/>
                    </w:rPr>
                  </w:pPr>
                  <w:r>
                    <w:rPr>
                      <w:rFonts w:hint="eastAsia"/>
                      <w:color w:val="auto"/>
                    </w:rPr>
                    <w:t>符合</w:t>
                  </w:r>
                </w:p>
              </w:tc>
            </w:tr>
            <w:tr w14:paraId="45B5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6" w:type="pct"/>
                  <w:vMerge w:val="continue"/>
                  <w:noWrap w:val="0"/>
                  <w:vAlign w:val="center"/>
                </w:tcPr>
                <w:p w14:paraId="4270B3C3">
                  <w:pPr>
                    <w:pStyle w:val="34"/>
                    <w:bidi w:val="0"/>
                    <w:rPr>
                      <w:color w:val="auto"/>
                    </w:rPr>
                  </w:pPr>
                </w:p>
              </w:tc>
              <w:tc>
                <w:tcPr>
                  <w:tcW w:w="2440" w:type="pct"/>
                  <w:noWrap w:val="0"/>
                  <w:vAlign w:val="center"/>
                </w:tcPr>
                <w:p w14:paraId="32D7E27B">
                  <w:pPr>
                    <w:pStyle w:val="34"/>
                    <w:bidi w:val="0"/>
                    <w:rPr>
                      <w:color w:val="auto"/>
                    </w:rPr>
                  </w:pPr>
                  <w:r>
                    <w:rPr>
                      <w:rFonts w:hint="eastAsia"/>
                      <w:color w:val="auto"/>
                    </w:rPr>
                    <w:t>加强运输保障。推进机制砂石中长距离运输“公转铁、公转水”，减少公路运输量，增加铁路运输量，完善内河水运网络和港口集疏运体系建设。在充分利用铁路专用线、城市铁路货场和岸线码头运输能力的同时，推进铁路专用线建设，对年运量150万吨以上的机制砂石企业，应按规定建设铁路专用线。有序发展多式联运，加强不同运输方式间的有效衔接，大力发展集装箱铁公联运，切实提高机制砂石运输能力。加快建设封闭式运输皮带廊道，逐步减少散货露天装卸量。利用信息化手段对砂石运输实现全程监管，构建绿色物流和绿色供应链。加强运输车辆检测，防止超限超载车辆出场（站）上路。</w:t>
                  </w:r>
                </w:p>
              </w:tc>
              <w:tc>
                <w:tcPr>
                  <w:tcW w:w="1453" w:type="pct"/>
                  <w:noWrap w:val="0"/>
                  <w:vAlign w:val="center"/>
                </w:tcPr>
                <w:p w14:paraId="422A07C0">
                  <w:pPr>
                    <w:pStyle w:val="34"/>
                    <w:bidi w:val="0"/>
                    <w:rPr>
                      <w:rFonts w:hint="eastAsia" w:eastAsia="宋体"/>
                      <w:color w:val="auto"/>
                      <w:lang w:eastAsia="zh-CN"/>
                    </w:rPr>
                  </w:pPr>
                  <w:r>
                    <w:rPr>
                      <w:rFonts w:hint="eastAsia"/>
                      <w:color w:val="auto"/>
                    </w:rPr>
                    <w:t>本项目</w:t>
                  </w:r>
                  <w:r>
                    <w:rPr>
                      <w:rFonts w:hint="eastAsia"/>
                      <w:color w:val="auto"/>
                      <w:lang w:val="en-US" w:eastAsia="zh-CN"/>
                    </w:rPr>
                    <w:t>采用国六及以上封闭式运输车辆</w:t>
                  </w:r>
                  <w:r>
                    <w:rPr>
                      <w:rFonts w:hint="eastAsia"/>
                      <w:color w:val="auto"/>
                    </w:rPr>
                    <w:t>；</w:t>
                  </w:r>
                  <w:r>
                    <w:rPr>
                      <w:rFonts w:hint="eastAsia"/>
                      <w:color w:val="auto"/>
                      <w:lang w:val="en-US" w:eastAsia="zh-CN"/>
                    </w:rPr>
                    <w:t>物料全部堆存于</w:t>
                  </w:r>
                  <w:r>
                    <w:rPr>
                      <w:rFonts w:hint="eastAsia"/>
                      <w:color w:val="auto"/>
                    </w:rPr>
                    <w:t>全封闭厂房内，</w:t>
                  </w:r>
                  <w:r>
                    <w:rPr>
                      <w:rFonts w:hint="eastAsia"/>
                      <w:color w:val="auto"/>
                      <w:lang w:val="en-US" w:eastAsia="zh-CN"/>
                    </w:rPr>
                    <w:t>厂内物料采用全封闭皮带输送</w:t>
                  </w:r>
                  <w:r>
                    <w:rPr>
                      <w:rFonts w:hint="eastAsia"/>
                      <w:color w:val="auto"/>
                    </w:rPr>
                    <w:t>；项目建成后加强对运输车辆的管理，防止超限超载车辆出场上路</w:t>
                  </w:r>
                  <w:r>
                    <w:rPr>
                      <w:rFonts w:hint="eastAsia"/>
                      <w:color w:val="auto"/>
                      <w:lang w:eastAsia="zh-CN"/>
                    </w:rPr>
                    <w:t>。</w:t>
                  </w:r>
                </w:p>
              </w:tc>
              <w:tc>
                <w:tcPr>
                  <w:tcW w:w="609" w:type="pct"/>
                  <w:noWrap w:val="0"/>
                  <w:vAlign w:val="center"/>
                </w:tcPr>
                <w:p w14:paraId="623FE749">
                  <w:pPr>
                    <w:pStyle w:val="34"/>
                    <w:bidi w:val="0"/>
                    <w:rPr>
                      <w:rFonts w:hint="eastAsia"/>
                      <w:color w:val="auto"/>
                    </w:rPr>
                  </w:pPr>
                  <w:r>
                    <w:rPr>
                      <w:rFonts w:hint="eastAsia"/>
                      <w:color w:val="auto"/>
                    </w:rPr>
                    <w:t>符合</w:t>
                  </w:r>
                </w:p>
              </w:tc>
            </w:tr>
            <w:tr w14:paraId="27C4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7" w:type="pct"/>
                  <w:gridSpan w:val="2"/>
                  <w:noWrap w:val="0"/>
                  <w:vAlign w:val="center"/>
                </w:tcPr>
                <w:p w14:paraId="1A115215">
                  <w:pPr>
                    <w:pStyle w:val="34"/>
                    <w:bidi w:val="0"/>
                    <w:rPr>
                      <w:rFonts w:hint="eastAsia" w:eastAsia="宋体"/>
                      <w:color w:val="auto"/>
                      <w:lang w:eastAsia="zh-CN"/>
                    </w:rPr>
                  </w:pPr>
                  <w:r>
                    <w:rPr>
                      <w:color w:val="auto"/>
                    </w:rPr>
                    <w:t>三、加快技术创新提高质量水平</w:t>
                  </w:r>
                  <w:r>
                    <w:rPr>
                      <w:rFonts w:hint="eastAsia"/>
                      <w:color w:val="auto"/>
                    </w:rPr>
                    <w:t>。</w:t>
                  </w:r>
                  <w:r>
                    <w:rPr>
                      <w:color w:val="auto"/>
                    </w:rPr>
                    <w:t>严格质量管控：强化企业主体责任，完善质量管理体系，加强过程质量控制，严格执行相关标准，鼓励企业建立检测中心，配备合格的质量检验设备和专业质检人员。对成品料分类或分仓储存。加强对原料的品质监测和控制能力，严格控制有毒杂质含量</w:t>
                  </w:r>
                  <w:r>
                    <w:rPr>
                      <w:rFonts w:hint="eastAsia"/>
                      <w:color w:val="auto"/>
                      <w:lang w:eastAsia="zh-CN"/>
                    </w:rPr>
                    <w:t>。</w:t>
                  </w:r>
                </w:p>
              </w:tc>
              <w:tc>
                <w:tcPr>
                  <w:tcW w:w="1453" w:type="pct"/>
                  <w:noWrap w:val="0"/>
                  <w:vAlign w:val="center"/>
                </w:tcPr>
                <w:p w14:paraId="430D0307">
                  <w:pPr>
                    <w:pStyle w:val="34"/>
                    <w:bidi w:val="0"/>
                    <w:rPr>
                      <w:rFonts w:hint="eastAsia" w:eastAsia="宋体"/>
                      <w:color w:val="auto"/>
                      <w:lang w:eastAsia="zh-CN"/>
                    </w:rPr>
                  </w:pPr>
                  <w:r>
                    <w:rPr>
                      <w:color w:val="auto"/>
                    </w:rPr>
                    <w:t>企业定期委托质量检测部门对产品质量进行检测，确保出厂产品质量符合相应质量标准。对原料、成品分区储存</w:t>
                  </w:r>
                  <w:r>
                    <w:rPr>
                      <w:rFonts w:hint="eastAsia"/>
                      <w:color w:val="auto"/>
                      <w:lang w:eastAsia="zh-CN"/>
                    </w:rPr>
                    <w:t>。</w:t>
                  </w:r>
                </w:p>
              </w:tc>
              <w:tc>
                <w:tcPr>
                  <w:tcW w:w="609" w:type="pct"/>
                  <w:noWrap w:val="0"/>
                  <w:vAlign w:val="center"/>
                </w:tcPr>
                <w:p w14:paraId="137FA4C4">
                  <w:pPr>
                    <w:pStyle w:val="34"/>
                    <w:bidi w:val="0"/>
                    <w:rPr>
                      <w:color w:val="auto"/>
                    </w:rPr>
                  </w:pPr>
                  <w:r>
                    <w:rPr>
                      <w:rFonts w:hint="eastAsia"/>
                      <w:color w:val="auto"/>
                    </w:rPr>
                    <w:t>符合</w:t>
                  </w:r>
                </w:p>
              </w:tc>
            </w:tr>
            <w:tr w14:paraId="4A0C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37" w:type="pct"/>
                  <w:gridSpan w:val="2"/>
                  <w:noWrap w:val="0"/>
                  <w:vAlign w:val="center"/>
                </w:tcPr>
                <w:p w14:paraId="22B06DA4">
                  <w:pPr>
                    <w:pStyle w:val="34"/>
                    <w:bidi w:val="0"/>
                    <w:rPr>
                      <w:color w:val="auto"/>
                    </w:rPr>
                  </w:pPr>
                  <w:r>
                    <w:rPr>
                      <w:rFonts w:hint="eastAsia"/>
                      <w:color w:val="auto"/>
                    </w:rPr>
                    <w:t>四</w:t>
                  </w:r>
                  <w:r>
                    <w:rPr>
                      <w:color w:val="auto"/>
                    </w:rPr>
                    <w:t>、推进绿色发展提升本质安全</w:t>
                  </w:r>
                  <w:r>
                    <w:rPr>
                      <w:rFonts w:hint="eastAsia"/>
                      <w:color w:val="auto"/>
                    </w:rPr>
                    <w:t>。</w:t>
                  </w:r>
                  <w:r>
                    <w:rPr>
                      <w:color w:val="auto"/>
                    </w:rPr>
                    <w:t>发展绿色制造</w:t>
                  </w:r>
                  <w:r>
                    <w:rPr>
                      <w:rFonts w:hint="eastAsia"/>
                      <w:color w:val="auto"/>
                    </w:rPr>
                    <w:t>：</w:t>
                  </w:r>
                  <w:r>
                    <w:rPr>
                      <w:color w:val="auto"/>
                    </w:rPr>
                    <w:t>机制砂石企业要坚持绿色低碳循环发展，按照相关规范要求建设绿色矿山。生产线配套建设抑尘收尘、水处理和降噪等污染防治以及水土保持设施，对设备、产品采取棚化密封或其他有效覆盖措施，推进清洁生产，严控无组织排放，满足达标排放等环保要求。对工艺废水、细粉和沉淀泥浆等加强回收再利用，鼓励利用生产过程中的伴生石粉生产绿色建材，实现近零排放。提高设备整体能效、节水水平，降低单位产品的综合能耗、水</w:t>
                  </w:r>
                  <w:r>
                    <w:rPr>
                      <w:rFonts w:hint="eastAsia"/>
                      <w:color w:val="auto"/>
                    </w:rPr>
                    <w:t>耗，鼓励有条件的企业实施输送带势能发电、开展合同节水管理。</w:t>
                  </w:r>
                </w:p>
              </w:tc>
              <w:tc>
                <w:tcPr>
                  <w:tcW w:w="1453" w:type="pct"/>
                  <w:noWrap w:val="0"/>
                  <w:vAlign w:val="center"/>
                </w:tcPr>
                <w:p w14:paraId="106069D0">
                  <w:pPr>
                    <w:pStyle w:val="34"/>
                    <w:bidi w:val="0"/>
                    <w:rPr>
                      <w:rFonts w:hint="eastAsia" w:eastAsia="宋体"/>
                      <w:color w:val="auto"/>
                      <w:lang w:eastAsia="zh-CN"/>
                    </w:rPr>
                  </w:pPr>
                  <w:r>
                    <w:rPr>
                      <w:color w:val="auto"/>
                    </w:rPr>
                    <w:t>本项目</w:t>
                  </w:r>
                  <w:r>
                    <w:rPr>
                      <w:rFonts w:hint="eastAsia"/>
                      <w:color w:val="auto"/>
                    </w:rPr>
                    <w:t>在</w:t>
                  </w:r>
                  <w:r>
                    <w:rPr>
                      <w:rFonts w:hint="eastAsia"/>
                      <w:color w:val="auto"/>
                      <w:lang w:val="en-US" w:eastAsia="zh-CN"/>
                    </w:rPr>
                    <w:t>入料口设置袋式</w:t>
                  </w:r>
                  <w:r>
                    <w:rPr>
                      <w:rFonts w:hint="eastAsia"/>
                      <w:color w:val="auto"/>
                    </w:rPr>
                    <w:t>除尘</w:t>
                  </w:r>
                  <w:r>
                    <w:rPr>
                      <w:color w:val="auto"/>
                    </w:rPr>
                    <w:t>措施，</w:t>
                  </w:r>
                  <w:r>
                    <w:rPr>
                      <w:rFonts w:hint="eastAsia"/>
                      <w:color w:val="auto"/>
                    </w:rPr>
                    <w:t>各</w:t>
                  </w:r>
                  <w:r>
                    <w:rPr>
                      <w:rFonts w:hint="eastAsia"/>
                      <w:color w:val="auto"/>
                      <w:lang w:val="en-US" w:eastAsia="zh-CN"/>
                    </w:rPr>
                    <w:t>储存区域</w:t>
                  </w:r>
                  <w:r>
                    <w:rPr>
                      <w:rFonts w:hint="eastAsia"/>
                      <w:color w:val="auto"/>
                    </w:rPr>
                    <w:t>均为全封闭且配套喷雾抑尘措施，</w:t>
                  </w:r>
                  <w:r>
                    <w:rPr>
                      <w:color w:val="auto"/>
                    </w:rPr>
                    <w:t>生产废水</w:t>
                  </w:r>
                  <w:r>
                    <w:rPr>
                      <w:rFonts w:hint="eastAsia"/>
                      <w:color w:val="auto"/>
                      <w:lang w:val="en-US" w:eastAsia="zh-CN"/>
                    </w:rPr>
                    <w:t>循环使用</w:t>
                  </w:r>
                  <w:r>
                    <w:rPr>
                      <w:color w:val="auto"/>
                    </w:rPr>
                    <w:t>，各生产设备均置于封闭车间，生产过程中收集的粉尘、废水等均</w:t>
                  </w:r>
                  <w:r>
                    <w:rPr>
                      <w:rFonts w:hint="eastAsia"/>
                      <w:color w:val="auto"/>
                    </w:rPr>
                    <w:t>合理处置</w:t>
                  </w:r>
                  <w:r>
                    <w:rPr>
                      <w:color w:val="auto"/>
                    </w:rPr>
                    <w:t>。项目选用行业先进节能、节水设备</w:t>
                  </w:r>
                  <w:r>
                    <w:rPr>
                      <w:rFonts w:hint="eastAsia"/>
                      <w:color w:val="auto"/>
                      <w:lang w:eastAsia="zh-CN"/>
                    </w:rPr>
                    <w:t>。</w:t>
                  </w:r>
                </w:p>
              </w:tc>
              <w:tc>
                <w:tcPr>
                  <w:tcW w:w="609" w:type="pct"/>
                  <w:noWrap w:val="0"/>
                  <w:vAlign w:val="center"/>
                </w:tcPr>
                <w:p w14:paraId="1F71AD4C">
                  <w:pPr>
                    <w:pStyle w:val="34"/>
                    <w:bidi w:val="0"/>
                    <w:rPr>
                      <w:color w:val="auto"/>
                    </w:rPr>
                  </w:pPr>
                  <w:r>
                    <w:rPr>
                      <w:rFonts w:hint="eastAsia"/>
                      <w:color w:val="auto"/>
                    </w:rPr>
                    <w:t>符合</w:t>
                  </w:r>
                </w:p>
              </w:tc>
            </w:tr>
          </w:tbl>
          <w:p w14:paraId="17AB8492">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b/>
                <w:bCs/>
                <w:color w:val="auto"/>
                <w:lang w:val="en-US" w:eastAsia="zh-CN"/>
              </w:rPr>
            </w:pPr>
          </w:p>
          <w:p w14:paraId="2ED5C393">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b/>
                <w:bCs/>
                <w:color w:val="auto"/>
                <w:lang w:val="en-US" w:eastAsia="zh-CN"/>
              </w:rPr>
            </w:pPr>
          </w:p>
          <w:p w14:paraId="5E52E603">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default"/>
                <w:b/>
                <w:bCs/>
                <w:color w:val="auto"/>
                <w:lang w:val="en-US" w:eastAsia="zh-CN"/>
              </w:rPr>
            </w:pPr>
            <w:r>
              <w:rPr>
                <w:rFonts w:hint="eastAsia"/>
                <w:b/>
                <w:bCs/>
                <w:color w:val="auto"/>
                <w:lang w:val="en-US" w:eastAsia="zh-CN"/>
              </w:rPr>
              <w:t>7、</w:t>
            </w:r>
            <w:r>
              <w:rPr>
                <w:rFonts w:hint="default"/>
                <w:b/>
                <w:bCs/>
                <w:color w:val="auto"/>
                <w:lang w:val="en-US" w:eastAsia="zh-CN"/>
              </w:rPr>
              <w:t>与《2019年砂石行业大气污染防治攻坚战实施方案》的符合性分析</w:t>
            </w:r>
          </w:p>
          <w:p w14:paraId="250B7F2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b/>
                <w:bCs/>
                <w:color w:val="auto"/>
                <w:sz w:val="21"/>
                <w:szCs w:val="21"/>
                <w:lang w:val="en-US" w:eastAsia="zh-CN"/>
              </w:rPr>
            </w:pPr>
            <w:r>
              <w:rPr>
                <w:rFonts w:hint="eastAsia"/>
                <w:b/>
                <w:bCs/>
                <w:color w:val="auto"/>
                <w:sz w:val="21"/>
                <w:szCs w:val="21"/>
                <w:lang w:val="en-US" w:eastAsia="zh-CN"/>
              </w:rPr>
              <w:t xml:space="preserve">表1-8 </w:t>
            </w:r>
            <w:r>
              <w:rPr>
                <w:rFonts w:hint="default"/>
                <w:b/>
                <w:bCs/>
                <w:color w:val="auto"/>
                <w:sz w:val="21"/>
                <w:szCs w:val="21"/>
                <w:lang w:val="en-US" w:eastAsia="zh-CN"/>
              </w:rPr>
              <w:t>与《2019年砂石行业大气污染防治攻坚战实施方案》的符合性分析</w:t>
            </w:r>
            <w:r>
              <w:rPr>
                <w:rFonts w:hint="eastAsia"/>
                <w:b/>
                <w:bCs/>
                <w:color w:val="auto"/>
                <w:sz w:val="21"/>
                <w:szCs w:val="21"/>
                <w:lang w:val="en-US" w:eastAsia="zh-CN"/>
              </w:rPr>
              <w:t>一览表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2"/>
              <w:gridCol w:w="2739"/>
              <w:gridCol w:w="872"/>
            </w:tblGrid>
            <w:tr w14:paraId="779B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43" w:type="pct"/>
                  <w:noWrap w:val="0"/>
                  <w:vAlign w:val="center"/>
                </w:tcPr>
                <w:p w14:paraId="322732BC">
                  <w:pPr>
                    <w:pStyle w:val="34"/>
                    <w:keepNext w:val="0"/>
                    <w:keepLines w:val="0"/>
                    <w:pageBreakBefore w:val="0"/>
                    <w:widowControl/>
                    <w:kinsoku/>
                    <w:wordWrap/>
                    <w:overflowPunct/>
                    <w:topLinePunct w:val="0"/>
                    <w:autoSpaceDE/>
                    <w:autoSpaceDN/>
                    <w:bidi w:val="0"/>
                    <w:adjustRightInd/>
                    <w:snapToGrid/>
                    <w:jc w:val="center"/>
                    <w:textAlignment w:val="auto"/>
                    <w:rPr>
                      <w:color w:val="auto"/>
                    </w:rPr>
                  </w:pPr>
                  <w:r>
                    <w:rPr>
                      <w:color w:val="auto"/>
                    </w:rPr>
                    <w:t>文件要求</w:t>
                  </w:r>
                </w:p>
              </w:tc>
              <w:tc>
                <w:tcPr>
                  <w:tcW w:w="1938" w:type="pct"/>
                  <w:noWrap w:val="0"/>
                  <w:vAlign w:val="center"/>
                </w:tcPr>
                <w:p w14:paraId="56C4A968">
                  <w:pPr>
                    <w:pStyle w:val="34"/>
                    <w:keepNext w:val="0"/>
                    <w:keepLines w:val="0"/>
                    <w:pageBreakBefore w:val="0"/>
                    <w:widowControl/>
                    <w:kinsoku/>
                    <w:wordWrap/>
                    <w:overflowPunct/>
                    <w:topLinePunct w:val="0"/>
                    <w:autoSpaceDE/>
                    <w:autoSpaceDN/>
                    <w:bidi w:val="0"/>
                    <w:adjustRightInd/>
                    <w:snapToGrid/>
                    <w:jc w:val="center"/>
                    <w:textAlignment w:val="auto"/>
                    <w:rPr>
                      <w:color w:val="auto"/>
                    </w:rPr>
                  </w:pPr>
                  <w:r>
                    <w:rPr>
                      <w:rFonts w:hint="eastAsia"/>
                      <w:color w:val="auto"/>
                      <w:lang w:val="en-US" w:eastAsia="zh-CN"/>
                    </w:rPr>
                    <w:t>本</w:t>
                  </w:r>
                  <w:r>
                    <w:rPr>
                      <w:color w:val="auto"/>
                    </w:rPr>
                    <w:t>项目情况</w:t>
                  </w:r>
                </w:p>
              </w:tc>
              <w:tc>
                <w:tcPr>
                  <w:tcW w:w="617" w:type="pct"/>
                  <w:noWrap w:val="0"/>
                  <w:vAlign w:val="center"/>
                </w:tcPr>
                <w:p w14:paraId="0B521DD2">
                  <w:pPr>
                    <w:pStyle w:val="34"/>
                    <w:keepNext w:val="0"/>
                    <w:keepLines w:val="0"/>
                    <w:pageBreakBefore w:val="0"/>
                    <w:widowControl/>
                    <w:kinsoku/>
                    <w:wordWrap/>
                    <w:overflowPunct/>
                    <w:topLinePunct w:val="0"/>
                    <w:autoSpaceDE/>
                    <w:autoSpaceDN/>
                    <w:bidi w:val="0"/>
                    <w:adjustRightInd/>
                    <w:snapToGrid/>
                    <w:jc w:val="center"/>
                    <w:textAlignment w:val="auto"/>
                    <w:rPr>
                      <w:color w:val="auto"/>
                    </w:rPr>
                  </w:pPr>
                  <w:r>
                    <w:rPr>
                      <w:rFonts w:hint="eastAsia"/>
                      <w:color w:val="auto"/>
                      <w:lang w:val="en-US" w:eastAsia="zh-CN"/>
                    </w:rPr>
                    <w:t>相符性</w:t>
                  </w:r>
                </w:p>
              </w:tc>
            </w:tr>
            <w:tr w14:paraId="72C3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52" w:type="dxa"/>
                  <w:noWrap w:val="0"/>
                  <w:vAlign w:val="center"/>
                </w:tcPr>
                <w:p w14:paraId="7AC3FFC7">
                  <w:pPr>
                    <w:pStyle w:val="34"/>
                    <w:keepNext w:val="0"/>
                    <w:keepLines w:val="0"/>
                    <w:pageBreakBefore w:val="0"/>
                    <w:widowControl/>
                    <w:kinsoku/>
                    <w:wordWrap/>
                    <w:overflowPunct/>
                    <w:topLinePunct w:val="0"/>
                    <w:autoSpaceDE/>
                    <w:autoSpaceDN/>
                    <w:bidi w:val="0"/>
                    <w:adjustRightInd/>
                    <w:snapToGrid/>
                    <w:jc w:val="center"/>
                    <w:textAlignment w:val="auto"/>
                    <w:rPr>
                      <w:rFonts w:hint="eastAsia"/>
                      <w:color w:val="auto"/>
                    </w:rPr>
                  </w:pPr>
                  <w:r>
                    <w:rPr>
                      <w:rFonts w:hint="eastAsia"/>
                      <w:color w:val="auto"/>
                    </w:rPr>
                    <w:t>鼓励企业技术创新和技术改造，加大对收尘措施的投入，加强矿山爆破开采中的无组织排放治理，推广采用湿法穿孔凿岩工艺，在矿山现场、破碎机进出料口、料仓进出料口、厂区道路等位置安装空气雾炮、喷淋装置等，进行降尘抑尘。生产线的改扩建和新建，都要配置环保设施。干旱地区的生产企业，其破碎、筛分、机制砂、皮带输送等工艺进行全封闭，减少粉尘颗粒的外排。</w:t>
                  </w:r>
                </w:p>
              </w:tc>
              <w:tc>
                <w:tcPr>
                  <w:tcW w:w="2739" w:type="dxa"/>
                  <w:noWrap w:val="0"/>
                  <w:vAlign w:val="center"/>
                </w:tcPr>
                <w:p w14:paraId="6F191563">
                  <w:pPr>
                    <w:pStyle w:val="34"/>
                    <w:keepNext w:val="0"/>
                    <w:keepLines w:val="0"/>
                    <w:pageBreakBefore w:val="0"/>
                    <w:widowControl/>
                    <w:kinsoku/>
                    <w:wordWrap/>
                    <w:overflowPunct/>
                    <w:topLinePunct w:val="0"/>
                    <w:autoSpaceDE/>
                    <w:autoSpaceDN/>
                    <w:bidi w:val="0"/>
                    <w:adjustRightInd/>
                    <w:snapToGrid/>
                    <w:jc w:val="center"/>
                    <w:textAlignment w:val="auto"/>
                    <w:rPr>
                      <w:rFonts w:hint="eastAsia"/>
                      <w:color w:val="auto"/>
                    </w:rPr>
                  </w:pPr>
                  <w:r>
                    <w:rPr>
                      <w:rFonts w:hint="eastAsia"/>
                      <w:color w:val="auto"/>
                    </w:rPr>
                    <w:t>本项目</w:t>
                  </w:r>
                  <w:r>
                    <w:rPr>
                      <w:rFonts w:hint="eastAsia"/>
                      <w:color w:val="auto"/>
                      <w:lang w:val="en-US" w:eastAsia="zh-CN"/>
                    </w:rPr>
                    <w:t>的水洗砂生产线不涉及</w:t>
                  </w:r>
                  <w:r>
                    <w:rPr>
                      <w:rFonts w:hint="eastAsia"/>
                      <w:color w:val="auto"/>
                    </w:rPr>
                    <w:t>破碎、筛分</w:t>
                  </w:r>
                  <w:r>
                    <w:rPr>
                      <w:rFonts w:hint="eastAsia"/>
                      <w:color w:val="auto"/>
                      <w:lang w:val="en-US" w:eastAsia="zh-CN"/>
                    </w:rPr>
                    <w:t>等工序</w:t>
                  </w:r>
                  <w:r>
                    <w:rPr>
                      <w:rFonts w:hint="eastAsia"/>
                      <w:color w:val="auto"/>
                    </w:rPr>
                    <w:t>，厂区道路</w:t>
                  </w:r>
                  <w:r>
                    <w:rPr>
                      <w:rFonts w:hint="eastAsia"/>
                      <w:color w:val="auto"/>
                      <w:lang w:val="en-US" w:eastAsia="zh-CN"/>
                    </w:rPr>
                    <w:t>定期洒水，贮存场所设置喷淋设施</w:t>
                  </w:r>
                  <w:r>
                    <w:rPr>
                      <w:rFonts w:hint="eastAsia"/>
                      <w:color w:val="auto"/>
                    </w:rPr>
                    <w:t>进行降尘抑尘。</w:t>
                  </w:r>
                  <w:r>
                    <w:rPr>
                      <w:rFonts w:hint="eastAsia"/>
                      <w:color w:val="auto"/>
                      <w:lang w:val="en-US" w:eastAsia="zh-CN"/>
                    </w:rPr>
                    <w:t>入料口</w:t>
                  </w:r>
                  <w:r>
                    <w:rPr>
                      <w:rFonts w:hint="eastAsia"/>
                      <w:color w:val="auto"/>
                    </w:rPr>
                    <w:t>配置有环保设施。皮带输送等工艺进行全封闭，减少粉尘颗粒的外排。</w:t>
                  </w:r>
                </w:p>
              </w:tc>
              <w:tc>
                <w:tcPr>
                  <w:tcW w:w="617" w:type="pct"/>
                  <w:noWrap w:val="0"/>
                  <w:vAlign w:val="center"/>
                </w:tcPr>
                <w:p w14:paraId="264E1348">
                  <w:pPr>
                    <w:pStyle w:val="34"/>
                    <w:keepNext w:val="0"/>
                    <w:keepLines w:val="0"/>
                    <w:pageBreakBefore w:val="0"/>
                    <w:widowControl/>
                    <w:kinsoku/>
                    <w:wordWrap/>
                    <w:overflowPunct/>
                    <w:topLinePunct w:val="0"/>
                    <w:autoSpaceDE/>
                    <w:autoSpaceDN/>
                    <w:bidi w:val="0"/>
                    <w:adjustRightInd/>
                    <w:snapToGrid/>
                    <w:jc w:val="center"/>
                    <w:textAlignment w:val="auto"/>
                    <w:rPr>
                      <w:color w:val="auto"/>
                    </w:rPr>
                  </w:pPr>
                  <w:r>
                    <w:rPr>
                      <w:rFonts w:hint="eastAsia"/>
                      <w:color w:val="auto"/>
                    </w:rPr>
                    <w:t>符合</w:t>
                  </w:r>
                </w:p>
              </w:tc>
            </w:tr>
          </w:tbl>
          <w:p w14:paraId="600D1AF7">
            <w:pPr>
              <w:ind w:left="0" w:leftChars="0" w:firstLine="0" w:firstLineChars="0"/>
              <w:rPr>
                <w:rFonts w:hint="default"/>
                <w:color w:val="auto"/>
                <w:lang w:val="en-US" w:eastAsia="zh-CN"/>
              </w:rPr>
            </w:pPr>
          </w:p>
          <w:p w14:paraId="045BA59D">
            <w:pPr>
              <w:rPr>
                <w:rFonts w:hint="default"/>
                <w:color w:val="auto"/>
                <w:lang w:val="en-US" w:eastAsia="zh-CN"/>
              </w:rPr>
            </w:pPr>
          </w:p>
          <w:p w14:paraId="01D8BE12">
            <w:pPr>
              <w:rPr>
                <w:rFonts w:hint="default"/>
                <w:color w:val="auto"/>
                <w:lang w:val="en-US" w:eastAsia="zh-CN"/>
              </w:rPr>
            </w:pPr>
          </w:p>
          <w:p w14:paraId="1D29F0D1">
            <w:pPr>
              <w:rPr>
                <w:rFonts w:hint="default"/>
                <w:color w:val="auto"/>
                <w:lang w:val="en-US" w:eastAsia="zh-CN"/>
              </w:rPr>
            </w:pPr>
          </w:p>
          <w:p w14:paraId="07B52A76">
            <w:pPr>
              <w:rPr>
                <w:rFonts w:hint="default"/>
                <w:color w:val="auto"/>
                <w:lang w:val="en-US" w:eastAsia="zh-CN"/>
              </w:rPr>
            </w:pPr>
          </w:p>
          <w:p w14:paraId="6C5E2108">
            <w:pPr>
              <w:pStyle w:val="27"/>
              <w:rPr>
                <w:rFonts w:hint="default"/>
                <w:color w:val="auto"/>
                <w:lang w:val="en-US" w:eastAsia="zh-CN"/>
              </w:rPr>
            </w:pPr>
          </w:p>
          <w:p w14:paraId="3DF16CF8">
            <w:pPr>
              <w:rPr>
                <w:rFonts w:hint="default"/>
                <w:color w:val="auto"/>
                <w:lang w:val="en-US" w:eastAsia="zh-CN"/>
              </w:rPr>
            </w:pPr>
          </w:p>
          <w:p w14:paraId="4918DBFA">
            <w:pPr>
              <w:pStyle w:val="27"/>
              <w:rPr>
                <w:rFonts w:hint="default"/>
                <w:color w:val="auto"/>
                <w:lang w:val="en-US" w:eastAsia="zh-CN"/>
              </w:rPr>
            </w:pPr>
          </w:p>
          <w:p w14:paraId="01E48C80">
            <w:pPr>
              <w:rPr>
                <w:rFonts w:hint="default"/>
                <w:color w:val="auto"/>
                <w:lang w:val="en-US" w:eastAsia="zh-CN"/>
              </w:rPr>
            </w:pPr>
          </w:p>
          <w:p w14:paraId="249F195A">
            <w:pPr>
              <w:pStyle w:val="27"/>
              <w:ind w:left="0" w:leftChars="0" w:firstLine="0" w:firstLineChars="0"/>
              <w:rPr>
                <w:rFonts w:hint="default"/>
                <w:color w:val="auto"/>
                <w:lang w:val="en-US" w:eastAsia="zh-CN"/>
              </w:rPr>
            </w:pPr>
          </w:p>
          <w:p w14:paraId="2826A505">
            <w:pPr>
              <w:rPr>
                <w:rFonts w:hint="default"/>
                <w:color w:val="auto"/>
                <w:lang w:val="en-US" w:eastAsia="zh-CN"/>
              </w:rPr>
            </w:pPr>
          </w:p>
          <w:p w14:paraId="4F540542">
            <w:pPr>
              <w:pStyle w:val="27"/>
              <w:rPr>
                <w:rFonts w:hint="default"/>
                <w:color w:val="auto"/>
                <w:lang w:val="en-US" w:eastAsia="zh-CN"/>
              </w:rPr>
            </w:pPr>
          </w:p>
          <w:p w14:paraId="1EF08EB4">
            <w:pPr>
              <w:rPr>
                <w:rFonts w:hint="default"/>
                <w:color w:val="auto"/>
                <w:lang w:val="en-US" w:eastAsia="zh-CN"/>
              </w:rPr>
            </w:pPr>
          </w:p>
          <w:p w14:paraId="7E44E7AC">
            <w:pPr>
              <w:ind w:left="0" w:leftChars="0" w:firstLine="0" w:firstLineChars="0"/>
              <w:rPr>
                <w:rFonts w:hint="default"/>
                <w:color w:val="auto"/>
                <w:lang w:val="en-US" w:eastAsia="zh-CN"/>
              </w:rPr>
            </w:pPr>
          </w:p>
          <w:p w14:paraId="4088D6FB">
            <w:pPr>
              <w:rPr>
                <w:rFonts w:hint="default"/>
                <w:color w:val="auto"/>
                <w:lang w:val="en-US" w:eastAsia="zh-CN"/>
              </w:rPr>
            </w:pPr>
          </w:p>
        </w:tc>
      </w:tr>
    </w:tbl>
    <w:p w14:paraId="5BD3AA80">
      <w:pPr>
        <w:pStyle w:val="34"/>
        <w:bidi w:val="0"/>
        <w:rPr>
          <w:rFonts w:hint="eastAsia"/>
          <w:color w:val="auto"/>
          <w:highlight w:val="none"/>
          <w:lang w:eastAsia="zh-CN"/>
        </w:rPr>
        <w:sectPr>
          <w:footerReference r:id="rId7" w:type="default"/>
          <w:pgSz w:w="11906" w:h="16838"/>
          <w:pgMar w:top="1701" w:right="1417" w:bottom="1701" w:left="1417" w:header="851" w:footer="992" w:gutter="0"/>
          <w:pgBorders>
            <w:top w:val="none" w:sz="0" w:space="0"/>
            <w:left w:val="none" w:sz="0" w:space="0"/>
            <w:bottom w:val="none" w:sz="0" w:space="0"/>
            <w:right w:val="none" w:sz="0" w:space="0"/>
          </w:pgBorders>
          <w:pgNumType w:fmt="decimal" w:start="1"/>
          <w:cols w:space="0" w:num="1"/>
          <w:rtlGutter w:val="0"/>
          <w:docGrid w:type="lines" w:linePitch="327" w:charSpace="0"/>
        </w:sectPr>
      </w:pPr>
    </w:p>
    <w:p w14:paraId="46406AEB">
      <w:pPr>
        <w:pStyle w:val="9"/>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default"/>
          <w:color w:val="auto"/>
          <w:highlight w:val="none"/>
          <w:lang w:val="en-US" w:eastAsia="zh-CN"/>
        </w:rPr>
      </w:pPr>
      <w:bookmarkStart w:id="3" w:name="_Toc1207"/>
      <w:r>
        <w:rPr>
          <w:rFonts w:hint="default" w:ascii="黑体" w:hAnsi="黑体" w:eastAsia="黑体" w:cs="黑体"/>
          <w:color w:val="auto"/>
          <w:kern w:val="2"/>
          <w:sz w:val="2"/>
          <w:szCs w:val="2"/>
          <w:lang w:val="en-US" w:eastAsia="zh-CN" w:bidi="ar-SA"/>
        </w:rPr>
        <w:t>2</w:t>
      </w:r>
      <w:r>
        <w:rPr>
          <w:rFonts w:hint="eastAsia"/>
          <w:color w:val="auto"/>
          <w:highlight w:val="none"/>
          <w:lang w:val="en-US" w:eastAsia="zh-CN"/>
        </w:rPr>
        <w:t>二、建</w:t>
      </w:r>
      <w:r>
        <w:rPr>
          <w:rFonts w:hint="eastAsia"/>
          <w:color w:val="auto"/>
          <w:highlight w:val="none"/>
          <w:lang w:eastAsia="zh-CN"/>
        </w:rPr>
        <w:t>设</w:t>
      </w:r>
      <w:r>
        <w:rPr>
          <w:rFonts w:hint="eastAsia"/>
          <w:color w:val="auto"/>
          <w:highlight w:val="none"/>
          <w:lang w:val="en-US" w:eastAsia="zh-CN"/>
        </w:rPr>
        <w:t>项目</w:t>
      </w:r>
      <w:r>
        <w:rPr>
          <w:rFonts w:hint="eastAsia"/>
          <w:color w:val="auto"/>
          <w:highlight w:val="none"/>
          <w:lang w:eastAsia="zh-CN"/>
        </w:rPr>
        <w:t>工程分析</w:t>
      </w:r>
      <w:bookmarkEnd w:id="3"/>
    </w:p>
    <w:tbl>
      <w:tblPr>
        <w:tblStyle w:val="29"/>
        <w:tblW w:w="517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382"/>
        <w:gridCol w:w="9127"/>
      </w:tblGrid>
      <w:tr w14:paraId="136DCA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382" w:type="dxa"/>
            <w:vAlign w:val="center"/>
          </w:tcPr>
          <w:p w14:paraId="162DDC48">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eastAsia="zh-CN"/>
              </w:rPr>
            </w:pPr>
            <w:r>
              <w:rPr>
                <w:rFonts w:hint="eastAsia"/>
                <w:color w:val="auto"/>
                <w:highlight w:val="none"/>
                <w:lang w:eastAsia="zh-CN"/>
              </w:rPr>
              <w:t>建设内容</w:t>
            </w:r>
          </w:p>
        </w:tc>
        <w:tc>
          <w:tcPr>
            <w:tcW w:w="9128" w:type="dxa"/>
            <w:vAlign w:val="center"/>
          </w:tcPr>
          <w:p w14:paraId="4C8C11B3">
            <w:pPr>
              <w:pStyle w:val="11"/>
              <w:keepNext w:val="0"/>
              <w:keepLines w:val="0"/>
              <w:pageBreakBefore w:val="0"/>
              <w:widowControl w:val="0"/>
              <w:numPr>
                <w:ilvl w:val="1"/>
                <w:numId w:val="0"/>
              </w:numPr>
              <w:kinsoku/>
              <w:wordWrap/>
              <w:overflowPunct/>
              <w:topLinePunct w:val="0"/>
              <w:autoSpaceDE/>
              <w:autoSpaceDN/>
              <w:bidi w:val="0"/>
              <w:adjustRightInd/>
              <w:snapToGrid/>
              <w:ind w:firstLine="482" w:firstLineChars="200"/>
              <w:textAlignment w:val="auto"/>
              <w:rPr>
                <w:rFonts w:hint="eastAsia"/>
                <w:color w:val="auto"/>
                <w:highlight w:val="none"/>
                <w:lang w:eastAsia="zh-CN"/>
              </w:rPr>
            </w:pPr>
            <w:bookmarkStart w:id="4" w:name="_Ref18697"/>
            <w:r>
              <w:rPr>
                <w:rFonts w:hint="default" w:ascii="Times New Roman" w:hAnsi="Times New Roman" w:eastAsia="宋体" w:cs="宋体"/>
                <w:b/>
                <w:bCs/>
                <w:color w:val="auto"/>
                <w:kern w:val="2"/>
                <w:sz w:val="24"/>
                <w:szCs w:val="24"/>
                <w:lang w:val="en-US" w:eastAsia="zh-CN" w:bidi="ar-SA"/>
              </w:rPr>
              <w:t>2.1</w:t>
            </w:r>
            <w:r>
              <w:rPr>
                <w:rFonts w:hint="eastAsia"/>
                <w:color w:val="auto"/>
                <w:highlight w:val="none"/>
                <w:lang w:val="en-US" w:eastAsia="zh-CN"/>
              </w:rPr>
              <w:t>工程组成</w:t>
            </w:r>
            <w:bookmarkEnd w:id="4"/>
          </w:p>
          <w:p w14:paraId="043AF50C">
            <w:pPr>
              <w:bidi w:val="0"/>
              <w:rPr>
                <w:rFonts w:hint="default"/>
                <w:color w:val="auto"/>
                <w:highlight w:val="none"/>
                <w:lang w:val="en-US" w:eastAsia="zh-CN"/>
              </w:rPr>
            </w:pPr>
            <w:r>
              <w:rPr>
                <w:rFonts w:hint="eastAsia"/>
                <w:color w:val="auto"/>
                <w:highlight w:val="none"/>
                <w:lang w:val="en-US" w:eastAsia="zh-CN"/>
              </w:rPr>
              <w:t>本项目工程内容见</w:t>
            </w:r>
            <w:r>
              <w:rPr>
                <w:rFonts w:hint="eastAsia"/>
                <w:color w:val="auto"/>
                <w:highlight w:val="none"/>
                <w:lang w:val="en-US" w:eastAsia="zh-CN"/>
              </w:rPr>
              <w:fldChar w:fldCharType="begin"/>
            </w:r>
            <w:r>
              <w:rPr>
                <w:color w:val="auto"/>
              </w:rPr>
              <w:instrText xml:space="preserve"> REF _Ref2371 \h  \* MERGEFORMAT</w:instrText>
            </w:r>
            <w:r>
              <w:rPr>
                <w:rFonts w:hint="eastAsia"/>
                <w:color w:val="auto"/>
                <w:highlight w:val="none"/>
                <w:lang w:val="en-US" w:eastAsia="zh-CN"/>
              </w:rPr>
              <w:fldChar w:fldCharType="separate"/>
            </w:r>
            <w:r>
              <w:rPr>
                <w:color w:val="auto"/>
                <w:highlight w:val="none"/>
              </w:rPr>
              <w:t>表</w:t>
            </w:r>
            <w:r>
              <w:rPr>
                <w:color w:val="auto"/>
                <w:highlight w:val="none"/>
              </w:rPr>
              <w:fldChar w:fldCharType="begin"/>
            </w:r>
            <w:r>
              <w:rPr>
                <w:color w:val="auto"/>
                <w:highlight w:val="none"/>
              </w:rPr>
              <w:instrText xml:space="preserve"> STYLEREF 2 \s </w:instrText>
            </w:r>
            <w:r>
              <w:rPr>
                <w:color w:val="auto"/>
                <w:highlight w:val="none"/>
              </w:rPr>
              <w:fldChar w:fldCharType="separate"/>
            </w:r>
            <w:r>
              <w:rPr>
                <w:color w:val="auto"/>
                <w:highlight w:val="none"/>
              </w:rPr>
              <w:t>2.1</w:t>
            </w:r>
            <w:r>
              <w:rPr>
                <w:color w:val="auto"/>
                <w:highlight w:val="none"/>
              </w:rPr>
              <w:fldChar w:fldCharType="end"/>
            </w:r>
            <w:r>
              <w:rPr>
                <w:rFonts w:hint="eastAsia"/>
                <w:color w:val="auto"/>
                <w:highlight w:val="none"/>
                <w:lang w:eastAsia="zh-CN"/>
              </w:rPr>
              <w:t>-</w:t>
            </w:r>
            <w:r>
              <w:rPr>
                <w:color w:val="auto"/>
                <w:highlight w:val="none"/>
              </w:rPr>
              <w:t>1</w:t>
            </w:r>
            <w:r>
              <w:rPr>
                <w:rFonts w:hint="eastAsia"/>
                <w:color w:val="auto"/>
                <w:highlight w:val="none"/>
                <w:lang w:val="en-US" w:eastAsia="zh-CN"/>
              </w:rPr>
              <w:fldChar w:fldCharType="end"/>
            </w:r>
            <w:r>
              <w:rPr>
                <w:rFonts w:hint="eastAsia"/>
                <w:color w:val="auto"/>
                <w:highlight w:val="none"/>
                <w:lang w:val="en-US" w:eastAsia="zh-CN"/>
              </w:rPr>
              <w:t>。</w:t>
            </w:r>
          </w:p>
          <w:p w14:paraId="45A7388A">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eastAsia"/>
                <w:color w:val="auto"/>
                <w:highlight w:val="none"/>
                <w:lang w:eastAsia="zh-CN"/>
              </w:rPr>
            </w:pPr>
            <w:bookmarkStart w:id="5" w:name="_Ref2371"/>
            <w:r>
              <w:rPr>
                <w:color w:val="auto"/>
                <w:highlight w:val="none"/>
              </w:rPr>
              <w:t>表</w:t>
            </w:r>
            <w:bookmarkEnd w:id="5"/>
            <w:r>
              <w:rPr>
                <w:rFonts w:hint="eastAsia"/>
                <w:color w:val="auto"/>
                <w:highlight w:val="none"/>
                <w:lang w:val="en-US" w:eastAsia="zh-CN"/>
              </w:rPr>
              <w:t xml:space="preserve">2.1-1  </w:t>
            </w:r>
            <w:r>
              <w:rPr>
                <w:rFonts w:hint="eastAsia"/>
                <w:color w:val="auto"/>
                <w:highlight w:val="none"/>
                <w:lang w:eastAsia="zh-CN"/>
              </w:rPr>
              <w:t>项目组成表</w:t>
            </w:r>
          </w:p>
          <w:tbl>
            <w:tblPr>
              <w:tblStyle w:val="2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459"/>
              <w:gridCol w:w="398"/>
              <w:gridCol w:w="887"/>
              <w:gridCol w:w="5915"/>
              <w:gridCol w:w="666"/>
            </w:tblGrid>
            <w:tr w14:paraId="2250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43" w:type="pct"/>
                  <w:gridSpan w:val="4"/>
                  <w:noWrap w:val="0"/>
                  <w:vAlign w:val="center"/>
                </w:tcPr>
                <w:p w14:paraId="6CEEB414">
                  <w:pPr>
                    <w:pStyle w:val="34"/>
                    <w:bidi w:val="0"/>
                    <w:jc w:val="center"/>
                    <w:rPr>
                      <w:rFonts w:hint="default" w:ascii="Times New Roman" w:hAnsi="Times New Roman" w:eastAsia="宋体"/>
                      <w:color w:val="auto"/>
                      <w:sz w:val="21"/>
                      <w:highlight w:val="none"/>
                      <w:lang w:val="en-US" w:eastAsia="zh-CN"/>
                    </w:rPr>
                  </w:pPr>
                  <w:bookmarkStart w:id="6" w:name="_Ref31510"/>
                  <w:r>
                    <w:rPr>
                      <w:rFonts w:hint="eastAsia" w:ascii="Times New Roman" w:hAnsi="Times New Roman" w:eastAsia="宋体"/>
                      <w:color w:val="auto"/>
                      <w:sz w:val="21"/>
                      <w:highlight w:val="none"/>
                      <w:lang w:val="en-US" w:eastAsia="zh-CN"/>
                    </w:rPr>
                    <w:t>工程组成</w:t>
                  </w:r>
                </w:p>
              </w:tc>
              <w:tc>
                <w:tcPr>
                  <w:tcW w:w="3286" w:type="pct"/>
                  <w:noWrap w:val="0"/>
                  <w:vAlign w:val="center"/>
                </w:tcPr>
                <w:p w14:paraId="69DE653E">
                  <w:pPr>
                    <w:pStyle w:val="34"/>
                    <w:bidi w:val="0"/>
                    <w:jc w:val="center"/>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建设内容</w:t>
                  </w:r>
                </w:p>
              </w:tc>
              <w:tc>
                <w:tcPr>
                  <w:tcW w:w="370" w:type="pct"/>
                  <w:noWrap w:val="0"/>
                  <w:vAlign w:val="center"/>
                </w:tcPr>
                <w:p w14:paraId="1E9FBDF3">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备注</w:t>
                  </w:r>
                </w:p>
              </w:tc>
            </w:tr>
            <w:tr w14:paraId="7A07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restart"/>
                  <w:noWrap w:val="0"/>
                  <w:vAlign w:val="center"/>
                </w:tcPr>
                <w:p w14:paraId="72D75C36">
                  <w:pPr>
                    <w:pStyle w:val="34"/>
                    <w:bidi w:val="0"/>
                    <w:jc w:val="center"/>
                    <w:rPr>
                      <w:rFonts w:hint="default" w:ascii="Times New Roman" w:hAnsi="Times New Roman" w:eastAsia="宋体"/>
                      <w:color w:val="auto"/>
                      <w:sz w:val="21"/>
                      <w:highlight w:val="none"/>
                    </w:rPr>
                  </w:pPr>
                  <w:r>
                    <w:rPr>
                      <w:rFonts w:hint="default" w:ascii="Times New Roman" w:hAnsi="Times New Roman" w:eastAsia="宋体"/>
                      <w:color w:val="auto"/>
                      <w:sz w:val="21"/>
                      <w:highlight w:val="none"/>
                    </w:rPr>
                    <w:t>主体工程</w:t>
                  </w:r>
                </w:p>
              </w:tc>
              <w:tc>
                <w:tcPr>
                  <w:tcW w:w="969" w:type="pct"/>
                  <w:gridSpan w:val="3"/>
                  <w:noWrap w:val="0"/>
                  <w:vAlign w:val="center"/>
                </w:tcPr>
                <w:p w14:paraId="21B070AD">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水洗砂生产车间</w:t>
                  </w:r>
                </w:p>
              </w:tc>
              <w:tc>
                <w:tcPr>
                  <w:tcW w:w="3286" w:type="pct"/>
                  <w:shd w:val="clear" w:color="auto" w:fill="auto"/>
                  <w:noWrap w:val="0"/>
                  <w:vAlign w:val="center"/>
                </w:tcPr>
                <w:p w14:paraId="5541FF3C">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位于厂区西侧，</w:t>
                  </w:r>
                  <w:r>
                    <w:rPr>
                      <w:rFonts w:hint="default" w:ascii="Times New Roman" w:hAnsi="Times New Roman" w:eastAsia="宋体" w:cs="宋体"/>
                      <w:color w:val="auto"/>
                      <w:kern w:val="2"/>
                      <w:sz w:val="21"/>
                      <w:szCs w:val="21"/>
                      <w:highlight w:val="none"/>
                      <w:lang w:val="en-US" w:eastAsia="zh-CN" w:bidi="ar"/>
                    </w:rPr>
                    <w:t>1座</w:t>
                  </w:r>
                  <w:r>
                    <w:rPr>
                      <w:rFonts w:hint="eastAsia" w:ascii="Times New Roman" w:hAnsi="Times New Roman" w:eastAsia="宋体" w:cs="宋体"/>
                      <w:color w:val="auto"/>
                      <w:kern w:val="2"/>
                      <w:sz w:val="21"/>
                      <w:szCs w:val="21"/>
                      <w:highlight w:val="none"/>
                      <w:lang w:val="en-US" w:eastAsia="zh-CN" w:bidi="ar"/>
                    </w:rPr>
                    <w:t>矩形钢结构厂房</w:t>
                  </w:r>
                  <w:r>
                    <w:rPr>
                      <w:rFonts w:hint="default" w:ascii="Times New Roman" w:hAnsi="Times New Roman" w:eastAsia="宋体" w:cs="宋体"/>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1层，占地</w:t>
                  </w:r>
                  <w:r>
                    <w:rPr>
                      <w:rFonts w:hint="default" w:ascii="Times New Roman" w:hAnsi="Times New Roman" w:eastAsia="宋体" w:cs="宋体"/>
                      <w:color w:val="auto"/>
                      <w:kern w:val="2"/>
                      <w:sz w:val="21"/>
                      <w:szCs w:val="21"/>
                      <w:highlight w:val="none"/>
                      <w:lang w:val="en-US" w:eastAsia="zh-CN" w:bidi="ar"/>
                    </w:rPr>
                    <w:t>面积</w:t>
                  </w:r>
                  <w:r>
                    <w:rPr>
                      <w:rFonts w:hint="eastAsia" w:ascii="Times New Roman" w:hAnsi="Times New Roman" w:eastAsia="宋体" w:cs="宋体"/>
                      <w:color w:val="auto"/>
                      <w:kern w:val="2"/>
                      <w:sz w:val="21"/>
                      <w:szCs w:val="21"/>
                      <w:highlight w:val="none"/>
                      <w:lang w:val="en-US" w:eastAsia="zh-CN" w:bidi="ar"/>
                    </w:rPr>
                    <w:t>6320</w:t>
                  </w:r>
                  <w:r>
                    <w:rPr>
                      <w:rFonts w:hint="default" w:ascii="Times New Roman" w:hAnsi="Times New Roman" w:eastAsia="宋体" w:cs="宋体"/>
                      <w:color w:val="auto"/>
                      <w:kern w:val="2"/>
                      <w:sz w:val="21"/>
                      <w:szCs w:val="21"/>
                      <w:highlight w:val="none"/>
                      <w:lang w:val="en-US" w:eastAsia="zh-CN" w:bidi="ar"/>
                    </w:rPr>
                    <w:t>m</w:t>
                  </w:r>
                  <w:r>
                    <w:rPr>
                      <w:rFonts w:hint="default" w:ascii="Times New Roman" w:hAnsi="Times New Roman" w:eastAsia="宋体" w:cs="宋体"/>
                      <w:color w:val="auto"/>
                      <w:kern w:val="2"/>
                      <w:sz w:val="21"/>
                      <w:szCs w:val="21"/>
                      <w:highlight w:val="none"/>
                      <w:vertAlign w:val="superscript"/>
                      <w:lang w:val="en-US" w:eastAsia="zh-CN" w:bidi="ar"/>
                    </w:rPr>
                    <w:t>2</w:t>
                  </w:r>
                  <w:r>
                    <w:rPr>
                      <w:rFonts w:hint="eastAsia" w:ascii="Times New Roman" w:hAnsi="Times New Roman" w:eastAsia="宋体" w:cs="宋体"/>
                      <w:color w:val="auto"/>
                      <w:kern w:val="2"/>
                      <w:sz w:val="21"/>
                      <w:szCs w:val="21"/>
                      <w:highlight w:val="none"/>
                      <w:lang w:val="en-US" w:eastAsia="zh-CN" w:bidi="ar"/>
                    </w:rPr>
                    <w:t>（L158m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W40m），内设布料预洗装置</w:t>
                  </w:r>
                  <w:r>
                    <w:rPr>
                      <w:rFonts w:hint="default" w:ascii="Times New Roman" w:hAnsi="Times New Roman" w:eastAsia="宋体" w:cs="宋体"/>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双螺旋洗砂机、轮式洗砂机、脱水筛、细砂回收装置</w:t>
                  </w:r>
                  <w:r>
                    <w:rPr>
                      <w:rFonts w:hint="default" w:ascii="Times New Roman" w:hAnsi="Times New Roman" w:eastAsia="宋体" w:cs="宋体"/>
                      <w:color w:val="auto"/>
                      <w:kern w:val="2"/>
                      <w:sz w:val="21"/>
                      <w:szCs w:val="21"/>
                      <w:highlight w:val="none"/>
                      <w:lang w:val="en-US" w:eastAsia="zh-CN" w:bidi="ar"/>
                    </w:rPr>
                    <w:t>等设备</w:t>
                  </w:r>
                  <w:r>
                    <w:rPr>
                      <w:rFonts w:hint="eastAsia" w:ascii="Times New Roman" w:hAnsi="Times New Roman" w:eastAsia="宋体" w:cs="宋体"/>
                      <w:color w:val="auto"/>
                      <w:kern w:val="2"/>
                      <w:sz w:val="21"/>
                      <w:szCs w:val="21"/>
                      <w:highlight w:val="none"/>
                      <w:lang w:val="en-US" w:eastAsia="zh-CN" w:bidi="ar"/>
                    </w:rPr>
                    <w:t>。</w:t>
                  </w:r>
                </w:p>
              </w:tc>
              <w:tc>
                <w:tcPr>
                  <w:tcW w:w="370" w:type="pct"/>
                  <w:shd w:val="clear" w:color="auto" w:fill="auto"/>
                  <w:noWrap w:val="0"/>
                  <w:vAlign w:val="center"/>
                </w:tcPr>
                <w:p w14:paraId="583A0164">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新建</w:t>
                  </w:r>
                </w:p>
              </w:tc>
            </w:tr>
            <w:tr w14:paraId="1E73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64D7D584">
                  <w:pPr>
                    <w:pStyle w:val="34"/>
                    <w:bidi w:val="0"/>
                    <w:jc w:val="center"/>
                    <w:rPr>
                      <w:rFonts w:hint="default" w:ascii="Times New Roman" w:hAnsi="Times New Roman" w:eastAsia="宋体"/>
                      <w:color w:val="auto"/>
                      <w:sz w:val="21"/>
                      <w:highlight w:val="none"/>
                    </w:rPr>
                  </w:pPr>
                </w:p>
              </w:tc>
              <w:tc>
                <w:tcPr>
                  <w:tcW w:w="969" w:type="pct"/>
                  <w:gridSpan w:val="3"/>
                  <w:noWrap w:val="0"/>
                  <w:vAlign w:val="center"/>
                </w:tcPr>
                <w:p w14:paraId="7B0DA165">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水稳料生产车间</w:t>
                  </w:r>
                </w:p>
              </w:tc>
              <w:tc>
                <w:tcPr>
                  <w:tcW w:w="3286" w:type="pct"/>
                  <w:shd w:val="clear" w:color="auto" w:fill="auto"/>
                  <w:noWrap w:val="0"/>
                  <w:vAlign w:val="center"/>
                </w:tcPr>
                <w:p w14:paraId="47791D99">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位于厂区东侧，</w:t>
                  </w:r>
                  <w:r>
                    <w:rPr>
                      <w:rFonts w:hint="default" w:ascii="Times New Roman" w:hAnsi="Times New Roman" w:eastAsia="宋体" w:cs="宋体"/>
                      <w:color w:val="auto"/>
                      <w:kern w:val="2"/>
                      <w:sz w:val="21"/>
                      <w:szCs w:val="21"/>
                      <w:highlight w:val="none"/>
                      <w:lang w:val="en-US" w:eastAsia="zh-CN" w:bidi="ar"/>
                    </w:rPr>
                    <w:t>1座</w:t>
                  </w:r>
                  <w:r>
                    <w:rPr>
                      <w:rFonts w:hint="eastAsia" w:ascii="Times New Roman" w:hAnsi="Times New Roman" w:eastAsia="宋体" w:cs="宋体"/>
                      <w:color w:val="auto"/>
                      <w:kern w:val="2"/>
                      <w:sz w:val="21"/>
                      <w:szCs w:val="21"/>
                      <w:highlight w:val="none"/>
                      <w:lang w:val="en-US" w:eastAsia="zh-CN" w:bidi="ar"/>
                    </w:rPr>
                    <w:t>矩形钢结构厂房</w:t>
                  </w:r>
                  <w:r>
                    <w:rPr>
                      <w:rFonts w:hint="default" w:ascii="Times New Roman" w:hAnsi="Times New Roman" w:eastAsia="宋体" w:cs="宋体"/>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1层，占地</w:t>
                  </w:r>
                  <w:r>
                    <w:rPr>
                      <w:rFonts w:hint="default" w:ascii="Times New Roman" w:hAnsi="Times New Roman" w:eastAsia="宋体" w:cs="宋体"/>
                      <w:color w:val="auto"/>
                      <w:kern w:val="2"/>
                      <w:sz w:val="21"/>
                      <w:szCs w:val="21"/>
                      <w:highlight w:val="none"/>
                      <w:lang w:val="en-US" w:eastAsia="zh-CN" w:bidi="ar"/>
                    </w:rPr>
                    <w:t>面积</w:t>
                  </w:r>
                  <w:r>
                    <w:rPr>
                      <w:rFonts w:hint="eastAsia" w:ascii="Times New Roman" w:hAnsi="Times New Roman" w:eastAsia="宋体" w:cs="宋体"/>
                      <w:color w:val="auto"/>
                      <w:kern w:val="2"/>
                      <w:sz w:val="21"/>
                      <w:szCs w:val="21"/>
                      <w:highlight w:val="none"/>
                      <w:lang w:val="en-US" w:eastAsia="zh-CN" w:bidi="ar"/>
                    </w:rPr>
                    <w:t>7840</w:t>
                  </w:r>
                  <w:r>
                    <w:rPr>
                      <w:rFonts w:hint="default" w:ascii="Times New Roman" w:hAnsi="Times New Roman" w:eastAsia="宋体" w:cs="宋体"/>
                      <w:color w:val="auto"/>
                      <w:kern w:val="2"/>
                      <w:sz w:val="21"/>
                      <w:szCs w:val="21"/>
                      <w:highlight w:val="none"/>
                      <w:lang w:val="en-US" w:eastAsia="zh-CN" w:bidi="ar"/>
                    </w:rPr>
                    <w:t>m</w:t>
                  </w:r>
                  <w:r>
                    <w:rPr>
                      <w:rFonts w:hint="default" w:ascii="Times New Roman" w:hAnsi="Times New Roman" w:eastAsia="宋体" w:cs="宋体"/>
                      <w:color w:val="auto"/>
                      <w:kern w:val="2"/>
                      <w:sz w:val="21"/>
                      <w:szCs w:val="21"/>
                      <w:highlight w:val="none"/>
                      <w:vertAlign w:val="superscript"/>
                      <w:lang w:val="en-US" w:eastAsia="zh-CN" w:bidi="ar"/>
                    </w:rPr>
                    <w:t>2</w:t>
                  </w:r>
                  <w:r>
                    <w:rPr>
                      <w:rFonts w:hint="eastAsia" w:ascii="Times New Roman" w:hAnsi="Times New Roman" w:eastAsia="宋体" w:cs="宋体"/>
                      <w:color w:val="auto"/>
                      <w:kern w:val="2"/>
                      <w:sz w:val="21"/>
                      <w:szCs w:val="21"/>
                      <w:highlight w:val="none"/>
                      <w:lang w:val="en-US" w:eastAsia="zh-CN" w:bidi="ar"/>
                    </w:rPr>
                    <w:t>（L98m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W80m）。</w:t>
                  </w:r>
                </w:p>
              </w:tc>
              <w:tc>
                <w:tcPr>
                  <w:tcW w:w="370" w:type="pct"/>
                  <w:shd w:val="clear" w:color="auto" w:fill="auto"/>
                  <w:noWrap w:val="0"/>
                  <w:vAlign w:val="center"/>
                </w:tcPr>
                <w:p w14:paraId="69852B70">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s="宋体"/>
                      <w:color w:val="auto"/>
                      <w:kern w:val="2"/>
                      <w:sz w:val="21"/>
                      <w:szCs w:val="21"/>
                      <w:highlight w:val="none"/>
                      <w:lang w:val="en-US" w:eastAsia="zh-CN" w:bidi="ar"/>
                    </w:rPr>
                    <w:t>新建</w:t>
                  </w:r>
                </w:p>
              </w:tc>
            </w:tr>
            <w:tr w14:paraId="19D4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238B2059">
                  <w:pPr>
                    <w:pStyle w:val="34"/>
                    <w:bidi w:val="0"/>
                    <w:jc w:val="center"/>
                    <w:rPr>
                      <w:rFonts w:hint="default" w:ascii="Times New Roman" w:hAnsi="Times New Roman" w:eastAsia="宋体"/>
                      <w:color w:val="auto"/>
                      <w:sz w:val="21"/>
                      <w:highlight w:val="none"/>
                    </w:rPr>
                  </w:pPr>
                </w:p>
              </w:tc>
              <w:tc>
                <w:tcPr>
                  <w:tcW w:w="969" w:type="pct"/>
                  <w:gridSpan w:val="3"/>
                  <w:noWrap w:val="0"/>
                  <w:vAlign w:val="center"/>
                </w:tcPr>
                <w:p w14:paraId="2CFBD6AE">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湿拌砂浆生产</w:t>
                  </w:r>
                </w:p>
                <w:p w14:paraId="6DA03644">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车间</w:t>
                  </w:r>
                </w:p>
              </w:tc>
              <w:tc>
                <w:tcPr>
                  <w:tcW w:w="3286" w:type="pct"/>
                  <w:shd w:val="clear" w:color="auto" w:fill="auto"/>
                  <w:noWrap w:val="0"/>
                  <w:vAlign w:val="center"/>
                </w:tcPr>
                <w:p w14:paraId="39DD2C9D">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位于厂区西侧，</w:t>
                  </w:r>
                  <w:r>
                    <w:rPr>
                      <w:rFonts w:hint="default" w:ascii="Times New Roman" w:hAnsi="Times New Roman" w:eastAsia="宋体" w:cs="宋体"/>
                      <w:color w:val="auto"/>
                      <w:kern w:val="2"/>
                      <w:sz w:val="21"/>
                      <w:szCs w:val="21"/>
                      <w:highlight w:val="none"/>
                      <w:lang w:val="en-US" w:eastAsia="zh-CN" w:bidi="ar"/>
                    </w:rPr>
                    <w:t>1座</w:t>
                  </w:r>
                  <w:r>
                    <w:rPr>
                      <w:rFonts w:hint="eastAsia" w:ascii="Times New Roman" w:hAnsi="Times New Roman" w:eastAsia="宋体" w:cs="宋体"/>
                      <w:color w:val="auto"/>
                      <w:kern w:val="2"/>
                      <w:sz w:val="21"/>
                      <w:szCs w:val="21"/>
                      <w:highlight w:val="none"/>
                      <w:lang w:val="en-US" w:eastAsia="zh-CN" w:bidi="ar"/>
                    </w:rPr>
                    <w:t>矩形钢结构厂房</w:t>
                  </w:r>
                  <w:r>
                    <w:rPr>
                      <w:rFonts w:hint="default" w:ascii="Times New Roman" w:hAnsi="Times New Roman" w:eastAsia="宋体" w:cs="宋体"/>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1层，占地</w:t>
                  </w:r>
                  <w:r>
                    <w:rPr>
                      <w:rFonts w:hint="default" w:ascii="Times New Roman" w:hAnsi="Times New Roman" w:eastAsia="宋体" w:cs="宋体"/>
                      <w:color w:val="auto"/>
                      <w:kern w:val="2"/>
                      <w:sz w:val="21"/>
                      <w:szCs w:val="21"/>
                      <w:highlight w:val="none"/>
                      <w:lang w:val="en-US" w:eastAsia="zh-CN" w:bidi="ar"/>
                    </w:rPr>
                    <w:t>面积</w:t>
                  </w:r>
                  <w:r>
                    <w:rPr>
                      <w:rFonts w:hint="eastAsia" w:ascii="Times New Roman" w:hAnsi="Times New Roman" w:eastAsia="宋体" w:cs="宋体"/>
                      <w:color w:val="auto"/>
                      <w:kern w:val="2"/>
                      <w:sz w:val="21"/>
                      <w:szCs w:val="21"/>
                      <w:highlight w:val="none"/>
                      <w:lang w:val="en-US" w:eastAsia="zh-CN" w:bidi="ar"/>
                    </w:rPr>
                    <w:t>2400</w:t>
                  </w:r>
                  <w:r>
                    <w:rPr>
                      <w:rFonts w:hint="default" w:ascii="Times New Roman" w:hAnsi="Times New Roman" w:eastAsia="宋体" w:cs="宋体"/>
                      <w:color w:val="auto"/>
                      <w:kern w:val="2"/>
                      <w:sz w:val="21"/>
                      <w:szCs w:val="21"/>
                      <w:highlight w:val="none"/>
                      <w:lang w:val="en-US" w:eastAsia="zh-CN" w:bidi="ar"/>
                    </w:rPr>
                    <w:t>m</w:t>
                  </w:r>
                  <w:r>
                    <w:rPr>
                      <w:rFonts w:hint="default" w:ascii="Times New Roman" w:hAnsi="Times New Roman" w:eastAsia="宋体" w:cs="宋体"/>
                      <w:color w:val="auto"/>
                      <w:kern w:val="2"/>
                      <w:sz w:val="21"/>
                      <w:szCs w:val="21"/>
                      <w:highlight w:val="none"/>
                      <w:vertAlign w:val="superscript"/>
                      <w:lang w:val="en-US" w:eastAsia="zh-CN" w:bidi="ar"/>
                    </w:rPr>
                    <w:t>2</w:t>
                  </w:r>
                  <w:r>
                    <w:rPr>
                      <w:rFonts w:hint="eastAsia" w:ascii="Times New Roman" w:hAnsi="Times New Roman" w:eastAsia="宋体" w:cs="宋体"/>
                      <w:color w:val="auto"/>
                      <w:kern w:val="2"/>
                      <w:sz w:val="21"/>
                      <w:szCs w:val="21"/>
                      <w:highlight w:val="none"/>
                      <w:lang w:val="en-US" w:eastAsia="zh-CN" w:bidi="ar"/>
                    </w:rPr>
                    <w:t>（L60m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W40m）。</w:t>
                  </w:r>
                </w:p>
              </w:tc>
              <w:tc>
                <w:tcPr>
                  <w:tcW w:w="370" w:type="pct"/>
                  <w:shd w:val="clear" w:color="auto" w:fill="auto"/>
                  <w:noWrap w:val="0"/>
                  <w:vAlign w:val="center"/>
                </w:tcPr>
                <w:p w14:paraId="01C8E294">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新建</w:t>
                  </w:r>
                </w:p>
              </w:tc>
            </w:tr>
            <w:tr w14:paraId="5B65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6672DD63">
                  <w:pPr>
                    <w:pStyle w:val="34"/>
                    <w:bidi w:val="0"/>
                    <w:jc w:val="center"/>
                    <w:rPr>
                      <w:rFonts w:hint="default" w:ascii="Times New Roman" w:hAnsi="Times New Roman" w:eastAsia="宋体"/>
                      <w:color w:val="auto"/>
                      <w:sz w:val="21"/>
                      <w:highlight w:val="none"/>
                    </w:rPr>
                  </w:pPr>
                </w:p>
              </w:tc>
              <w:tc>
                <w:tcPr>
                  <w:tcW w:w="969" w:type="pct"/>
                  <w:gridSpan w:val="3"/>
                  <w:noWrap w:val="0"/>
                  <w:vAlign w:val="center"/>
                </w:tcPr>
                <w:p w14:paraId="105BFEC7">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预制构件生产</w:t>
                  </w:r>
                </w:p>
                <w:p w14:paraId="5E5E73A0">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车间</w:t>
                  </w:r>
                </w:p>
              </w:tc>
              <w:tc>
                <w:tcPr>
                  <w:tcW w:w="3286" w:type="pct"/>
                  <w:shd w:val="clear" w:color="auto" w:fill="auto"/>
                  <w:noWrap w:val="0"/>
                  <w:vAlign w:val="center"/>
                </w:tcPr>
                <w:p w14:paraId="0E008E4D">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位于厂区东侧，</w:t>
                  </w:r>
                  <w:r>
                    <w:rPr>
                      <w:rFonts w:hint="default" w:ascii="Times New Roman" w:hAnsi="Times New Roman" w:eastAsia="宋体" w:cs="宋体"/>
                      <w:color w:val="auto"/>
                      <w:kern w:val="2"/>
                      <w:sz w:val="21"/>
                      <w:szCs w:val="21"/>
                      <w:highlight w:val="none"/>
                      <w:lang w:val="en-US" w:eastAsia="zh-CN" w:bidi="ar"/>
                    </w:rPr>
                    <w:t>1座</w:t>
                  </w:r>
                  <w:r>
                    <w:rPr>
                      <w:rFonts w:hint="eastAsia" w:ascii="Times New Roman" w:hAnsi="Times New Roman" w:eastAsia="宋体" w:cs="宋体"/>
                      <w:color w:val="auto"/>
                      <w:kern w:val="2"/>
                      <w:sz w:val="21"/>
                      <w:szCs w:val="21"/>
                      <w:highlight w:val="none"/>
                      <w:lang w:val="en-US" w:eastAsia="zh-CN" w:bidi="ar"/>
                    </w:rPr>
                    <w:t>矩形钢结构厂房</w:t>
                  </w:r>
                  <w:r>
                    <w:rPr>
                      <w:rFonts w:hint="default" w:ascii="Times New Roman" w:hAnsi="Times New Roman" w:eastAsia="宋体" w:cs="宋体"/>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1层，占地</w:t>
                  </w:r>
                  <w:r>
                    <w:rPr>
                      <w:rFonts w:hint="default" w:ascii="Times New Roman" w:hAnsi="Times New Roman" w:eastAsia="宋体" w:cs="宋体"/>
                      <w:color w:val="auto"/>
                      <w:kern w:val="2"/>
                      <w:sz w:val="21"/>
                      <w:szCs w:val="21"/>
                      <w:highlight w:val="none"/>
                      <w:lang w:val="en-US" w:eastAsia="zh-CN" w:bidi="ar"/>
                    </w:rPr>
                    <w:t>面积</w:t>
                  </w:r>
                  <w:r>
                    <w:rPr>
                      <w:rFonts w:hint="eastAsia" w:ascii="Times New Roman" w:hAnsi="Times New Roman" w:eastAsia="宋体" w:cs="宋体"/>
                      <w:color w:val="auto"/>
                      <w:kern w:val="2"/>
                      <w:sz w:val="21"/>
                      <w:szCs w:val="21"/>
                      <w:highlight w:val="none"/>
                      <w:lang w:val="en-US" w:eastAsia="zh-CN" w:bidi="ar"/>
                    </w:rPr>
                    <w:t>6440</w:t>
                  </w:r>
                  <w:r>
                    <w:rPr>
                      <w:rFonts w:hint="default" w:ascii="Times New Roman" w:hAnsi="Times New Roman" w:eastAsia="宋体" w:cs="宋体"/>
                      <w:color w:val="auto"/>
                      <w:kern w:val="2"/>
                      <w:sz w:val="21"/>
                      <w:szCs w:val="21"/>
                      <w:highlight w:val="none"/>
                      <w:lang w:val="en-US" w:eastAsia="zh-CN" w:bidi="ar"/>
                    </w:rPr>
                    <w:t>m</w:t>
                  </w:r>
                  <w:r>
                    <w:rPr>
                      <w:rFonts w:hint="default" w:ascii="Times New Roman" w:hAnsi="Times New Roman" w:eastAsia="宋体" w:cs="宋体"/>
                      <w:color w:val="auto"/>
                      <w:kern w:val="2"/>
                      <w:sz w:val="21"/>
                      <w:szCs w:val="21"/>
                      <w:highlight w:val="none"/>
                      <w:vertAlign w:val="superscript"/>
                      <w:lang w:val="en-US" w:eastAsia="zh-CN" w:bidi="ar"/>
                    </w:rPr>
                    <w:t>2</w:t>
                  </w:r>
                  <w:r>
                    <w:rPr>
                      <w:rFonts w:hint="eastAsia" w:ascii="Times New Roman" w:hAnsi="Times New Roman" w:eastAsia="宋体" w:cs="宋体"/>
                      <w:color w:val="auto"/>
                      <w:kern w:val="2"/>
                      <w:sz w:val="21"/>
                      <w:szCs w:val="21"/>
                      <w:highlight w:val="none"/>
                      <w:lang w:val="en-US" w:eastAsia="zh-CN" w:bidi="ar"/>
                    </w:rPr>
                    <w:t>（L140m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W46m）</w:t>
                  </w:r>
                  <w:r>
                    <w:rPr>
                      <w:rFonts w:hint="eastAsia" w:cs="宋体"/>
                      <w:color w:val="auto"/>
                      <w:kern w:val="2"/>
                      <w:sz w:val="21"/>
                      <w:szCs w:val="21"/>
                      <w:highlight w:val="none"/>
                      <w:lang w:val="en-US" w:eastAsia="zh-CN" w:bidi="ar"/>
                    </w:rPr>
                    <w:t>，内设钢筋制作间、搅拌区、钢筋堆放区</w:t>
                  </w:r>
                  <w:r>
                    <w:rPr>
                      <w:rFonts w:hint="eastAsia" w:ascii="Times New Roman" w:hAnsi="Times New Roman" w:eastAsia="宋体" w:cs="宋体"/>
                      <w:color w:val="auto"/>
                      <w:kern w:val="2"/>
                      <w:sz w:val="21"/>
                      <w:szCs w:val="21"/>
                      <w:highlight w:val="none"/>
                      <w:lang w:val="en-US" w:eastAsia="zh-CN" w:bidi="ar"/>
                    </w:rPr>
                    <w:t>。</w:t>
                  </w:r>
                </w:p>
              </w:tc>
              <w:tc>
                <w:tcPr>
                  <w:tcW w:w="370" w:type="pct"/>
                  <w:shd w:val="clear" w:color="auto" w:fill="auto"/>
                  <w:noWrap w:val="0"/>
                  <w:vAlign w:val="center"/>
                </w:tcPr>
                <w:p w14:paraId="6367E064">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新建</w:t>
                  </w:r>
                </w:p>
              </w:tc>
            </w:tr>
            <w:tr w14:paraId="5076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617B3025">
                  <w:pPr>
                    <w:pStyle w:val="34"/>
                    <w:bidi w:val="0"/>
                    <w:jc w:val="center"/>
                    <w:rPr>
                      <w:rFonts w:hint="default" w:ascii="Times New Roman" w:hAnsi="Times New Roman" w:eastAsia="宋体"/>
                      <w:color w:val="auto"/>
                      <w:sz w:val="21"/>
                      <w:highlight w:val="none"/>
                      <w:lang w:val="en-US" w:eastAsia="zh-CN"/>
                    </w:rPr>
                  </w:pPr>
                </w:p>
              </w:tc>
              <w:tc>
                <w:tcPr>
                  <w:tcW w:w="969" w:type="pct"/>
                  <w:gridSpan w:val="3"/>
                  <w:noWrap w:val="0"/>
                  <w:vAlign w:val="center"/>
                </w:tcPr>
                <w:p w14:paraId="482CE422">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装配式房（预制构件浇筑车间）</w:t>
                  </w:r>
                </w:p>
              </w:tc>
              <w:tc>
                <w:tcPr>
                  <w:tcW w:w="3286" w:type="pct"/>
                  <w:noWrap w:val="0"/>
                  <w:vAlign w:val="center"/>
                </w:tcPr>
                <w:p w14:paraId="1F53F242">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位于厂区东北侧，</w:t>
                  </w:r>
                  <w:r>
                    <w:rPr>
                      <w:rFonts w:hint="eastAsia" w:ascii="Times New Roman" w:hAnsi="Times New Roman" w:eastAsia="宋体" w:cs="宋体"/>
                      <w:color w:val="auto"/>
                      <w:kern w:val="2"/>
                      <w:sz w:val="21"/>
                      <w:szCs w:val="21"/>
                      <w:highlight w:val="none"/>
                      <w:lang w:val="en-US" w:eastAsia="zh-CN" w:bidi="ar"/>
                    </w:rPr>
                    <w:t>占地</w:t>
                  </w:r>
                  <w:r>
                    <w:rPr>
                      <w:rFonts w:hint="default" w:ascii="Times New Roman" w:hAnsi="Times New Roman" w:eastAsia="宋体" w:cs="宋体"/>
                      <w:color w:val="auto"/>
                      <w:kern w:val="2"/>
                      <w:sz w:val="21"/>
                      <w:szCs w:val="21"/>
                      <w:highlight w:val="none"/>
                      <w:lang w:val="en-US" w:eastAsia="zh-CN" w:bidi="ar"/>
                    </w:rPr>
                    <w:t>面积</w:t>
                  </w:r>
                  <w:r>
                    <w:rPr>
                      <w:rFonts w:hint="eastAsia" w:ascii="Times New Roman" w:hAnsi="Times New Roman" w:eastAsia="宋体" w:cs="宋体"/>
                      <w:color w:val="auto"/>
                      <w:kern w:val="2"/>
                      <w:sz w:val="21"/>
                      <w:szCs w:val="21"/>
                      <w:highlight w:val="none"/>
                      <w:lang w:val="en-US" w:eastAsia="zh-CN" w:bidi="ar"/>
                    </w:rPr>
                    <w:t>2300</w:t>
                  </w:r>
                  <w:r>
                    <w:rPr>
                      <w:rFonts w:hint="default" w:ascii="Times New Roman" w:hAnsi="Times New Roman" w:eastAsia="宋体" w:cs="宋体"/>
                      <w:color w:val="auto"/>
                      <w:kern w:val="2"/>
                      <w:sz w:val="21"/>
                      <w:szCs w:val="21"/>
                      <w:highlight w:val="none"/>
                      <w:lang w:val="en-US" w:eastAsia="zh-CN" w:bidi="ar"/>
                    </w:rPr>
                    <w:t>m</w:t>
                  </w:r>
                  <w:r>
                    <w:rPr>
                      <w:rFonts w:hint="default" w:ascii="Times New Roman" w:hAnsi="Times New Roman" w:eastAsia="宋体" w:cs="宋体"/>
                      <w:color w:val="auto"/>
                      <w:kern w:val="2"/>
                      <w:sz w:val="21"/>
                      <w:szCs w:val="21"/>
                      <w:highlight w:val="none"/>
                      <w:vertAlign w:val="superscript"/>
                      <w:lang w:val="en-US" w:eastAsia="zh-CN" w:bidi="ar"/>
                    </w:rPr>
                    <w:t>2</w:t>
                  </w:r>
                  <w:r>
                    <w:rPr>
                      <w:rFonts w:hint="eastAsia" w:ascii="Times New Roman" w:hAnsi="Times New Roman" w:eastAsia="宋体" w:cs="宋体"/>
                      <w:color w:val="auto"/>
                      <w:kern w:val="2"/>
                      <w:sz w:val="21"/>
                      <w:szCs w:val="21"/>
                      <w:highlight w:val="none"/>
                      <w:lang w:val="en-US" w:eastAsia="zh-CN" w:bidi="ar"/>
                    </w:rPr>
                    <w:t>（L92m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W25m）。</w:t>
                  </w:r>
                </w:p>
              </w:tc>
              <w:tc>
                <w:tcPr>
                  <w:tcW w:w="370" w:type="pct"/>
                  <w:noWrap w:val="0"/>
                  <w:vAlign w:val="center"/>
                </w:tcPr>
                <w:p w14:paraId="31B2876D">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s="宋体"/>
                      <w:color w:val="auto"/>
                      <w:kern w:val="2"/>
                      <w:sz w:val="21"/>
                      <w:szCs w:val="21"/>
                      <w:highlight w:val="none"/>
                      <w:lang w:val="en-US" w:eastAsia="zh-CN" w:bidi="ar"/>
                    </w:rPr>
                    <w:t>新建</w:t>
                  </w:r>
                </w:p>
              </w:tc>
            </w:tr>
            <w:tr w14:paraId="2B05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17BA7285">
                  <w:pPr>
                    <w:pStyle w:val="34"/>
                    <w:bidi w:val="0"/>
                    <w:jc w:val="center"/>
                    <w:rPr>
                      <w:rFonts w:hint="default" w:ascii="Times New Roman" w:hAnsi="Times New Roman" w:eastAsia="宋体"/>
                      <w:color w:val="auto"/>
                      <w:sz w:val="21"/>
                      <w:highlight w:val="none"/>
                      <w:lang w:val="en-US" w:eastAsia="zh-CN"/>
                    </w:rPr>
                  </w:pPr>
                </w:p>
              </w:tc>
              <w:tc>
                <w:tcPr>
                  <w:tcW w:w="969" w:type="pct"/>
                  <w:gridSpan w:val="3"/>
                  <w:noWrap w:val="0"/>
                  <w:vAlign w:val="center"/>
                </w:tcPr>
                <w:p w14:paraId="0E372FE2">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钢筋制作间</w:t>
                  </w:r>
                </w:p>
              </w:tc>
              <w:tc>
                <w:tcPr>
                  <w:tcW w:w="3286" w:type="pct"/>
                  <w:noWrap w:val="0"/>
                  <w:vAlign w:val="center"/>
                </w:tcPr>
                <w:p w14:paraId="58549AAE">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位于预制构件生产车间内，占地面积225m</w:t>
                  </w:r>
                  <w:r>
                    <w:rPr>
                      <w:rFonts w:hint="eastAsia" w:ascii="Times New Roman" w:hAnsi="Times New Roman" w:eastAsia="宋体"/>
                      <w:color w:val="auto"/>
                      <w:sz w:val="21"/>
                      <w:highlight w:val="none"/>
                      <w:vertAlign w:val="superscript"/>
                      <w:lang w:val="en-US" w:eastAsia="zh-CN"/>
                    </w:rPr>
                    <w:t>2</w:t>
                  </w:r>
                  <w:r>
                    <w:rPr>
                      <w:rFonts w:hint="eastAsia" w:ascii="Times New Roman" w:hAnsi="Times New Roman" w:eastAsia="宋体"/>
                      <w:color w:val="auto"/>
                      <w:sz w:val="21"/>
                      <w:highlight w:val="none"/>
                      <w:vertAlign w:val="baseline"/>
                      <w:lang w:val="en-US" w:eastAsia="zh-CN"/>
                    </w:rPr>
                    <w:t>（15m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Times New Roman"/>
                      <w:color w:val="auto"/>
                      <w:kern w:val="2"/>
                      <w:sz w:val="21"/>
                      <w:szCs w:val="21"/>
                      <w:highlight w:val="none"/>
                      <w:lang w:val="en-US" w:eastAsia="zh-CN" w:bidi="ar"/>
                    </w:rPr>
                    <w:t>15m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Times New Roman"/>
                      <w:color w:val="auto"/>
                      <w:kern w:val="2"/>
                      <w:sz w:val="21"/>
                      <w:szCs w:val="21"/>
                      <w:highlight w:val="none"/>
                      <w:lang w:val="en-US" w:eastAsia="zh-CN" w:bidi="ar"/>
                    </w:rPr>
                    <w:t>4m</w:t>
                  </w:r>
                  <w:r>
                    <w:rPr>
                      <w:rFonts w:hint="eastAsia" w:ascii="Times New Roman" w:hAnsi="Times New Roman" w:eastAsia="宋体"/>
                      <w:color w:val="auto"/>
                      <w:sz w:val="21"/>
                      <w:highlight w:val="none"/>
                      <w:vertAlign w:val="baseline"/>
                      <w:lang w:val="en-US" w:eastAsia="zh-CN"/>
                    </w:rPr>
                    <w:t>），</w:t>
                  </w:r>
                  <w:r>
                    <w:rPr>
                      <w:rFonts w:hint="eastAsia" w:ascii="Times New Roman" w:hAnsi="Times New Roman" w:eastAsia="宋体"/>
                      <w:color w:val="auto"/>
                      <w:sz w:val="21"/>
                      <w:highlight w:val="none"/>
                      <w:lang w:val="en-US" w:eastAsia="zh-CN"/>
                    </w:rPr>
                    <w:t>用于加工外购钢筋。</w:t>
                  </w:r>
                </w:p>
              </w:tc>
              <w:tc>
                <w:tcPr>
                  <w:tcW w:w="370" w:type="pct"/>
                  <w:noWrap w:val="0"/>
                  <w:vAlign w:val="center"/>
                </w:tcPr>
                <w:p w14:paraId="4DB2135D">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s="宋体"/>
                      <w:color w:val="auto"/>
                      <w:kern w:val="2"/>
                      <w:sz w:val="21"/>
                      <w:szCs w:val="21"/>
                      <w:highlight w:val="none"/>
                      <w:lang w:val="en-US" w:eastAsia="zh-CN" w:bidi="ar"/>
                    </w:rPr>
                    <w:t>新建</w:t>
                  </w:r>
                </w:p>
              </w:tc>
            </w:tr>
            <w:tr w14:paraId="54828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restart"/>
                  <w:noWrap w:val="0"/>
                  <w:vAlign w:val="center"/>
                </w:tcPr>
                <w:p w14:paraId="3183E91E">
                  <w:pPr>
                    <w:pStyle w:val="34"/>
                    <w:bidi w:val="0"/>
                    <w:jc w:val="center"/>
                    <w:rPr>
                      <w:rFonts w:hint="default" w:ascii="Times New Roman" w:hAnsi="Times New Roman" w:eastAsia="宋体"/>
                      <w:color w:val="auto"/>
                      <w:sz w:val="21"/>
                      <w:highlight w:val="none"/>
                    </w:rPr>
                  </w:pPr>
                  <w:r>
                    <w:rPr>
                      <w:rFonts w:hint="default" w:ascii="Times New Roman" w:hAnsi="Times New Roman" w:eastAsia="宋体"/>
                      <w:color w:val="auto"/>
                      <w:sz w:val="21"/>
                      <w:highlight w:val="none"/>
                    </w:rPr>
                    <w:t>辅助工程</w:t>
                  </w:r>
                </w:p>
              </w:tc>
              <w:tc>
                <w:tcPr>
                  <w:tcW w:w="969" w:type="pct"/>
                  <w:gridSpan w:val="3"/>
                  <w:noWrap w:val="0"/>
                  <w:vAlign w:val="center"/>
                </w:tcPr>
                <w:p w14:paraId="2037398F">
                  <w:pPr>
                    <w:pStyle w:val="34"/>
                    <w:bidi w:val="0"/>
                    <w:jc w:val="center"/>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洗车平台</w:t>
                  </w:r>
                </w:p>
              </w:tc>
              <w:tc>
                <w:tcPr>
                  <w:tcW w:w="3286" w:type="pct"/>
                  <w:noWrap w:val="0"/>
                  <w:vAlign w:val="center"/>
                </w:tcPr>
                <w:p w14:paraId="3EA659E9">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s="宋体"/>
                      <w:color w:val="auto"/>
                      <w:kern w:val="2"/>
                      <w:sz w:val="21"/>
                      <w:szCs w:val="21"/>
                      <w:highlight w:val="none"/>
                      <w:lang w:val="en-US" w:eastAsia="zh-CN" w:bidi="ar"/>
                    </w:rPr>
                    <w:t>位于厂区出入口处，建设6.4</w:t>
                  </w:r>
                  <w:r>
                    <w:rPr>
                      <w:rFonts w:hint="default" w:ascii="Times New Roman" w:hAnsi="Times New Roman" w:eastAsia="宋体" w:cs="宋体"/>
                      <w:color w:val="auto"/>
                      <w:kern w:val="2"/>
                      <w:sz w:val="21"/>
                      <w:szCs w:val="21"/>
                      <w:highlight w:val="none"/>
                      <w:lang w:val="en-US" w:eastAsia="zh-CN" w:bidi="ar"/>
                    </w:rPr>
                    <w:t>m</w:t>
                  </w:r>
                  <w:r>
                    <w:rPr>
                      <w:rFonts w:hint="default" w:ascii="Times New Roman" w:hAnsi="Times New Roman" w:eastAsia="宋体" w:cs="宋体"/>
                      <w:color w:val="auto"/>
                      <w:kern w:val="2"/>
                      <w:sz w:val="21"/>
                      <w:szCs w:val="21"/>
                      <w:highlight w:val="none"/>
                      <w:vertAlign w:val="superscript"/>
                      <w:lang w:val="en-US" w:eastAsia="zh-CN" w:bidi="ar"/>
                    </w:rPr>
                    <w:t>2</w:t>
                  </w:r>
                  <w:r>
                    <w:rPr>
                      <w:rFonts w:hint="eastAsia" w:ascii="Times New Roman" w:hAnsi="Times New Roman" w:eastAsia="宋体" w:cs="宋体"/>
                      <w:color w:val="auto"/>
                      <w:kern w:val="2"/>
                      <w:sz w:val="21"/>
                      <w:szCs w:val="21"/>
                      <w:highlight w:val="none"/>
                      <w:vertAlign w:val="baseline"/>
                      <w:lang w:val="en-US" w:eastAsia="zh-CN" w:bidi="ar"/>
                    </w:rPr>
                    <w:t>的洗车平台</w:t>
                  </w:r>
                  <w:r>
                    <w:rPr>
                      <w:rFonts w:hint="eastAsia" w:ascii="Times New Roman" w:hAnsi="Times New Roman" w:eastAsia="宋体" w:cs="宋体"/>
                      <w:color w:val="auto"/>
                      <w:kern w:val="2"/>
                      <w:sz w:val="21"/>
                      <w:szCs w:val="21"/>
                      <w:highlight w:val="none"/>
                      <w:lang w:val="en-US" w:eastAsia="zh-CN" w:bidi="ar"/>
                    </w:rPr>
                    <w:t>（L3.2m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W2m），并配套有6m</w:t>
                  </w:r>
                  <w:r>
                    <w:rPr>
                      <w:rFonts w:hint="eastAsia" w:ascii="Times New Roman" w:hAnsi="Times New Roman" w:eastAsia="宋体" w:cs="宋体"/>
                      <w:color w:val="auto"/>
                      <w:kern w:val="2"/>
                      <w:sz w:val="21"/>
                      <w:szCs w:val="21"/>
                      <w:highlight w:val="none"/>
                      <w:vertAlign w:val="superscript"/>
                      <w:lang w:val="en-US" w:eastAsia="zh-CN" w:bidi="ar"/>
                    </w:rPr>
                    <w:t>3</w:t>
                  </w:r>
                  <w:r>
                    <w:rPr>
                      <w:rFonts w:hint="eastAsia" w:ascii="Times New Roman" w:hAnsi="Times New Roman" w:eastAsia="宋体" w:cs="宋体"/>
                      <w:color w:val="auto"/>
                      <w:kern w:val="2"/>
                      <w:sz w:val="21"/>
                      <w:szCs w:val="21"/>
                      <w:highlight w:val="none"/>
                      <w:lang w:val="en-US" w:eastAsia="zh-CN" w:bidi="ar"/>
                    </w:rPr>
                    <w:t>（L3m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W2m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Times New Roman"/>
                      <w:color w:val="auto"/>
                      <w:kern w:val="2"/>
                      <w:sz w:val="21"/>
                      <w:szCs w:val="21"/>
                      <w:highlight w:val="none"/>
                      <w:lang w:val="en-US" w:eastAsia="zh-CN" w:bidi="ar"/>
                    </w:rPr>
                    <w:t>H1m</w:t>
                  </w:r>
                  <w:r>
                    <w:rPr>
                      <w:rFonts w:hint="eastAsia" w:ascii="Times New Roman" w:hAnsi="Times New Roman" w:eastAsia="宋体" w:cs="宋体"/>
                      <w:color w:val="auto"/>
                      <w:kern w:val="2"/>
                      <w:sz w:val="21"/>
                      <w:szCs w:val="21"/>
                      <w:highlight w:val="none"/>
                      <w:lang w:val="en-US" w:eastAsia="zh-CN" w:bidi="ar"/>
                    </w:rPr>
                    <w:t>）的沉淀池。</w:t>
                  </w:r>
                </w:p>
              </w:tc>
              <w:tc>
                <w:tcPr>
                  <w:tcW w:w="370" w:type="pct"/>
                  <w:noWrap w:val="0"/>
                  <w:vAlign w:val="center"/>
                </w:tcPr>
                <w:p w14:paraId="683319B0">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新建</w:t>
                  </w:r>
                </w:p>
              </w:tc>
            </w:tr>
            <w:tr w14:paraId="29BC0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6A501567">
                  <w:pPr>
                    <w:pStyle w:val="34"/>
                    <w:bidi w:val="0"/>
                    <w:jc w:val="center"/>
                    <w:rPr>
                      <w:rFonts w:hint="default" w:ascii="Times New Roman" w:hAnsi="Times New Roman" w:eastAsia="宋体"/>
                      <w:color w:val="auto"/>
                      <w:sz w:val="21"/>
                      <w:highlight w:val="none"/>
                    </w:rPr>
                  </w:pPr>
                </w:p>
              </w:tc>
              <w:tc>
                <w:tcPr>
                  <w:tcW w:w="969" w:type="pct"/>
                  <w:gridSpan w:val="3"/>
                  <w:shd w:val="clear" w:color="auto" w:fill="auto"/>
                  <w:noWrap w:val="0"/>
                  <w:vAlign w:val="center"/>
                </w:tcPr>
                <w:p w14:paraId="1EB64367">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宿舍</w:t>
                  </w:r>
                </w:p>
              </w:tc>
              <w:tc>
                <w:tcPr>
                  <w:tcW w:w="3286" w:type="pct"/>
                  <w:shd w:val="clear" w:color="auto" w:fill="auto"/>
                  <w:noWrap w:val="0"/>
                  <w:vAlign w:val="center"/>
                </w:tcPr>
                <w:p w14:paraId="10949572">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位于厂区北侧，1层，面积275</w:t>
                  </w:r>
                  <w:r>
                    <w:rPr>
                      <w:rFonts w:hint="default" w:ascii="Times New Roman" w:hAnsi="Times New Roman" w:eastAsia="宋体" w:cs="宋体"/>
                      <w:color w:val="auto"/>
                      <w:kern w:val="2"/>
                      <w:sz w:val="21"/>
                      <w:szCs w:val="21"/>
                      <w:highlight w:val="none"/>
                      <w:lang w:val="en-US" w:eastAsia="zh-CN" w:bidi="ar"/>
                    </w:rPr>
                    <w:t>m</w:t>
                  </w:r>
                  <w:r>
                    <w:rPr>
                      <w:rFonts w:hint="default" w:ascii="Times New Roman" w:hAnsi="Times New Roman" w:eastAsia="宋体" w:cs="宋体"/>
                      <w:color w:val="auto"/>
                      <w:kern w:val="2"/>
                      <w:sz w:val="21"/>
                      <w:szCs w:val="21"/>
                      <w:highlight w:val="none"/>
                      <w:vertAlign w:val="superscript"/>
                      <w:lang w:val="en-US" w:eastAsia="zh-CN" w:bidi="ar"/>
                    </w:rPr>
                    <w:t>2</w:t>
                  </w:r>
                  <w:r>
                    <w:rPr>
                      <w:rFonts w:hint="eastAsia" w:ascii="Times New Roman" w:hAnsi="Times New Roman" w:eastAsia="宋体" w:cs="宋体"/>
                      <w:color w:val="auto"/>
                      <w:kern w:val="2"/>
                      <w:sz w:val="21"/>
                      <w:szCs w:val="21"/>
                      <w:highlight w:val="none"/>
                      <w:lang w:val="en-US" w:eastAsia="zh-CN" w:bidi="ar"/>
                    </w:rPr>
                    <w:t>。</w:t>
                  </w:r>
                </w:p>
              </w:tc>
              <w:tc>
                <w:tcPr>
                  <w:tcW w:w="370" w:type="pct"/>
                  <w:shd w:val="clear" w:color="auto" w:fill="auto"/>
                  <w:noWrap w:val="0"/>
                  <w:vAlign w:val="center"/>
                </w:tcPr>
                <w:p w14:paraId="73D58343">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新建</w:t>
                  </w:r>
                </w:p>
              </w:tc>
            </w:tr>
            <w:tr w14:paraId="4306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03F50DB0">
                  <w:pPr>
                    <w:pStyle w:val="34"/>
                    <w:bidi w:val="0"/>
                    <w:jc w:val="center"/>
                    <w:rPr>
                      <w:rFonts w:hint="default" w:ascii="Times New Roman" w:hAnsi="Times New Roman" w:eastAsia="宋体"/>
                      <w:color w:val="auto"/>
                      <w:sz w:val="21"/>
                      <w:highlight w:val="none"/>
                    </w:rPr>
                  </w:pPr>
                </w:p>
              </w:tc>
              <w:tc>
                <w:tcPr>
                  <w:tcW w:w="969" w:type="pct"/>
                  <w:gridSpan w:val="3"/>
                  <w:noWrap w:val="0"/>
                  <w:vAlign w:val="center"/>
                </w:tcPr>
                <w:p w14:paraId="5F634D6B">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办公</w:t>
                  </w:r>
                </w:p>
              </w:tc>
              <w:tc>
                <w:tcPr>
                  <w:tcW w:w="3286" w:type="pct"/>
                  <w:noWrap w:val="0"/>
                  <w:vAlign w:val="center"/>
                </w:tcPr>
                <w:p w14:paraId="6E927797">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s="宋体"/>
                      <w:color w:val="auto"/>
                      <w:kern w:val="2"/>
                      <w:sz w:val="21"/>
                      <w:szCs w:val="21"/>
                      <w:highlight w:val="none"/>
                      <w:lang w:val="en-US" w:eastAsia="zh-CN" w:bidi="ar"/>
                    </w:rPr>
                    <w:t>位于厂区北侧，2层，面积425m</w:t>
                  </w:r>
                  <w:r>
                    <w:rPr>
                      <w:rFonts w:hint="eastAsia" w:ascii="Times New Roman" w:hAnsi="Times New Roman" w:eastAsia="宋体" w:cs="宋体"/>
                      <w:color w:val="auto"/>
                      <w:kern w:val="2"/>
                      <w:sz w:val="21"/>
                      <w:szCs w:val="21"/>
                      <w:highlight w:val="none"/>
                      <w:vertAlign w:val="superscript"/>
                      <w:lang w:val="en-US" w:eastAsia="zh-CN" w:bidi="ar"/>
                    </w:rPr>
                    <w:t>2</w:t>
                  </w:r>
                  <w:r>
                    <w:rPr>
                      <w:rFonts w:hint="eastAsia" w:ascii="Times New Roman" w:hAnsi="Times New Roman" w:eastAsia="宋体" w:cs="宋体"/>
                      <w:color w:val="auto"/>
                      <w:kern w:val="2"/>
                      <w:sz w:val="21"/>
                      <w:szCs w:val="21"/>
                      <w:highlight w:val="none"/>
                      <w:lang w:val="en-US" w:eastAsia="zh-CN" w:bidi="ar"/>
                    </w:rPr>
                    <w:t>。</w:t>
                  </w:r>
                </w:p>
              </w:tc>
              <w:tc>
                <w:tcPr>
                  <w:tcW w:w="370" w:type="pct"/>
                  <w:noWrap w:val="0"/>
                  <w:vAlign w:val="center"/>
                </w:tcPr>
                <w:p w14:paraId="237384BA">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新建</w:t>
                  </w:r>
                </w:p>
              </w:tc>
            </w:tr>
            <w:tr w14:paraId="45DC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1C88D4B4">
                  <w:pPr>
                    <w:pStyle w:val="34"/>
                    <w:bidi w:val="0"/>
                    <w:jc w:val="center"/>
                    <w:rPr>
                      <w:rFonts w:hint="default" w:ascii="Times New Roman" w:hAnsi="Times New Roman" w:eastAsia="宋体"/>
                      <w:color w:val="auto"/>
                      <w:sz w:val="21"/>
                      <w:highlight w:val="none"/>
                    </w:rPr>
                  </w:pPr>
                </w:p>
              </w:tc>
              <w:tc>
                <w:tcPr>
                  <w:tcW w:w="969" w:type="pct"/>
                  <w:gridSpan w:val="3"/>
                  <w:noWrap w:val="0"/>
                  <w:vAlign w:val="center"/>
                </w:tcPr>
                <w:p w14:paraId="5E0EAA77">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初期雨水收集池</w:t>
                  </w:r>
                </w:p>
              </w:tc>
              <w:tc>
                <w:tcPr>
                  <w:tcW w:w="3286" w:type="pct"/>
                  <w:noWrap w:val="0"/>
                  <w:vAlign w:val="center"/>
                </w:tcPr>
                <w:p w14:paraId="2C5BD66A">
                  <w:pPr>
                    <w:pStyle w:val="34"/>
                    <w:bidi w:val="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建设一座</w:t>
                  </w:r>
                  <w:r>
                    <w:rPr>
                      <w:rFonts w:hint="eastAsia" w:cs="宋体"/>
                      <w:color w:val="auto"/>
                      <w:kern w:val="2"/>
                      <w:sz w:val="21"/>
                      <w:szCs w:val="21"/>
                      <w:highlight w:val="none"/>
                      <w:lang w:val="en-US" w:eastAsia="zh-CN" w:bidi="ar"/>
                    </w:rPr>
                    <w:t>260</w:t>
                  </w:r>
                  <w:r>
                    <w:rPr>
                      <w:rFonts w:hint="eastAsia" w:ascii="Times New Roman" w:hAnsi="Times New Roman" w:eastAsia="宋体" w:cs="宋体"/>
                      <w:color w:val="auto"/>
                      <w:kern w:val="2"/>
                      <w:sz w:val="21"/>
                      <w:szCs w:val="21"/>
                      <w:highlight w:val="none"/>
                      <w:lang w:val="en-US" w:eastAsia="zh-CN" w:bidi="ar"/>
                    </w:rPr>
                    <w:t>m</w:t>
                  </w:r>
                  <w:r>
                    <w:rPr>
                      <w:rFonts w:hint="eastAsia" w:ascii="Times New Roman" w:hAnsi="Times New Roman" w:eastAsia="宋体" w:cs="宋体"/>
                      <w:color w:val="auto"/>
                      <w:kern w:val="2"/>
                      <w:sz w:val="21"/>
                      <w:szCs w:val="21"/>
                      <w:highlight w:val="none"/>
                      <w:vertAlign w:val="superscript"/>
                      <w:lang w:val="en-US" w:eastAsia="zh-CN" w:bidi="ar"/>
                    </w:rPr>
                    <w:t>3</w:t>
                  </w:r>
                  <w:r>
                    <w:rPr>
                      <w:rFonts w:hint="eastAsia" w:ascii="Times New Roman" w:hAnsi="Times New Roman" w:eastAsia="宋体" w:cs="宋体"/>
                      <w:color w:val="auto"/>
                      <w:kern w:val="2"/>
                      <w:sz w:val="21"/>
                      <w:szCs w:val="21"/>
                      <w:highlight w:val="none"/>
                      <w:vertAlign w:val="baseline"/>
                      <w:lang w:val="en-US" w:eastAsia="zh-CN" w:bidi="ar"/>
                    </w:rPr>
                    <w:t>的</w:t>
                  </w:r>
                  <w:r>
                    <w:rPr>
                      <w:rFonts w:hint="eastAsia" w:ascii="Times New Roman" w:hAnsi="Times New Roman" w:eastAsia="宋体" w:cs="宋体"/>
                      <w:color w:val="auto"/>
                      <w:kern w:val="2"/>
                      <w:sz w:val="21"/>
                      <w:szCs w:val="21"/>
                      <w:highlight w:val="none"/>
                      <w:lang w:val="en-US" w:eastAsia="zh-CN" w:bidi="ar"/>
                    </w:rPr>
                    <w:t>初期雨水收集池（L</w:t>
                  </w:r>
                  <w:r>
                    <w:rPr>
                      <w:rFonts w:hint="eastAsia" w:cs="宋体"/>
                      <w:color w:val="auto"/>
                      <w:kern w:val="2"/>
                      <w:sz w:val="21"/>
                      <w:szCs w:val="21"/>
                      <w:highlight w:val="none"/>
                      <w:lang w:val="en-US" w:eastAsia="zh-CN" w:bidi="ar"/>
                    </w:rPr>
                    <w:t>13</w:t>
                  </w:r>
                  <w:r>
                    <w:rPr>
                      <w:rFonts w:hint="eastAsia" w:ascii="Times New Roman" w:hAnsi="Times New Roman" w:eastAsia="宋体" w:cs="宋体"/>
                      <w:color w:val="auto"/>
                      <w:kern w:val="2"/>
                      <w:sz w:val="21"/>
                      <w:szCs w:val="21"/>
                      <w:highlight w:val="none"/>
                      <w:lang w:val="en-US" w:eastAsia="zh-CN" w:bidi="ar"/>
                    </w:rPr>
                    <w:t>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W</w:t>
                  </w:r>
                  <w:r>
                    <w:rPr>
                      <w:rFonts w:hint="eastAsia" w:cs="宋体"/>
                      <w:color w:val="auto"/>
                      <w:kern w:val="2"/>
                      <w:sz w:val="21"/>
                      <w:szCs w:val="21"/>
                      <w:highlight w:val="none"/>
                      <w:lang w:val="en-US" w:eastAsia="zh-CN" w:bidi="ar"/>
                    </w:rPr>
                    <w:t>10</w:t>
                  </w:r>
                  <w:r>
                    <w:rPr>
                      <w:rFonts w:hint="eastAsia" w:ascii="Times New Roman" w:hAnsi="Times New Roman" w:eastAsia="宋体" w:cs="宋体"/>
                      <w:color w:val="auto"/>
                      <w:kern w:val="2"/>
                      <w:sz w:val="21"/>
                      <w:szCs w:val="21"/>
                      <w:highlight w:val="none"/>
                      <w:lang w:val="en-US" w:eastAsia="zh-CN" w:bidi="ar"/>
                    </w:rPr>
                    <w:t>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Times New Roman"/>
                      <w:color w:val="auto"/>
                      <w:kern w:val="2"/>
                      <w:sz w:val="21"/>
                      <w:szCs w:val="21"/>
                      <w:highlight w:val="none"/>
                      <w:lang w:val="en-US" w:eastAsia="zh-CN" w:bidi="ar"/>
                    </w:rPr>
                    <w:t>H</w:t>
                  </w:r>
                  <w:r>
                    <w:rPr>
                      <w:rFonts w:hint="eastAsia" w:cs="Times New Roman"/>
                      <w:color w:val="auto"/>
                      <w:kern w:val="2"/>
                      <w:sz w:val="21"/>
                      <w:szCs w:val="21"/>
                      <w:highlight w:val="none"/>
                      <w:lang w:val="en-US" w:eastAsia="zh-CN" w:bidi="ar"/>
                    </w:rPr>
                    <w:t>2</w:t>
                  </w:r>
                  <w:r>
                    <w:rPr>
                      <w:rFonts w:hint="eastAsia" w:ascii="Times New Roman" w:hAnsi="Times New Roman" w:eastAsia="宋体" w:cs="Times New Roman"/>
                      <w:color w:val="auto"/>
                      <w:kern w:val="2"/>
                      <w:sz w:val="21"/>
                      <w:szCs w:val="21"/>
                      <w:highlight w:val="none"/>
                      <w:lang w:val="en-US" w:eastAsia="zh-CN" w:bidi="ar"/>
                    </w:rPr>
                    <w:t>m</w:t>
                  </w:r>
                  <w:r>
                    <w:rPr>
                      <w:rFonts w:hint="eastAsia" w:ascii="Times New Roman" w:hAnsi="Times New Roman" w:eastAsia="宋体" w:cs="宋体"/>
                      <w:color w:val="auto"/>
                      <w:kern w:val="2"/>
                      <w:sz w:val="21"/>
                      <w:szCs w:val="21"/>
                      <w:highlight w:val="none"/>
                      <w:lang w:val="en-US" w:eastAsia="zh-CN" w:bidi="ar"/>
                    </w:rPr>
                    <w:t>），位于厂区</w:t>
                  </w:r>
                  <w:r>
                    <w:rPr>
                      <w:rFonts w:hint="eastAsia" w:cs="宋体"/>
                      <w:color w:val="auto"/>
                      <w:kern w:val="2"/>
                      <w:sz w:val="21"/>
                      <w:szCs w:val="21"/>
                      <w:highlight w:val="none"/>
                      <w:lang w:val="en-US" w:eastAsia="zh-CN" w:bidi="ar"/>
                    </w:rPr>
                    <w:t>南侧</w:t>
                  </w:r>
                  <w:r>
                    <w:rPr>
                      <w:rFonts w:hint="eastAsia" w:ascii="Times New Roman" w:hAnsi="Times New Roman" w:eastAsia="宋体" w:cs="宋体"/>
                      <w:color w:val="auto"/>
                      <w:kern w:val="2"/>
                      <w:sz w:val="21"/>
                      <w:szCs w:val="21"/>
                      <w:highlight w:val="none"/>
                      <w:lang w:val="en-US" w:eastAsia="zh-CN" w:bidi="ar"/>
                    </w:rPr>
                    <w:t>。</w:t>
                  </w:r>
                </w:p>
              </w:tc>
              <w:tc>
                <w:tcPr>
                  <w:tcW w:w="370" w:type="pct"/>
                  <w:noWrap w:val="0"/>
                  <w:vAlign w:val="center"/>
                </w:tcPr>
                <w:p w14:paraId="2462A2D0">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新建</w:t>
                  </w:r>
                </w:p>
              </w:tc>
            </w:tr>
            <w:tr w14:paraId="10F0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73" w:type="pct"/>
                  <w:vMerge w:val="restart"/>
                  <w:noWrap w:val="0"/>
                  <w:vAlign w:val="center"/>
                </w:tcPr>
                <w:p w14:paraId="08567170">
                  <w:pPr>
                    <w:pStyle w:val="34"/>
                    <w:bidi w:val="0"/>
                    <w:jc w:val="center"/>
                    <w:rPr>
                      <w:rFonts w:hint="eastAsia" w:ascii="Times New Roman" w:hAnsi="Times New Roman" w:eastAsia="宋体"/>
                      <w:color w:val="auto"/>
                      <w:sz w:val="21"/>
                      <w:highlight w:val="none"/>
                      <w:lang w:val="en-US" w:eastAsia="zh-CN"/>
                    </w:rPr>
                  </w:pPr>
                  <w:r>
                    <w:rPr>
                      <w:rFonts w:hint="eastAsia"/>
                      <w:color w:val="auto"/>
                      <w:sz w:val="21"/>
                      <w:highlight w:val="none"/>
                      <w:lang w:val="en-US" w:eastAsia="zh-CN"/>
                    </w:rPr>
                    <w:t>储运工程</w:t>
                  </w:r>
                </w:p>
              </w:tc>
              <w:tc>
                <w:tcPr>
                  <w:tcW w:w="476" w:type="pct"/>
                  <w:gridSpan w:val="2"/>
                  <w:vMerge w:val="restart"/>
                  <w:noWrap w:val="0"/>
                  <w:vAlign w:val="center"/>
                </w:tcPr>
                <w:p w14:paraId="4F689A25">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s="宋体"/>
                      <w:color w:val="auto"/>
                      <w:kern w:val="2"/>
                      <w:sz w:val="21"/>
                      <w:szCs w:val="21"/>
                      <w:highlight w:val="none"/>
                      <w:lang w:val="en-US" w:eastAsia="zh-CN" w:bidi="ar"/>
                    </w:rPr>
                    <w:t>预制构件生产线</w:t>
                  </w:r>
                </w:p>
              </w:tc>
              <w:tc>
                <w:tcPr>
                  <w:tcW w:w="492" w:type="pct"/>
                  <w:noWrap w:val="0"/>
                  <w:vAlign w:val="center"/>
                </w:tcPr>
                <w:p w14:paraId="32D907A4">
                  <w:pPr>
                    <w:pStyle w:val="34"/>
                    <w:bidi w:val="0"/>
                    <w:jc w:val="center"/>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水泥料仓</w:t>
                  </w:r>
                </w:p>
              </w:tc>
              <w:tc>
                <w:tcPr>
                  <w:tcW w:w="3286" w:type="pct"/>
                  <w:noWrap w:val="0"/>
                  <w:vAlign w:val="center"/>
                </w:tcPr>
                <w:p w14:paraId="3E654D3A">
                  <w:pPr>
                    <w:pStyle w:val="34"/>
                    <w:bidi w:val="0"/>
                    <w:jc w:val="center"/>
                    <w:rPr>
                      <w:rFonts w:hint="default" w:ascii="Times New Roman" w:hAnsi="Times New Roman" w:eastAsia="宋体"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1个，容积为200t。</w:t>
                  </w:r>
                </w:p>
              </w:tc>
              <w:tc>
                <w:tcPr>
                  <w:tcW w:w="370" w:type="pct"/>
                  <w:vMerge w:val="restart"/>
                  <w:noWrap w:val="0"/>
                  <w:vAlign w:val="center"/>
                </w:tcPr>
                <w:p w14:paraId="75B6809D">
                  <w:pPr>
                    <w:pStyle w:val="34"/>
                    <w:bidi w:val="0"/>
                    <w:jc w:val="center"/>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新建</w:t>
                  </w:r>
                </w:p>
              </w:tc>
            </w:tr>
            <w:tr w14:paraId="17CC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73" w:type="pct"/>
                  <w:vMerge w:val="continue"/>
                  <w:noWrap w:val="0"/>
                  <w:vAlign w:val="center"/>
                </w:tcPr>
                <w:p w14:paraId="14801FD4">
                  <w:pPr>
                    <w:pStyle w:val="34"/>
                    <w:bidi w:val="0"/>
                    <w:jc w:val="center"/>
                    <w:rPr>
                      <w:color w:val="auto"/>
                    </w:rPr>
                  </w:pPr>
                </w:p>
              </w:tc>
              <w:tc>
                <w:tcPr>
                  <w:tcW w:w="476" w:type="pct"/>
                  <w:gridSpan w:val="2"/>
                  <w:vMerge w:val="continue"/>
                  <w:noWrap w:val="0"/>
                  <w:vAlign w:val="center"/>
                </w:tcPr>
                <w:p w14:paraId="15A5395E">
                  <w:pPr>
                    <w:pStyle w:val="34"/>
                    <w:bidi w:val="0"/>
                    <w:jc w:val="center"/>
                    <w:rPr>
                      <w:color w:val="auto"/>
                    </w:rPr>
                  </w:pPr>
                </w:p>
              </w:tc>
              <w:tc>
                <w:tcPr>
                  <w:tcW w:w="492" w:type="pct"/>
                  <w:noWrap w:val="0"/>
                  <w:vAlign w:val="center"/>
                </w:tcPr>
                <w:p w14:paraId="7E070B6F">
                  <w:pPr>
                    <w:pStyle w:val="34"/>
                    <w:bidi w:val="0"/>
                    <w:jc w:val="center"/>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粉煤灰料仓</w:t>
                  </w:r>
                </w:p>
              </w:tc>
              <w:tc>
                <w:tcPr>
                  <w:tcW w:w="3286" w:type="pct"/>
                  <w:noWrap w:val="0"/>
                  <w:vAlign w:val="center"/>
                </w:tcPr>
                <w:p w14:paraId="472488C8">
                  <w:pPr>
                    <w:pStyle w:val="34"/>
                    <w:bidi w:val="0"/>
                    <w:jc w:val="center"/>
                    <w:rPr>
                      <w:rFonts w:hint="default" w:ascii="Times New Roman" w:hAnsi="Times New Roman" w:eastAsia="宋体"/>
                      <w:color w:val="auto"/>
                      <w:sz w:val="21"/>
                      <w:highlight w:val="none"/>
                      <w:lang w:val="en-US" w:eastAsia="zh-CN"/>
                    </w:rPr>
                  </w:pPr>
                  <w:r>
                    <w:rPr>
                      <w:rFonts w:hint="eastAsia" w:cs="宋体"/>
                      <w:color w:val="auto"/>
                      <w:kern w:val="2"/>
                      <w:sz w:val="21"/>
                      <w:szCs w:val="21"/>
                      <w:highlight w:val="none"/>
                      <w:lang w:val="en-US" w:eastAsia="zh-CN" w:bidi="ar"/>
                    </w:rPr>
                    <w:t>1个，容积为100t。</w:t>
                  </w:r>
                </w:p>
              </w:tc>
              <w:tc>
                <w:tcPr>
                  <w:tcW w:w="370" w:type="pct"/>
                  <w:vMerge w:val="continue"/>
                  <w:noWrap w:val="0"/>
                  <w:vAlign w:val="center"/>
                </w:tcPr>
                <w:p w14:paraId="1DA894E6">
                  <w:pPr>
                    <w:pStyle w:val="34"/>
                    <w:bidi w:val="0"/>
                    <w:jc w:val="center"/>
                    <w:rPr>
                      <w:rFonts w:hint="default" w:ascii="Times New Roman" w:hAnsi="Times New Roman" w:eastAsia="宋体"/>
                      <w:color w:val="auto"/>
                      <w:sz w:val="21"/>
                      <w:highlight w:val="none"/>
                      <w:lang w:val="en-US" w:eastAsia="zh-CN"/>
                    </w:rPr>
                  </w:pPr>
                </w:p>
              </w:tc>
            </w:tr>
            <w:tr w14:paraId="74FF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73" w:type="pct"/>
                  <w:vMerge w:val="continue"/>
                  <w:noWrap w:val="0"/>
                  <w:vAlign w:val="center"/>
                </w:tcPr>
                <w:p w14:paraId="00F1598C">
                  <w:pPr>
                    <w:pStyle w:val="34"/>
                    <w:bidi w:val="0"/>
                    <w:jc w:val="center"/>
                    <w:rPr>
                      <w:color w:val="auto"/>
                    </w:rPr>
                  </w:pPr>
                </w:p>
              </w:tc>
              <w:tc>
                <w:tcPr>
                  <w:tcW w:w="476" w:type="pct"/>
                  <w:gridSpan w:val="2"/>
                  <w:noWrap w:val="0"/>
                  <w:vAlign w:val="center"/>
                </w:tcPr>
                <w:p w14:paraId="049BE2CA">
                  <w:pPr>
                    <w:pStyle w:val="34"/>
                    <w:bidi w:val="0"/>
                    <w:jc w:val="center"/>
                    <w:rPr>
                      <w:rFonts w:hint="default" w:eastAsia="宋体"/>
                      <w:color w:val="auto"/>
                      <w:lang w:val="en-US" w:eastAsia="zh-CN"/>
                    </w:rPr>
                  </w:pPr>
                  <w:r>
                    <w:rPr>
                      <w:rFonts w:hint="eastAsia"/>
                      <w:color w:val="auto"/>
                      <w:lang w:val="en-US" w:eastAsia="zh-CN"/>
                    </w:rPr>
                    <w:t>水稳料生产线</w:t>
                  </w:r>
                </w:p>
              </w:tc>
              <w:tc>
                <w:tcPr>
                  <w:tcW w:w="492" w:type="pct"/>
                  <w:noWrap w:val="0"/>
                  <w:vAlign w:val="center"/>
                </w:tcPr>
                <w:p w14:paraId="01DCE2A1">
                  <w:pPr>
                    <w:pStyle w:val="34"/>
                    <w:bidi w:val="0"/>
                    <w:jc w:val="center"/>
                    <w:rPr>
                      <w:rFonts w:hint="eastAsia"/>
                      <w:color w:val="auto"/>
                      <w:sz w:val="21"/>
                      <w:highlight w:val="none"/>
                      <w:lang w:val="en-US" w:eastAsia="zh-CN"/>
                    </w:rPr>
                  </w:pPr>
                  <w:r>
                    <w:rPr>
                      <w:rFonts w:hint="eastAsia"/>
                      <w:color w:val="auto"/>
                      <w:sz w:val="21"/>
                      <w:highlight w:val="none"/>
                      <w:lang w:val="en-US" w:eastAsia="zh-CN"/>
                    </w:rPr>
                    <w:t>水泥料仓</w:t>
                  </w:r>
                </w:p>
              </w:tc>
              <w:tc>
                <w:tcPr>
                  <w:tcW w:w="3286" w:type="pct"/>
                  <w:noWrap w:val="0"/>
                  <w:vAlign w:val="center"/>
                </w:tcPr>
                <w:p w14:paraId="2CDF0027">
                  <w:pPr>
                    <w:pStyle w:val="34"/>
                    <w:bidi w:val="0"/>
                    <w:jc w:val="center"/>
                    <w:rPr>
                      <w:rFonts w:hint="eastAsia"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1个，容积为200t，与预制构件生产线共用。</w:t>
                  </w:r>
                </w:p>
              </w:tc>
              <w:tc>
                <w:tcPr>
                  <w:tcW w:w="370" w:type="pct"/>
                  <w:vMerge w:val="continue"/>
                  <w:noWrap w:val="0"/>
                  <w:vAlign w:val="center"/>
                </w:tcPr>
                <w:p w14:paraId="630C2C07">
                  <w:pPr>
                    <w:pStyle w:val="34"/>
                    <w:bidi w:val="0"/>
                    <w:jc w:val="center"/>
                    <w:rPr>
                      <w:rFonts w:hint="default" w:ascii="Times New Roman" w:hAnsi="Times New Roman" w:eastAsia="宋体"/>
                      <w:color w:val="auto"/>
                      <w:sz w:val="21"/>
                      <w:highlight w:val="none"/>
                      <w:lang w:val="en-US" w:eastAsia="zh-CN"/>
                    </w:rPr>
                  </w:pPr>
                </w:p>
              </w:tc>
            </w:tr>
            <w:tr w14:paraId="30DA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373" w:type="pct"/>
                  <w:vMerge w:val="continue"/>
                  <w:noWrap w:val="0"/>
                  <w:vAlign w:val="center"/>
                </w:tcPr>
                <w:p w14:paraId="0580A967">
                  <w:pPr>
                    <w:pStyle w:val="34"/>
                    <w:bidi w:val="0"/>
                    <w:jc w:val="center"/>
                    <w:rPr>
                      <w:color w:val="auto"/>
                    </w:rPr>
                  </w:pPr>
                </w:p>
              </w:tc>
              <w:tc>
                <w:tcPr>
                  <w:tcW w:w="476" w:type="pct"/>
                  <w:gridSpan w:val="2"/>
                  <w:vMerge w:val="restart"/>
                  <w:noWrap w:val="0"/>
                  <w:vAlign w:val="center"/>
                </w:tcPr>
                <w:p w14:paraId="4313F758">
                  <w:pPr>
                    <w:pStyle w:val="34"/>
                    <w:bidi w:val="0"/>
                    <w:jc w:val="center"/>
                    <w:rPr>
                      <w:rFonts w:hint="default"/>
                      <w:color w:val="auto"/>
                      <w:lang w:val="en-US" w:eastAsia="zh-CN"/>
                    </w:rPr>
                  </w:pPr>
                  <w:r>
                    <w:rPr>
                      <w:rFonts w:hint="eastAsia"/>
                      <w:color w:val="auto"/>
                      <w:lang w:val="en-US" w:eastAsia="zh-CN"/>
                    </w:rPr>
                    <w:t>湿拌砂浆生产线</w:t>
                  </w:r>
                </w:p>
              </w:tc>
              <w:tc>
                <w:tcPr>
                  <w:tcW w:w="492" w:type="pct"/>
                  <w:noWrap w:val="0"/>
                  <w:vAlign w:val="center"/>
                </w:tcPr>
                <w:p w14:paraId="49EA18A6">
                  <w:pPr>
                    <w:pStyle w:val="34"/>
                    <w:bidi w:val="0"/>
                    <w:jc w:val="center"/>
                    <w:rPr>
                      <w:rFonts w:hint="default"/>
                      <w:color w:val="auto"/>
                      <w:sz w:val="21"/>
                      <w:highlight w:val="none"/>
                      <w:lang w:val="en-US" w:eastAsia="zh-CN"/>
                    </w:rPr>
                  </w:pPr>
                  <w:r>
                    <w:rPr>
                      <w:rFonts w:hint="eastAsia"/>
                      <w:color w:val="auto"/>
                      <w:sz w:val="21"/>
                      <w:highlight w:val="none"/>
                      <w:lang w:val="en-US" w:eastAsia="zh-CN"/>
                    </w:rPr>
                    <w:t>水泥料仓</w:t>
                  </w:r>
                </w:p>
              </w:tc>
              <w:tc>
                <w:tcPr>
                  <w:tcW w:w="3286" w:type="pct"/>
                  <w:noWrap w:val="0"/>
                  <w:vAlign w:val="center"/>
                </w:tcPr>
                <w:p w14:paraId="673A36FD">
                  <w:pPr>
                    <w:pStyle w:val="34"/>
                    <w:bidi w:val="0"/>
                    <w:jc w:val="center"/>
                    <w:rPr>
                      <w:rFonts w:hint="default"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1个，容积为100t。</w:t>
                  </w:r>
                </w:p>
              </w:tc>
              <w:tc>
                <w:tcPr>
                  <w:tcW w:w="370" w:type="pct"/>
                  <w:vMerge w:val="continue"/>
                  <w:noWrap w:val="0"/>
                  <w:vAlign w:val="center"/>
                </w:tcPr>
                <w:p w14:paraId="1AA0DF9F">
                  <w:pPr>
                    <w:pStyle w:val="34"/>
                    <w:bidi w:val="0"/>
                    <w:jc w:val="center"/>
                    <w:rPr>
                      <w:rFonts w:hint="default" w:ascii="Times New Roman" w:hAnsi="Times New Roman" w:eastAsia="宋体"/>
                      <w:color w:val="auto"/>
                      <w:sz w:val="21"/>
                      <w:highlight w:val="none"/>
                      <w:lang w:val="en-US" w:eastAsia="zh-CN"/>
                    </w:rPr>
                  </w:pPr>
                </w:p>
              </w:tc>
            </w:tr>
            <w:tr w14:paraId="6F61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373" w:type="pct"/>
                  <w:vMerge w:val="continue"/>
                  <w:noWrap w:val="0"/>
                  <w:vAlign w:val="center"/>
                </w:tcPr>
                <w:p w14:paraId="781D740D">
                  <w:pPr>
                    <w:pStyle w:val="34"/>
                    <w:bidi w:val="0"/>
                    <w:jc w:val="center"/>
                    <w:rPr>
                      <w:color w:val="auto"/>
                    </w:rPr>
                  </w:pPr>
                </w:p>
              </w:tc>
              <w:tc>
                <w:tcPr>
                  <w:tcW w:w="476" w:type="pct"/>
                  <w:gridSpan w:val="2"/>
                  <w:vMerge w:val="continue"/>
                  <w:noWrap w:val="0"/>
                  <w:vAlign w:val="center"/>
                </w:tcPr>
                <w:p w14:paraId="656B0692">
                  <w:pPr>
                    <w:pStyle w:val="34"/>
                    <w:bidi w:val="0"/>
                    <w:jc w:val="center"/>
                    <w:rPr>
                      <w:rFonts w:hint="default"/>
                      <w:color w:val="auto"/>
                      <w:lang w:val="en-US" w:eastAsia="zh-CN"/>
                    </w:rPr>
                  </w:pPr>
                </w:p>
              </w:tc>
              <w:tc>
                <w:tcPr>
                  <w:tcW w:w="492" w:type="pct"/>
                  <w:noWrap w:val="0"/>
                  <w:vAlign w:val="center"/>
                </w:tcPr>
                <w:p w14:paraId="5AB4B118">
                  <w:pPr>
                    <w:pStyle w:val="34"/>
                    <w:bidi w:val="0"/>
                    <w:jc w:val="center"/>
                    <w:rPr>
                      <w:rFonts w:hint="default"/>
                      <w:color w:val="auto"/>
                      <w:sz w:val="21"/>
                      <w:highlight w:val="none"/>
                      <w:lang w:val="en-US" w:eastAsia="zh-CN"/>
                    </w:rPr>
                  </w:pPr>
                  <w:r>
                    <w:rPr>
                      <w:rFonts w:hint="eastAsia"/>
                      <w:color w:val="auto"/>
                      <w:sz w:val="21"/>
                      <w:highlight w:val="none"/>
                      <w:lang w:val="en-US" w:eastAsia="zh-CN"/>
                    </w:rPr>
                    <w:t>粉煤灰料仓</w:t>
                  </w:r>
                </w:p>
              </w:tc>
              <w:tc>
                <w:tcPr>
                  <w:tcW w:w="3286" w:type="pct"/>
                  <w:noWrap w:val="0"/>
                  <w:vAlign w:val="center"/>
                </w:tcPr>
                <w:p w14:paraId="7BFB94FA">
                  <w:pPr>
                    <w:pStyle w:val="34"/>
                    <w:bidi w:val="0"/>
                    <w:jc w:val="center"/>
                    <w:rPr>
                      <w:rFonts w:hint="eastAsia"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1个，容积为200t。</w:t>
                  </w:r>
                </w:p>
              </w:tc>
              <w:tc>
                <w:tcPr>
                  <w:tcW w:w="370" w:type="pct"/>
                  <w:vMerge w:val="continue"/>
                  <w:noWrap w:val="0"/>
                  <w:vAlign w:val="center"/>
                </w:tcPr>
                <w:p w14:paraId="0A3F87FE">
                  <w:pPr>
                    <w:pStyle w:val="34"/>
                    <w:bidi w:val="0"/>
                    <w:jc w:val="center"/>
                    <w:rPr>
                      <w:rFonts w:hint="default" w:ascii="Times New Roman" w:hAnsi="Times New Roman" w:eastAsia="宋体"/>
                      <w:color w:val="auto"/>
                      <w:sz w:val="21"/>
                      <w:highlight w:val="none"/>
                      <w:lang w:val="en-US" w:eastAsia="zh-CN"/>
                    </w:rPr>
                  </w:pPr>
                </w:p>
              </w:tc>
            </w:tr>
            <w:tr w14:paraId="0059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07A5B6E1">
                  <w:pPr>
                    <w:pStyle w:val="34"/>
                    <w:bidi w:val="0"/>
                    <w:jc w:val="center"/>
                    <w:rPr>
                      <w:rFonts w:hint="eastAsia" w:ascii="Times New Roman" w:hAnsi="Times New Roman" w:eastAsia="宋体"/>
                      <w:color w:val="auto"/>
                      <w:sz w:val="21"/>
                      <w:highlight w:val="none"/>
                      <w:lang w:val="en-US" w:eastAsia="zh-CN"/>
                    </w:rPr>
                  </w:pPr>
                </w:p>
              </w:tc>
              <w:tc>
                <w:tcPr>
                  <w:tcW w:w="969" w:type="pct"/>
                  <w:gridSpan w:val="3"/>
                  <w:noWrap w:val="0"/>
                  <w:vAlign w:val="center"/>
                </w:tcPr>
                <w:p w14:paraId="6DE3C7D7">
                  <w:pPr>
                    <w:pStyle w:val="34"/>
                    <w:bidi w:val="0"/>
                    <w:jc w:val="center"/>
                    <w:rPr>
                      <w:rFonts w:hint="eastAsia"/>
                      <w:color w:val="auto"/>
                      <w:sz w:val="21"/>
                      <w:highlight w:val="none"/>
                      <w:lang w:val="en-US" w:eastAsia="zh-CN"/>
                    </w:rPr>
                  </w:pPr>
                  <w:r>
                    <w:rPr>
                      <w:rFonts w:hint="eastAsia"/>
                      <w:color w:val="auto"/>
                      <w:sz w:val="21"/>
                      <w:highlight w:val="none"/>
                      <w:lang w:val="en-US" w:eastAsia="zh-CN"/>
                    </w:rPr>
                    <w:t>成品堆场</w:t>
                  </w:r>
                </w:p>
              </w:tc>
              <w:tc>
                <w:tcPr>
                  <w:tcW w:w="3286" w:type="pct"/>
                  <w:noWrap w:val="0"/>
                  <w:vAlign w:val="center"/>
                </w:tcPr>
                <w:p w14:paraId="7A16A125">
                  <w:pPr>
                    <w:pStyle w:val="34"/>
                    <w:bidi w:val="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位于厂区西侧，为伸缩棚结构，占地面积2400</w:t>
                  </w:r>
                  <w:r>
                    <w:rPr>
                      <w:rFonts w:hint="default" w:ascii="Times New Roman" w:hAnsi="Times New Roman" w:eastAsia="宋体" w:cs="宋体"/>
                      <w:color w:val="auto"/>
                      <w:kern w:val="2"/>
                      <w:sz w:val="21"/>
                      <w:szCs w:val="21"/>
                      <w:highlight w:val="none"/>
                      <w:lang w:val="en-US" w:eastAsia="zh-CN" w:bidi="ar"/>
                    </w:rPr>
                    <w:t>m</w:t>
                  </w:r>
                  <w:r>
                    <w:rPr>
                      <w:rFonts w:hint="default" w:ascii="Times New Roman" w:hAnsi="Times New Roman" w:eastAsia="宋体" w:cs="宋体"/>
                      <w:color w:val="auto"/>
                      <w:kern w:val="2"/>
                      <w:sz w:val="21"/>
                      <w:szCs w:val="21"/>
                      <w:highlight w:val="none"/>
                      <w:vertAlign w:val="superscript"/>
                      <w:lang w:val="en-US" w:eastAsia="zh-CN" w:bidi="ar"/>
                    </w:rPr>
                    <w:t>2</w:t>
                  </w:r>
                  <w:r>
                    <w:rPr>
                      <w:rFonts w:hint="eastAsia" w:ascii="Times New Roman" w:hAnsi="Times New Roman" w:eastAsia="宋体" w:cs="宋体"/>
                      <w:color w:val="auto"/>
                      <w:kern w:val="2"/>
                      <w:sz w:val="21"/>
                      <w:szCs w:val="21"/>
                      <w:highlight w:val="none"/>
                      <w:lang w:val="en-US" w:eastAsia="zh-CN" w:bidi="ar"/>
                    </w:rPr>
                    <w:t>（L120m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W20m），用于成品</w:t>
                  </w:r>
                  <w:r>
                    <w:rPr>
                      <w:rFonts w:hint="eastAsia" w:cs="宋体"/>
                      <w:color w:val="auto"/>
                      <w:kern w:val="2"/>
                      <w:sz w:val="21"/>
                      <w:szCs w:val="21"/>
                      <w:highlight w:val="none"/>
                      <w:lang w:val="en-US" w:eastAsia="zh-CN" w:bidi="ar"/>
                    </w:rPr>
                    <w:t>（水洗砂、水稳料、湿拌砂浆）</w:t>
                  </w:r>
                  <w:r>
                    <w:rPr>
                      <w:rFonts w:hint="eastAsia" w:ascii="Times New Roman" w:hAnsi="Times New Roman" w:eastAsia="宋体" w:cs="宋体"/>
                      <w:color w:val="auto"/>
                      <w:kern w:val="2"/>
                      <w:sz w:val="21"/>
                      <w:szCs w:val="21"/>
                      <w:highlight w:val="none"/>
                      <w:lang w:val="en-US" w:eastAsia="zh-CN" w:bidi="ar"/>
                    </w:rPr>
                    <w:t>堆放。</w:t>
                  </w:r>
                </w:p>
              </w:tc>
              <w:tc>
                <w:tcPr>
                  <w:tcW w:w="370" w:type="pct"/>
                  <w:noWrap w:val="0"/>
                  <w:vAlign w:val="center"/>
                </w:tcPr>
                <w:p w14:paraId="5C94FA57">
                  <w:pPr>
                    <w:pStyle w:val="34"/>
                    <w:bidi w:val="0"/>
                    <w:jc w:val="center"/>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新建</w:t>
                  </w:r>
                </w:p>
              </w:tc>
            </w:tr>
            <w:tr w14:paraId="6482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0A5660DD">
                  <w:pPr>
                    <w:pStyle w:val="34"/>
                    <w:bidi w:val="0"/>
                    <w:jc w:val="center"/>
                    <w:rPr>
                      <w:rFonts w:hint="eastAsia" w:ascii="Times New Roman" w:hAnsi="Times New Roman" w:eastAsia="宋体"/>
                      <w:color w:val="auto"/>
                      <w:sz w:val="21"/>
                      <w:highlight w:val="none"/>
                      <w:lang w:val="en-US" w:eastAsia="zh-CN"/>
                    </w:rPr>
                  </w:pPr>
                </w:p>
              </w:tc>
              <w:tc>
                <w:tcPr>
                  <w:tcW w:w="969" w:type="pct"/>
                  <w:gridSpan w:val="3"/>
                  <w:noWrap w:val="0"/>
                  <w:vAlign w:val="center"/>
                </w:tcPr>
                <w:p w14:paraId="6016D8E4">
                  <w:pPr>
                    <w:pStyle w:val="34"/>
                    <w:bidi w:val="0"/>
                    <w:jc w:val="center"/>
                    <w:rPr>
                      <w:rFonts w:hint="eastAsia"/>
                      <w:color w:val="auto"/>
                      <w:sz w:val="21"/>
                      <w:highlight w:val="none"/>
                      <w:lang w:val="en-US" w:eastAsia="zh-CN"/>
                    </w:rPr>
                  </w:pPr>
                  <w:r>
                    <w:rPr>
                      <w:rFonts w:hint="eastAsia"/>
                      <w:color w:val="auto"/>
                      <w:sz w:val="21"/>
                      <w:highlight w:val="none"/>
                      <w:lang w:val="en-US" w:eastAsia="zh-CN"/>
                    </w:rPr>
                    <w:t>原料库</w:t>
                  </w:r>
                </w:p>
              </w:tc>
              <w:tc>
                <w:tcPr>
                  <w:tcW w:w="3286" w:type="pct"/>
                  <w:shd w:val="clear" w:color="auto" w:fill="auto"/>
                  <w:noWrap w:val="0"/>
                  <w:vAlign w:val="center"/>
                </w:tcPr>
                <w:p w14:paraId="51AE0FCB">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全封闭厂房，位于厂区北侧，占地面积1600</w:t>
                  </w:r>
                  <w:r>
                    <w:rPr>
                      <w:rFonts w:hint="default" w:ascii="Times New Roman" w:hAnsi="Times New Roman" w:eastAsia="宋体" w:cs="宋体"/>
                      <w:color w:val="auto"/>
                      <w:kern w:val="2"/>
                      <w:sz w:val="21"/>
                      <w:szCs w:val="21"/>
                      <w:highlight w:val="none"/>
                      <w:lang w:val="en-US" w:eastAsia="zh-CN" w:bidi="ar"/>
                    </w:rPr>
                    <w:t>m</w:t>
                  </w:r>
                  <w:r>
                    <w:rPr>
                      <w:rFonts w:hint="default" w:ascii="Times New Roman" w:hAnsi="Times New Roman" w:eastAsia="宋体" w:cs="宋体"/>
                      <w:color w:val="auto"/>
                      <w:kern w:val="2"/>
                      <w:sz w:val="21"/>
                      <w:szCs w:val="21"/>
                      <w:highlight w:val="none"/>
                      <w:vertAlign w:val="superscript"/>
                      <w:lang w:val="en-US" w:eastAsia="zh-CN" w:bidi="ar"/>
                    </w:rPr>
                    <w:t>2</w:t>
                  </w:r>
                  <w:r>
                    <w:rPr>
                      <w:rFonts w:hint="eastAsia" w:ascii="Times New Roman" w:hAnsi="Times New Roman" w:eastAsia="宋体" w:cs="宋体"/>
                      <w:color w:val="auto"/>
                      <w:kern w:val="2"/>
                      <w:sz w:val="21"/>
                      <w:szCs w:val="21"/>
                      <w:highlight w:val="none"/>
                      <w:lang w:val="en-US" w:eastAsia="zh-CN" w:bidi="ar"/>
                    </w:rPr>
                    <w:t>（L100m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W16m），用来储存原料石子。</w:t>
                  </w:r>
                </w:p>
              </w:tc>
              <w:tc>
                <w:tcPr>
                  <w:tcW w:w="370" w:type="pct"/>
                  <w:shd w:val="clear" w:color="auto" w:fill="auto"/>
                  <w:noWrap w:val="0"/>
                  <w:vAlign w:val="center"/>
                </w:tcPr>
                <w:p w14:paraId="24206DF6">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新建</w:t>
                  </w:r>
                </w:p>
              </w:tc>
            </w:tr>
            <w:tr w14:paraId="01D1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restart"/>
                  <w:noWrap w:val="0"/>
                  <w:vAlign w:val="center"/>
                </w:tcPr>
                <w:p w14:paraId="40A309C9">
                  <w:pPr>
                    <w:pStyle w:val="34"/>
                    <w:bidi w:val="0"/>
                    <w:jc w:val="center"/>
                    <w:rPr>
                      <w:rFonts w:hint="default" w:ascii="Times New Roman" w:hAnsi="Times New Roman" w:eastAsia="宋体"/>
                      <w:color w:val="auto"/>
                      <w:sz w:val="21"/>
                      <w:highlight w:val="none"/>
                    </w:rPr>
                  </w:pPr>
                  <w:r>
                    <w:rPr>
                      <w:rFonts w:hint="default" w:ascii="Times New Roman" w:hAnsi="Times New Roman" w:eastAsia="宋体"/>
                      <w:color w:val="auto"/>
                      <w:sz w:val="21"/>
                      <w:highlight w:val="none"/>
                    </w:rPr>
                    <w:t>公用工程</w:t>
                  </w:r>
                </w:p>
              </w:tc>
              <w:tc>
                <w:tcPr>
                  <w:tcW w:w="969" w:type="pct"/>
                  <w:gridSpan w:val="3"/>
                  <w:shd w:val="clear" w:color="auto" w:fill="auto"/>
                  <w:noWrap w:val="0"/>
                  <w:vAlign w:val="center"/>
                </w:tcPr>
                <w:p w14:paraId="4F88CCB6">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default" w:ascii="Times New Roman" w:hAnsi="Times New Roman" w:eastAsia="宋体"/>
                      <w:color w:val="auto"/>
                      <w:sz w:val="21"/>
                      <w:highlight w:val="none"/>
                      <w:lang w:val="en-US" w:eastAsia="zh-CN"/>
                    </w:rPr>
                    <w:t>给水</w:t>
                  </w:r>
                </w:p>
              </w:tc>
              <w:tc>
                <w:tcPr>
                  <w:tcW w:w="3286" w:type="pct"/>
                  <w:shd w:val="clear" w:color="auto" w:fill="auto"/>
                  <w:noWrap w:val="0"/>
                  <w:vAlign w:val="center"/>
                </w:tcPr>
                <w:p w14:paraId="1B758E97">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由常平村</w:t>
                  </w:r>
                  <w:r>
                    <w:rPr>
                      <w:rFonts w:hint="default" w:ascii="Times New Roman" w:hAnsi="Times New Roman" w:eastAsia="宋体" w:cs="宋体"/>
                      <w:color w:val="auto"/>
                      <w:kern w:val="2"/>
                      <w:sz w:val="21"/>
                      <w:szCs w:val="21"/>
                      <w:highlight w:val="none"/>
                      <w:lang w:val="en-US" w:eastAsia="zh-CN" w:bidi="ar"/>
                    </w:rPr>
                    <w:t>自来水管网供给</w:t>
                  </w:r>
                  <w:r>
                    <w:rPr>
                      <w:rFonts w:hint="eastAsia" w:ascii="Times New Roman" w:hAnsi="Times New Roman" w:eastAsia="宋体" w:cs="宋体"/>
                      <w:color w:val="auto"/>
                      <w:kern w:val="2"/>
                      <w:sz w:val="21"/>
                      <w:szCs w:val="21"/>
                      <w:highlight w:val="none"/>
                      <w:lang w:val="en-US" w:eastAsia="zh-CN" w:bidi="ar"/>
                    </w:rPr>
                    <w:t>。</w:t>
                  </w:r>
                </w:p>
              </w:tc>
              <w:tc>
                <w:tcPr>
                  <w:tcW w:w="370" w:type="pct"/>
                  <w:shd w:val="clear" w:color="auto" w:fill="auto"/>
                  <w:noWrap w:val="0"/>
                  <w:vAlign w:val="center"/>
                </w:tcPr>
                <w:p w14:paraId="530B26BF">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w:t>
                  </w:r>
                </w:p>
              </w:tc>
            </w:tr>
            <w:tr w14:paraId="0F4A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35E8E3AB">
                  <w:pPr>
                    <w:pStyle w:val="34"/>
                    <w:bidi w:val="0"/>
                    <w:jc w:val="center"/>
                    <w:rPr>
                      <w:rFonts w:hint="default" w:ascii="Times New Roman" w:hAnsi="Times New Roman" w:eastAsia="宋体"/>
                      <w:color w:val="auto"/>
                      <w:sz w:val="21"/>
                      <w:highlight w:val="none"/>
                    </w:rPr>
                  </w:pPr>
                </w:p>
              </w:tc>
              <w:tc>
                <w:tcPr>
                  <w:tcW w:w="969" w:type="pct"/>
                  <w:gridSpan w:val="3"/>
                  <w:shd w:val="clear" w:color="auto" w:fill="auto"/>
                  <w:noWrap w:val="0"/>
                  <w:vAlign w:val="center"/>
                </w:tcPr>
                <w:p w14:paraId="2FE564C0">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default" w:ascii="Times New Roman" w:hAnsi="Times New Roman" w:eastAsia="宋体"/>
                      <w:color w:val="auto"/>
                      <w:sz w:val="21"/>
                      <w:highlight w:val="none"/>
                      <w:lang w:val="en-US" w:eastAsia="zh-CN"/>
                    </w:rPr>
                    <w:t>供电</w:t>
                  </w:r>
                </w:p>
              </w:tc>
              <w:tc>
                <w:tcPr>
                  <w:tcW w:w="3286" w:type="pct"/>
                  <w:shd w:val="clear" w:color="auto" w:fill="auto"/>
                  <w:noWrap w:val="0"/>
                  <w:vAlign w:val="center"/>
                </w:tcPr>
                <w:p w14:paraId="0107F8AC">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default" w:ascii="Times New Roman" w:hAnsi="Times New Roman" w:eastAsia="宋体" w:cs="宋体"/>
                      <w:color w:val="auto"/>
                      <w:kern w:val="2"/>
                      <w:sz w:val="21"/>
                      <w:szCs w:val="21"/>
                      <w:highlight w:val="none"/>
                      <w:lang w:val="en-US" w:eastAsia="zh-CN" w:bidi="ar"/>
                    </w:rPr>
                    <w:t>由</w:t>
                  </w:r>
                  <w:r>
                    <w:rPr>
                      <w:rFonts w:hint="eastAsia" w:ascii="Times New Roman" w:hAnsi="Times New Roman" w:eastAsia="宋体" w:cs="宋体"/>
                      <w:color w:val="auto"/>
                      <w:kern w:val="2"/>
                      <w:sz w:val="21"/>
                      <w:szCs w:val="21"/>
                      <w:highlight w:val="none"/>
                      <w:lang w:val="en-US" w:eastAsia="zh-CN" w:bidi="ar"/>
                    </w:rPr>
                    <w:t>市政</w:t>
                  </w:r>
                  <w:r>
                    <w:rPr>
                      <w:rFonts w:hint="default" w:ascii="Times New Roman" w:hAnsi="Times New Roman" w:eastAsia="宋体" w:cs="宋体"/>
                      <w:color w:val="auto"/>
                      <w:kern w:val="2"/>
                      <w:sz w:val="21"/>
                      <w:szCs w:val="21"/>
                      <w:highlight w:val="none"/>
                      <w:lang w:val="en-US" w:eastAsia="zh-CN" w:bidi="ar"/>
                    </w:rPr>
                    <w:t>电网接入</w:t>
                  </w:r>
                  <w:r>
                    <w:rPr>
                      <w:rFonts w:hint="eastAsia" w:ascii="Times New Roman" w:hAnsi="Times New Roman" w:eastAsia="宋体" w:cs="宋体"/>
                      <w:color w:val="auto"/>
                      <w:kern w:val="2"/>
                      <w:sz w:val="21"/>
                      <w:szCs w:val="21"/>
                      <w:highlight w:val="none"/>
                      <w:lang w:val="en-US" w:eastAsia="zh-CN" w:bidi="ar"/>
                    </w:rPr>
                    <w:t>。</w:t>
                  </w:r>
                </w:p>
              </w:tc>
              <w:tc>
                <w:tcPr>
                  <w:tcW w:w="370" w:type="pct"/>
                  <w:shd w:val="clear" w:color="auto" w:fill="auto"/>
                  <w:noWrap w:val="0"/>
                  <w:vAlign w:val="center"/>
                </w:tcPr>
                <w:p w14:paraId="57F296C6">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w:t>
                  </w:r>
                </w:p>
              </w:tc>
            </w:tr>
            <w:tr w14:paraId="721A6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071D29F0">
                  <w:pPr>
                    <w:pStyle w:val="34"/>
                    <w:bidi w:val="0"/>
                    <w:jc w:val="center"/>
                    <w:rPr>
                      <w:rFonts w:hint="default" w:ascii="Times New Roman" w:hAnsi="Times New Roman" w:eastAsia="宋体"/>
                      <w:color w:val="auto"/>
                      <w:sz w:val="21"/>
                      <w:highlight w:val="none"/>
                    </w:rPr>
                  </w:pPr>
                </w:p>
              </w:tc>
              <w:tc>
                <w:tcPr>
                  <w:tcW w:w="969" w:type="pct"/>
                  <w:gridSpan w:val="3"/>
                  <w:shd w:val="clear" w:color="auto" w:fill="auto"/>
                  <w:noWrap w:val="0"/>
                  <w:vAlign w:val="center"/>
                </w:tcPr>
                <w:p w14:paraId="1C1ECBEF">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供热</w:t>
                  </w:r>
                </w:p>
              </w:tc>
              <w:tc>
                <w:tcPr>
                  <w:tcW w:w="3286" w:type="pct"/>
                  <w:shd w:val="clear" w:color="auto" w:fill="auto"/>
                  <w:noWrap w:val="0"/>
                  <w:vAlign w:val="center"/>
                </w:tcPr>
                <w:p w14:paraId="69F0A718">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采用空气能进行供热。</w:t>
                  </w:r>
                </w:p>
              </w:tc>
              <w:tc>
                <w:tcPr>
                  <w:tcW w:w="370" w:type="pct"/>
                  <w:shd w:val="clear" w:color="auto" w:fill="auto"/>
                  <w:noWrap w:val="0"/>
                  <w:vAlign w:val="center"/>
                </w:tcPr>
                <w:p w14:paraId="4653C2BA">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w:t>
                  </w:r>
                </w:p>
              </w:tc>
            </w:tr>
            <w:tr w14:paraId="321A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restart"/>
                  <w:noWrap w:val="0"/>
                  <w:vAlign w:val="center"/>
                </w:tcPr>
                <w:p w14:paraId="05D4A432">
                  <w:pPr>
                    <w:pStyle w:val="34"/>
                    <w:bidi w:val="0"/>
                    <w:jc w:val="center"/>
                    <w:rPr>
                      <w:rFonts w:hint="default" w:ascii="Times New Roman" w:hAnsi="Times New Roman" w:eastAsia="宋体"/>
                      <w:color w:val="auto"/>
                      <w:sz w:val="21"/>
                      <w:highlight w:val="none"/>
                    </w:rPr>
                  </w:pPr>
                  <w:r>
                    <w:rPr>
                      <w:rFonts w:hint="default" w:ascii="Times New Roman" w:hAnsi="Times New Roman" w:eastAsia="宋体"/>
                      <w:color w:val="auto"/>
                      <w:sz w:val="21"/>
                      <w:highlight w:val="none"/>
                    </w:rPr>
                    <w:t>环保工程</w:t>
                  </w:r>
                </w:p>
              </w:tc>
              <w:tc>
                <w:tcPr>
                  <w:tcW w:w="255" w:type="pct"/>
                  <w:vMerge w:val="restart"/>
                  <w:noWrap w:val="0"/>
                  <w:vAlign w:val="center"/>
                </w:tcPr>
                <w:p w14:paraId="5735F4F4">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大气</w:t>
                  </w:r>
                </w:p>
              </w:tc>
              <w:tc>
                <w:tcPr>
                  <w:tcW w:w="221" w:type="pct"/>
                  <w:noWrap w:val="0"/>
                  <w:vAlign w:val="center"/>
                </w:tcPr>
                <w:p w14:paraId="0FD386C4">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水洗砂生产线</w:t>
                  </w:r>
                </w:p>
              </w:tc>
              <w:tc>
                <w:tcPr>
                  <w:tcW w:w="492" w:type="pct"/>
                  <w:noWrap w:val="0"/>
                  <w:vAlign w:val="center"/>
                </w:tcPr>
                <w:p w14:paraId="24B42FD1">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上料</w:t>
                  </w:r>
                </w:p>
              </w:tc>
              <w:tc>
                <w:tcPr>
                  <w:tcW w:w="3286" w:type="pct"/>
                  <w:noWrap w:val="0"/>
                  <w:vAlign w:val="center"/>
                </w:tcPr>
                <w:p w14:paraId="53D55284">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上料口处设置集气罩，废气经布袋除尘器（TA001）处理后，通过一根</w:t>
                  </w:r>
                  <w:r>
                    <w:rPr>
                      <w:rFonts w:hint="eastAsia"/>
                      <w:color w:val="auto"/>
                      <w:sz w:val="21"/>
                      <w:highlight w:val="none"/>
                      <w:lang w:val="en-US" w:eastAsia="zh-CN"/>
                    </w:rPr>
                    <w:t>26</w:t>
                  </w:r>
                  <w:r>
                    <w:rPr>
                      <w:rFonts w:hint="eastAsia" w:ascii="Times New Roman" w:hAnsi="Times New Roman" w:eastAsia="宋体"/>
                      <w:color w:val="auto"/>
                      <w:sz w:val="21"/>
                      <w:highlight w:val="none"/>
                      <w:lang w:val="en-US" w:eastAsia="zh-CN"/>
                    </w:rPr>
                    <w:t>m高的排气筒（DA001）排放。</w:t>
                  </w:r>
                </w:p>
              </w:tc>
              <w:tc>
                <w:tcPr>
                  <w:tcW w:w="370" w:type="pct"/>
                  <w:noWrap w:val="0"/>
                  <w:vAlign w:val="center"/>
                </w:tcPr>
                <w:p w14:paraId="23092DC7">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s="宋体"/>
                      <w:color w:val="auto"/>
                      <w:kern w:val="2"/>
                      <w:sz w:val="21"/>
                      <w:szCs w:val="21"/>
                      <w:highlight w:val="none"/>
                      <w:lang w:val="en-US" w:eastAsia="zh-CN" w:bidi="ar"/>
                    </w:rPr>
                    <w:t>新建</w:t>
                  </w:r>
                </w:p>
              </w:tc>
            </w:tr>
            <w:tr w14:paraId="4363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76F4D1C4">
                  <w:pPr>
                    <w:pStyle w:val="34"/>
                    <w:bidi w:val="0"/>
                    <w:jc w:val="center"/>
                    <w:rPr>
                      <w:rFonts w:hint="default" w:ascii="Times New Roman" w:hAnsi="Times New Roman" w:eastAsia="宋体"/>
                      <w:color w:val="auto"/>
                      <w:sz w:val="21"/>
                      <w:highlight w:val="none"/>
                    </w:rPr>
                  </w:pPr>
                </w:p>
              </w:tc>
              <w:tc>
                <w:tcPr>
                  <w:tcW w:w="255" w:type="pct"/>
                  <w:vMerge w:val="continue"/>
                  <w:noWrap w:val="0"/>
                  <w:vAlign w:val="center"/>
                </w:tcPr>
                <w:p w14:paraId="551E66B6">
                  <w:pPr>
                    <w:pStyle w:val="34"/>
                    <w:bidi w:val="0"/>
                    <w:jc w:val="center"/>
                    <w:rPr>
                      <w:rFonts w:hint="default" w:ascii="Times New Roman" w:hAnsi="Times New Roman" w:eastAsia="宋体"/>
                      <w:color w:val="auto"/>
                      <w:sz w:val="21"/>
                      <w:highlight w:val="none"/>
                      <w:lang w:val="en-US" w:eastAsia="zh-CN"/>
                    </w:rPr>
                  </w:pPr>
                </w:p>
              </w:tc>
              <w:tc>
                <w:tcPr>
                  <w:tcW w:w="221" w:type="pct"/>
                  <w:vMerge w:val="restart"/>
                  <w:noWrap w:val="0"/>
                  <w:vAlign w:val="center"/>
                </w:tcPr>
                <w:p w14:paraId="78CE8CF1">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水稳料生产线</w:t>
                  </w:r>
                </w:p>
              </w:tc>
              <w:tc>
                <w:tcPr>
                  <w:tcW w:w="492" w:type="pct"/>
                  <w:noWrap w:val="0"/>
                  <w:vAlign w:val="center"/>
                </w:tcPr>
                <w:p w14:paraId="761C88AA">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上料</w:t>
                  </w:r>
                </w:p>
              </w:tc>
              <w:tc>
                <w:tcPr>
                  <w:tcW w:w="3286" w:type="pct"/>
                  <w:noWrap w:val="0"/>
                  <w:vAlign w:val="center"/>
                </w:tcPr>
                <w:p w14:paraId="3210C734">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上料口处设置集气罩，废气经布袋除尘器（TA002）处理后，通过一根</w:t>
                  </w:r>
                  <w:r>
                    <w:rPr>
                      <w:rFonts w:hint="eastAsia"/>
                      <w:color w:val="auto"/>
                      <w:sz w:val="21"/>
                      <w:highlight w:val="none"/>
                      <w:lang w:val="en-US" w:eastAsia="zh-CN"/>
                    </w:rPr>
                    <w:t>26</w:t>
                  </w:r>
                  <w:r>
                    <w:rPr>
                      <w:rFonts w:hint="eastAsia" w:ascii="Times New Roman" w:hAnsi="Times New Roman" w:eastAsia="宋体"/>
                      <w:color w:val="auto"/>
                      <w:sz w:val="21"/>
                      <w:highlight w:val="none"/>
                      <w:lang w:val="en-US" w:eastAsia="zh-CN"/>
                    </w:rPr>
                    <w:t>m高的排气筒（DA002）排放。</w:t>
                  </w:r>
                </w:p>
              </w:tc>
              <w:tc>
                <w:tcPr>
                  <w:tcW w:w="370" w:type="pct"/>
                  <w:noWrap w:val="0"/>
                  <w:vAlign w:val="center"/>
                </w:tcPr>
                <w:p w14:paraId="3F2D5ECB">
                  <w:pPr>
                    <w:pStyle w:val="34"/>
                    <w:bidi w:val="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新建</w:t>
                  </w:r>
                </w:p>
              </w:tc>
            </w:tr>
            <w:tr w14:paraId="2914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6D7B01A9">
                  <w:pPr>
                    <w:pStyle w:val="34"/>
                    <w:bidi w:val="0"/>
                    <w:jc w:val="center"/>
                    <w:rPr>
                      <w:rFonts w:hint="default" w:ascii="Times New Roman" w:hAnsi="Times New Roman" w:eastAsia="宋体"/>
                      <w:color w:val="auto"/>
                      <w:sz w:val="21"/>
                      <w:highlight w:val="none"/>
                    </w:rPr>
                  </w:pPr>
                </w:p>
              </w:tc>
              <w:tc>
                <w:tcPr>
                  <w:tcW w:w="255" w:type="pct"/>
                  <w:vMerge w:val="continue"/>
                  <w:noWrap w:val="0"/>
                  <w:vAlign w:val="center"/>
                </w:tcPr>
                <w:p w14:paraId="46BE7064">
                  <w:pPr>
                    <w:pStyle w:val="34"/>
                    <w:bidi w:val="0"/>
                    <w:jc w:val="center"/>
                    <w:rPr>
                      <w:rFonts w:hint="default" w:ascii="Times New Roman" w:hAnsi="Times New Roman" w:eastAsia="宋体"/>
                      <w:color w:val="auto"/>
                      <w:sz w:val="21"/>
                      <w:highlight w:val="none"/>
                      <w:lang w:val="en-US" w:eastAsia="zh-CN"/>
                    </w:rPr>
                  </w:pPr>
                </w:p>
              </w:tc>
              <w:tc>
                <w:tcPr>
                  <w:tcW w:w="221" w:type="pct"/>
                  <w:vMerge w:val="continue"/>
                  <w:noWrap w:val="0"/>
                  <w:vAlign w:val="center"/>
                </w:tcPr>
                <w:p w14:paraId="4774058B">
                  <w:pPr>
                    <w:pStyle w:val="34"/>
                    <w:bidi w:val="0"/>
                    <w:jc w:val="center"/>
                    <w:rPr>
                      <w:rFonts w:hint="default" w:ascii="Times New Roman" w:hAnsi="Times New Roman" w:eastAsia="宋体"/>
                      <w:color w:val="auto"/>
                      <w:sz w:val="21"/>
                      <w:highlight w:val="none"/>
                      <w:lang w:val="en-US" w:eastAsia="zh-CN"/>
                    </w:rPr>
                  </w:pPr>
                </w:p>
              </w:tc>
              <w:tc>
                <w:tcPr>
                  <w:tcW w:w="492" w:type="pct"/>
                  <w:noWrap w:val="0"/>
                  <w:vAlign w:val="center"/>
                </w:tcPr>
                <w:p w14:paraId="3D5AA5EF">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搅拌机进料</w:t>
                  </w:r>
                </w:p>
              </w:tc>
              <w:tc>
                <w:tcPr>
                  <w:tcW w:w="3286" w:type="pct"/>
                  <w:noWrap w:val="0"/>
                  <w:vAlign w:val="center"/>
                </w:tcPr>
                <w:p w14:paraId="598C3070">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在搅拌机进料口上方设置</w:t>
                  </w:r>
                  <w:r>
                    <w:rPr>
                      <w:rFonts w:hint="eastAsia" w:ascii="Times New Roman" w:hAnsi="Times New Roman" w:eastAsia="宋体" w:cs="Times New Roman"/>
                      <w:color w:val="auto"/>
                      <w:sz w:val="21"/>
                      <w:szCs w:val="21"/>
                      <w:highlight w:val="none"/>
                      <w:lang w:val="en-US" w:eastAsia="zh-CN"/>
                    </w:rPr>
                    <w:t>集气罩，废气经收集后和上料口共用1套布袋除尘器（TA002）处理，后通过一根</w:t>
                  </w:r>
                  <w:r>
                    <w:rPr>
                      <w:rFonts w:hint="eastAsia" w:cs="Times New Roman"/>
                      <w:color w:val="auto"/>
                      <w:sz w:val="21"/>
                      <w:szCs w:val="21"/>
                      <w:highlight w:val="none"/>
                      <w:lang w:val="en-US" w:eastAsia="zh-CN"/>
                    </w:rPr>
                    <w:t>26</w:t>
                  </w:r>
                  <w:r>
                    <w:rPr>
                      <w:rFonts w:hint="eastAsia" w:ascii="Times New Roman" w:hAnsi="Times New Roman" w:eastAsia="宋体" w:cs="Times New Roman"/>
                      <w:color w:val="auto"/>
                      <w:sz w:val="21"/>
                      <w:szCs w:val="21"/>
                      <w:highlight w:val="none"/>
                      <w:lang w:val="en-US" w:eastAsia="zh-CN"/>
                    </w:rPr>
                    <w:t>m高排气筒（DA002）排放。</w:t>
                  </w:r>
                </w:p>
              </w:tc>
              <w:tc>
                <w:tcPr>
                  <w:tcW w:w="370" w:type="pct"/>
                  <w:noWrap w:val="0"/>
                  <w:vAlign w:val="center"/>
                </w:tcPr>
                <w:p w14:paraId="7414BD82">
                  <w:pPr>
                    <w:pStyle w:val="34"/>
                    <w:bidi w:val="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新建</w:t>
                  </w:r>
                </w:p>
              </w:tc>
            </w:tr>
            <w:tr w14:paraId="7DCA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6BDA4084">
                  <w:pPr>
                    <w:pStyle w:val="34"/>
                    <w:bidi w:val="0"/>
                    <w:jc w:val="center"/>
                    <w:rPr>
                      <w:rFonts w:hint="default" w:ascii="Times New Roman" w:hAnsi="Times New Roman" w:eastAsia="宋体"/>
                      <w:color w:val="auto"/>
                      <w:sz w:val="21"/>
                      <w:highlight w:val="none"/>
                    </w:rPr>
                  </w:pPr>
                </w:p>
              </w:tc>
              <w:tc>
                <w:tcPr>
                  <w:tcW w:w="255" w:type="pct"/>
                  <w:vMerge w:val="continue"/>
                  <w:noWrap w:val="0"/>
                  <w:vAlign w:val="center"/>
                </w:tcPr>
                <w:p w14:paraId="56D637F8">
                  <w:pPr>
                    <w:pStyle w:val="34"/>
                    <w:bidi w:val="0"/>
                    <w:jc w:val="center"/>
                    <w:rPr>
                      <w:rFonts w:hint="default" w:ascii="Times New Roman" w:hAnsi="Times New Roman" w:eastAsia="宋体"/>
                      <w:color w:val="auto"/>
                      <w:sz w:val="21"/>
                      <w:highlight w:val="none"/>
                      <w:lang w:val="en-US" w:eastAsia="zh-CN"/>
                    </w:rPr>
                  </w:pPr>
                </w:p>
              </w:tc>
              <w:tc>
                <w:tcPr>
                  <w:tcW w:w="221" w:type="pct"/>
                  <w:vMerge w:val="restart"/>
                  <w:noWrap w:val="0"/>
                  <w:vAlign w:val="center"/>
                </w:tcPr>
                <w:p w14:paraId="4715308A">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湿拌砂浆生产线</w:t>
                  </w:r>
                </w:p>
              </w:tc>
              <w:tc>
                <w:tcPr>
                  <w:tcW w:w="492" w:type="pct"/>
                  <w:noWrap w:val="0"/>
                  <w:vAlign w:val="center"/>
                </w:tcPr>
                <w:p w14:paraId="5A4735B4">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上料</w:t>
                  </w:r>
                </w:p>
              </w:tc>
              <w:tc>
                <w:tcPr>
                  <w:tcW w:w="3286" w:type="pct"/>
                  <w:noWrap w:val="0"/>
                  <w:vAlign w:val="center"/>
                </w:tcPr>
                <w:p w14:paraId="1A89A817">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上料口处设置集气罩，废气经布袋除尘器（TA003）处理后，通过一根</w:t>
                  </w:r>
                  <w:r>
                    <w:rPr>
                      <w:rFonts w:hint="eastAsia"/>
                      <w:color w:val="auto"/>
                      <w:sz w:val="21"/>
                      <w:highlight w:val="none"/>
                      <w:lang w:val="en-US" w:eastAsia="zh-CN"/>
                    </w:rPr>
                    <w:t>26</w:t>
                  </w:r>
                  <w:r>
                    <w:rPr>
                      <w:rFonts w:hint="eastAsia" w:ascii="Times New Roman" w:hAnsi="Times New Roman" w:eastAsia="宋体"/>
                      <w:color w:val="auto"/>
                      <w:sz w:val="21"/>
                      <w:highlight w:val="none"/>
                      <w:lang w:val="en-US" w:eastAsia="zh-CN"/>
                    </w:rPr>
                    <w:t>m高的排气筒（DA003）排放。</w:t>
                  </w:r>
                </w:p>
              </w:tc>
              <w:tc>
                <w:tcPr>
                  <w:tcW w:w="370" w:type="pct"/>
                  <w:noWrap w:val="0"/>
                  <w:vAlign w:val="center"/>
                </w:tcPr>
                <w:p w14:paraId="027C147E">
                  <w:pPr>
                    <w:pStyle w:val="34"/>
                    <w:bidi w:val="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新建</w:t>
                  </w:r>
                </w:p>
              </w:tc>
            </w:tr>
            <w:tr w14:paraId="584F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2FE85602">
                  <w:pPr>
                    <w:pStyle w:val="34"/>
                    <w:bidi w:val="0"/>
                    <w:jc w:val="center"/>
                    <w:rPr>
                      <w:rFonts w:hint="default" w:ascii="Times New Roman" w:hAnsi="Times New Roman" w:eastAsia="宋体"/>
                      <w:color w:val="auto"/>
                      <w:sz w:val="21"/>
                      <w:highlight w:val="none"/>
                    </w:rPr>
                  </w:pPr>
                </w:p>
              </w:tc>
              <w:tc>
                <w:tcPr>
                  <w:tcW w:w="255" w:type="pct"/>
                  <w:vMerge w:val="continue"/>
                  <w:noWrap w:val="0"/>
                  <w:vAlign w:val="center"/>
                </w:tcPr>
                <w:p w14:paraId="5FCFB221">
                  <w:pPr>
                    <w:pStyle w:val="34"/>
                    <w:bidi w:val="0"/>
                    <w:jc w:val="center"/>
                    <w:rPr>
                      <w:rFonts w:hint="default" w:ascii="Times New Roman" w:hAnsi="Times New Roman" w:eastAsia="宋体"/>
                      <w:color w:val="auto"/>
                      <w:sz w:val="21"/>
                      <w:highlight w:val="none"/>
                      <w:lang w:val="en-US" w:eastAsia="zh-CN"/>
                    </w:rPr>
                  </w:pPr>
                </w:p>
              </w:tc>
              <w:tc>
                <w:tcPr>
                  <w:tcW w:w="221" w:type="pct"/>
                  <w:vMerge w:val="continue"/>
                  <w:noWrap w:val="0"/>
                  <w:vAlign w:val="center"/>
                </w:tcPr>
                <w:p w14:paraId="6AD18E52">
                  <w:pPr>
                    <w:pStyle w:val="34"/>
                    <w:bidi w:val="0"/>
                    <w:jc w:val="center"/>
                    <w:rPr>
                      <w:rFonts w:hint="default" w:ascii="Times New Roman" w:hAnsi="Times New Roman" w:eastAsia="宋体"/>
                      <w:color w:val="auto"/>
                      <w:sz w:val="21"/>
                      <w:highlight w:val="none"/>
                      <w:lang w:val="en-US" w:eastAsia="zh-CN"/>
                    </w:rPr>
                  </w:pPr>
                </w:p>
              </w:tc>
              <w:tc>
                <w:tcPr>
                  <w:tcW w:w="492" w:type="pct"/>
                  <w:noWrap w:val="0"/>
                  <w:vAlign w:val="center"/>
                </w:tcPr>
                <w:p w14:paraId="4ACBD152">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水泥料仓、粉煤灰料仓</w:t>
                  </w:r>
                </w:p>
              </w:tc>
              <w:tc>
                <w:tcPr>
                  <w:tcW w:w="3286" w:type="pct"/>
                  <w:noWrap w:val="0"/>
                  <w:vAlign w:val="center"/>
                </w:tcPr>
                <w:p w14:paraId="3EF56163">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分别经一套仓顶布袋除尘器（TA004-TA005）处理后，分别通过一根15m高的排气筒（DA004-DA005）排放。</w:t>
                  </w:r>
                </w:p>
              </w:tc>
              <w:tc>
                <w:tcPr>
                  <w:tcW w:w="370" w:type="pct"/>
                  <w:noWrap w:val="0"/>
                  <w:vAlign w:val="center"/>
                </w:tcPr>
                <w:p w14:paraId="08A610EB">
                  <w:pPr>
                    <w:pStyle w:val="34"/>
                    <w:bidi w:val="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新建</w:t>
                  </w:r>
                </w:p>
              </w:tc>
            </w:tr>
            <w:tr w14:paraId="5CE7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604AE220">
                  <w:pPr>
                    <w:pStyle w:val="34"/>
                    <w:bidi w:val="0"/>
                    <w:jc w:val="center"/>
                    <w:rPr>
                      <w:rFonts w:hint="default" w:ascii="Times New Roman" w:hAnsi="Times New Roman" w:eastAsia="宋体"/>
                      <w:color w:val="auto"/>
                      <w:sz w:val="21"/>
                      <w:highlight w:val="none"/>
                    </w:rPr>
                  </w:pPr>
                </w:p>
              </w:tc>
              <w:tc>
                <w:tcPr>
                  <w:tcW w:w="255" w:type="pct"/>
                  <w:vMerge w:val="continue"/>
                  <w:noWrap w:val="0"/>
                  <w:vAlign w:val="center"/>
                </w:tcPr>
                <w:p w14:paraId="7B89E13F">
                  <w:pPr>
                    <w:pStyle w:val="34"/>
                    <w:bidi w:val="0"/>
                    <w:jc w:val="center"/>
                    <w:rPr>
                      <w:rFonts w:hint="default" w:ascii="Times New Roman" w:hAnsi="Times New Roman" w:eastAsia="宋体"/>
                      <w:color w:val="auto"/>
                      <w:sz w:val="21"/>
                      <w:highlight w:val="none"/>
                      <w:lang w:val="en-US" w:eastAsia="zh-CN"/>
                    </w:rPr>
                  </w:pPr>
                </w:p>
              </w:tc>
              <w:tc>
                <w:tcPr>
                  <w:tcW w:w="221" w:type="pct"/>
                  <w:vMerge w:val="continue"/>
                  <w:noWrap w:val="0"/>
                  <w:vAlign w:val="center"/>
                </w:tcPr>
                <w:p w14:paraId="1AFE8B3B">
                  <w:pPr>
                    <w:pStyle w:val="34"/>
                    <w:bidi w:val="0"/>
                    <w:jc w:val="center"/>
                    <w:rPr>
                      <w:rFonts w:hint="default" w:ascii="Times New Roman" w:hAnsi="Times New Roman" w:eastAsia="宋体"/>
                      <w:color w:val="auto"/>
                      <w:sz w:val="21"/>
                      <w:highlight w:val="none"/>
                      <w:lang w:val="en-US" w:eastAsia="zh-CN"/>
                    </w:rPr>
                  </w:pPr>
                </w:p>
              </w:tc>
              <w:tc>
                <w:tcPr>
                  <w:tcW w:w="492" w:type="pct"/>
                  <w:noWrap w:val="0"/>
                  <w:vAlign w:val="center"/>
                </w:tcPr>
                <w:p w14:paraId="43845B4A">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搅拌机进料</w:t>
                  </w:r>
                </w:p>
              </w:tc>
              <w:tc>
                <w:tcPr>
                  <w:tcW w:w="3286" w:type="pct"/>
                  <w:noWrap w:val="0"/>
                  <w:vAlign w:val="center"/>
                </w:tcPr>
                <w:p w14:paraId="41B785D8">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在搅拌机进料口上方设置</w:t>
                  </w:r>
                  <w:r>
                    <w:rPr>
                      <w:rFonts w:hint="eastAsia" w:ascii="Times New Roman" w:hAnsi="Times New Roman" w:eastAsia="宋体" w:cs="Times New Roman"/>
                      <w:color w:val="auto"/>
                      <w:sz w:val="21"/>
                      <w:szCs w:val="21"/>
                      <w:highlight w:val="none"/>
                      <w:lang w:val="en-US" w:eastAsia="zh-CN"/>
                    </w:rPr>
                    <w:t>集气罩，废气经收集后和上料口共用1套布袋除尘器（TA003）处理，后通过一根</w:t>
                  </w:r>
                  <w:r>
                    <w:rPr>
                      <w:rFonts w:hint="eastAsia" w:cs="Times New Roman"/>
                      <w:color w:val="auto"/>
                      <w:sz w:val="21"/>
                      <w:szCs w:val="21"/>
                      <w:highlight w:val="none"/>
                      <w:lang w:val="en-US" w:eastAsia="zh-CN"/>
                    </w:rPr>
                    <w:t>26</w:t>
                  </w:r>
                  <w:r>
                    <w:rPr>
                      <w:rFonts w:hint="eastAsia" w:ascii="Times New Roman" w:hAnsi="Times New Roman" w:eastAsia="宋体" w:cs="Times New Roman"/>
                      <w:color w:val="auto"/>
                      <w:sz w:val="21"/>
                      <w:szCs w:val="21"/>
                      <w:highlight w:val="none"/>
                      <w:lang w:val="en-US" w:eastAsia="zh-CN"/>
                    </w:rPr>
                    <w:t>m高排气筒（DA003）排放。</w:t>
                  </w:r>
                </w:p>
              </w:tc>
              <w:tc>
                <w:tcPr>
                  <w:tcW w:w="370" w:type="pct"/>
                  <w:noWrap w:val="0"/>
                  <w:vAlign w:val="center"/>
                </w:tcPr>
                <w:p w14:paraId="42D79A54">
                  <w:pPr>
                    <w:pStyle w:val="34"/>
                    <w:bidi w:val="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新建</w:t>
                  </w:r>
                </w:p>
              </w:tc>
            </w:tr>
            <w:tr w14:paraId="79E6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20BA4943">
                  <w:pPr>
                    <w:pStyle w:val="34"/>
                    <w:bidi w:val="0"/>
                    <w:jc w:val="center"/>
                    <w:rPr>
                      <w:rFonts w:hint="default" w:ascii="Times New Roman" w:hAnsi="Times New Roman" w:eastAsia="宋体"/>
                      <w:color w:val="auto"/>
                      <w:sz w:val="21"/>
                      <w:highlight w:val="none"/>
                    </w:rPr>
                  </w:pPr>
                </w:p>
              </w:tc>
              <w:tc>
                <w:tcPr>
                  <w:tcW w:w="255" w:type="pct"/>
                  <w:vMerge w:val="continue"/>
                  <w:noWrap w:val="0"/>
                  <w:vAlign w:val="center"/>
                </w:tcPr>
                <w:p w14:paraId="1EDB1FC6">
                  <w:pPr>
                    <w:pStyle w:val="34"/>
                    <w:bidi w:val="0"/>
                    <w:jc w:val="center"/>
                    <w:rPr>
                      <w:rFonts w:hint="default" w:ascii="Times New Roman" w:hAnsi="Times New Roman" w:eastAsia="宋体"/>
                      <w:color w:val="auto"/>
                      <w:sz w:val="21"/>
                      <w:highlight w:val="none"/>
                      <w:lang w:val="en-US" w:eastAsia="zh-CN"/>
                    </w:rPr>
                  </w:pPr>
                </w:p>
              </w:tc>
              <w:tc>
                <w:tcPr>
                  <w:tcW w:w="221" w:type="pct"/>
                  <w:vMerge w:val="restart"/>
                  <w:noWrap w:val="0"/>
                  <w:vAlign w:val="center"/>
                </w:tcPr>
                <w:p w14:paraId="264F1C68">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预制构件生产线</w:t>
                  </w:r>
                </w:p>
              </w:tc>
              <w:tc>
                <w:tcPr>
                  <w:tcW w:w="492" w:type="pct"/>
                  <w:shd w:val="clear" w:color="auto" w:fill="auto"/>
                  <w:noWrap w:val="0"/>
                  <w:vAlign w:val="center"/>
                </w:tcPr>
                <w:p w14:paraId="52E73C0C">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上料</w:t>
                  </w:r>
                </w:p>
              </w:tc>
              <w:tc>
                <w:tcPr>
                  <w:tcW w:w="3286" w:type="pct"/>
                  <w:shd w:val="clear" w:color="auto" w:fill="auto"/>
                  <w:noWrap w:val="0"/>
                  <w:vAlign w:val="center"/>
                </w:tcPr>
                <w:p w14:paraId="01F128EE">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上料口处设置集气罩，废气经布袋除尘器（TA006）处理后，通过一根15m高的排气筒（DA006）排放。</w:t>
                  </w:r>
                </w:p>
              </w:tc>
              <w:tc>
                <w:tcPr>
                  <w:tcW w:w="370" w:type="pct"/>
                  <w:shd w:val="clear" w:color="auto" w:fill="auto"/>
                  <w:noWrap w:val="0"/>
                  <w:vAlign w:val="center"/>
                </w:tcPr>
                <w:p w14:paraId="7E3454EA">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新建</w:t>
                  </w:r>
                </w:p>
              </w:tc>
            </w:tr>
            <w:tr w14:paraId="1872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2F45896B">
                  <w:pPr>
                    <w:pStyle w:val="34"/>
                    <w:bidi w:val="0"/>
                    <w:jc w:val="center"/>
                    <w:rPr>
                      <w:rFonts w:hint="default" w:ascii="Times New Roman" w:hAnsi="Times New Roman" w:eastAsia="宋体"/>
                      <w:color w:val="auto"/>
                      <w:sz w:val="21"/>
                      <w:highlight w:val="none"/>
                    </w:rPr>
                  </w:pPr>
                </w:p>
              </w:tc>
              <w:tc>
                <w:tcPr>
                  <w:tcW w:w="255" w:type="pct"/>
                  <w:vMerge w:val="continue"/>
                  <w:noWrap w:val="0"/>
                  <w:vAlign w:val="center"/>
                </w:tcPr>
                <w:p w14:paraId="1AF0B2B5">
                  <w:pPr>
                    <w:pStyle w:val="34"/>
                    <w:bidi w:val="0"/>
                    <w:jc w:val="center"/>
                    <w:rPr>
                      <w:rFonts w:hint="default" w:ascii="Times New Roman" w:hAnsi="Times New Roman" w:eastAsia="宋体"/>
                      <w:color w:val="auto"/>
                      <w:sz w:val="21"/>
                      <w:highlight w:val="none"/>
                      <w:lang w:val="en-US" w:eastAsia="zh-CN"/>
                    </w:rPr>
                  </w:pPr>
                </w:p>
              </w:tc>
              <w:tc>
                <w:tcPr>
                  <w:tcW w:w="221" w:type="pct"/>
                  <w:vMerge w:val="continue"/>
                  <w:noWrap w:val="0"/>
                  <w:vAlign w:val="center"/>
                </w:tcPr>
                <w:p w14:paraId="67114A5B">
                  <w:pPr>
                    <w:pStyle w:val="34"/>
                    <w:bidi w:val="0"/>
                    <w:jc w:val="center"/>
                    <w:rPr>
                      <w:rFonts w:hint="default" w:ascii="Times New Roman" w:hAnsi="Times New Roman" w:eastAsia="宋体"/>
                      <w:color w:val="auto"/>
                      <w:sz w:val="21"/>
                      <w:highlight w:val="none"/>
                      <w:lang w:val="en-US" w:eastAsia="zh-CN"/>
                    </w:rPr>
                  </w:pPr>
                </w:p>
              </w:tc>
              <w:tc>
                <w:tcPr>
                  <w:tcW w:w="492" w:type="pct"/>
                  <w:shd w:val="clear" w:color="auto" w:fill="auto"/>
                  <w:noWrap w:val="0"/>
                  <w:vAlign w:val="center"/>
                </w:tcPr>
                <w:p w14:paraId="4A873C26">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水泥料仓、粉煤灰料仓</w:t>
                  </w:r>
                </w:p>
              </w:tc>
              <w:tc>
                <w:tcPr>
                  <w:tcW w:w="3286" w:type="pct"/>
                  <w:shd w:val="clear" w:color="auto" w:fill="auto"/>
                  <w:noWrap w:val="0"/>
                  <w:vAlign w:val="center"/>
                </w:tcPr>
                <w:p w14:paraId="55091930">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分别经一套仓顶布袋除尘器（TA007-TA008）处理后，分别通过一根15m高的排气筒（DA007-DA008）排放。</w:t>
                  </w:r>
                </w:p>
              </w:tc>
              <w:tc>
                <w:tcPr>
                  <w:tcW w:w="370" w:type="pct"/>
                  <w:shd w:val="clear" w:color="auto" w:fill="auto"/>
                  <w:noWrap w:val="0"/>
                  <w:vAlign w:val="center"/>
                </w:tcPr>
                <w:p w14:paraId="7F5DCDA8">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新建</w:t>
                  </w:r>
                </w:p>
              </w:tc>
            </w:tr>
            <w:tr w14:paraId="0C06E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12018AEE">
                  <w:pPr>
                    <w:pStyle w:val="34"/>
                    <w:bidi w:val="0"/>
                    <w:jc w:val="center"/>
                    <w:rPr>
                      <w:rFonts w:hint="default" w:ascii="Times New Roman" w:hAnsi="Times New Roman" w:eastAsia="宋体"/>
                      <w:color w:val="auto"/>
                      <w:sz w:val="21"/>
                      <w:highlight w:val="none"/>
                    </w:rPr>
                  </w:pPr>
                </w:p>
              </w:tc>
              <w:tc>
                <w:tcPr>
                  <w:tcW w:w="255" w:type="pct"/>
                  <w:vMerge w:val="continue"/>
                  <w:noWrap w:val="0"/>
                  <w:vAlign w:val="center"/>
                </w:tcPr>
                <w:p w14:paraId="42010FBA">
                  <w:pPr>
                    <w:pStyle w:val="34"/>
                    <w:bidi w:val="0"/>
                    <w:jc w:val="center"/>
                    <w:rPr>
                      <w:rFonts w:hint="default" w:ascii="Times New Roman" w:hAnsi="Times New Roman" w:eastAsia="宋体"/>
                      <w:color w:val="auto"/>
                      <w:sz w:val="21"/>
                      <w:highlight w:val="none"/>
                      <w:lang w:val="en-US" w:eastAsia="zh-CN"/>
                    </w:rPr>
                  </w:pPr>
                </w:p>
              </w:tc>
              <w:tc>
                <w:tcPr>
                  <w:tcW w:w="221" w:type="pct"/>
                  <w:vMerge w:val="continue"/>
                  <w:noWrap w:val="0"/>
                  <w:vAlign w:val="center"/>
                </w:tcPr>
                <w:p w14:paraId="6A326DC1">
                  <w:pPr>
                    <w:pStyle w:val="34"/>
                    <w:bidi w:val="0"/>
                    <w:jc w:val="center"/>
                    <w:rPr>
                      <w:rFonts w:hint="default" w:ascii="Times New Roman" w:hAnsi="Times New Roman" w:eastAsia="宋体"/>
                      <w:color w:val="auto"/>
                      <w:sz w:val="21"/>
                      <w:highlight w:val="none"/>
                      <w:lang w:val="en-US" w:eastAsia="zh-CN"/>
                    </w:rPr>
                  </w:pPr>
                </w:p>
              </w:tc>
              <w:tc>
                <w:tcPr>
                  <w:tcW w:w="492" w:type="pct"/>
                  <w:noWrap w:val="0"/>
                  <w:vAlign w:val="center"/>
                </w:tcPr>
                <w:p w14:paraId="3C274E95">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搅拌机进料</w:t>
                  </w:r>
                </w:p>
              </w:tc>
              <w:tc>
                <w:tcPr>
                  <w:tcW w:w="3286" w:type="pct"/>
                  <w:noWrap w:val="0"/>
                  <w:vAlign w:val="center"/>
                </w:tcPr>
                <w:p w14:paraId="1212698A">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在搅拌机进料口上方设置</w:t>
                  </w:r>
                  <w:r>
                    <w:rPr>
                      <w:rFonts w:hint="eastAsia" w:ascii="Times New Roman" w:hAnsi="Times New Roman" w:eastAsia="宋体" w:cs="Times New Roman"/>
                      <w:color w:val="auto"/>
                      <w:sz w:val="21"/>
                      <w:szCs w:val="21"/>
                      <w:highlight w:val="none"/>
                      <w:lang w:val="en-US" w:eastAsia="zh-CN"/>
                    </w:rPr>
                    <w:t>集气罩，废气经收集后和上料口共用1套布袋除尘器（TA006）处理，后通过一根15m高排气筒（DA006）排放。</w:t>
                  </w:r>
                </w:p>
              </w:tc>
              <w:tc>
                <w:tcPr>
                  <w:tcW w:w="370" w:type="pct"/>
                  <w:shd w:val="clear" w:color="auto" w:fill="auto"/>
                  <w:noWrap w:val="0"/>
                  <w:vAlign w:val="center"/>
                </w:tcPr>
                <w:p w14:paraId="259D3B7A">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新建</w:t>
                  </w:r>
                </w:p>
              </w:tc>
            </w:tr>
            <w:tr w14:paraId="611E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7F2ABDC5">
                  <w:pPr>
                    <w:pStyle w:val="34"/>
                    <w:bidi w:val="0"/>
                    <w:jc w:val="center"/>
                    <w:rPr>
                      <w:rFonts w:hint="default" w:ascii="Times New Roman" w:hAnsi="Times New Roman" w:eastAsia="宋体"/>
                      <w:color w:val="auto"/>
                      <w:sz w:val="21"/>
                      <w:highlight w:val="none"/>
                    </w:rPr>
                  </w:pPr>
                </w:p>
              </w:tc>
              <w:tc>
                <w:tcPr>
                  <w:tcW w:w="255" w:type="pct"/>
                  <w:vMerge w:val="continue"/>
                  <w:noWrap w:val="0"/>
                  <w:vAlign w:val="center"/>
                </w:tcPr>
                <w:p w14:paraId="08DC021C">
                  <w:pPr>
                    <w:pStyle w:val="34"/>
                    <w:bidi w:val="0"/>
                    <w:jc w:val="center"/>
                    <w:rPr>
                      <w:rFonts w:hint="default" w:ascii="Times New Roman" w:hAnsi="Times New Roman" w:eastAsia="宋体"/>
                      <w:color w:val="auto"/>
                      <w:sz w:val="21"/>
                      <w:highlight w:val="none"/>
                      <w:lang w:val="en-US" w:eastAsia="zh-CN"/>
                    </w:rPr>
                  </w:pPr>
                </w:p>
              </w:tc>
              <w:tc>
                <w:tcPr>
                  <w:tcW w:w="221" w:type="pct"/>
                  <w:vMerge w:val="continue"/>
                  <w:noWrap w:val="0"/>
                  <w:vAlign w:val="center"/>
                </w:tcPr>
                <w:p w14:paraId="72D5DC7E">
                  <w:pPr>
                    <w:pStyle w:val="34"/>
                    <w:bidi w:val="0"/>
                    <w:jc w:val="center"/>
                    <w:rPr>
                      <w:rFonts w:hint="default" w:ascii="Times New Roman" w:hAnsi="Times New Roman" w:eastAsia="宋体"/>
                      <w:color w:val="auto"/>
                      <w:sz w:val="21"/>
                      <w:highlight w:val="none"/>
                      <w:lang w:val="en-US" w:eastAsia="zh-CN"/>
                    </w:rPr>
                  </w:pPr>
                </w:p>
              </w:tc>
              <w:tc>
                <w:tcPr>
                  <w:tcW w:w="492" w:type="pct"/>
                  <w:noWrap w:val="0"/>
                  <w:vAlign w:val="center"/>
                </w:tcPr>
                <w:p w14:paraId="3AF777B4">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焊接烟尘</w:t>
                  </w:r>
                </w:p>
              </w:tc>
              <w:tc>
                <w:tcPr>
                  <w:tcW w:w="3286" w:type="pct"/>
                  <w:noWrap w:val="0"/>
                  <w:vAlign w:val="center"/>
                </w:tcPr>
                <w:p w14:paraId="7D3B8CA6">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设置2个移动式集气臂，废气经收集后</w:t>
                  </w:r>
                  <w:r>
                    <w:rPr>
                      <w:rFonts w:hint="eastAsia"/>
                      <w:color w:val="auto"/>
                      <w:sz w:val="21"/>
                      <w:highlight w:val="none"/>
                      <w:lang w:val="en-US" w:eastAsia="zh-CN"/>
                    </w:rPr>
                    <w:t>和上料口、搅拌机进料口</w:t>
                  </w:r>
                  <w:r>
                    <w:rPr>
                      <w:rFonts w:hint="eastAsia" w:ascii="Times New Roman" w:hAnsi="Times New Roman" w:eastAsia="宋体"/>
                      <w:color w:val="auto"/>
                      <w:sz w:val="21"/>
                      <w:highlight w:val="none"/>
                      <w:lang w:val="en-US" w:eastAsia="zh-CN"/>
                    </w:rPr>
                    <w:t>共用一套布袋除尘器（TA006）处理，后通过15m高排气筒（DA006）排放。</w:t>
                  </w:r>
                </w:p>
              </w:tc>
              <w:tc>
                <w:tcPr>
                  <w:tcW w:w="370" w:type="pct"/>
                  <w:shd w:val="clear" w:color="auto" w:fill="auto"/>
                  <w:noWrap w:val="0"/>
                  <w:vAlign w:val="center"/>
                </w:tcPr>
                <w:p w14:paraId="23E8DC86">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新建</w:t>
                  </w:r>
                </w:p>
              </w:tc>
            </w:tr>
            <w:tr w14:paraId="6D21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7BDE79C1">
                  <w:pPr>
                    <w:pStyle w:val="34"/>
                    <w:bidi w:val="0"/>
                    <w:jc w:val="center"/>
                    <w:rPr>
                      <w:rFonts w:hint="default" w:ascii="Times New Roman" w:hAnsi="Times New Roman" w:eastAsia="宋体"/>
                      <w:color w:val="auto"/>
                      <w:sz w:val="21"/>
                      <w:highlight w:val="none"/>
                    </w:rPr>
                  </w:pPr>
                </w:p>
              </w:tc>
              <w:tc>
                <w:tcPr>
                  <w:tcW w:w="255" w:type="pct"/>
                  <w:vMerge w:val="restart"/>
                  <w:noWrap w:val="0"/>
                  <w:vAlign w:val="center"/>
                </w:tcPr>
                <w:p w14:paraId="1810649C">
                  <w:pPr>
                    <w:pStyle w:val="34"/>
                    <w:bidi w:val="0"/>
                    <w:jc w:val="center"/>
                    <w:rPr>
                      <w:rFonts w:hint="default" w:ascii="Times New Roman" w:hAnsi="Times New Roman" w:eastAsia="宋体"/>
                      <w:color w:val="auto"/>
                      <w:sz w:val="21"/>
                      <w:highlight w:val="none"/>
                      <w:lang w:val="en-US" w:eastAsia="zh-CN"/>
                    </w:rPr>
                  </w:pPr>
                </w:p>
              </w:tc>
              <w:tc>
                <w:tcPr>
                  <w:tcW w:w="714" w:type="pct"/>
                  <w:gridSpan w:val="2"/>
                  <w:noWrap w:val="0"/>
                  <w:vAlign w:val="center"/>
                </w:tcPr>
                <w:p w14:paraId="19A42C75">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运输</w:t>
                  </w:r>
                </w:p>
              </w:tc>
              <w:tc>
                <w:tcPr>
                  <w:tcW w:w="3286" w:type="pct"/>
                  <w:noWrap w:val="0"/>
                  <w:vAlign w:val="center"/>
                </w:tcPr>
                <w:p w14:paraId="7FF3A820">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color w:val="auto"/>
                      <w:sz w:val="21"/>
                      <w:szCs w:val="21"/>
                      <w:highlight w:val="none"/>
                      <w:lang w:val="en-US" w:eastAsia="zh-CN"/>
                    </w:rPr>
                    <w:t>厂区内</w:t>
                  </w:r>
                  <w:r>
                    <w:rPr>
                      <w:rFonts w:hint="eastAsia" w:ascii="Times New Roman" w:hAnsi="Times New Roman" w:eastAsia="宋体"/>
                      <w:color w:val="auto"/>
                      <w:sz w:val="21"/>
                      <w:szCs w:val="21"/>
                      <w:highlight w:val="none"/>
                      <w:lang w:val="en-US" w:eastAsia="zh-CN"/>
                    </w:rPr>
                    <w:t>道路</w:t>
                  </w:r>
                  <w:r>
                    <w:rPr>
                      <w:rFonts w:hint="eastAsia"/>
                      <w:color w:val="auto"/>
                      <w:sz w:val="21"/>
                      <w:szCs w:val="21"/>
                      <w:highlight w:val="none"/>
                      <w:lang w:val="en-US" w:eastAsia="zh-CN"/>
                    </w:rPr>
                    <w:t>及厂区至主干路的道路</w:t>
                  </w:r>
                  <w:r>
                    <w:rPr>
                      <w:rFonts w:hint="eastAsia" w:ascii="Times New Roman" w:hAnsi="Times New Roman" w:eastAsia="宋体"/>
                      <w:color w:val="auto"/>
                      <w:sz w:val="21"/>
                      <w:szCs w:val="21"/>
                      <w:highlight w:val="none"/>
                      <w:lang w:val="en-US" w:eastAsia="zh-CN"/>
                    </w:rPr>
                    <w:t>硬化，</w:t>
                  </w:r>
                  <w:r>
                    <w:rPr>
                      <w:rFonts w:hint="eastAsia"/>
                      <w:color w:val="auto"/>
                      <w:sz w:val="21"/>
                      <w:szCs w:val="21"/>
                      <w:highlight w:val="none"/>
                      <w:lang w:val="en-US" w:eastAsia="zh-CN"/>
                    </w:rPr>
                    <w:t>运输车辆均使用国六及以上或新能源封闭运输车辆，杜绝抛洒，在易起尘路段</w:t>
                  </w:r>
                  <w:r>
                    <w:rPr>
                      <w:rFonts w:hint="eastAsia" w:ascii="Times New Roman" w:hAnsi="Times New Roman" w:eastAsia="宋体"/>
                      <w:color w:val="auto"/>
                      <w:sz w:val="21"/>
                      <w:szCs w:val="21"/>
                      <w:highlight w:val="none"/>
                      <w:lang w:val="en-US" w:eastAsia="zh-CN"/>
                    </w:rPr>
                    <w:t>减速慢行，运输过程加盖篷布，限制超载，</w:t>
                  </w:r>
                  <w:r>
                    <w:rPr>
                      <w:rFonts w:hint="eastAsia"/>
                      <w:color w:val="auto"/>
                      <w:sz w:val="21"/>
                      <w:szCs w:val="21"/>
                      <w:highlight w:val="none"/>
                      <w:lang w:val="en-US" w:eastAsia="zh-CN"/>
                    </w:rPr>
                    <w:t>厂内物料</w:t>
                  </w:r>
                  <w:r>
                    <w:rPr>
                      <w:rFonts w:hint="eastAsia" w:ascii="Times New Roman" w:hAnsi="Times New Roman" w:eastAsia="宋体"/>
                      <w:color w:val="auto"/>
                      <w:sz w:val="21"/>
                      <w:szCs w:val="21"/>
                      <w:highlight w:val="none"/>
                      <w:lang w:val="en-US" w:eastAsia="zh-CN"/>
                    </w:rPr>
                    <w:t>运输采用全封闭皮带输送</w:t>
                  </w:r>
                  <w:r>
                    <w:rPr>
                      <w:rFonts w:hint="eastAsia"/>
                      <w:color w:val="auto"/>
                      <w:sz w:val="21"/>
                      <w:szCs w:val="21"/>
                      <w:highlight w:val="none"/>
                      <w:lang w:val="en-US" w:eastAsia="zh-CN"/>
                    </w:rPr>
                    <w:t>，厂区出口设置洗车平台，对进出厂车辆进行清洗，厂内配备洒水车及吸尘车，对厂区道路定期洒水抑尘</w:t>
                  </w:r>
                  <w:r>
                    <w:rPr>
                      <w:rFonts w:hint="eastAsia" w:ascii="Times New Roman" w:hAnsi="Times New Roman" w:eastAsia="宋体"/>
                      <w:color w:val="auto"/>
                      <w:sz w:val="21"/>
                      <w:szCs w:val="21"/>
                      <w:highlight w:val="none"/>
                      <w:lang w:val="en-US" w:eastAsia="zh-CN"/>
                    </w:rPr>
                    <w:t>。</w:t>
                  </w:r>
                </w:p>
              </w:tc>
              <w:tc>
                <w:tcPr>
                  <w:tcW w:w="370" w:type="pct"/>
                  <w:shd w:val="clear" w:color="auto" w:fill="auto"/>
                  <w:noWrap w:val="0"/>
                  <w:vAlign w:val="center"/>
                </w:tcPr>
                <w:p w14:paraId="1ADF5D3F">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新建</w:t>
                  </w:r>
                </w:p>
              </w:tc>
            </w:tr>
            <w:tr w14:paraId="6A29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1C1A1850">
                  <w:pPr>
                    <w:pStyle w:val="34"/>
                    <w:bidi w:val="0"/>
                    <w:jc w:val="center"/>
                    <w:rPr>
                      <w:rFonts w:hint="default" w:ascii="Times New Roman" w:hAnsi="Times New Roman" w:eastAsia="宋体"/>
                      <w:color w:val="auto"/>
                      <w:sz w:val="21"/>
                      <w:highlight w:val="none"/>
                    </w:rPr>
                  </w:pPr>
                </w:p>
              </w:tc>
              <w:tc>
                <w:tcPr>
                  <w:tcW w:w="255" w:type="pct"/>
                  <w:vMerge w:val="continue"/>
                  <w:noWrap w:val="0"/>
                  <w:vAlign w:val="center"/>
                </w:tcPr>
                <w:p w14:paraId="6F22873C">
                  <w:pPr>
                    <w:pStyle w:val="34"/>
                    <w:bidi w:val="0"/>
                    <w:jc w:val="center"/>
                    <w:rPr>
                      <w:rFonts w:hint="default" w:ascii="Times New Roman" w:hAnsi="Times New Roman" w:eastAsia="宋体"/>
                      <w:color w:val="auto"/>
                      <w:sz w:val="21"/>
                      <w:highlight w:val="none"/>
                      <w:lang w:val="en-US" w:eastAsia="zh-CN"/>
                    </w:rPr>
                  </w:pPr>
                </w:p>
              </w:tc>
              <w:tc>
                <w:tcPr>
                  <w:tcW w:w="714" w:type="pct"/>
                  <w:gridSpan w:val="2"/>
                  <w:noWrap w:val="0"/>
                  <w:vAlign w:val="center"/>
                </w:tcPr>
                <w:p w14:paraId="3A2CAB62">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原料装卸</w:t>
                  </w:r>
                </w:p>
              </w:tc>
              <w:tc>
                <w:tcPr>
                  <w:tcW w:w="3286" w:type="pct"/>
                  <w:noWrap w:val="0"/>
                  <w:vAlign w:val="center"/>
                </w:tcPr>
                <w:p w14:paraId="522BEE1D">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szCs w:val="21"/>
                      <w:highlight w:val="none"/>
                      <w:lang w:val="en-US" w:eastAsia="zh-CN"/>
                    </w:rPr>
                    <w:t>固定装卸位，在全封闭的厂房内卸车，顶部加装雾化喷淋设施</w:t>
                  </w:r>
                  <w:r>
                    <w:rPr>
                      <w:rFonts w:hint="eastAsia"/>
                      <w:color w:val="auto"/>
                      <w:sz w:val="21"/>
                      <w:szCs w:val="21"/>
                      <w:highlight w:val="none"/>
                      <w:lang w:val="en-US" w:eastAsia="zh-CN"/>
                    </w:rPr>
                    <w:t>，装卸作业时尽量降低卸料高度；装卸作业所用非道路移动机械采用国三以上，并在非道路移动机械监管平台进行登记，使用符合《车用柴油》（GB19147-2016）标准的燃料。</w:t>
                  </w:r>
                </w:p>
              </w:tc>
              <w:tc>
                <w:tcPr>
                  <w:tcW w:w="370" w:type="pct"/>
                  <w:shd w:val="clear" w:color="auto" w:fill="auto"/>
                  <w:noWrap w:val="0"/>
                  <w:vAlign w:val="center"/>
                </w:tcPr>
                <w:p w14:paraId="77C50ADB">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新建</w:t>
                  </w:r>
                </w:p>
              </w:tc>
            </w:tr>
            <w:tr w14:paraId="6A0A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765CE87B">
                  <w:pPr>
                    <w:pStyle w:val="34"/>
                    <w:bidi w:val="0"/>
                    <w:jc w:val="center"/>
                    <w:rPr>
                      <w:rFonts w:hint="default" w:ascii="Times New Roman" w:hAnsi="Times New Roman" w:eastAsia="宋体"/>
                      <w:color w:val="auto"/>
                      <w:sz w:val="21"/>
                      <w:highlight w:val="none"/>
                    </w:rPr>
                  </w:pPr>
                </w:p>
              </w:tc>
              <w:tc>
                <w:tcPr>
                  <w:tcW w:w="255" w:type="pct"/>
                  <w:vMerge w:val="restart"/>
                  <w:noWrap w:val="0"/>
                  <w:vAlign w:val="center"/>
                </w:tcPr>
                <w:p w14:paraId="04A49675">
                  <w:pPr>
                    <w:pStyle w:val="34"/>
                    <w:bidi w:val="0"/>
                    <w:jc w:val="center"/>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废水</w:t>
                  </w:r>
                </w:p>
              </w:tc>
              <w:tc>
                <w:tcPr>
                  <w:tcW w:w="714" w:type="pct"/>
                  <w:gridSpan w:val="2"/>
                  <w:noWrap w:val="0"/>
                  <w:vAlign w:val="center"/>
                </w:tcPr>
                <w:p w14:paraId="56AF6651">
                  <w:pPr>
                    <w:pStyle w:val="34"/>
                    <w:bidi w:val="0"/>
                    <w:jc w:val="center"/>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生活污水</w:t>
                  </w:r>
                </w:p>
              </w:tc>
              <w:tc>
                <w:tcPr>
                  <w:tcW w:w="3286" w:type="pct"/>
                  <w:noWrap w:val="0"/>
                  <w:vAlign w:val="center"/>
                </w:tcPr>
                <w:p w14:paraId="55669504">
                  <w:pPr>
                    <w:pStyle w:val="34"/>
                    <w:bidi w:val="0"/>
                    <w:jc w:val="center"/>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生活污水通过厂区总排口排入市政污水管网进入壶关县第二污水处理厂处理</w:t>
                  </w:r>
                  <w:r>
                    <w:rPr>
                      <w:rFonts w:hint="eastAsia" w:ascii="Times New Roman" w:hAnsi="Times New Roman" w:eastAsia="宋体"/>
                      <w:color w:val="auto"/>
                      <w:sz w:val="21"/>
                      <w:highlight w:val="none"/>
                      <w:lang w:val="en-US" w:eastAsia="zh-CN"/>
                    </w:rPr>
                    <w:t>。</w:t>
                  </w:r>
                </w:p>
              </w:tc>
              <w:tc>
                <w:tcPr>
                  <w:tcW w:w="370" w:type="pct"/>
                  <w:noWrap w:val="0"/>
                  <w:vAlign w:val="center"/>
                </w:tcPr>
                <w:p w14:paraId="6E2051B5">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s="宋体"/>
                      <w:color w:val="auto"/>
                      <w:kern w:val="2"/>
                      <w:sz w:val="21"/>
                      <w:szCs w:val="21"/>
                      <w:highlight w:val="none"/>
                      <w:lang w:val="en-US" w:eastAsia="zh-CN" w:bidi="ar"/>
                    </w:rPr>
                    <w:t>新建</w:t>
                  </w:r>
                </w:p>
              </w:tc>
            </w:tr>
            <w:tr w14:paraId="13FD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2686468F">
                  <w:pPr>
                    <w:pStyle w:val="34"/>
                    <w:bidi w:val="0"/>
                    <w:jc w:val="center"/>
                    <w:rPr>
                      <w:rFonts w:hint="default" w:ascii="Times New Roman" w:hAnsi="Times New Roman" w:eastAsia="宋体"/>
                      <w:color w:val="auto"/>
                      <w:sz w:val="21"/>
                      <w:highlight w:val="none"/>
                    </w:rPr>
                  </w:pPr>
                </w:p>
              </w:tc>
              <w:tc>
                <w:tcPr>
                  <w:tcW w:w="255" w:type="pct"/>
                  <w:vMerge w:val="continue"/>
                  <w:noWrap w:val="0"/>
                  <w:vAlign w:val="center"/>
                </w:tcPr>
                <w:p w14:paraId="614D0EA1">
                  <w:pPr>
                    <w:pStyle w:val="34"/>
                    <w:bidi w:val="0"/>
                    <w:jc w:val="center"/>
                    <w:rPr>
                      <w:rFonts w:hint="default" w:ascii="Times New Roman" w:hAnsi="Times New Roman" w:eastAsia="宋体"/>
                      <w:color w:val="auto"/>
                      <w:sz w:val="21"/>
                      <w:highlight w:val="none"/>
                      <w:lang w:val="en-US" w:eastAsia="zh-CN"/>
                    </w:rPr>
                  </w:pPr>
                </w:p>
              </w:tc>
              <w:tc>
                <w:tcPr>
                  <w:tcW w:w="714" w:type="pct"/>
                  <w:gridSpan w:val="2"/>
                  <w:noWrap w:val="0"/>
                  <w:vAlign w:val="center"/>
                </w:tcPr>
                <w:p w14:paraId="7A40BD9B">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搅拌机清洗废水</w:t>
                  </w:r>
                  <w:r>
                    <w:rPr>
                      <w:rFonts w:hint="eastAsia"/>
                      <w:color w:val="auto"/>
                      <w:sz w:val="21"/>
                      <w:highlight w:val="none"/>
                      <w:lang w:val="en-US" w:eastAsia="zh-CN"/>
                    </w:rPr>
                    <w:t>、车辆罐体冲洗废水</w:t>
                  </w:r>
                </w:p>
              </w:tc>
              <w:tc>
                <w:tcPr>
                  <w:tcW w:w="3286" w:type="pct"/>
                  <w:noWrap w:val="0"/>
                  <w:vAlign w:val="center"/>
                </w:tcPr>
                <w:p w14:paraId="038AF246">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废水进入</w:t>
                  </w:r>
                  <w:r>
                    <w:rPr>
                      <w:rFonts w:hint="eastAsia"/>
                      <w:color w:val="auto"/>
                      <w:sz w:val="21"/>
                      <w:highlight w:val="none"/>
                      <w:lang w:val="en-US" w:eastAsia="zh-CN"/>
                    </w:rPr>
                    <w:t>集水罐</w:t>
                  </w:r>
                  <w:r>
                    <w:rPr>
                      <w:rFonts w:hint="eastAsia" w:ascii="Times New Roman" w:hAnsi="Times New Roman" w:eastAsia="宋体"/>
                      <w:color w:val="auto"/>
                      <w:sz w:val="21"/>
                      <w:highlight w:val="none"/>
                      <w:lang w:val="en-US" w:eastAsia="zh-CN"/>
                    </w:rPr>
                    <w:t>（高9m，直径6m），经沉淀</w:t>
                  </w:r>
                  <w:r>
                    <w:rPr>
                      <w:rFonts w:hint="eastAsia"/>
                      <w:color w:val="auto"/>
                      <w:sz w:val="21"/>
                      <w:highlight w:val="none"/>
                      <w:lang w:val="en-US" w:eastAsia="zh-CN"/>
                    </w:rPr>
                    <w:t>处理</w:t>
                  </w:r>
                  <w:r>
                    <w:rPr>
                      <w:rFonts w:hint="eastAsia" w:ascii="Times New Roman" w:hAnsi="Times New Roman" w:eastAsia="宋体"/>
                      <w:color w:val="auto"/>
                      <w:sz w:val="21"/>
                      <w:highlight w:val="none"/>
                      <w:lang w:val="en-US" w:eastAsia="zh-CN"/>
                    </w:rPr>
                    <w:t>后回用于生产。</w:t>
                  </w:r>
                </w:p>
              </w:tc>
              <w:tc>
                <w:tcPr>
                  <w:tcW w:w="370" w:type="pct"/>
                  <w:noWrap w:val="0"/>
                  <w:vAlign w:val="center"/>
                </w:tcPr>
                <w:p w14:paraId="7FBED33C">
                  <w:pPr>
                    <w:pStyle w:val="34"/>
                    <w:bidi w:val="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新建</w:t>
                  </w:r>
                </w:p>
              </w:tc>
            </w:tr>
            <w:tr w14:paraId="1374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419935CD">
                  <w:pPr>
                    <w:pStyle w:val="34"/>
                    <w:bidi w:val="0"/>
                    <w:jc w:val="center"/>
                    <w:rPr>
                      <w:rFonts w:hint="default" w:ascii="Times New Roman" w:hAnsi="Times New Roman" w:eastAsia="宋体"/>
                      <w:color w:val="auto"/>
                      <w:sz w:val="21"/>
                      <w:highlight w:val="none"/>
                    </w:rPr>
                  </w:pPr>
                </w:p>
              </w:tc>
              <w:tc>
                <w:tcPr>
                  <w:tcW w:w="255" w:type="pct"/>
                  <w:vMerge w:val="continue"/>
                  <w:noWrap w:val="0"/>
                  <w:vAlign w:val="center"/>
                </w:tcPr>
                <w:p w14:paraId="354C041A">
                  <w:pPr>
                    <w:pStyle w:val="34"/>
                    <w:bidi w:val="0"/>
                    <w:jc w:val="center"/>
                    <w:rPr>
                      <w:rFonts w:hint="default" w:ascii="Times New Roman" w:hAnsi="Times New Roman" w:eastAsia="宋体"/>
                      <w:color w:val="auto"/>
                      <w:sz w:val="21"/>
                      <w:highlight w:val="none"/>
                      <w:lang w:val="en-US" w:eastAsia="zh-CN"/>
                    </w:rPr>
                  </w:pPr>
                </w:p>
              </w:tc>
              <w:tc>
                <w:tcPr>
                  <w:tcW w:w="714" w:type="pct"/>
                  <w:gridSpan w:val="2"/>
                  <w:noWrap w:val="0"/>
                  <w:vAlign w:val="center"/>
                </w:tcPr>
                <w:p w14:paraId="2D61DA12">
                  <w:pPr>
                    <w:pStyle w:val="34"/>
                    <w:bidi w:val="0"/>
                    <w:jc w:val="center"/>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洗砂废水</w:t>
                  </w:r>
                </w:p>
              </w:tc>
              <w:tc>
                <w:tcPr>
                  <w:tcW w:w="3286" w:type="pct"/>
                  <w:noWrap w:val="0"/>
                  <w:vAlign w:val="center"/>
                </w:tcPr>
                <w:p w14:paraId="2D622C1A">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项目</w:t>
                  </w:r>
                  <w:r>
                    <w:rPr>
                      <w:rFonts w:hint="default" w:ascii="Times New Roman" w:hAnsi="Times New Roman" w:eastAsia="宋体"/>
                      <w:color w:val="auto"/>
                      <w:sz w:val="21"/>
                      <w:highlight w:val="none"/>
                      <w:lang w:val="en-US" w:eastAsia="zh-CN"/>
                    </w:rPr>
                    <w:t>设置有</w:t>
                  </w:r>
                  <w:r>
                    <w:rPr>
                      <w:rFonts w:hint="eastAsia" w:ascii="Times New Roman" w:hAnsi="Times New Roman" w:eastAsia="宋体"/>
                      <w:color w:val="auto"/>
                      <w:sz w:val="21"/>
                      <w:highlight w:val="none"/>
                      <w:lang w:val="en-US" w:eastAsia="zh-CN"/>
                    </w:rPr>
                    <w:t>300m</w:t>
                  </w:r>
                  <w:r>
                    <w:rPr>
                      <w:rFonts w:hint="eastAsia" w:ascii="Times New Roman" w:hAnsi="Times New Roman" w:eastAsia="宋体"/>
                      <w:color w:val="auto"/>
                      <w:sz w:val="21"/>
                      <w:highlight w:val="none"/>
                      <w:vertAlign w:val="superscript"/>
                      <w:lang w:val="en-US" w:eastAsia="zh-CN"/>
                    </w:rPr>
                    <w:t>3</w:t>
                  </w:r>
                  <w:r>
                    <w:rPr>
                      <w:rFonts w:hint="eastAsia" w:ascii="Times New Roman" w:hAnsi="Times New Roman" w:eastAsia="宋体"/>
                      <w:color w:val="auto"/>
                      <w:sz w:val="21"/>
                      <w:highlight w:val="none"/>
                      <w:lang w:val="en-US" w:eastAsia="zh-CN"/>
                    </w:rPr>
                    <w:t>污泥罐、300m</w:t>
                  </w:r>
                  <w:r>
                    <w:rPr>
                      <w:rFonts w:hint="eastAsia" w:ascii="Times New Roman" w:hAnsi="Times New Roman" w:eastAsia="宋体"/>
                      <w:color w:val="auto"/>
                      <w:sz w:val="21"/>
                      <w:highlight w:val="none"/>
                      <w:vertAlign w:val="superscript"/>
                      <w:lang w:val="en-US" w:eastAsia="zh-CN"/>
                    </w:rPr>
                    <w:t>3</w:t>
                  </w:r>
                  <w:r>
                    <w:rPr>
                      <w:rFonts w:hint="eastAsia" w:ascii="Times New Roman" w:hAnsi="Times New Roman" w:eastAsia="宋体"/>
                      <w:color w:val="auto"/>
                      <w:sz w:val="21"/>
                      <w:highlight w:val="none"/>
                      <w:lang w:val="en-US" w:eastAsia="zh-CN"/>
                    </w:rPr>
                    <w:t>清水罐和压滤机</w:t>
                  </w:r>
                  <w:r>
                    <w:rPr>
                      <w:rFonts w:hint="default" w:ascii="Times New Roman" w:hAnsi="Times New Roman" w:eastAsia="宋体"/>
                      <w:color w:val="auto"/>
                      <w:sz w:val="21"/>
                      <w:highlight w:val="none"/>
                      <w:lang w:val="en-US" w:eastAsia="zh-CN"/>
                    </w:rPr>
                    <w:t>。洗砂废水</w:t>
                  </w:r>
                  <w:r>
                    <w:rPr>
                      <w:rFonts w:hint="eastAsia"/>
                      <w:color w:val="auto"/>
                      <w:sz w:val="21"/>
                      <w:highlight w:val="none"/>
                      <w:lang w:val="en-US" w:eastAsia="zh-CN"/>
                    </w:rPr>
                    <w:t>进入集水罐</w:t>
                  </w:r>
                  <w:r>
                    <w:rPr>
                      <w:rFonts w:hint="eastAsia" w:ascii="Times New Roman" w:hAnsi="Times New Roman" w:eastAsia="宋体"/>
                      <w:color w:val="auto"/>
                      <w:sz w:val="21"/>
                      <w:highlight w:val="none"/>
                      <w:lang w:val="en-US" w:eastAsia="zh-CN"/>
                    </w:rPr>
                    <w:t>，上清液泵入清水罐</w:t>
                  </w:r>
                  <w:r>
                    <w:rPr>
                      <w:rFonts w:hint="default" w:ascii="Times New Roman" w:hAnsi="Times New Roman" w:eastAsia="宋体"/>
                      <w:color w:val="auto"/>
                      <w:sz w:val="21"/>
                      <w:highlight w:val="none"/>
                      <w:lang w:val="en-US" w:eastAsia="zh-CN"/>
                    </w:rPr>
                    <w:t>回用于洗砂机洗砂，</w:t>
                  </w:r>
                  <w:r>
                    <w:rPr>
                      <w:rFonts w:hint="eastAsia" w:ascii="Times New Roman" w:hAnsi="Times New Roman" w:eastAsia="宋体"/>
                      <w:color w:val="auto"/>
                      <w:sz w:val="21"/>
                      <w:highlight w:val="none"/>
                      <w:lang w:val="en-US" w:eastAsia="zh-CN"/>
                    </w:rPr>
                    <w:t>污泥泵入污泥罐，经</w:t>
                  </w:r>
                  <w:r>
                    <w:rPr>
                      <w:rFonts w:hint="eastAsia"/>
                      <w:color w:val="auto"/>
                      <w:sz w:val="21"/>
                      <w:highlight w:val="none"/>
                      <w:lang w:val="en-US" w:eastAsia="zh-CN"/>
                    </w:rPr>
                    <w:t>隔膜厢式</w:t>
                  </w:r>
                  <w:r>
                    <w:rPr>
                      <w:rFonts w:hint="eastAsia" w:ascii="Times New Roman" w:hAnsi="Times New Roman" w:eastAsia="宋体"/>
                      <w:color w:val="auto"/>
                      <w:sz w:val="21"/>
                      <w:highlight w:val="none"/>
                      <w:lang w:val="en-US" w:eastAsia="zh-CN"/>
                    </w:rPr>
                    <w:t>板框压滤机压滤后废水回用于洗砂机洗砂，不外排</w:t>
                  </w:r>
                  <w:r>
                    <w:rPr>
                      <w:rFonts w:hint="default" w:ascii="Times New Roman" w:hAnsi="Times New Roman" w:eastAsia="宋体"/>
                      <w:color w:val="auto"/>
                      <w:sz w:val="21"/>
                      <w:highlight w:val="none"/>
                      <w:lang w:val="en-US" w:eastAsia="zh-CN"/>
                    </w:rPr>
                    <w:t>。</w:t>
                  </w:r>
                </w:p>
              </w:tc>
              <w:tc>
                <w:tcPr>
                  <w:tcW w:w="370" w:type="pct"/>
                  <w:noWrap w:val="0"/>
                  <w:vAlign w:val="center"/>
                </w:tcPr>
                <w:p w14:paraId="31BC3B32">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s="宋体"/>
                      <w:color w:val="auto"/>
                      <w:kern w:val="2"/>
                      <w:sz w:val="21"/>
                      <w:szCs w:val="21"/>
                      <w:highlight w:val="none"/>
                      <w:lang w:val="en-US" w:eastAsia="zh-CN" w:bidi="ar"/>
                    </w:rPr>
                    <w:t>新建</w:t>
                  </w:r>
                </w:p>
              </w:tc>
            </w:tr>
            <w:tr w14:paraId="3C29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7725C30A">
                  <w:pPr>
                    <w:pStyle w:val="34"/>
                    <w:bidi w:val="0"/>
                    <w:jc w:val="center"/>
                    <w:rPr>
                      <w:rFonts w:hint="default" w:ascii="Times New Roman" w:hAnsi="Times New Roman" w:eastAsia="宋体"/>
                      <w:color w:val="auto"/>
                      <w:sz w:val="21"/>
                      <w:highlight w:val="none"/>
                    </w:rPr>
                  </w:pPr>
                </w:p>
              </w:tc>
              <w:tc>
                <w:tcPr>
                  <w:tcW w:w="255" w:type="pct"/>
                  <w:vMerge w:val="continue"/>
                  <w:noWrap w:val="0"/>
                  <w:vAlign w:val="center"/>
                </w:tcPr>
                <w:p w14:paraId="79572B51">
                  <w:pPr>
                    <w:pStyle w:val="34"/>
                    <w:bidi w:val="0"/>
                    <w:jc w:val="center"/>
                    <w:rPr>
                      <w:rFonts w:hint="default" w:ascii="Times New Roman" w:hAnsi="Times New Roman" w:eastAsia="宋体"/>
                      <w:color w:val="auto"/>
                      <w:sz w:val="21"/>
                      <w:highlight w:val="none"/>
                      <w:lang w:val="en-US" w:eastAsia="zh-CN"/>
                    </w:rPr>
                  </w:pPr>
                </w:p>
              </w:tc>
              <w:tc>
                <w:tcPr>
                  <w:tcW w:w="714" w:type="pct"/>
                  <w:gridSpan w:val="2"/>
                  <w:shd w:val="clear" w:color="auto" w:fill="auto"/>
                  <w:noWrap w:val="0"/>
                  <w:vAlign w:val="center"/>
                </w:tcPr>
                <w:p w14:paraId="5CA2B8EF">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color w:val="auto"/>
                      <w:sz w:val="21"/>
                      <w:highlight w:val="none"/>
                      <w:lang w:val="en-US" w:eastAsia="zh-CN"/>
                    </w:rPr>
                    <w:t>车辆冲洗</w:t>
                  </w:r>
                  <w:r>
                    <w:rPr>
                      <w:rFonts w:hint="eastAsia" w:ascii="Times New Roman" w:hAnsi="Times New Roman" w:eastAsia="宋体"/>
                      <w:color w:val="auto"/>
                      <w:sz w:val="21"/>
                      <w:highlight w:val="none"/>
                      <w:lang w:val="en-US" w:eastAsia="zh-CN"/>
                    </w:rPr>
                    <w:t>废水</w:t>
                  </w:r>
                </w:p>
              </w:tc>
              <w:tc>
                <w:tcPr>
                  <w:tcW w:w="3286" w:type="pct"/>
                  <w:shd w:val="clear" w:color="auto" w:fill="auto"/>
                  <w:noWrap w:val="0"/>
                  <w:vAlign w:val="center"/>
                </w:tcPr>
                <w:p w14:paraId="371B46AF">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厂区出入口</w:t>
                  </w:r>
                  <w:r>
                    <w:rPr>
                      <w:rFonts w:hint="eastAsia"/>
                      <w:color w:val="auto"/>
                      <w:sz w:val="21"/>
                      <w:highlight w:val="none"/>
                      <w:lang w:val="en-US" w:eastAsia="zh-CN"/>
                    </w:rPr>
                    <w:t>设</w:t>
                  </w:r>
                  <w:r>
                    <w:rPr>
                      <w:rFonts w:hint="eastAsia" w:ascii="Times New Roman" w:hAnsi="Times New Roman" w:eastAsia="宋体"/>
                      <w:color w:val="auto"/>
                      <w:sz w:val="21"/>
                      <w:highlight w:val="none"/>
                      <w:lang w:val="en-US" w:eastAsia="zh-CN"/>
                    </w:rPr>
                    <w:t>洗车平台，并配套沉淀池</w:t>
                  </w:r>
                  <w:r>
                    <w:rPr>
                      <w:rFonts w:hint="eastAsia" w:ascii="Times New Roman" w:hAnsi="Times New Roman" w:eastAsia="宋体" w:cs="宋体"/>
                      <w:color w:val="auto"/>
                      <w:kern w:val="2"/>
                      <w:sz w:val="21"/>
                      <w:szCs w:val="21"/>
                      <w:highlight w:val="none"/>
                      <w:lang w:val="en-US" w:eastAsia="zh-CN" w:bidi="ar"/>
                    </w:rPr>
                    <w:t>6m</w:t>
                  </w:r>
                  <w:r>
                    <w:rPr>
                      <w:rFonts w:hint="eastAsia" w:ascii="Times New Roman" w:hAnsi="Times New Roman" w:eastAsia="宋体" w:cs="宋体"/>
                      <w:color w:val="auto"/>
                      <w:kern w:val="2"/>
                      <w:sz w:val="21"/>
                      <w:szCs w:val="21"/>
                      <w:highlight w:val="none"/>
                      <w:vertAlign w:val="superscript"/>
                      <w:lang w:val="en-US" w:eastAsia="zh-CN" w:bidi="ar"/>
                    </w:rPr>
                    <w:t>3</w:t>
                  </w:r>
                  <w:r>
                    <w:rPr>
                      <w:rFonts w:hint="eastAsia" w:ascii="Times New Roman" w:hAnsi="Times New Roman" w:eastAsia="宋体" w:cs="宋体"/>
                      <w:color w:val="auto"/>
                      <w:kern w:val="2"/>
                      <w:sz w:val="21"/>
                      <w:szCs w:val="21"/>
                      <w:highlight w:val="none"/>
                      <w:lang w:val="en-US" w:eastAsia="zh-CN" w:bidi="ar"/>
                    </w:rPr>
                    <w:t>（L3m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宋体"/>
                      <w:color w:val="auto"/>
                      <w:kern w:val="2"/>
                      <w:sz w:val="21"/>
                      <w:szCs w:val="21"/>
                      <w:highlight w:val="none"/>
                      <w:lang w:val="en-US" w:eastAsia="zh-CN" w:bidi="ar"/>
                    </w:rPr>
                    <w:t>W2m</w:t>
                  </w:r>
                  <w:r>
                    <w:rPr>
                      <w:rFonts w:hint="default" w:ascii="Times New Roman" w:hAnsi="Times New Roman" w:eastAsia="宋体" w:cs="Times New Roman"/>
                      <w:color w:val="auto"/>
                      <w:kern w:val="2"/>
                      <w:sz w:val="21"/>
                      <w:szCs w:val="21"/>
                      <w:highlight w:val="none"/>
                      <w:lang w:val="en-US" w:eastAsia="zh-CN" w:bidi="ar"/>
                    </w:rPr>
                    <w:t>×</w:t>
                  </w:r>
                  <w:r>
                    <w:rPr>
                      <w:rFonts w:hint="eastAsia" w:ascii="Times New Roman" w:hAnsi="Times New Roman" w:eastAsia="宋体" w:cs="Times New Roman"/>
                      <w:color w:val="auto"/>
                      <w:kern w:val="2"/>
                      <w:sz w:val="21"/>
                      <w:szCs w:val="21"/>
                      <w:highlight w:val="none"/>
                      <w:lang w:val="en-US" w:eastAsia="zh-CN" w:bidi="ar"/>
                    </w:rPr>
                    <w:t>H1m</w:t>
                  </w:r>
                  <w:r>
                    <w:rPr>
                      <w:rFonts w:hint="eastAsia" w:ascii="Times New Roman" w:hAnsi="Times New Roman" w:eastAsia="宋体" w:cs="宋体"/>
                      <w:color w:val="auto"/>
                      <w:kern w:val="2"/>
                      <w:sz w:val="21"/>
                      <w:szCs w:val="21"/>
                      <w:highlight w:val="none"/>
                      <w:lang w:val="en-US" w:eastAsia="zh-CN" w:bidi="ar"/>
                    </w:rPr>
                    <w:t>）</w:t>
                  </w:r>
                  <w:r>
                    <w:rPr>
                      <w:rFonts w:hint="eastAsia" w:ascii="Times New Roman" w:hAnsi="Times New Roman" w:eastAsia="宋体"/>
                      <w:color w:val="auto"/>
                      <w:sz w:val="21"/>
                      <w:highlight w:val="none"/>
                      <w:lang w:val="en-US" w:eastAsia="zh-CN"/>
                    </w:rPr>
                    <w:t>，废水经收集沉淀处理后循环使用，不外排。</w:t>
                  </w:r>
                </w:p>
              </w:tc>
              <w:tc>
                <w:tcPr>
                  <w:tcW w:w="370" w:type="pct"/>
                  <w:shd w:val="clear" w:color="auto" w:fill="auto"/>
                  <w:noWrap w:val="0"/>
                  <w:vAlign w:val="center"/>
                </w:tcPr>
                <w:p w14:paraId="6668B106">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新建</w:t>
                  </w:r>
                </w:p>
              </w:tc>
            </w:tr>
            <w:tr w14:paraId="20DA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734B8609">
                  <w:pPr>
                    <w:pStyle w:val="34"/>
                    <w:bidi w:val="0"/>
                    <w:jc w:val="center"/>
                    <w:rPr>
                      <w:rFonts w:hint="default" w:ascii="Times New Roman" w:hAnsi="Times New Roman" w:eastAsia="宋体"/>
                      <w:color w:val="auto"/>
                      <w:sz w:val="21"/>
                      <w:highlight w:val="none"/>
                    </w:rPr>
                  </w:pPr>
                </w:p>
              </w:tc>
              <w:tc>
                <w:tcPr>
                  <w:tcW w:w="476" w:type="pct"/>
                  <w:gridSpan w:val="2"/>
                  <w:noWrap w:val="0"/>
                  <w:vAlign w:val="center"/>
                </w:tcPr>
                <w:p w14:paraId="42AAB3E0">
                  <w:pPr>
                    <w:pStyle w:val="34"/>
                    <w:bidi w:val="0"/>
                    <w:jc w:val="center"/>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噪声</w:t>
                  </w:r>
                </w:p>
              </w:tc>
              <w:tc>
                <w:tcPr>
                  <w:tcW w:w="492" w:type="pct"/>
                  <w:noWrap w:val="0"/>
                  <w:vAlign w:val="center"/>
                </w:tcPr>
                <w:p w14:paraId="3377CCEC">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设备噪声</w:t>
                  </w:r>
                </w:p>
              </w:tc>
              <w:tc>
                <w:tcPr>
                  <w:tcW w:w="3286" w:type="pct"/>
                  <w:noWrap w:val="0"/>
                  <w:vAlign w:val="center"/>
                </w:tcPr>
                <w:p w14:paraId="5674B898">
                  <w:pPr>
                    <w:pStyle w:val="34"/>
                    <w:bidi w:val="0"/>
                    <w:jc w:val="center"/>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选用低噪设备，并对产噪设备采取隔声、减振等措施。</w:t>
                  </w:r>
                </w:p>
              </w:tc>
              <w:tc>
                <w:tcPr>
                  <w:tcW w:w="370" w:type="pct"/>
                  <w:noWrap w:val="0"/>
                  <w:vAlign w:val="center"/>
                </w:tcPr>
                <w:p w14:paraId="32A9BB94">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新建</w:t>
                  </w:r>
                </w:p>
              </w:tc>
            </w:tr>
            <w:tr w14:paraId="09E4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615C3993">
                  <w:pPr>
                    <w:pStyle w:val="34"/>
                    <w:bidi w:val="0"/>
                    <w:jc w:val="center"/>
                    <w:rPr>
                      <w:rFonts w:hint="default" w:ascii="Times New Roman" w:hAnsi="Times New Roman" w:eastAsia="宋体"/>
                      <w:color w:val="auto"/>
                      <w:sz w:val="21"/>
                      <w:highlight w:val="none"/>
                    </w:rPr>
                  </w:pPr>
                </w:p>
              </w:tc>
              <w:tc>
                <w:tcPr>
                  <w:tcW w:w="476" w:type="pct"/>
                  <w:gridSpan w:val="2"/>
                  <w:vMerge w:val="restart"/>
                  <w:noWrap w:val="0"/>
                  <w:vAlign w:val="center"/>
                </w:tcPr>
                <w:p w14:paraId="148F07E9">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固体废物</w:t>
                  </w:r>
                </w:p>
              </w:tc>
              <w:tc>
                <w:tcPr>
                  <w:tcW w:w="492" w:type="pct"/>
                  <w:noWrap w:val="0"/>
                  <w:vAlign w:val="center"/>
                </w:tcPr>
                <w:p w14:paraId="08BD92E2">
                  <w:pPr>
                    <w:pStyle w:val="34"/>
                    <w:bidi w:val="0"/>
                    <w:jc w:val="center"/>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生活垃圾</w:t>
                  </w:r>
                </w:p>
              </w:tc>
              <w:tc>
                <w:tcPr>
                  <w:tcW w:w="3286" w:type="pct"/>
                  <w:noWrap w:val="0"/>
                  <w:vAlign w:val="center"/>
                </w:tcPr>
                <w:p w14:paraId="76B50F00">
                  <w:pPr>
                    <w:pStyle w:val="34"/>
                    <w:bidi w:val="0"/>
                    <w:jc w:val="center"/>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厂区设垃圾桶收集生活垃圾，</w:t>
                  </w:r>
                  <w:r>
                    <w:rPr>
                      <w:rFonts w:hint="eastAsia" w:ascii="Times New Roman" w:hAnsi="Times New Roman" w:eastAsia="宋体"/>
                      <w:color w:val="auto"/>
                      <w:sz w:val="21"/>
                      <w:highlight w:val="none"/>
                      <w:lang w:val="en-US" w:eastAsia="zh-CN"/>
                    </w:rPr>
                    <w:t>集中收集</w:t>
                  </w:r>
                  <w:r>
                    <w:rPr>
                      <w:rFonts w:hint="default" w:ascii="Times New Roman" w:hAnsi="Times New Roman" w:eastAsia="宋体"/>
                      <w:color w:val="auto"/>
                      <w:sz w:val="21"/>
                      <w:highlight w:val="none"/>
                      <w:lang w:val="en-US" w:eastAsia="zh-CN"/>
                    </w:rPr>
                    <w:t>后送环卫部门处置</w:t>
                  </w:r>
                  <w:r>
                    <w:rPr>
                      <w:rFonts w:hint="eastAsia" w:ascii="Times New Roman" w:hAnsi="Times New Roman" w:eastAsia="宋体"/>
                      <w:color w:val="auto"/>
                      <w:sz w:val="21"/>
                      <w:highlight w:val="none"/>
                      <w:lang w:val="en-US" w:eastAsia="zh-CN"/>
                    </w:rPr>
                    <w:t>。</w:t>
                  </w:r>
                </w:p>
              </w:tc>
              <w:tc>
                <w:tcPr>
                  <w:tcW w:w="370" w:type="pct"/>
                  <w:noWrap w:val="0"/>
                  <w:vAlign w:val="center"/>
                </w:tcPr>
                <w:p w14:paraId="10EE6474">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新建</w:t>
                  </w:r>
                </w:p>
              </w:tc>
            </w:tr>
            <w:tr w14:paraId="6806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680AB625">
                  <w:pPr>
                    <w:pStyle w:val="34"/>
                    <w:bidi w:val="0"/>
                    <w:jc w:val="center"/>
                    <w:rPr>
                      <w:rFonts w:hint="default" w:ascii="Times New Roman" w:hAnsi="Times New Roman" w:eastAsia="宋体"/>
                      <w:color w:val="auto"/>
                      <w:sz w:val="21"/>
                      <w:highlight w:val="none"/>
                    </w:rPr>
                  </w:pPr>
                </w:p>
              </w:tc>
              <w:tc>
                <w:tcPr>
                  <w:tcW w:w="476" w:type="pct"/>
                  <w:gridSpan w:val="2"/>
                  <w:vMerge w:val="continue"/>
                  <w:noWrap w:val="0"/>
                  <w:vAlign w:val="center"/>
                </w:tcPr>
                <w:p w14:paraId="7940E15E">
                  <w:pPr>
                    <w:pStyle w:val="34"/>
                    <w:bidi w:val="0"/>
                    <w:jc w:val="center"/>
                    <w:rPr>
                      <w:rFonts w:hint="default" w:ascii="Times New Roman" w:hAnsi="Times New Roman" w:eastAsia="宋体"/>
                      <w:color w:val="auto"/>
                      <w:sz w:val="21"/>
                      <w:highlight w:val="none"/>
                      <w:lang w:val="en-US" w:eastAsia="zh-CN"/>
                    </w:rPr>
                  </w:pPr>
                </w:p>
              </w:tc>
              <w:tc>
                <w:tcPr>
                  <w:tcW w:w="492" w:type="pct"/>
                  <w:noWrap w:val="0"/>
                  <w:vAlign w:val="center"/>
                </w:tcPr>
                <w:p w14:paraId="3AE86F7B">
                  <w:pPr>
                    <w:pStyle w:val="34"/>
                    <w:bidi w:val="0"/>
                    <w:ind w:firstLine="0" w:firstLineChars="0"/>
                    <w:jc w:val="center"/>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除尘灰</w:t>
                  </w:r>
                </w:p>
              </w:tc>
              <w:tc>
                <w:tcPr>
                  <w:tcW w:w="3286" w:type="pct"/>
                  <w:noWrap w:val="0"/>
                  <w:vAlign w:val="center"/>
                </w:tcPr>
                <w:p w14:paraId="2BDC4C54">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生产线除尘灰作为原料回收利用。</w:t>
                  </w:r>
                </w:p>
              </w:tc>
              <w:tc>
                <w:tcPr>
                  <w:tcW w:w="370" w:type="pct"/>
                  <w:vMerge w:val="restart"/>
                  <w:noWrap w:val="0"/>
                  <w:vAlign w:val="center"/>
                </w:tcPr>
                <w:p w14:paraId="5F877BEB">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新建</w:t>
                  </w:r>
                </w:p>
              </w:tc>
            </w:tr>
            <w:tr w14:paraId="538C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6C0CBCF5">
                  <w:pPr>
                    <w:pStyle w:val="34"/>
                    <w:bidi w:val="0"/>
                    <w:jc w:val="center"/>
                    <w:rPr>
                      <w:rFonts w:hint="default" w:ascii="Times New Roman" w:hAnsi="Times New Roman" w:eastAsia="宋体"/>
                      <w:color w:val="auto"/>
                      <w:sz w:val="21"/>
                      <w:highlight w:val="none"/>
                    </w:rPr>
                  </w:pPr>
                </w:p>
              </w:tc>
              <w:tc>
                <w:tcPr>
                  <w:tcW w:w="476" w:type="pct"/>
                  <w:gridSpan w:val="2"/>
                  <w:vMerge w:val="continue"/>
                  <w:noWrap w:val="0"/>
                  <w:vAlign w:val="center"/>
                </w:tcPr>
                <w:p w14:paraId="4A4B2A37">
                  <w:pPr>
                    <w:pStyle w:val="34"/>
                    <w:bidi w:val="0"/>
                    <w:jc w:val="center"/>
                    <w:rPr>
                      <w:rFonts w:hint="default" w:ascii="Times New Roman" w:hAnsi="Times New Roman" w:eastAsia="宋体"/>
                      <w:color w:val="auto"/>
                      <w:sz w:val="21"/>
                      <w:highlight w:val="none"/>
                      <w:lang w:val="en-US" w:eastAsia="zh-CN"/>
                    </w:rPr>
                  </w:pPr>
                </w:p>
              </w:tc>
              <w:tc>
                <w:tcPr>
                  <w:tcW w:w="492" w:type="pct"/>
                  <w:noWrap w:val="0"/>
                  <w:vAlign w:val="center"/>
                </w:tcPr>
                <w:p w14:paraId="4B950E76">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废边角料</w:t>
                  </w:r>
                </w:p>
              </w:tc>
              <w:tc>
                <w:tcPr>
                  <w:tcW w:w="3286" w:type="pct"/>
                  <w:noWrap w:val="0"/>
                  <w:vAlign w:val="center"/>
                </w:tcPr>
                <w:p w14:paraId="41347BFC">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焊接钢筋的废边角料外售废品收购站。</w:t>
                  </w:r>
                </w:p>
              </w:tc>
              <w:tc>
                <w:tcPr>
                  <w:tcW w:w="370" w:type="pct"/>
                  <w:vMerge w:val="continue"/>
                  <w:noWrap w:val="0"/>
                  <w:vAlign w:val="center"/>
                </w:tcPr>
                <w:p w14:paraId="52BC7514">
                  <w:pPr>
                    <w:pStyle w:val="34"/>
                    <w:bidi w:val="0"/>
                    <w:jc w:val="center"/>
                    <w:rPr>
                      <w:rFonts w:hint="default" w:ascii="Times New Roman" w:hAnsi="Times New Roman" w:eastAsia="宋体"/>
                      <w:color w:val="auto"/>
                      <w:sz w:val="21"/>
                      <w:highlight w:val="none"/>
                      <w:lang w:val="en-US" w:eastAsia="zh-CN"/>
                    </w:rPr>
                  </w:pPr>
                </w:p>
              </w:tc>
            </w:tr>
            <w:tr w14:paraId="3919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24DC44E7">
                  <w:pPr>
                    <w:pStyle w:val="34"/>
                    <w:bidi w:val="0"/>
                    <w:jc w:val="center"/>
                    <w:rPr>
                      <w:rFonts w:hint="default" w:ascii="Times New Roman" w:hAnsi="Times New Roman" w:eastAsia="宋体"/>
                      <w:color w:val="auto"/>
                      <w:sz w:val="21"/>
                      <w:highlight w:val="none"/>
                    </w:rPr>
                  </w:pPr>
                </w:p>
              </w:tc>
              <w:tc>
                <w:tcPr>
                  <w:tcW w:w="476" w:type="pct"/>
                  <w:gridSpan w:val="2"/>
                  <w:vMerge w:val="continue"/>
                  <w:noWrap w:val="0"/>
                  <w:vAlign w:val="center"/>
                </w:tcPr>
                <w:p w14:paraId="49200A6D">
                  <w:pPr>
                    <w:pStyle w:val="34"/>
                    <w:bidi w:val="0"/>
                    <w:jc w:val="center"/>
                    <w:rPr>
                      <w:rFonts w:hint="default" w:ascii="Times New Roman" w:hAnsi="Times New Roman" w:eastAsia="宋体"/>
                      <w:color w:val="auto"/>
                      <w:sz w:val="21"/>
                      <w:highlight w:val="none"/>
                      <w:lang w:val="en-US" w:eastAsia="zh-CN"/>
                    </w:rPr>
                  </w:pPr>
                </w:p>
              </w:tc>
              <w:tc>
                <w:tcPr>
                  <w:tcW w:w="492" w:type="pct"/>
                  <w:noWrap w:val="0"/>
                  <w:vAlign w:val="center"/>
                </w:tcPr>
                <w:p w14:paraId="6220C552">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泥饼</w:t>
                  </w:r>
                </w:p>
              </w:tc>
              <w:tc>
                <w:tcPr>
                  <w:tcW w:w="3286" w:type="pct"/>
                  <w:noWrap w:val="0"/>
                  <w:vAlign w:val="center"/>
                </w:tcPr>
                <w:p w14:paraId="3FED90E5">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压滤后的泥饼不进行贮存，立即运至壶关县鑫融建材有限公司用于生产</w:t>
                  </w:r>
                  <w:r>
                    <w:rPr>
                      <w:rFonts w:hint="eastAsia"/>
                      <w:color w:val="auto"/>
                      <w:sz w:val="21"/>
                      <w:highlight w:val="none"/>
                      <w:lang w:val="en-US" w:eastAsia="zh-CN"/>
                    </w:rPr>
                    <w:t>。</w:t>
                  </w:r>
                </w:p>
              </w:tc>
              <w:tc>
                <w:tcPr>
                  <w:tcW w:w="370" w:type="pct"/>
                  <w:vMerge w:val="continue"/>
                  <w:noWrap w:val="0"/>
                  <w:vAlign w:val="center"/>
                </w:tcPr>
                <w:p w14:paraId="7F579C76">
                  <w:pPr>
                    <w:pStyle w:val="34"/>
                    <w:bidi w:val="0"/>
                    <w:jc w:val="center"/>
                    <w:rPr>
                      <w:rFonts w:hint="default" w:ascii="Times New Roman" w:hAnsi="Times New Roman" w:eastAsia="宋体"/>
                      <w:color w:val="auto"/>
                      <w:sz w:val="21"/>
                      <w:highlight w:val="none"/>
                      <w:lang w:val="en-US" w:eastAsia="zh-CN"/>
                    </w:rPr>
                  </w:pPr>
                </w:p>
              </w:tc>
            </w:tr>
            <w:tr w14:paraId="238F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7E3FD37F">
                  <w:pPr>
                    <w:pStyle w:val="34"/>
                    <w:bidi w:val="0"/>
                    <w:jc w:val="center"/>
                    <w:rPr>
                      <w:rFonts w:hint="default" w:ascii="Times New Roman" w:hAnsi="Times New Roman" w:eastAsia="宋体"/>
                      <w:color w:val="auto"/>
                      <w:sz w:val="21"/>
                      <w:highlight w:val="none"/>
                    </w:rPr>
                  </w:pPr>
                </w:p>
              </w:tc>
              <w:tc>
                <w:tcPr>
                  <w:tcW w:w="476" w:type="pct"/>
                  <w:gridSpan w:val="2"/>
                  <w:vMerge w:val="continue"/>
                  <w:noWrap w:val="0"/>
                  <w:vAlign w:val="center"/>
                </w:tcPr>
                <w:p w14:paraId="4116078F">
                  <w:pPr>
                    <w:pStyle w:val="34"/>
                    <w:bidi w:val="0"/>
                    <w:jc w:val="center"/>
                    <w:rPr>
                      <w:rFonts w:hint="default" w:ascii="Times New Roman" w:hAnsi="Times New Roman" w:eastAsia="宋体"/>
                      <w:color w:val="auto"/>
                      <w:sz w:val="21"/>
                      <w:highlight w:val="none"/>
                      <w:lang w:val="en-US" w:eastAsia="zh-CN"/>
                    </w:rPr>
                  </w:pPr>
                </w:p>
              </w:tc>
              <w:tc>
                <w:tcPr>
                  <w:tcW w:w="492" w:type="pct"/>
                  <w:noWrap w:val="0"/>
                  <w:vAlign w:val="center"/>
                </w:tcPr>
                <w:p w14:paraId="53CC5930">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残次品</w:t>
                  </w:r>
                </w:p>
              </w:tc>
              <w:tc>
                <w:tcPr>
                  <w:tcW w:w="3286" w:type="pct"/>
                  <w:noWrap w:val="0"/>
                  <w:vAlign w:val="center"/>
                </w:tcPr>
                <w:p w14:paraId="20C7501A">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集中收集后送至建材厂</w:t>
                  </w:r>
                  <w:r>
                    <w:rPr>
                      <w:rFonts w:hint="eastAsia"/>
                      <w:color w:val="auto"/>
                      <w:sz w:val="21"/>
                      <w:highlight w:val="none"/>
                      <w:lang w:val="en-US" w:eastAsia="zh-CN"/>
                    </w:rPr>
                    <w:t>或砖厂</w:t>
                  </w:r>
                  <w:r>
                    <w:rPr>
                      <w:rFonts w:hint="eastAsia" w:ascii="Times New Roman" w:hAnsi="Times New Roman" w:eastAsia="宋体"/>
                      <w:color w:val="auto"/>
                      <w:sz w:val="21"/>
                      <w:highlight w:val="none"/>
                      <w:lang w:val="en-US" w:eastAsia="zh-CN"/>
                    </w:rPr>
                    <w:t>综合处置</w:t>
                  </w:r>
                  <w:r>
                    <w:rPr>
                      <w:rFonts w:hint="eastAsia"/>
                      <w:color w:val="auto"/>
                      <w:sz w:val="21"/>
                      <w:highlight w:val="none"/>
                      <w:lang w:val="en-US" w:eastAsia="zh-CN"/>
                    </w:rPr>
                    <w:t>。</w:t>
                  </w:r>
                </w:p>
              </w:tc>
              <w:tc>
                <w:tcPr>
                  <w:tcW w:w="370" w:type="pct"/>
                  <w:vMerge w:val="continue"/>
                  <w:noWrap w:val="0"/>
                  <w:vAlign w:val="center"/>
                </w:tcPr>
                <w:p w14:paraId="73346187">
                  <w:pPr>
                    <w:pStyle w:val="34"/>
                    <w:bidi w:val="0"/>
                    <w:jc w:val="center"/>
                    <w:rPr>
                      <w:rFonts w:hint="default" w:ascii="Times New Roman" w:hAnsi="Times New Roman" w:eastAsia="宋体"/>
                      <w:color w:val="auto"/>
                      <w:sz w:val="21"/>
                      <w:highlight w:val="none"/>
                      <w:lang w:val="en-US" w:eastAsia="zh-CN"/>
                    </w:rPr>
                  </w:pPr>
                </w:p>
              </w:tc>
            </w:tr>
            <w:tr w14:paraId="6205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562636FB">
                  <w:pPr>
                    <w:pStyle w:val="34"/>
                    <w:bidi w:val="0"/>
                    <w:jc w:val="center"/>
                    <w:rPr>
                      <w:rFonts w:hint="default" w:ascii="Times New Roman" w:hAnsi="Times New Roman" w:eastAsia="宋体"/>
                      <w:color w:val="auto"/>
                      <w:sz w:val="21"/>
                      <w:highlight w:val="none"/>
                    </w:rPr>
                  </w:pPr>
                </w:p>
              </w:tc>
              <w:tc>
                <w:tcPr>
                  <w:tcW w:w="476" w:type="pct"/>
                  <w:gridSpan w:val="2"/>
                  <w:vMerge w:val="continue"/>
                  <w:noWrap w:val="0"/>
                  <w:vAlign w:val="center"/>
                </w:tcPr>
                <w:p w14:paraId="24FE47EF">
                  <w:pPr>
                    <w:pStyle w:val="34"/>
                    <w:bidi w:val="0"/>
                    <w:jc w:val="center"/>
                    <w:rPr>
                      <w:rFonts w:hint="default" w:ascii="Times New Roman" w:hAnsi="Times New Roman" w:eastAsia="宋体"/>
                      <w:color w:val="auto"/>
                      <w:sz w:val="21"/>
                      <w:highlight w:val="none"/>
                      <w:lang w:val="en-US" w:eastAsia="zh-CN"/>
                    </w:rPr>
                  </w:pPr>
                </w:p>
              </w:tc>
              <w:tc>
                <w:tcPr>
                  <w:tcW w:w="492" w:type="pct"/>
                  <w:noWrap w:val="0"/>
                  <w:vAlign w:val="center"/>
                </w:tcPr>
                <w:p w14:paraId="7550A58A">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废</w:t>
                  </w:r>
                  <w:r>
                    <w:rPr>
                      <w:rFonts w:hint="eastAsia"/>
                      <w:color w:val="auto"/>
                      <w:sz w:val="21"/>
                      <w:highlight w:val="none"/>
                      <w:lang w:val="en-US" w:eastAsia="zh-CN"/>
                    </w:rPr>
                    <w:t>润滑</w:t>
                  </w:r>
                  <w:r>
                    <w:rPr>
                      <w:rFonts w:hint="eastAsia" w:ascii="Times New Roman" w:hAnsi="Times New Roman" w:eastAsia="宋体"/>
                      <w:color w:val="auto"/>
                      <w:sz w:val="21"/>
                      <w:highlight w:val="none"/>
                      <w:lang w:val="en-US" w:eastAsia="zh-CN"/>
                    </w:rPr>
                    <w:t>油</w:t>
                  </w:r>
                </w:p>
              </w:tc>
              <w:tc>
                <w:tcPr>
                  <w:tcW w:w="3286" w:type="pct"/>
                  <w:vMerge w:val="restart"/>
                  <w:noWrap w:val="0"/>
                  <w:vAlign w:val="center"/>
                </w:tcPr>
                <w:p w14:paraId="6433C946">
                  <w:pPr>
                    <w:pStyle w:val="34"/>
                    <w:bidi w:val="0"/>
                    <w:jc w:val="center"/>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暂存于</w:t>
                  </w:r>
                  <w:r>
                    <w:rPr>
                      <w:rFonts w:hint="eastAsia" w:ascii="Times New Roman" w:hAnsi="Times New Roman" w:eastAsia="宋体"/>
                      <w:color w:val="auto"/>
                      <w:sz w:val="21"/>
                      <w:highlight w:val="none"/>
                      <w:lang w:val="en-US" w:eastAsia="zh-CN"/>
                    </w:rPr>
                    <w:t>20m</w:t>
                  </w:r>
                  <w:r>
                    <w:rPr>
                      <w:rFonts w:hint="eastAsia" w:ascii="Times New Roman" w:hAnsi="Times New Roman" w:eastAsia="宋体"/>
                      <w:color w:val="auto"/>
                      <w:sz w:val="21"/>
                      <w:highlight w:val="none"/>
                      <w:vertAlign w:val="superscript"/>
                      <w:lang w:val="en-US" w:eastAsia="zh-CN"/>
                    </w:rPr>
                    <w:t>2</w:t>
                  </w:r>
                  <w:r>
                    <w:rPr>
                      <w:rFonts w:hint="eastAsia"/>
                      <w:color w:val="auto"/>
                      <w:sz w:val="21"/>
                      <w:highlight w:val="none"/>
                      <w:lang w:val="en-US" w:eastAsia="zh-CN"/>
                    </w:rPr>
                    <w:t>危废贮存库</w:t>
                  </w:r>
                  <w:r>
                    <w:rPr>
                      <w:rFonts w:hint="default" w:ascii="Times New Roman" w:hAnsi="Times New Roman" w:eastAsia="宋体"/>
                      <w:color w:val="auto"/>
                      <w:sz w:val="21"/>
                      <w:highlight w:val="none"/>
                      <w:lang w:val="en-US" w:eastAsia="zh-CN"/>
                    </w:rPr>
                    <w:t>，定期委托有资质的单位进行处理</w:t>
                  </w:r>
                  <w:r>
                    <w:rPr>
                      <w:rFonts w:hint="eastAsia" w:ascii="Times New Roman" w:hAnsi="Times New Roman" w:eastAsia="宋体"/>
                      <w:color w:val="auto"/>
                      <w:sz w:val="21"/>
                      <w:highlight w:val="none"/>
                      <w:lang w:val="en-US" w:eastAsia="zh-CN"/>
                    </w:rPr>
                    <w:t>。</w:t>
                  </w:r>
                </w:p>
              </w:tc>
              <w:tc>
                <w:tcPr>
                  <w:tcW w:w="370" w:type="pct"/>
                  <w:vMerge w:val="restart"/>
                  <w:noWrap w:val="0"/>
                  <w:vAlign w:val="center"/>
                </w:tcPr>
                <w:p w14:paraId="7AC8BA50">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新建</w:t>
                  </w:r>
                </w:p>
              </w:tc>
            </w:tr>
            <w:tr w14:paraId="3C42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3" w:type="pct"/>
                  <w:vMerge w:val="continue"/>
                  <w:noWrap w:val="0"/>
                  <w:vAlign w:val="center"/>
                </w:tcPr>
                <w:p w14:paraId="3428D049">
                  <w:pPr>
                    <w:pStyle w:val="34"/>
                    <w:bidi w:val="0"/>
                    <w:jc w:val="center"/>
                    <w:rPr>
                      <w:rFonts w:hint="default" w:ascii="Times New Roman" w:hAnsi="Times New Roman" w:eastAsia="宋体"/>
                      <w:color w:val="auto"/>
                      <w:sz w:val="21"/>
                      <w:highlight w:val="none"/>
                    </w:rPr>
                  </w:pPr>
                </w:p>
              </w:tc>
              <w:tc>
                <w:tcPr>
                  <w:tcW w:w="476" w:type="pct"/>
                  <w:gridSpan w:val="2"/>
                  <w:vMerge w:val="continue"/>
                  <w:noWrap w:val="0"/>
                  <w:vAlign w:val="center"/>
                </w:tcPr>
                <w:p w14:paraId="3F16C263">
                  <w:pPr>
                    <w:pStyle w:val="34"/>
                    <w:bidi w:val="0"/>
                    <w:jc w:val="center"/>
                    <w:rPr>
                      <w:rFonts w:hint="default" w:ascii="Times New Roman" w:hAnsi="Times New Roman" w:eastAsia="宋体"/>
                      <w:color w:val="auto"/>
                      <w:sz w:val="21"/>
                      <w:highlight w:val="none"/>
                      <w:lang w:val="en-US" w:eastAsia="zh-CN"/>
                    </w:rPr>
                  </w:pPr>
                </w:p>
              </w:tc>
              <w:tc>
                <w:tcPr>
                  <w:tcW w:w="492" w:type="pct"/>
                  <w:noWrap w:val="0"/>
                  <w:vAlign w:val="center"/>
                </w:tcPr>
                <w:p w14:paraId="0615D8CD">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废油桶</w:t>
                  </w:r>
                </w:p>
              </w:tc>
              <w:tc>
                <w:tcPr>
                  <w:tcW w:w="3286" w:type="pct"/>
                  <w:vMerge w:val="continue"/>
                  <w:noWrap w:val="0"/>
                  <w:vAlign w:val="center"/>
                </w:tcPr>
                <w:p w14:paraId="47F2CBC1">
                  <w:pPr>
                    <w:pStyle w:val="34"/>
                    <w:bidi w:val="0"/>
                    <w:jc w:val="center"/>
                    <w:rPr>
                      <w:rFonts w:hint="default" w:ascii="Times New Roman" w:hAnsi="Times New Roman" w:eastAsia="宋体"/>
                      <w:color w:val="auto"/>
                      <w:sz w:val="21"/>
                      <w:highlight w:val="none"/>
                      <w:lang w:val="en-US" w:eastAsia="zh-CN"/>
                    </w:rPr>
                  </w:pPr>
                </w:p>
              </w:tc>
              <w:tc>
                <w:tcPr>
                  <w:tcW w:w="370" w:type="pct"/>
                  <w:vMerge w:val="continue"/>
                  <w:noWrap w:val="0"/>
                  <w:vAlign w:val="center"/>
                </w:tcPr>
                <w:p w14:paraId="374B6053">
                  <w:pPr>
                    <w:pStyle w:val="34"/>
                    <w:bidi w:val="0"/>
                    <w:jc w:val="center"/>
                    <w:rPr>
                      <w:rFonts w:hint="default" w:ascii="Times New Roman" w:hAnsi="Times New Roman" w:eastAsia="宋体"/>
                      <w:color w:val="auto"/>
                      <w:sz w:val="21"/>
                      <w:highlight w:val="none"/>
                      <w:lang w:val="en-US" w:eastAsia="zh-CN"/>
                    </w:rPr>
                  </w:pPr>
                </w:p>
              </w:tc>
            </w:tr>
            <w:bookmarkEnd w:id="6"/>
          </w:tbl>
          <w:p w14:paraId="6366D7D7">
            <w:pPr>
              <w:bidi w:val="0"/>
              <w:rPr>
                <w:rFonts w:hint="eastAsia" w:eastAsia="宋体" w:cs="宋体"/>
                <w:color w:val="auto"/>
                <w:highlight w:val="none"/>
                <w:lang w:val="en-US" w:eastAsia="zh-CN"/>
              </w:rPr>
            </w:pPr>
            <w:bookmarkStart w:id="7" w:name="_Ref12982"/>
            <w:r>
              <w:rPr>
                <w:rFonts w:hint="eastAsia" w:eastAsia="宋体" w:cs="宋体"/>
                <w:color w:val="auto"/>
                <w:highlight w:val="none"/>
                <w:lang w:val="en-US" w:eastAsia="zh-CN"/>
              </w:rPr>
              <w:t>本项目主要建（构）筑物见表2.1-2。</w:t>
            </w:r>
          </w:p>
          <w:p w14:paraId="5E32EBDC">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eastAsia"/>
                <w:color w:val="auto"/>
                <w:highlight w:val="none"/>
                <w:lang w:eastAsia="zh-CN"/>
              </w:rPr>
            </w:pPr>
            <w:r>
              <w:rPr>
                <w:color w:val="auto"/>
                <w:highlight w:val="none"/>
              </w:rPr>
              <w:t>表</w:t>
            </w:r>
            <w:r>
              <w:rPr>
                <w:rFonts w:hint="eastAsia"/>
                <w:color w:val="auto"/>
                <w:highlight w:val="none"/>
                <w:lang w:val="en-US" w:eastAsia="zh-CN"/>
              </w:rPr>
              <w:t>2.1-2  本项目主要建（构）筑物</w:t>
            </w:r>
            <w:r>
              <w:rPr>
                <w:rFonts w:hint="eastAsia"/>
                <w:color w:val="auto"/>
                <w:highlight w:val="none"/>
                <w:lang w:eastAsia="zh-CN"/>
              </w:rPr>
              <w:t>一览表</w:t>
            </w:r>
          </w:p>
          <w:tbl>
            <w:tblPr>
              <w:tblStyle w:val="28"/>
              <w:tblW w:w="49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928"/>
              <w:gridCol w:w="1093"/>
              <w:gridCol w:w="1104"/>
              <w:gridCol w:w="739"/>
              <w:gridCol w:w="788"/>
              <w:gridCol w:w="895"/>
              <w:gridCol w:w="1747"/>
            </w:tblGrid>
            <w:tr w14:paraId="1D29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5" w:type="pct"/>
                  <w:noWrap w:val="0"/>
                  <w:vAlign w:val="center"/>
                </w:tcPr>
                <w:p w14:paraId="0A28B8ED">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序号</w:t>
                  </w:r>
                </w:p>
              </w:tc>
              <w:tc>
                <w:tcPr>
                  <w:tcW w:w="1077" w:type="pct"/>
                  <w:noWrap w:val="0"/>
                  <w:vAlign w:val="center"/>
                </w:tcPr>
                <w:p w14:paraId="481C0421">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工程组成</w:t>
                  </w:r>
                </w:p>
              </w:tc>
              <w:tc>
                <w:tcPr>
                  <w:tcW w:w="610" w:type="pct"/>
                  <w:noWrap w:val="0"/>
                  <w:vAlign w:val="center"/>
                </w:tcPr>
                <w:p w14:paraId="1734618F">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占地面积（m</w:t>
                  </w:r>
                  <w:r>
                    <w:rPr>
                      <w:rFonts w:hint="eastAsia" w:eastAsia="宋体"/>
                      <w:color w:val="auto"/>
                      <w:sz w:val="21"/>
                      <w:highlight w:val="none"/>
                      <w:vertAlign w:val="superscript"/>
                      <w:lang w:val="en-US" w:eastAsia="zh-CN"/>
                    </w:rPr>
                    <w:t>2</w:t>
                  </w:r>
                  <w:r>
                    <w:rPr>
                      <w:rFonts w:hint="eastAsia" w:eastAsia="宋体"/>
                      <w:color w:val="auto"/>
                      <w:sz w:val="21"/>
                      <w:highlight w:val="none"/>
                      <w:lang w:val="en-US" w:eastAsia="zh-CN"/>
                    </w:rPr>
                    <w:t>）</w:t>
                  </w:r>
                </w:p>
              </w:tc>
              <w:tc>
                <w:tcPr>
                  <w:tcW w:w="616" w:type="pct"/>
                  <w:noWrap w:val="0"/>
                  <w:vAlign w:val="center"/>
                </w:tcPr>
                <w:p w14:paraId="64C5F9E9">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建筑面积（m</w:t>
                  </w:r>
                  <w:r>
                    <w:rPr>
                      <w:rFonts w:hint="eastAsia" w:eastAsia="宋体"/>
                      <w:color w:val="auto"/>
                      <w:sz w:val="21"/>
                      <w:highlight w:val="none"/>
                      <w:vertAlign w:val="superscript"/>
                      <w:lang w:val="en-US" w:eastAsia="zh-CN"/>
                    </w:rPr>
                    <w:t>2</w:t>
                  </w:r>
                  <w:r>
                    <w:rPr>
                      <w:rFonts w:hint="eastAsia" w:eastAsia="宋体"/>
                      <w:color w:val="auto"/>
                      <w:sz w:val="21"/>
                      <w:highlight w:val="none"/>
                      <w:lang w:val="en-US" w:eastAsia="zh-CN"/>
                    </w:rPr>
                    <w:t>）</w:t>
                  </w:r>
                </w:p>
              </w:tc>
              <w:tc>
                <w:tcPr>
                  <w:tcW w:w="412" w:type="pct"/>
                  <w:noWrap w:val="0"/>
                  <w:vAlign w:val="center"/>
                </w:tcPr>
                <w:p w14:paraId="381A296D">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建筑层数</w:t>
                  </w:r>
                </w:p>
              </w:tc>
              <w:tc>
                <w:tcPr>
                  <w:tcW w:w="440" w:type="pct"/>
                  <w:noWrap w:val="0"/>
                  <w:vAlign w:val="center"/>
                </w:tcPr>
                <w:p w14:paraId="3C272149">
                  <w:pPr>
                    <w:pStyle w:val="34"/>
                    <w:bidi w:val="0"/>
                    <w:jc w:val="center"/>
                    <w:rPr>
                      <w:rFonts w:hint="default" w:eastAsia="宋体"/>
                      <w:color w:val="auto"/>
                      <w:sz w:val="21"/>
                      <w:highlight w:val="none"/>
                      <w:lang w:val="en-US" w:eastAsia="zh-CN"/>
                    </w:rPr>
                  </w:pPr>
                  <w:r>
                    <w:rPr>
                      <w:rFonts w:hint="eastAsia" w:eastAsia="宋体"/>
                      <w:color w:val="auto"/>
                      <w:sz w:val="21"/>
                      <w:highlight w:val="none"/>
                      <w:lang w:val="en-US" w:eastAsia="zh-CN"/>
                    </w:rPr>
                    <w:t>高度（m）</w:t>
                  </w:r>
                </w:p>
              </w:tc>
              <w:tc>
                <w:tcPr>
                  <w:tcW w:w="500" w:type="pct"/>
                  <w:noWrap w:val="0"/>
                  <w:vAlign w:val="center"/>
                </w:tcPr>
                <w:p w14:paraId="4B44C019">
                  <w:pPr>
                    <w:pStyle w:val="34"/>
                    <w:bidi w:val="0"/>
                    <w:jc w:val="center"/>
                    <w:rPr>
                      <w:rFonts w:hint="default" w:eastAsia="宋体"/>
                      <w:color w:val="auto"/>
                      <w:sz w:val="21"/>
                      <w:highlight w:val="none"/>
                      <w:lang w:val="en-US" w:eastAsia="zh-CN"/>
                    </w:rPr>
                  </w:pPr>
                  <w:r>
                    <w:rPr>
                      <w:rFonts w:hint="eastAsia" w:eastAsia="宋体"/>
                      <w:color w:val="auto"/>
                      <w:sz w:val="21"/>
                      <w:highlight w:val="none"/>
                      <w:lang w:val="en-US" w:eastAsia="zh-CN"/>
                    </w:rPr>
                    <w:t>建筑结构形式</w:t>
                  </w:r>
                </w:p>
              </w:tc>
              <w:tc>
                <w:tcPr>
                  <w:tcW w:w="976" w:type="pct"/>
                  <w:noWrap w:val="0"/>
                  <w:vAlign w:val="center"/>
                </w:tcPr>
                <w:p w14:paraId="07EE298E">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抑尘措施</w:t>
                  </w:r>
                </w:p>
              </w:tc>
            </w:tr>
            <w:tr w14:paraId="4381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5" w:type="pct"/>
                  <w:noWrap w:val="0"/>
                  <w:vAlign w:val="center"/>
                </w:tcPr>
                <w:p w14:paraId="71CEC72D">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1</w:t>
                  </w:r>
                </w:p>
              </w:tc>
              <w:tc>
                <w:tcPr>
                  <w:tcW w:w="1077" w:type="pct"/>
                  <w:noWrap w:val="0"/>
                  <w:vAlign w:val="center"/>
                </w:tcPr>
                <w:p w14:paraId="1A141837">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水洗砂生产车间</w:t>
                  </w:r>
                </w:p>
              </w:tc>
              <w:tc>
                <w:tcPr>
                  <w:tcW w:w="610" w:type="pct"/>
                  <w:shd w:val="clear" w:color="auto" w:fill="auto"/>
                  <w:noWrap w:val="0"/>
                  <w:vAlign w:val="center"/>
                </w:tcPr>
                <w:p w14:paraId="3EBCEC14">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6320</w:t>
                  </w:r>
                </w:p>
              </w:tc>
              <w:tc>
                <w:tcPr>
                  <w:tcW w:w="616" w:type="pct"/>
                  <w:shd w:val="clear" w:color="auto" w:fill="auto"/>
                  <w:noWrap w:val="0"/>
                  <w:vAlign w:val="center"/>
                </w:tcPr>
                <w:p w14:paraId="7C4F7A4D">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6320</w:t>
                  </w:r>
                </w:p>
              </w:tc>
              <w:tc>
                <w:tcPr>
                  <w:tcW w:w="412" w:type="pct"/>
                  <w:shd w:val="clear" w:color="auto" w:fill="auto"/>
                  <w:noWrap w:val="0"/>
                  <w:vAlign w:val="center"/>
                </w:tcPr>
                <w:p w14:paraId="7EC7BF6F">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1</w:t>
                  </w:r>
                </w:p>
              </w:tc>
              <w:tc>
                <w:tcPr>
                  <w:tcW w:w="440" w:type="pct"/>
                  <w:shd w:val="clear" w:color="auto" w:fill="auto"/>
                  <w:noWrap w:val="0"/>
                  <w:vAlign w:val="center"/>
                </w:tcPr>
                <w:p w14:paraId="7777DD5B">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23</w:t>
                  </w:r>
                </w:p>
              </w:tc>
              <w:tc>
                <w:tcPr>
                  <w:tcW w:w="500" w:type="pct"/>
                  <w:shd w:val="clear" w:color="auto" w:fill="auto"/>
                  <w:noWrap w:val="0"/>
                  <w:vAlign w:val="center"/>
                </w:tcPr>
                <w:p w14:paraId="11D866F1">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钢结构</w:t>
                  </w:r>
                </w:p>
              </w:tc>
              <w:tc>
                <w:tcPr>
                  <w:tcW w:w="976" w:type="pct"/>
                  <w:vMerge w:val="restart"/>
                  <w:shd w:val="clear" w:color="auto" w:fill="auto"/>
                  <w:noWrap w:val="0"/>
                  <w:vAlign w:val="center"/>
                </w:tcPr>
                <w:p w14:paraId="71C22A3D">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全封闭场所，出入口加装密闭门，地面硬化，加装雾化喷淋设施。</w:t>
                  </w:r>
                </w:p>
              </w:tc>
            </w:tr>
            <w:tr w14:paraId="490B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5" w:type="pct"/>
                  <w:noWrap w:val="0"/>
                  <w:vAlign w:val="center"/>
                </w:tcPr>
                <w:p w14:paraId="0DB1B61D">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2</w:t>
                  </w:r>
                </w:p>
              </w:tc>
              <w:tc>
                <w:tcPr>
                  <w:tcW w:w="1077" w:type="pct"/>
                  <w:noWrap w:val="0"/>
                  <w:vAlign w:val="center"/>
                </w:tcPr>
                <w:p w14:paraId="4C305226">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水稳料生产车间</w:t>
                  </w:r>
                </w:p>
              </w:tc>
              <w:tc>
                <w:tcPr>
                  <w:tcW w:w="610" w:type="pct"/>
                  <w:shd w:val="clear" w:color="auto" w:fill="auto"/>
                  <w:noWrap w:val="0"/>
                  <w:vAlign w:val="center"/>
                </w:tcPr>
                <w:p w14:paraId="33EC1425">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7840</w:t>
                  </w:r>
                </w:p>
              </w:tc>
              <w:tc>
                <w:tcPr>
                  <w:tcW w:w="616" w:type="pct"/>
                  <w:shd w:val="clear" w:color="auto" w:fill="auto"/>
                  <w:noWrap w:val="0"/>
                  <w:vAlign w:val="center"/>
                </w:tcPr>
                <w:p w14:paraId="25750CB8">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7840</w:t>
                  </w:r>
                </w:p>
              </w:tc>
              <w:tc>
                <w:tcPr>
                  <w:tcW w:w="412" w:type="pct"/>
                  <w:shd w:val="clear" w:color="auto" w:fill="auto"/>
                  <w:noWrap w:val="0"/>
                  <w:vAlign w:val="center"/>
                </w:tcPr>
                <w:p w14:paraId="79BE71A8">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1</w:t>
                  </w:r>
                </w:p>
              </w:tc>
              <w:tc>
                <w:tcPr>
                  <w:tcW w:w="440" w:type="pct"/>
                  <w:shd w:val="clear" w:color="auto" w:fill="auto"/>
                  <w:noWrap w:val="0"/>
                  <w:vAlign w:val="center"/>
                </w:tcPr>
                <w:p w14:paraId="7A4F8723">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23</w:t>
                  </w:r>
                </w:p>
              </w:tc>
              <w:tc>
                <w:tcPr>
                  <w:tcW w:w="500" w:type="pct"/>
                  <w:shd w:val="clear" w:color="auto" w:fill="auto"/>
                  <w:noWrap w:val="0"/>
                  <w:vAlign w:val="center"/>
                </w:tcPr>
                <w:p w14:paraId="701231AD">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钢结构</w:t>
                  </w:r>
                </w:p>
              </w:tc>
              <w:tc>
                <w:tcPr>
                  <w:tcW w:w="976" w:type="pct"/>
                  <w:vMerge w:val="continue"/>
                  <w:shd w:val="clear" w:color="auto" w:fill="auto"/>
                  <w:noWrap w:val="0"/>
                  <w:vAlign w:val="center"/>
                </w:tcPr>
                <w:p w14:paraId="62A33CB3">
                  <w:pPr>
                    <w:pStyle w:val="34"/>
                    <w:bidi w:val="0"/>
                    <w:ind w:firstLine="0" w:firstLineChars="0"/>
                    <w:jc w:val="center"/>
                    <w:rPr>
                      <w:rFonts w:hint="eastAsia" w:ascii="Times New Roman" w:hAnsi="Times New Roman" w:eastAsia="宋体"/>
                      <w:color w:val="auto"/>
                      <w:sz w:val="21"/>
                      <w:highlight w:val="none"/>
                      <w:lang w:val="en-US" w:eastAsia="zh-CN"/>
                    </w:rPr>
                  </w:pPr>
                </w:p>
              </w:tc>
            </w:tr>
            <w:tr w14:paraId="5D751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5" w:type="pct"/>
                  <w:noWrap w:val="0"/>
                  <w:vAlign w:val="center"/>
                </w:tcPr>
                <w:p w14:paraId="1FC3B703">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3</w:t>
                  </w:r>
                </w:p>
              </w:tc>
              <w:tc>
                <w:tcPr>
                  <w:tcW w:w="1077" w:type="pct"/>
                  <w:noWrap w:val="0"/>
                  <w:vAlign w:val="center"/>
                </w:tcPr>
                <w:p w14:paraId="4594174A">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湿拌砂浆生产车间</w:t>
                  </w:r>
                </w:p>
              </w:tc>
              <w:tc>
                <w:tcPr>
                  <w:tcW w:w="610" w:type="pct"/>
                  <w:shd w:val="clear" w:color="auto" w:fill="auto"/>
                  <w:noWrap w:val="0"/>
                  <w:vAlign w:val="center"/>
                </w:tcPr>
                <w:p w14:paraId="771B1CE9">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2400</w:t>
                  </w:r>
                </w:p>
              </w:tc>
              <w:tc>
                <w:tcPr>
                  <w:tcW w:w="616" w:type="pct"/>
                  <w:shd w:val="clear" w:color="auto" w:fill="auto"/>
                  <w:noWrap w:val="0"/>
                  <w:vAlign w:val="center"/>
                </w:tcPr>
                <w:p w14:paraId="130587DD">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2400</w:t>
                  </w:r>
                </w:p>
              </w:tc>
              <w:tc>
                <w:tcPr>
                  <w:tcW w:w="412" w:type="pct"/>
                  <w:shd w:val="clear" w:color="auto" w:fill="auto"/>
                  <w:noWrap w:val="0"/>
                  <w:vAlign w:val="center"/>
                </w:tcPr>
                <w:p w14:paraId="4DED7C80">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1</w:t>
                  </w:r>
                </w:p>
              </w:tc>
              <w:tc>
                <w:tcPr>
                  <w:tcW w:w="440" w:type="pct"/>
                  <w:shd w:val="clear" w:color="auto" w:fill="auto"/>
                  <w:noWrap w:val="0"/>
                  <w:vAlign w:val="center"/>
                </w:tcPr>
                <w:p w14:paraId="46DACDD6">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23</w:t>
                  </w:r>
                </w:p>
              </w:tc>
              <w:tc>
                <w:tcPr>
                  <w:tcW w:w="500" w:type="pct"/>
                  <w:shd w:val="clear" w:color="auto" w:fill="auto"/>
                  <w:noWrap w:val="0"/>
                  <w:vAlign w:val="center"/>
                </w:tcPr>
                <w:p w14:paraId="65C31A0B">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钢结构</w:t>
                  </w:r>
                </w:p>
              </w:tc>
              <w:tc>
                <w:tcPr>
                  <w:tcW w:w="976" w:type="pct"/>
                  <w:vMerge w:val="continue"/>
                  <w:shd w:val="clear" w:color="auto" w:fill="auto"/>
                  <w:noWrap w:val="0"/>
                  <w:vAlign w:val="center"/>
                </w:tcPr>
                <w:p w14:paraId="4FAF03E5">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p>
              </w:tc>
            </w:tr>
            <w:tr w14:paraId="0797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5" w:type="pct"/>
                  <w:noWrap w:val="0"/>
                  <w:vAlign w:val="center"/>
                </w:tcPr>
                <w:p w14:paraId="3DBD52C2">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4</w:t>
                  </w:r>
                </w:p>
              </w:tc>
              <w:tc>
                <w:tcPr>
                  <w:tcW w:w="1077" w:type="pct"/>
                  <w:noWrap w:val="0"/>
                  <w:vAlign w:val="center"/>
                </w:tcPr>
                <w:p w14:paraId="44CDBA01">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预制构件生产车间</w:t>
                  </w:r>
                </w:p>
              </w:tc>
              <w:tc>
                <w:tcPr>
                  <w:tcW w:w="610" w:type="pct"/>
                  <w:shd w:val="clear" w:color="auto" w:fill="auto"/>
                  <w:noWrap w:val="0"/>
                  <w:vAlign w:val="center"/>
                </w:tcPr>
                <w:p w14:paraId="44B5218A">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6440</w:t>
                  </w:r>
                </w:p>
              </w:tc>
              <w:tc>
                <w:tcPr>
                  <w:tcW w:w="616" w:type="pct"/>
                  <w:shd w:val="clear" w:color="auto" w:fill="auto"/>
                  <w:noWrap w:val="0"/>
                  <w:vAlign w:val="center"/>
                </w:tcPr>
                <w:p w14:paraId="716CCF1E">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6440</w:t>
                  </w:r>
                </w:p>
              </w:tc>
              <w:tc>
                <w:tcPr>
                  <w:tcW w:w="412" w:type="pct"/>
                  <w:shd w:val="clear" w:color="auto" w:fill="auto"/>
                  <w:noWrap w:val="0"/>
                  <w:vAlign w:val="center"/>
                </w:tcPr>
                <w:p w14:paraId="54B80ADF">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1</w:t>
                  </w:r>
                </w:p>
              </w:tc>
              <w:tc>
                <w:tcPr>
                  <w:tcW w:w="440" w:type="pct"/>
                  <w:shd w:val="clear" w:color="auto" w:fill="auto"/>
                  <w:noWrap w:val="0"/>
                  <w:vAlign w:val="center"/>
                </w:tcPr>
                <w:p w14:paraId="1DB83060">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7</w:t>
                  </w:r>
                </w:p>
              </w:tc>
              <w:tc>
                <w:tcPr>
                  <w:tcW w:w="500" w:type="pct"/>
                  <w:shd w:val="clear" w:color="auto" w:fill="auto"/>
                  <w:noWrap w:val="0"/>
                  <w:vAlign w:val="center"/>
                </w:tcPr>
                <w:p w14:paraId="338D2DBF">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钢结构</w:t>
                  </w:r>
                </w:p>
              </w:tc>
              <w:tc>
                <w:tcPr>
                  <w:tcW w:w="976" w:type="pct"/>
                  <w:vMerge w:val="continue"/>
                  <w:shd w:val="clear" w:color="auto" w:fill="auto"/>
                  <w:noWrap w:val="0"/>
                  <w:vAlign w:val="center"/>
                </w:tcPr>
                <w:p w14:paraId="3A4B8DE2">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p>
              </w:tc>
            </w:tr>
            <w:tr w14:paraId="49EC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5" w:type="pct"/>
                  <w:noWrap w:val="0"/>
                  <w:vAlign w:val="center"/>
                </w:tcPr>
                <w:p w14:paraId="437A0B8E">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5</w:t>
                  </w:r>
                </w:p>
              </w:tc>
              <w:tc>
                <w:tcPr>
                  <w:tcW w:w="1077" w:type="pct"/>
                  <w:noWrap w:val="0"/>
                  <w:vAlign w:val="center"/>
                </w:tcPr>
                <w:p w14:paraId="63AE73A7">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装配式房（预制构件浇筑车间）</w:t>
                  </w:r>
                </w:p>
              </w:tc>
              <w:tc>
                <w:tcPr>
                  <w:tcW w:w="610" w:type="pct"/>
                  <w:noWrap w:val="0"/>
                  <w:vAlign w:val="center"/>
                </w:tcPr>
                <w:p w14:paraId="68206D20">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2300</w:t>
                  </w:r>
                </w:p>
              </w:tc>
              <w:tc>
                <w:tcPr>
                  <w:tcW w:w="616" w:type="pct"/>
                  <w:noWrap w:val="0"/>
                  <w:vAlign w:val="center"/>
                </w:tcPr>
                <w:p w14:paraId="31BA82CE">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2300</w:t>
                  </w:r>
                </w:p>
              </w:tc>
              <w:tc>
                <w:tcPr>
                  <w:tcW w:w="412" w:type="pct"/>
                  <w:noWrap w:val="0"/>
                  <w:vAlign w:val="center"/>
                </w:tcPr>
                <w:p w14:paraId="329C5830">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1</w:t>
                  </w:r>
                </w:p>
              </w:tc>
              <w:tc>
                <w:tcPr>
                  <w:tcW w:w="440" w:type="pct"/>
                  <w:noWrap w:val="0"/>
                  <w:vAlign w:val="center"/>
                </w:tcPr>
                <w:p w14:paraId="307E2D0D">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20</w:t>
                  </w:r>
                </w:p>
              </w:tc>
              <w:tc>
                <w:tcPr>
                  <w:tcW w:w="500" w:type="pct"/>
                  <w:noWrap w:val="0"/>
                  <w:vAlign w:val="center"/>
                </w:tcPr>
                <w:p w14:paraId="211867A2">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钢结构</w:t>
                  </w:r>
                </w:p>
              </w:tc>
              <w:tc>
                <w:tcPr>
                  <w:tcW w:w="976" w:type="pct"/>
                  <w:vMerge w:val="continue"/>
                  <w:noWrap w:val="0"/>
                  <w:vAlign w:val="center"/>
                </w:tcPr>
                <w:p w14:paraId="24D5D404">
                  <w:pPr>
                    <w:pStyle w:val="34"/>
                    <w:bidi w:val="0"/>
                    <w:jc w:val="center"/>
                    <w:rPr>
                      <w:rFonts w:hint="eastAsia" w:ascii="Times New Roman" w:hAnsi="Times New Roman" w:eastAsia="宋体"/>
                      <w:color w:val="auto"/>
                      <w:sz w:val="21"/>
                      <w:highlight w:val="none"/>
                      <w:lang w:val="en-US" w:eastAsia="zh-CN"/>
                    </w:rPr>
                  </w:pPr>
                </w:p>
              </w:tc>
            </w:tr>
            <w:tr w14:paraId="5C0E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5" w:type="pct"/>
                  <w:noWrap w:val="0"/>
                  <w:vAlign w:val="center"/>
                </w:tcPr>
                <w:p w14:paraId="7C60F220">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6</w:t>
                  </w:r>
                </w:p>
              </w:tc>
              <w:tc>
                <w:tcPr>
                  <w:tcW w:w="1077" w:type="pct"/>
                  <w:noWrap w:val="0"/>
                  <w:vAlign w:val="center"/>
                </w:tcPr>
                <w:p w14:paraId="7294DA26">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钢筋制作间</w:t>
                  </w:r>
                </w:p>
              </w:tc>
              <w:tc>
                <w:tcPr>
                  <w:tcW w:w="610" w:type="pct"/>
                  <w:noWrap w:val="0"/>
                  <w:vAlign w:val="center"/>
                </w:tcPr>
                <w:p w14:paraId="402B37AB">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225</w:t>
                  </w:r>
                </w:p>
              </w:tc>
              <w:tc>
                <w:tcPr>
                  <w:tcW w:w="616" w:type="pct"/>
                  <w:noWrap w:val="0"/>
                  <w:vAlign w:val="center"/>
                </w:tcPr>
                <w:p w14:paraId="01A524E8">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225</w:t>
                  </w:r>
                </w:p>
              </w:tc>
              <w:tc>
                <w:tcPr>
                  <w:tcW w:w="412" w:type="pct"/>
                  <w:noWrap w:val="0"/>
                  <w:vAlign w:val="center"/>
                </w:tcPr>
                <w:p w14:paraId="45582486">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1</w:t>
                  </w:r>
                </w:p>
              </w:tc>
              <w:tc>
                <w:tcPr>
                  <w:tcW w:w="440" w:type="pct"/>
                  <w:noWrap w:val="0"/>
                  <w:vAlign w:val="center"/>
                </w:tcPr>
                <w:p w14:paraId="4E28DAD9">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4</w:t>
                  </w:r>
                </w:p>
              </w:tc>
              <w:tc>
                <w:tcPr>
                  <w:tcW w:w="500" w:type="pct"/>
                  <w:noWrap w:val="0"/>
                  <w:vAlign w:val="center"/>
                </w:tcPr>
                <w:p w14:paraId="12A8E4C7">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钢结构</w:t>
                  </w:r>
                </w:p>
              </w:tc>
              <w:tc>
                <w:tcPr>
                  <w:tcW w:w="976" w:type="pct"/>
                  <w:vMerge w:val="continue"/>
                  <w:noWrap w:val="0"/>
                  <w:vAlign w:val="center"/>
                </w:tcPr>
                <w:p w14:paraId="694592C4">
                  <w:pPr>
                    <w:pStyle w:val="34"/>
                    <w:bidi w:val="0"/>
                    <w:jc w:val="center"/>
                    <w:rPr>
                      <w:rFonts w:hint="default" w:ascii="Times New Roman" w:hAnsi="Times New Roman" w:eastAsia="宋体"/>
                      <w:color w:val="auto"/>
                      <w:sz w:val="21"/>
                      <w:highlight w:val="none"/>
                      <w:lang w:val="en-US" w:eastAsia="zh-CN"/>
                    </w:rPr>
                  </w:pPr>
                </w:p>
              </w:tc>
            </w:tr>
            <w:tr w14:paraId="46A5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5" w:type="pct"/>
                  <w:noWrap w:val="0"/>
                  <w:vAlign w:val="center"/>
                </w:tcPr>
                <w:p w14:paraId="1646517E">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7</w:t>
                  </w:r>
                </w:p>
              </w:tc>
              <w:tc>
                <w:tcPr>
                  <w:tcW w:w="1077" w:type="pct"/>
                  <w:noWrap w:val="0"/>
                  <w:vAlign w:val="center"/>
                </w:tcPr>
                <w:p w14:paraId="2084661C">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成品堆场</w:t>
                  </w:r>
                </w:p>
              </w:tc>
              <w:tc>
                <w:tcPr>
                  <w:tcW w:w="610" w:type="pct"/>
                  <w:noWrap w:val="0"/>
                  <w:vAlign w:val="center"/>
                </w:tcPr>
                <w:p w14:paraId="77AC20B6">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2400</w:t>
                  </w:r>
                </w:p>
              </w:tc>
              <w:tc>
                <w:tcPr>
                  <w:tcW w:w="616" w:type="pct"/>
                  <w:noWrap w:val="0"/>
                  <w:vAlign w:val="center"/>
                </w:tcPr>
                <w:p w14:paraId="07A898FD">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2400</w:t>
                  </w:r>
                </w:p>
              </w:tc>
              <w:tc>
                <w:tcPr>
                  <w:tcW w:w="412" w:type="pct"/>
                  <w:noWrap w:val="0"/>
                  <w:vAlign w:val="center"/>
                </w:tcPr>
                <w:p w14:paraId="5AE847A4">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1</w:t>
                  </w:r>
                </w:p>
              </w:tc>
              <w:tc>
                <w:tcPr>
                  <w:tcW w:w="440" w:type="pct"/>
                  <w:noWrap w:val="0"/>
                  <w:vAlign w:val="center"/>
                </w:tcPr>
                <w:p w14:paraId="62043FDE">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20</w:t>
                  </w:r>
                </w:p>
              </w:tc>
              <w:tc>
                <w:tcPr>
                  <w:tcW w:w="500" w:type="pct"/>
                  <w:noWrap w:val="0"/>
                  <w:vAlign w:val="center"/>
                </w:tcPr>
                <w:p w14:paraId="65F058A7">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钢结构</w:t>
                  </w:r>
                </w:p>
              </w:tc>
              <w:tc>
                <w:tcPr>
                  <w:tcW w:w="976" w:type="pct"/>
                  <w:noWrap w:val="0"/>
                  <w:vAlign w:val="center"/>
                </w:tcPr>
                <w:p w14:paraId="28355B05">
                  <w:pPr>
                    <w:pStyle w:val="34"/>
                    <w:bidi w:val="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伸缩棚结构，地面硬化，加装雾化喷淋设施，固定装卸位装卸。</w:t>
                  </w:r>
                </w:p>
              </w:tc>
            </w:tr>
            <w:tr w14:paraId="5DB06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65" w:type="pct"/>
                  <w:noWrap w:val="0"/>
                  <w:vAlign w:val="center"/>
                </w:tcPr>
                <w:p w14:paraId="7CB67E4B">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8</w:t>
                  </w:r>
                </w:p>
              </w:tc>
              <w:tc>
                <w:tcPr>
                  <w:tcW w:w="1077" w:type="pct"/>
                  <w:noWrap w:val="0"/>
                  <w:vAlign w:val="center"/>
                </w:tcPr>
                <w:p w14:paraId="2667BB8B">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原料库</w:t>
                  </w:r>
                </w:p>
              </w:tc>
              <w:tc>
                <w:tcPr>
                  <w:tcW w:w="610" w:type="pct"/>
                  <w:noWrap w:val="0"/>
                  <w:vAlign w:val="center"/>
                </w:tcPr>
                <w:p w14:paraId="1A7B51CC">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1600</w:t>
                  </w:r>
                </w:p>
              </w:tc>
              <w:tc>
                <w:tcPr>
                  <w:tcW w:w="616" w:type="pct"/>
                  <w:noWrap w:val="0"/>
                  <w:vAlign w:val="center"/>
                </w:tcPr>
                <w:p w14:paraId="0232F970">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1600</w:t>
                  </w:r>
                </w:p>
              </w:tc>
              <w:tc>
                <w:tcPr>
                  <w:tcW w:w="412" w:type="pct"/>
                  <w:noWrap w:val="0"/>
                  <w:vAlign w:val="center"/>
                </w:tcPr>
                <w:p w14:paraId="4E1582BA">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1</w:t>
                  </w:r>
                </w:p>
              </w:tc>
              <w:tc>
                <w:tcPr>
                  <w:tcW w:w="440" w:type="pct"/>
                  <w:noWrap w:val="0"/>
                  <w:vAlign w:val="center"/>
                </w:tcPr>
                <w:p w14:paraId="774AB2A7">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23</w:t>
                  </w:r>
                </w:p>
              </w:tc>
              <w:tc>
                <w:tcPr>
                  <w:tcW w:w="500" w:type="pct"/>
                  <w:noWrap w:val="0"/>
                  <w:vAlign w:val="center"/>
                </w:tcPr>
                <w:p w14:paraId="466C930E">
                  <w:pPr>
                    <w:pStyle w:val="34"/>
                    <w:bidi w:val="0"/>
                    <w:jc w:val="center"/>
                    <w:rPr>
                      <w:rFonts w:hint="default" w:ascii="Times New Roman" w:hAnsi="Times New Roman" w:eastAsia="宋体"/>
                      <w:color w:val="auto"/>
                      <w:sz w:val="21"/>
                      <w:highlight w:val="none"/>
                      <w:lang w:val="en-US" w:eastAsia="zh-CN"/>
                    </w:rPr>
                  </w:pPr>
                  <w:r>
                    <w:rPr>
                      <w:rFonts w:hint="eastAsia" w:eastAsia="宋体"/>
                      <w:color w:val="auto"/>
                      <w:sz w:val="21"/>
                      <w:highlight w:val="none"/>
                      <w:lang w:val="en-US" w:eastAsia="zh-CN"/>
                    </w:rPr>
                    <w:t>钢结构</w:t>
                  </w:r>
                </w:p>
              </w:tc>
              <w:tc>
                <w:tcPr>
                  <w:tcW w:w="976" w:type="pct"/>
                  <w:noWrap w:val="0"/>
                  <w:vAlign w:val="center"/>
                </w:tcPr>
                <w:p w14:paraId="3458CDCD">
                  <w:pPr>
                    <w:pStyle w:val="34"/>
                    <w:bidi w:val="0"/>
                    <w:jc w:val="center"/>
                    <w:rPr>
                      <w:rFonts w:hint="default" w:ascii="Times New Roman" w:hAnsi="Times New Roman" w:eastAsia="宋体" w:cs="宋体"/>
                      <w:color w:val="auto"/>
                      <w:kern w:val="2"/>
                      <w:sz w:val="21"/>
                      <w:szCs w:val="21"/>
                      <w:highlight w:val="none"/>
                      <w:lang w:val="en-US" w:eastAsia="zh-CN" w:bidi="ar"/>
                    </w:rPr>
                  </w:pPr>
                  <w:r>
                    <w:rPr>
                      <w:rFonts w:hint="eastAsia" w:eastAsia="宋体" w:cs="宋体"/>
                      <w:color w:val="auto"/>
                      <w:kern w:val="2"/>
                      <w:sz w:val="21"/>
                      <w:szCs w:val="21"/>
                      <w:highlight w:val="none"/>
                      <w:lang w:val="en-US" w:eastAsia="zh-CN" w:bidi="ar"/>
                    </w:rPr>
                    <w:t>全封闭厂房，出入口加装密闭门，地面硬化，加装雾化喷淋设施，固定装卸位装卸物料。</w:t>
                  </w:r>
                </w:p>
              </w:tc>
            </w:tr>
          </w:tbl>
          <w:p w14:paraId="2D79CFD4">
            <w:pPr>
              <w:pStyle w:val="11"/>
              <w:keepNext w:val="0"/>
              <w:keepLines w:val="0"/>
              <w:pageBreakBefore w:val="0"/>
              <w:widowControl w:val="0"/>
              <w:numPr>
                <w:ilvl w:val="1"/>
                <w:numId w:val="0"/>
              </w:numPr>
              <w:kinsoku/>
              <w:wordWrap/>
              <w:overflowPunct/>
              <w:topLinePunct w:val="0"/>
              <w:autoSpaceDE/>
              <w:autoSpaceDN/>
              <w:bidi w:val="0"/>
              <w:adjustRightInd/>
              <w:snapToGrid/>
              <w:ind w:firstLine="482" w:firstLineChars="200"/>
              <w:textAlignment w:val="auto"/>
              <w:rPr>
                <w:rFonts w:hint="eastAsia"/>
                <w:color w:val="auto"/>
                <w:highlight w:val="none"/>
                <w:lang w:eastAsia="zh-CN"/>
              </w:rPr>
            </w:pPr>
            <w:r>
              <w:rPr>
                <w:rFonts w:hint="default" w:ascii="Times New Roman" w:hAnsi="Times New Roman" w:eastAsia="宋体" w:cs="宋体"/>
                <w:b/>
                <w:bCs/>
                <w:color w:val="auto"/>
                <w:kern w:val="2"/>
                <w:sz w:val="24"/>
                <w:szCs w:val="24"/>
                <w:lang w:val="en-US" w:eastAsia="zh-CN" w:bidi="ar-SA"/>
              </w:rPr>
              <w:t>2.2</w:t>
            </w:r>
            <w:r>
              <w:rPr>
                <w:rFonts w:hint="eastAsia"/>
                <w:color w:val="auto"/>
                <w:highlight w:val="none"/>
                <w:lang w:eastAsia="zh-CN"/>
              </w:rPr>
              <w:t>主要产品方案及产能</w:t>
            </w:r>
            <w:bookmarkEnd w:id="7"/>
          </w:p>
          <w:p w14:paraId="75E7B72E">
            <w:pPr>
              <w:bidi w:val="0"/>
              <w:rPr>
                <w:color w:val="auto"/>
                <w:highlight w:val="none"/>
              </w:rPr>
            </w:pPr>
            <w:r>
              <w:rPr>
                <w:rFonts w:hint="eastAsia"/>
                <w:color w:val="auto"/>
                <w:highlight w:val="none"/>
                <w:lang w:eastAsia="zh-CN"/>
              </w:rPr>
              <w:t>本项目</w:t>
            </w:r>
            <w:r>
              <w:rPr>
                <w:rFonts w:hint="eastAsia"/>
                <w:color w:val="auto"/>
                <w:highlight w:val="none"/>
                <w:lang w:val="en-US" w:eastAsia="zh-CN"/>
              </w:rPr>
              <w:t>年产50</w:t>
            </w:r>
            <w:r>
              <w:rPr>
                <w:rFonts w:hint="eastAsia"/>
                <w:color w:val="auto"/>
                <w:highlight w:val="none"/>
                <w:lang w:eastAsia="zh-CN"/>
              </w:rPr>
              <w:t>万吨水洗砂、</w:t>
            </w:r>
            <w:r>
              <w:rPr>
                <w:rFonts w:hint="eastAsia"/>
                <w:color w:val="auto"/>
                <w:highlight w:val="none"/>
                <w:lang w:val="en-US" w:eastAsia="zh-CN"/>
              </w:rPr>
              <w:t>年产30万吨水稳料、年产10万吨湿拌砂浆、年产预制构件10万吨</w:t>
            </w:r>
            <w:r>
              <w:rPr>
                <w:rFonts w:hint="eastAsia"/>
                <w:color w:val="auto"/>
                <w:highlight w:val="none"/>
                <w:lang w:eastAsia="zh-CN"/>
              </w:rPr>
              <w:t>。产品方案见</w:t>
            </w:r>
            <w:r>
              <w:rPr>
                <w:rFonts w:hint="eastAsia"/>
                <w:color w:val="auto"/>
                <w:highlight w:val="none"/>
                <w:lang w:val="en-US" w:eastAsia="zh-CN"/>
              </w:rPr>
              <w:t>表2.2-1</w:t>
            </w:r>
            <w:r>
              <w:rPr>
                <w:rFonts w:hint="eastAsia"/>
                <w:color w:val="auto"/>
                <w:highlight w:val="none"/>
                <w:lang w:eastAsia="zh-CN"/>
              </w:rPr>
              <w:t>。</w:t>
            </w:r>
            <w:bookmarkStart w:id="8" w:name="_Ref2146"/>
          </w:p>
          <w:p w14:paraId="7EB77F03">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default" w:eastAsia="宋体"/>
                <w:color w:val="auto"/>
                <w:highlight w:val="none"/>
                <w:lang w:val="en-US" w:eastAsia="zh-CN"/>
              </w:rPr>
            </w:pPr>
            <w:r>
              <w:rPr>
                <w:color w:val="auto"/>
                <w:highlight w:val="none"/>
              </w:rPr>
              <w:t>表</w:t>
            </w:r>
            <w:r>
              <w:rPr>
                <w:color w:val="auto"/>
                <w:highlight w:val="none"/>
              </w:rPr>
              <w:fldChar w:fldCharType="begin"/>
            </w:r>
            <w:r>
              <w:rPr>
                <w:color w:val="auto"/>
                <w:highlight w:val="none"/>
              </w:rPr>
              <w:instrText xml:space="preserve"> STYLEREF 2 \s </w:instrText>
            </w:r>
            <w:r>
              <w:rPr>
                <w:color w:val="auto"/>
                <w:highlight w:val="none"/>
              </w:rPr>
              <w:fldChar w:fldCharType="separate"/>
            </w:r>
            <w:r>
              <w:rPr>
                <w:color w:val="auto"/>
                <w:highlight w:val="none"/>
              </w:rPr>
              <w:t>2.2</w:t>
            </w:r>
            <w:r>
              <w:rPr>
                <w:color w:val="auto"/>
                <w:highlight w:val="none"/>
              </w:rPr>
              <w:fldChar w:fldCharType="end"/>
            </w:r>
            <w:r>
              <w:rPr>
                <w:rFonts w:hint="eastAsia"/>
                <w:color w:val="auto"/>
                <w:highlight w:val="none"/>
                <w:lang w:eastAsia="zh-CN"/>
              </w:rPr>
              <w:t>-</w:t>
            </w:r>
            <w:r>
              <w:rPr>
                <w:color w:val="auto"/>
                <w:highlight w:val="none"/>
              </w:rPr>
              <w:fldChar w:fldCharType="begin"/>
            </w:r>
            <w:r>
              <w:rPr>
                <w:color w:val="auto"/>
                <w:highlight w:val="none"/>
              </w:rPr>
              <w:instrText xml:space="preserve"> SEQ 表 \* ARABIC \s 2 </w:instrText>
            </w:r>
            <w:r>
              <w:rPr>
                <w:color w:val="auto"/>
                <w:highlight w:val="none"/>
              </w:rPr>
              <w:fldChar w:fldCharType="separate"/>
            </w:r>
            <w:r>
              <w:rPr>
                <w:color w:val="auto"/>
                <w:highlight w:val="none"/>
              </w:rPr>
              <w:t>1</w:t>
            </w:r>
            <w:r>
              <w:rPr>
                <w:color w:val="auto"/>
                <w:highlight w:val="none"/>
              </w:rPr>
              <w:fldChar w:fldCharType="end"/>
            </w:r>
            <w:bookmarkEnd w:id="8"/>
            <w:r>
              <w:rPr>
                <w:rFonts w:hint="eastAsia"/>
                <w:color w:val="auto"/>
                <w:highlight w:val="none"/>
                <w:lang w:val="en-US" w:eastAsia="zh-CN"/>
              </w:rPr>
              <w:t xml:space="preserve">  产品方案一览表</w:t>
            </w:r>
          </w:p>
          <w:tbl>
            <w:tblPr>
              <w:tblStyle w:val="28"/>
              <w:tblW w:w="90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7"/>
              <w:gridCol w:w="1183"/>
              <w:gridCol w:w="1742"/>
              <w:gridCol w:w="2989"/>
              <w:gridCol w:w="2203"/>
            </w:tblGrid>
            <w:tr w14:paraId="6BFB8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7" w:type="pct"/>
                  <w:tcBorders>
                    <w:top w:val="single" w:color="auto" w:sz="4" w:space="0"/>
                    <w:left w:val="single" w:color="000000" w:sz="4" w:space="0"/>
                    <w:bottom w:val="single" w:color="auto" w:sz="4" w:space="0"/>
                    <w:right w:val="single" w:color="auto" w:sz="4" w:space="0"/>
                  </w:tcBorders>
                  <w:noWrap/>
                  <w:vAlign w:val="center"/>
                </w:tcPr>
                <w:p w14:paraId="15A730E9">
                  <w:pPr>
                    <w:pStyle w:val="34"/>
                    <w:bidi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序号</w:t>
                  </w:r>
                </w:p>
              </w:tc>
              <w:tc>
                <w:tcPr>
                  <w:tcW w:w="654" w:type="pct"/>
                  <w:tcBorders>
                    <w:top w:val="single" w:color="auto" w:sz="4" w:space="0"/>
                    <w:left w:val="single" w:color="auto" w:sz="4" w:space="0"/>
                    <w:bottom w:val="single" w:color="auto" w:sz="4" w:space="0"/>
                    <w:right w:val="single" w:color="auto" w:sz="4" w:space="0"/>
                  </w:tcBorders>
                  <w:noWrap/>
                  <w:vAlign w:val="center"/>
                </w:tcPr>
                <w:p w14:paraId="366E2C12">
                  <w:pPr>
                    <w:pStyle w:val="34"/>
                    <w:bidi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产品</w:t>
                  </w:r>
                </w:p>
              </w:tc>
              <w:tc>
                <w:tcPr>
                  <w:tcW w:w="964" w:type="pct"/>
                  <w:tcBorders>
                    <w:top w:val="single" w:color="auto" w:sz="4" w:space="0"/>
                    <w:left w:val="single" w:color="auto" w:sz="4" w:space="0"/>
                    <w:bottom w:val="single" w:color="auto" w:sz="4" w:space="0"/>
                    <w:right w:val="single" w:color="auto" w:sz="4" w:space="0"/>
                  </w:tcBorders>
                  <w:noWrap/>
                  <w:vAlign w:val="center"/>
                </w:tcPr>
                <w:p w14:paraId="7F329643">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产量</w:t>
                  </w:r>
                </w:p>
              </w:tc>
              <w:tc>
                <w:tcPr>
                  <w:tcW w:w="1654" w:type="pct"/>
                  <w:tcBorders>
                    <w:top w:val="single" w:color="auto" w:sz="4" w:space="0"/>
                    <w:left w:val="single" w:color="auto" w:sz="4" w:space="0"/>
                    <w:bottom w:val="single" w:color="auto" w:sz="4" w:space="0"/>
                    <w:right w:val="single" w:color="auto" w:sz="4" w:space="0"/>
                  </w:tcBorders>
                  <w:noWrap/>
                  <w:vAlign w:val="center"/>
                </w:tcPr>
                <w:p w14:paraId="4C6ED8D7">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产品规格</w:t>
                  </w:r>
                </w:p>
              </w:tc>
              <w:tc>
                <w:tcPr>
                  <w:tcW w:w="1219" w:type="pct"/>
                  <w:tcBorders>
                    <w:top w:val="single" w:color="auto" w:sz="4" w:space="0"/>
                    <w:left w:val="single" w:color="auto" w:sz="4" w:space="0"/>
                    <w:bottom w:val="single" w:color="auto" w:sz="4" w:space="0"/>
                    <w:right w:val="single" w:color="auto" w:sz="4" w:space="0"/>
                  </w:tcBorders>
                  <w:noWrap/>
                  <w:vAlign w:val="center"/>
                </w:tcPr>
                <w:p w14:paraId="7B9754B6">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质量标准</w:t>
                  </w:r>
                </w:p>
              </w:tc>
            </w:tr>
            <w:tr w14:paraId="67A7C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869F43">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w:t>
                  </w:r>
                </w:p>
              </w:tc>
              <w:tc>
                <w:tcPr>
                  <w:tcW w:w="65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87F7FC">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水洗砂</w:t>
                  </w:r>
                </w:p>
              </w:tc>
              <w:tc>
                <w:tcPr>
                  <w:tcW w:w="964" w:type="pct"/>
                  <w:tcBorders>
                    <w:top w:val="single" w:color="auto" w:sz="4" w:space="0"/>
                    <w:left w:val="single" w:color="auto" w:sz="4" w:space="0"/>
                    <w:bottom w:val="single" w:color="auto" w:sz="4" w:space="0"/>
                    <w:right w:val="single" w:color="auto" w:sz="4" w:space="0"/>
                  </w:tcBorders>
                  <w:noWrap/>
                  <w:vAlign w:val="center"/>
                </w:tcPr>
                <w:p w14:paraId="3EF2C46F">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50万吨</w:t>
                  </w:r>
                </w:p>
              </w:tc>
              <w:tc>
                <w:tcPr>
                  <w:tcW w:w="165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1B2A9C">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粒径</w:t>
                  </w:r>
                  <w:r>
                    <w:rPr>
                      <w:rFonts w:hint="default" w:ascii="Times New Roman" w:hAnsi="Times New Roman" w:eastAsia="宋体" w:cs="Times New Roman"/>
                      <w:color w:val="auto"/>
                      <w:sz w:val="21"/>
                      <w:highlight w:val="none"/>
                      <w:lang w:val="en-US" w:eastAsia="zh-CN"/>
                    </w:rPr>
                    <w:t>≈</w:t>
                  </w:r>
                  <w:r>
                    <w:rPr>
                      <w:rFonts w:hint="eastAsia" w:ascii="Times New Roman" w:hAnsi="Times New Roman" w:eastAsia="宋体"/>
                      <w:color w:val="auto"/>
                      <w:sz w:val="21"/>
                      <w:highlight w:val="none"/>
                      <w:lang w:val="en-US" w:eastAsia="zh-CN"/>
                    </w:rPr>
                    <w:t>1-2cm</w:t>
                  </w:r>
                </w:p>
              </w:tc>
              <w:tc>
                <w:tcPr>
                  <w:tcW w:w="12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919ED1">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《建筑用砂》GB/T14684-2022</w:t>
                  </w:r>
                </w:p>
              </w:tc>
            </w:tr>
            <w:tr w14:paraId="50E4E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1D757F">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w:t>
                  </w:r>
                </w:p>
              </w:tc>
              <w:tc>
                <w:tcPr>
                  <w:tcW w:w="65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3A4950">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水稳料</w:t>
                  </w:r>
                </w:p>
              </w:tc>
              <w:tc>
                <w:tcPr>
                  <w:tcW w:w="964" w:type="pct"/>
                  <w:tcBorders>
                    <w:top w:val="single" w:color="auto" w:sz="4" w:space="0"/>
                    <w:left w:val="single" w:color="auto" w:sz="4" w:space="0"/>
                    <w:bottom w:val="single" w:color="auto" w:sz="4" w:space="0"/>
                    <w:right w:val="single" w:color="auto" w:sz="4" w:space="0"/>
                  </w:tcBorders>
                  <w:noWrap/>
                  <w:vAlign w:val="center"/>
                </w:tcPr>
                <w:p w14:paraId="17048E3A">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30万吨</w:t>
                  </w:r>
                </w:p>
              </w:tc>
              <w:tc>
                <w:tcPr>
                  <w:tcW w:w="165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328E39">
                  <w:pPr>
                    <w:pStyle w:val="34"/>
                    <w:bidi w:val="0"/>
                    <w:ind w:firstLine="0" w:firstLineChars="0"/>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道路基层用水泥稳定碎石</w:t>
                  </w:r>
                  <w:r>
                    <w:rPr>
                      <w:rFonts w:hint="eastAsia" w:ascii="Times New Roman" w:hAnsi="Times New Roman" w:eastAsia="宋体"/>
                      <w:color w:val="auto"/>
                      <w:sz w:val="21"/>
                      <w:highlight w:val="none"/>
                      <w:lang w:val="en-US" w:eastAsia="zh-CN"/>
                    </w:rPr>
                    <w:t>，底基层工程用料</w:t>
                  </w:r>
                </w:p>
              </w:tc>
              <w:tc>
                <w:tcPr>
                  <w:tcW w:w="12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95A879">
                  <w:pPr>
                    <w:pStyle w:val="34"/>
                    <w:bidi w:val="0"/>
                    <w:ind w:firstLine="0" w:firstLineChars="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《公路路面基层施工技术细则》JTG/T F20-2015</w:t>
                  </w:r>
                </w:p>
              </w:tc>
            </w:tr>
            <w:tr w14:paraId="1A7DD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72CE31">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3</w:t>
                  </w:r>
                </w:p>
              </w:tc>
              <w:tc>
                <w:tcPr>
                  <w:tcW w:w="65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2C7892">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湿拌砂浆</w:t>
                  </w:r>
                </w:p>
              </w:tc>
              <w:tc>
                <w:tcPr>
                  <w:tcW w:w="964" w:type="pct"/>
                  <w:tcBorders>
                    <w:top w:val="single" w:color="auto" w:sz="4" w:space="0"/>
                    <w:left w:val="single" w:color="auto" w:sz="4" w:space="0"/>
                    <w:bottom w:val="single" w:color="auto" w:sz="4" w:space="0"/>
                    <w:right w:val="single" w:color="auto" w:sz="4" w:space="0"/>
                  </w:tcBorders>
                  <w:noWrap/>
                  <w:vAlign w:val="center"/>
                </w:tcPr>
                <w:p w14:paraId="2515C09A">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10万吨</w:t>
                  </w:r>
                </w:p>
              </w:tc>
              <w:tc>
                <w:tcPr>
                  <w:tcW w:w="165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C427F6">
                  <w:pPr>
                    <w:pStyle w:val="34"/>
                    <w:bidi w:val="0"/>
                    <w:ind w:firstLine="0" w:firstLineChars="0"/>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通用型砌筑抹灰砂浆，细骨料粒径≤4.75mm，稠度 70~110mm，保水性≥88%</w:t>
                  </w:r>
                </w:p>
              </w:tc>
              <w:tc>
                <w:tcPr>
                  <w:tcW w:w="12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23995B">
                  <w:pPr>
                    <w:pStyle w:val="34"/>
                    <w:bidi w:val="0"/>
                    <w:ind w:firstLine="0" w:firstLineChars="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《预拌砂浆》GB/T 25181-2019</w:t>
                  </w:r>
                </w:p>
              </w:tc>
            </w:tr>
            <w:tr w14:paraId="41D6D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C63113">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4</w:t>
                  </w:r>
                </w:p>
              </w:tc>
              <w:tc>
                <w:tcPr>
                  <w:tcW w:w="65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6A3A7D">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预制构件</w:t>
                  </w:r>
                </w:p>
              </w:tc>
              <w:tc>
                <w:tcPr>
                  <w:tcW w:w="964" w:type="pct"/>
                  <w:tcBorders>
                    <w:top w:val="single" w:color="auto" w:sz="4" w:space="0"/>
                    <w:left w:val="single" w:color="auto" w:sz="4" w:space="0"/>
                    <w:bottom w:val="single" w:color="auto" w:sz="4" w:space="0"/>
                    <w:right w:val="single" w:color="auto" w:sz="4" w:space="0"/>
                  </w:tcBorders>
                  <w:noWrap/>
                  <w:vAlign w:val="center"/>
                </w:tcPr>
                <w:p w14:paraId="5F4BCED7">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10万吨</w:t>
                  </w:r>
                </w:p>
              </w:tc>
              <w:tc>
                <w:tcPr>
                  <w:tcW w:w="165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2E4CB1">
                  <w:pPr>
                    <w:pStyle w:val="34"/>
                    <w:bidi w:val="0"/>
                    <w:ind w:firstLine="0" w:firstLineChars="0"/>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产品强度等级 C25~C30，结构密实、外观平整</w:t>
                  </w:r>
                </w:p>
              </w:tc>
              <w:tc>
                <w:tcPr>
                  <w:tcW w:w="12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4ADF59">
                  <w:pPr>
                    <w:pStyle w:val="34"/>
                    <w:bidi w:val="0"/>
                    <w:ind w:firstLine="0" w:firstLineChars="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《装配式混凝土建筑技术标准》GB/T 51231-2016</w:t>
                  </w:r>
                </w:p>
              </w:tc>
            </w:tr>
            <w:tr w14:paraId="6C019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9EE67EF">
                  <w:pPr>
                    <w:pStyle w:val="34"/>
                    <w:bidi w:val="0"/>
                    <w:ind w:firstLine="0" w:firstLineChars="0"/>
                    <w:rPr>
                      <w:rFonts w:hint="eastAsia" w:ascii="Times New Roman" w:hAnsi="Times New Roman" w:eastAsia="宋体"/>
                      <w:color w:val="auto"/>
                      <w:sz w:val="21"/>
                      <w:highlight w:val="none"/>
                      <w:lang w:val="en-US" w:eastAsia="zh-CN"/>
                    </w:rPr>
                  </w:pPr>
                  <w:bookmarkStart w:id="9" w:name="_Ref16725"/>
                  <w:r>
                    <w:rPr>
                      <w:rFonts w:hint="eastAsia" w:ascii="Times New Roman" w:hAnsi="Times New Roman" w:eastAsia="宋体"/>
                      <w:color w:val="auto"/>
                      <w:sz w:val="21"/>
                      <w:highlight w:val="none"/>
                      <w:lang w:val="en-US" w:eastAsia="zh-CN"/>
                    </w:rPr>
                    <w:t>备注：成品水洗砂与每条生产线使用的水洗砂含水率均为</w:t>
                  </w:r>
                  <w:r>
                    <w:rPr>
                      <w:rFonts w:hint="eastAsia"/>
                      <w:color w:val="auto"/>
                      <w:sz w:val="21"/>
                      <w:highlight w:val="none"/>
                      <w:lang w:val="en-US" w:eastAsia="zh-CN"/>
                    </w:rPr>
                    <w:t>5</w:t>
                  </w:r>
                  <w:r>
                    <w:rPr>
                      <w:rFonts w:hint="eastAsia" w:ascii="Times New Roman" w:hAnsi="Times New Roman" w:eastAsia="宋体"/>
                      <w:color w:val="auto"/>
                      <w:sz w:val="21"/>
                      <w:highlight w:val="none"/>
                      <w:lang w:val="en-US" w:eastAsia="zh-CN"/>
                    </w:rPr>
                    <w:t>%，</w:t>
                  </w:r>
                  <w:r>
                    <w:rPr>
                      <w:rFonts w:hint="eastAsia"/>
                      <w:b w:val="0"/>
                      <w:bCs/>
                      <w:color w:val="auto"/>
                      <w:sz w:val="21"/>
                      <w:szCs w:val="20"/>
                      <w:lang w:val="en-US" w:eastAsia="zh-CN"/>
                    </w:rPr>
                    <w:t>19.6125</w:t>
                  </w:r>
                  <w:r>
                    <w:rPr>
                      <w:rFonts w:hint="eastAsia" w:ascii="Times New Roman" w:hAnsi="Times New Roman" w:eastAsia="宋体"/>
                      <w:b w:val="0"/>
                      <w:bCs/>
                      <w:color w:val="auto"/>
                      <w:sz w:val="21"/>
                      <w:szCs w:val="20"/>
                      <w:lang w:val="en-US" w:eastAsia="zh-CN"/>
                    </w:rPr>
                    <w:t>万吨的水洗砂</w:t>
                  </w:r>
                  <w:r>
                    <w:rPr>
                      <w:rFonts w:hint="eastAsia"/>
                      <w:b w:val="0"/>
                      <w:bCs/>
                      <w:color w:val="auto"/>
                      <w:sz w:val="21"/>
                      <w:szCs w:val="20"/>
                      <w:lang w:val="en-US" w:eastAsia="zh-CN"/>
                    </w:rPr>
                    <w:t>用于本项目</w:t>
                  </w:r>
                  <w:r>
                    <w:rPr>
                      <w:rFonts w:hint="eastAsia" w:ascii="Times New Roman" w:hAnsi="Times New Roman" w:eastAsia="宋体"/>
                      <w:b w:val="0"/>
                      <w:bCs/>
                      <w:color w:val="auto"/>
                      <w:sz w:val="21"/>
                      <w:szCs w:val="20"/>
                      <w:lang w:val="en-US" w:eastAsia="zh-CN"/>
                    </w:rPr>
                    <w:t>厂区其他产品原料，剩余部分</w:t>
                  </w:r>
                  <w:r>
                    <w:rPr>
                      <w:rFonts w:hint="eastAsia"/>
                      <w:b w:val="0"/>
                      <w:bCs/>
                      <w:color w:val="auto"/>
                      <w:sz w:val="21"/>
                      <w:szCs w:val="20"/>
                      <w:lang w:val="en-US" w:eastAsia="zh-CN"/>
                    </w:rPr>
                    <w:t>外售</w:t>
                  </w:r>
                  <w:r>
                    <w:rPr>
                      <w:rFonts w:hint="eastAsia" w:ascii="Times New Roman" w:hAnsi="Times New Roman" w:eastAsia="宋体"/>
                      <w:b w:val="0"/>
                      <w:bCs/>
                      <w:color w:val="auto"/>
                      <w:sz w:val="21"/>
                      <w:szCs w:val="20"/>
                      <w:lang w:val="en-US" w:eastAsia="zh-CN"/>
                    </w:rPr>
                    <w:t>。</w:t>
                  </w:r>
                </w:p>
              </w:tc>
            </w:tr>
          </w:tbl>
          <w:p w14:paraId="0260A44C">
            <w:pPr>
              <w:pStyle w:val="11"/>
              <w:keepNext w:val="0"/>
              <w:keepLines w:val="0"/>
              <w:pageBreakBefore w:val="0"/>
              <w:widowControl w:val="0"/>
              <w:numPr>
                <w:ilvl w:val="1"/>
                <w:numId w:val="0"/>
              </w:numPr>
              <w:kinsoku/>
              <w:wordWrap/>
              <w:overflowPunct/>
              <w:topLinePunct w:val="0"/>
              <w:autoSpaceDE/>
              <w:autoSpaceDN/>
              <w:bidi w:val="0"/>
              <w:adjustRightInd/>
              <w:snapToGrid/>
              <w:ind w:firstLine="482" w:firstLineChars="200"/>
              <w:textAlignment w:val="auto"/>
              <w:rPr>
                <w:rFonts w:hint="default" w:ascii="Times New Roman" w:hAnsi="Times New Roman" w:eastAsia="宋体" w:cs="宋体"/>
                <w:b/>
                <w:bCs/>
                <w:color w:val="auto"/>
                <w:kern w:val="2"/>
                <w:sz w:val="24"/>
                <w:szCs w:val="24"/>
                <w:lang w:val="en-US" w:eastAsia="zh-CN" w:bidi="ar-SA"/>
              </w:rPr>
            </w:pPr>
          </w:p>
          <w:p w14:paraId="00818217">
            <w:pPr>
              <w:pStyle w:val="11"/>
              <w:keepNext w:val="0"/>
              <w:keepLines w:val="0"/>
              <w:pageBreakBefore w:val="0"/>
              <w:widowControl w:val="0"/>
              <w:numPr>
                <w:ilvl w:val="1"/>
                <w:numId w:val="0"/>
              </w:numPr>
              <w:kinsoku/>
              <w:wordWrap/>
              <w:overflowPunct/>
              <w:topLinePunct w:val="0"/>
              <w:autoSpaceDE/>
              <w:autoSpaceDN/>
              <w:bidi w:val="0"/>
              <w:adjustRightInd/>
              <w:snapToGrid/>
              <w:ind w:firstLine="482" w:firstLineChars="200"/>
              <w:textAlignment w:val="auto"/>
              <w:rPr>
                <w:rFonts w:hint="default" w:ascii="Times New Roman" w:hAnsi="Times New Roman" w:eastAsia="宋体" w:cs="宋体"/>
                <w:b/>
                <w:bCs/>
                <w:color w:val="auto"/>
                <w:kern w:val="2"/>
                <w:sz w:val="24"/>
                <w:szCs w:val="24"/>
                <w:lang w:val="en-US" w:eastAsia="zh-CN" w:bidi="ar-SA"/>
              </w:rPr>
            </w:pPr>
          </w:p>
          <w:p w14:paraId="0B5C4BFD">
            <w:pPr>
              <w:pStyle w:val="11"/>
              <w:keepNext w:val="0"/>
              <w:keepLines w:val="0"/>
              <w:pageBreakBefore w:val="0"/>
              <w:widowControl w:val="0"/>
              <w:numPr>
                <w:ilvl w:val="1"/>
                <w:numId w:val="0"/>
              </w:numPr>
              <w:kinsoku/>
              <w:wordWrap/>
              <w:overflowPunct/>
              <w:topLinePunct w:val="0"/>
              <w:autoSpaceDE/>
              <w:autoSpaceDN/>
              <w:bidi w:val="0"/>
              <w:adjustRightInd/>
              <w:snapToGrid/>
              <w:ind w:firstLine="482" w:firstLineChars="200"/>
              <w:textAlignment w:val="auto"/>
              <w:rPr>
                <w:rFonts w:hint="eastAsia"/>
                <w:color w:val="auto"/>
                <w:highlight w:val="none"/>
                <w:lang w:eastAsia="zh-CN"/>
              </w:rPr>
            </w:pPr>
            <w:r>
              <w:rPr>
                <w:rFonts w:hint="default" w:ascii="Times New Roman" w:hAnsi="Times New Roman" w:eastAsia="宋体" w:cs="宋体"/>
                <w:b/>
                <w:bCs/>
                <w:color w:val="auto"/>
                <w:kern w:val="2"/>
                <w:sz w:val="24"/>
                <w:szCs w:val="24"/>
                <w:lang w:val="en-US" w:eastAsia="zh-CN" w:bidi="ar-SA"/>
              </w:rPr>
              <w:t>2.3</w:t>
            </w:r>
            <w:r>
              <w:rPr>
                <w:rFonts w:hint="eastAsia"/>
                <w:color w:val="auto"/>
                <w:highlight w:val="none"/>
                <w:lang w:eastAsia="zh-CN"/>
              </w:rPr>
              <w:t>主要生产设施及参数</w:t>
            </w:r>
            <w:bookmarkEnd w:id="9"/>
          </w:p>
          <w:p w14:paraId="0931CF5E">
            <w:pPr>
              <w:bidi w:val="0"/>
              <w:rPr>
                <w:color w:val="auto"/>
                <w:highlight w:val="none"/>
              </w:rPr>
            </w:pPr>
            <w:bookmarkStart w:id="10" w:name="_Ref14975"/>
            <w:r>
              <w:rPr>
                <w:rFonts w:hint="eastAsia"/>
                <w:color w:val="auto"/>
                <w:highlight w:val="none"/>
                <w:lang w:val="en-US" w:eastAsia="zh-CN"/>
              </w:rPr>
              <w:t>1、</w:t>
            </w:r>
            <w:r>
              <w:rPr>
                <w:rFonts w:hint="eastAsia"/>
                <w:color w:val="auto"/>
                <w:highlight w:val="none"/>
                <w:lang w:eastAsia="zh-CN"/>
              </w:rPr>
              <w:t>项目主要设备见</w:t>
            </w:r>
            <w:r>
              <w:rPr>
                <w:rFonts w:hint="eastAsia"/>
                <w:color w:val="auto"/>
                <w:highlight w:val="none"/>
                <w:lang w:val="en-US" w:eastAsia="zh-CN"/>
              </w:rPr>
              <w:t>表2.3-1</w:t>
            </w:r>
            <w:r>
              <w:rPr>
                <w:rFonts w:hint="eastAsia"/>
                <w:color w:val="auto"/>
                <w:highlight w:val="none"/>
                <w:lang w:eastAsia="zh-CN"/>
              </w:rPr>
              <w:t>。</w:t>
            </w:r>
            <w:bookmarkEnd w:id="10"/>
            <w:bookmarkStart w:id="11" w:name="_Ref2107"/>
          </w:p>
          <w:p w14:paraId="5AC3A9C2">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eastAsia"/>
                <w:color w:val="auto"/>
                <w:highlight w:val="none"/>
                <w:lang w:eastAsia="zh-CN"/>
              </w:rPr>
            </w:pPr>
            <w:r>
              <w:rPr>
                <w:color w:val="auto"/>
                <w:highlight w:val="none"/>
              </w:rPr>
              <w:t>表</w:t>
            </w:r>
            <w:r>
              <w:rPr>
                <w:color w:val="auto"/>
                <w:highlight w:val="none"/>
              </w:rPr>
              <w:fldChar w:fldCharType="begin"/>
            </w:r>
            <w:r>
              <w:rPr>
                <w:color w:val="auto"/>
                <w:highlight w:val="none"/>
              </w:rPr>
              <w:instrText xml:space="preserve"> STYLEREF 2 \s </w:instrText>
            </w:r>
            <w:r>
              <w:rPr>
                <w:color w:val="auto"/>
                <w:highlight w:val="none"/>
              </w:rPr>
              <w:fldChar w:fldCharType="separate"/>
            </w:r>
            <w:r>
              <w:rPr>
                <w:color w:val="auto"/>
                <w:highlight w:val="none"/>
              </w:rPr>
              <w:t>2.3</w:t>
            </w:r>
            <w:r>
              <w:rPr>
                <w:color w:val="auto"/>
                <w:highlight w:val="none"/>
              </w:rPr>
              <w:fldChar w:fldCharType="end"/>
            </w:r>
            <w:r>
              <w:rPr>
                <w:rFonts w:hint="eastAsia"/>
                <w:color w:val="auto"/>
                <w:highlight w:val="none"/>
                <w:lang w:eastAsia="zh-CN"/>
              </w:rPr>
              <w:t>-</w:t>
            </w:r>
            <w:r>
              <w:rPr>
                <w:color w:val="auto"/>
                <w:highlight w:val="none"/>
              </w:rPr>
              <w:fldChar w:fldCharType="begin"/>
            </w:r>
            <w:r>
              <w:rPr>
                <w:color w:val="auto"/>
                <w:highlight w:val="none"/>
              </w:rPr>
              <w:instrText xml:space="preserve"> SEQ 表 \* ARABIC \s 2 </w:instrText>
            </w:r>
            <w:r>
              <w:rPr>
                <w:color w:val="auto"/>
                <w:highlight w:val="none"/>
              </w:rPr>
              <w:fldChar w:fldCharType="separate"/>
            </w:r>
            <w:r>
              <w:rPr>
                <w:color w:val="auto"/>
                <w:highlight w:val="none"/>
              </w:rPr>
              <w:t>1</w:t>
            </w:r>
            <w:r>
              <w:rPr>
                <w:color w:val="auto"/>
                <w:highlight w:val="none"/>
              </w:rPr>
              <w:fldChar w:fldCharType="end"/>
            </w:r>
            <w:bookmarkEnd w:id="11"/>
            <w:r>
              <w:rPr>
                <w:rFonts w:hint="eastAsia"/>
                <w:color w:val="auto"/>
                <w:highlight w:val="none"/>
                <w:lang w:val="en-US" w:eastAsia="zh-CN"/>
              </w:rPr>
              <w:t xml:space="preserve">  </w:t>
            </w:r>
            <w:r>
              <w:rPr>
                <w:rFonts w:hint="eastAsia"/>
                <w:color w:val="auto"/>
                <w:highlight w:val="none"/>
              </w:rPr>
              <w:t>主要生产</w:t>
            </w:r>
            <w:r>
              <w:rPr>
                <w:rFonts w:hint="eastAsia"/>
                <w:color w:val="auto"/>
                <w:highlight w:val="none"/>
                <w:lang w:val="en-US" w:eastAsia="zh-CN"/>
              </w:rPr>
              <w:t>设施</w:t>
            </w:r>
            <w:r>
              <w:rPr>
                <w:rFonts w:hint="eastAsia"/>
                <w:color w:val="auto"/>
                <w:highlight w:val="none"/>
              </w:rPr>
              <w:t>表</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914"/>
              <w:gridCol w:w="2168"/>
              <w:gridCol w:w="1861"/>
              <w:gridCol w:w="683"/>
              <w:gridCol w:w="683"/>
              <w:gridCol w:w="2167"/>
            </w:tblGrid>
            <w:tr w14:paraId="392B1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2" w:type="pct"/>
                  <w:noWrap/>
                  <w:vAlign w:val="center"/>
                </w:tcPr>
                <w:p w14:paraId="30108E32">
                  <w:pPr>
                    <w:pStyle w:val="34"/>
                    <w:bidi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序号</w:t>
                  </w:r>
                </w:p>
              </w:tc>
              <w:tc>
                <w:tcPr>
                  <w:tcW w:w="508" w:type="pct"/>
                  <w:noWrap/>
                  <w:vAlign w:val="center"/>
                </w:tcPr>
                <w:p w14:paraId="36732F35">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工序</w:t>
                  </w:r>
                </w:p>
              </w:tc>
              <w:tc>
                <w:tcPr>
                  <w:tcW w:w="1204" w:type="pct"/>
                  <w:shd w:val="clear" w:color="auto" w:fill="auto"/>
                  <w:noWrap/>
                  <w:vAlign w:val="center"/>
                </w:tcPr>
                <w:p w14:paraId="56E7E7D5">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名称</w:t>
                  </w:r>
                </w:p>
              </w:tc>
              <w:tc>
                <w:tcPr>
                  <w:tcW w:w="1033" w:type="pct"/>
                  <w:noWrap/>
                  <w:vAlign w:val="center"/>
                </w:tcPr>
                <w:p w14:paraId="279FD8A7">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技术参数</w:t>
                  </w:r>
                </w:p>
              </w:tc>
              <w:tc>
                <w:tcPr>
                  <w:tcW w:w="379" w:type="pct"/>
                  <w:noWrap/>
                  <w:vAlign w:val="center"/>
                </w:tcPr>
                <w:p w14:paraId="5ABDF3C5">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单位</w:t>
                  </w:r>
                </w:p>
              </w:tc>
              <w:tc>
                <w:tcPr>
                  <w:tcW w:w="379" w:type="pct"/>
                  <w:noWrap/>
                  <w:vAlign w:val="center"/>
                </w:tcPr>
                <w:p w14:paraId="0C248DB7">
                  <w:pPr>
                    <w:pStyle w:val="34"/>
                    <w:bidi w:val="0"/>
                    <w:rPr>
                      <w:rFonts w:hint="eastAsia"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数量</w:t>
                  </w:r>
                </w:p>
              </w:tc>
              <w:tc>
                <w:tcPr>
                  <w:tcW w:w="1202" w:type="pct"/>
                  <w:noWrap/>
                  <w:vAlign w:val="center"/>
                </w:tcPr>
                <w:p w14:paraId="6FE50031">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备注</w:t>
                  </w:r>
                </w:p>
              </w:tc>
            </w:tr>
            <w:tr w14:paraId="6D35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2" w:type="pct"/>
                  <w:shd w:val="clear" w:color="auto" w:fill="auto"/>
                  <w:noWrap/>
                  <w:vAlign w:val="center"/>
                </w:tcPr>
                <w:p w14:paraId="04AC46A9">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w:t>
                  </w:r>
                </w:p>
              </w:tc>
              <w:tc>
                <w:tcPr>
                  <w:tcW w:w="508" w:type="pct"/>
                  <w:vMerge w:val="restart"/>
                  <w:shd w:val="clear" w:color="auto" w:fill="auto"/>
                  <w:noWrap/>
                  <w:vAlign w:val="center"/>
                </w:tcPr>
                <w:p w14:paraId="77552E4D">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装配式房+预制构件</w:t>
                  </w:r>
                </w:p>
              </w:tc>
              <w:tc>
                <w:tcPr>
                  <w:tcW w:w="1204" w:type="pct"/>
                  <w:shd w:val="clear" w:color="auto" w:fill="auto"/>
                  <w:noWrap/>
                  <w:vAlign w:val="center"/>
                </w:tcPr>
                <w:p w14:paraId="1F8D97D3">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b w:val="0"/>
                      <w:bCs/>
                      <w:color w:val="auto"/>
                      <w:sz w:val="21"/>
                      <w:szCs w:val="20"/>
                      <w:lang w:val="en-US" w:eastAsia="zh-CN"/>
                    </w:rPr>
                    <w:t>水泥料仓</w:t>
                  </w:r>
                </w:p>
              </w:tc>
              <w:tc>
                <w:tcPr>
                  <w:tcW w:w="1033" w:type="pct"/>
                  <w:noWrap/>
                  <w:vAlign w:val="center"/>
                </w:tcPr>
                <w:p w14:paraId="044F6152">
                  <w:pPr>
                    <w:pStyle w:val="34"/>
                    <w:bidi w:val="0"/>
                    <w:rPr>
                      <w:rFonts w:hint="default" w:ascii="Times New Roman" w:hAnsi="Times New Roman" w:eastAsia="宋体"/>
                      <w:color w:val="auto"/>
                      <w:sz w:val="21"/>
                      <w:highlight w:val="none"/>
                      <w:lang w:val="en-US" w:eastAsia="zh-CN"/>
                    </w:rPr>
                  </w:pPr>
                  <w:r>
                    <w:rPr>
                      <w:rFonts w:hint="eastAsia" w:cs="宋体"/>
                      <w:color w:val="auto"/>
                      <w:kern w:val="2"/>
                      <w:sz w:val="21"/>
                      <w:szCs w:val="21"/>
                      <w:highlight w:val="none"/>
                      <w:lang w:val="en-US" w:eastAsia="zh-CN" w:bidi="ar"/>
                    </w:rPr>
                    <w:t>2</w:t>
                  </w:r>
                  <w:r>
                    <w:rPr>
                      <w:rFonts w:hint="eastAsia" w:ascii="Times New Roman" w:hAnsi="Times New Roman" w:eastAsia="宋体" w:cs="宋体"/>
                      <w:color w:val="auto"/>
                      <w:kern w:val="2"/>
                      <w:sz w:val="21"/>
                      <w:szCs w:val="21"/>
                      <w:highlight w:val="none"/>
                      <w:lang w:val="en-US" w:eastAsia="zh-CN" w:bidi="ar"/>
                    </w:rPr>
                    <w:t>00t</w:t>
                  </w:r>
                </w:p>
              </w:tc>
              <w:tc>
                <w:tcPr>
                  <w:tcW w:w="379" w:type="pct"/>
                  <w:shd w:val="clear" w:color="auto" w:fill="auto"/>
                  <w:noWrap/>
                  <w:vAlign w:val="center"/>
                </w:tcPr>
                <w:p w14:paraId="3CAAAB47">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台</w:t>
                  </w:r>
                </w:p>
              </w:tc>
              <w:tc>
                <w:tcPr>
                  <w:tcW w:w="379" w:type="pct"/>
                  <w:shd w:val="clear" w:color="auto" w:fill="auto"/>
                  <w:noWrap/>
                  <w:vAlign w:val="center"/>
                </w:tcPr>
                <w:p w14:paraId="126132E5">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1202" w:type="pct"/>
                  <w:shd w:val="clear" w:color="auto" w:fill="auto"/>
                  <w:noWrap/>
                  <w:vAlign w:val="center"/>
                </w:tcPr>
                <w:p w14:paraId="6F7332A7">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w:t>
                  </w:r>
                </w:p>
              </w:tc>
            </w:tr>
            <w:tr w14:paraId="5AD9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0ABA7726">
                  <w:pPr>
                    <w:pStyle w:val="34"/>
                    <w:bidi w:val="0"/>
                    <w:ind w:firstLine="0" w:firstLineChars="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w:t>
                  </w:r>
                </w:p>
              </w:tc>
              <w:tc>
                <w:tcPr>
                  <w:tcW w:w="508" w:type="pct"/>
                  <w:vMerge w:val="continue"/>
                  <w:shd w:val="clear" w:color="auto" w:fill="auto"/>
                  <w:noWrap/>
                  <w:vAlign w:val="center"/>
                </w:tcPr>
                <w:p w14:paraId="71E8F1B6">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0877CD84">
                  <w:pPr>
                    <w:pStyle w:val="34"/>
                    <w:bidi w:val="0"/>
                    <w:ind w:firstLine="0" w:firstLineChars="0"/>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粉煤灰料仓</w:t>
                  </w:r>
                </w:p>
              </w:tc>
              <w:tc>
                <w:tcPr>
                  <w:tcW w:w="1861" w:type="dxa"/>
                  <w:noWrap/>
                  <w:vAlign w:val="center"/>
                </w:tcPr>
                <w:p w14:paraId="1872A258">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100t</w:t>
                  </w:r>
                </w:p>
              </w:tc>
              <w:tc>
                <w:tcPr>
                  <w:tcW w:w="683" w:type="dxa"/>
                  <w:shd w:val="clear" w:color="auto" w:fill="auto"/>
                  <w:noWrap/>
                  <w:vAlign w:val="center"/>
                </w:tcPr>
                <w:p w14:paraId="37E0EE80">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台</w:t>
                  </w:r>
                </w:p>
              </w:tc>
              <w:tc>
                <w:tcPr>
                  <w:tcW w:w="683" w:type="dxa"/>
                  <w:shd w:val="clear" w:color="auto" w:fill="auto"/>
                  <w:noWrap/>
                  <w:vAlign w:val="center"/>
                </w:tcPr>
                <w:p w14:paraId="7537CC11">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2166" w:type="dxa"/>
                  <w:shd w:val="clear" w:color="auto" w:fill="auto"/>
                  <w:noWrap/>
                  <w:vAlign w:val="center"/>
                </w:tcPr>
                <w:p w14:paraId="6C73A0B2">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w:t>
                  </w:r>
                </w:p>
              </w:tc>
            </w:tr>
            <w:tr w14:paraId="06F7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39AB8241">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3</w:t>
                  </w:r>
                </w:p>
              </w:tc>
              <w:tc>
                <w:tcPr>
                  <w:tcW w:w="508" w:type="pct"/>
                  <w:vMerge w:val="continue"/>
                  <w:shd w:val="clear" w:color="auto" w:fill="auto"/>
                  <w:noWrap/>
                  <w:vAlign w:val="center"/>
                </w:tcPr>
                <w:p w14:paraId="0A044A33">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558FFEFF">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s="Times New Roman"/>
                      <w:b w:val="0"/>
                      <w:bCs/>
                      <w:color w:val="auto"/>
                      <w:sz w:val="21"/>
                      <w:szCs w:val="20"/>
                      <w:lang w:val="en-US" w:eastAsia="zh-CN"/>
                    </w:rPr>
                    <w:t>搅拌机</w:t>
                  </w:r>
                </w:p>
              </w:tc>
              <w:tc>
                <w:tcPr>
                  <w:tcW w:w="1033" w:type="pct"/>
                  <w:shd w:val="clear" w:color="auto" w:fill="auto"/>
                  <w:noWrap/>
                  <w:vAlign w:val="center"/>
                </w:tcPr>
                <w:p w14:paraId="4E7670F3">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MHZS35</w:t>
                  </w:r>
                </w:p>
              </w:tc>
              <w:tc>
                <w:tcPr>
                  <w:tcW w:w="379" w:type="pct"/>
                  <w:shd w:val="clear" w:color="auto" w:fill="auto"/>
                  <w:noWrap/>
                  <w:vAlign w:val="center"/>
                </w:tcPr>
                <w:p w14:paraId="77649062">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台</w:t>
                  </w:r>
                </w:p>
              </w:tc>
              <w:tc>
                <w:tcPr>
                  <w:tcW w:w="379" w:type="pct"/>
                  <w:shd w:val="clear" w:color="auto" w:fill="auto"/>
                  <w:noWrap/>
                  <w:vAlign w:val="center"/>
                </w:tcPr>
                <w:p w14:paraId="42E80A42">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1202" w:type="pct"/>
                  <w:shd w:val="clear" w:color="auto" w:fill="auto"/>
                  <w:noWrap/>
                  <w:vAlign w:val="center"/>
                </w:tcPr>
                <w:p w14:paraId="26B25C85">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产能：</w:t>
                  </w:r>
                  <w:r>
                    <w:rPr>
                      <w:rFonts w:hint="eastAsia" w:ascii="Times New Roman" w:hAnsi="Times New Roman" w:eastAsia="宋体"/>
                      <w:b w:val="0"/>
                      <w:bCs/>
                      <w:color w:val="auto"/>
                      <w:sz w:val="21"/>
                      <w:szCs w:val="20"/>
                      <w:lang w:val="en-US" w:eastAsia="zh-CN"/>
                    </w:rPr>
                    <w:t>4</w:t>
                  </w:r>
                  <w:r>
                    <w:rPr>
                      <w:rFonts w:hint="eastAsia"/>
                      <w:b w:val="0"/>
                      <w:bCs/>
                      <w:color w:val="auto"/>
                      <w:sz w:val="21"/>
                      <w:szCs w:val="20"/>
                      <w:lang w:val="en-US" w:eastAsia="zh-CN"/>
                    </w:rPr>
                    <w:t>0</w:t>
                  </w:r>
                  <w:r>
                    <w:rPr>
                      <w:rFonts w:hint="eastAsia" w:ascii="Times New Roman" w:hAnsi="Times New Roman" w:eastAsia="宋体"/>
                      <w:b w:val="0"/>
                      <w:bCs/>
                      <w:color w:val="auto"/>
                      <w:sz w:val="21"/>
                      <w:szCs w:val="20"/>
                      <w:lang w:val="en-US" w:eastAsia="zh-CN"/>
                    </w:rPr>
                    <w:t>-50t/h</w:t>
                  </w:r>
                </w:p>
              </w:tc>
            </w:tr>
            <w:tr w14:paraId="7289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151ED0F6">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4</w:t>
                  </w:r>
                </w:p>
              </w:tc>
              <w:tc>
                <w:tcPr>
                  <w:tcW w:w="508" w:type="pct"/>
                  <w:vMerge w:val="continue"/>
                  <w:shd w:val="clear" w:color="auto" w:fill="auto"/>
                  <w:noWrap/>
                  <w:vAlign w:val="center"/>
                </w:tcPr>
                <w:p w14:paraId="079B3AD5">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5DB0F98F">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b w:val="0"/>
                      <w:bCs/>
                      <w:color w:val="auto"/>
                      <w:sz w:val="21"/>
                      <w:szCs w:val="20"/>
                      <w:lang w:val="en-US" w:eastAsia="zh-CN"/>
                    </w:rPr>
                    <w:t>螺旋输送机</w:t>
                  </w:r>
                </w:p>
              </w:tc>
              <w:tc>
                <w:tcPr>
                  <w:tcW w:w="1033" w:type="pct"/>
                  <w:shd w:val="clear" w:color="auto" w:fill="auto"/>
                  <w:noWrap/>
                  <w:vAlign w:val="center"/>
                </w:tcPr>
                <w:p w14:paraId="14396F51">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w:t>
                  </w:r>
                </w:p>
              </w:tc>
              <w:tc>
                <w:tcPr>
                  <w:tcW w:w="379" w:type="pct"/>
                  <w:shd w:val="clear" w:color="auto" w:fill="auto"/>
                  <w:noWrap/>
                  <w:vAlign w:val="center"/>
                </w:tcPr>
                <w:p w14:paraId="45A14CC2">
                  <w:pPr>
                    <w:pStyle w:val="34"/>
                    <w:bidi w:val="0"/>
                    <w:ind w:firstLine="0" w:firstLineChars="0"/>
                    <w:rPr>
                      <w:rFonts w:hint="eastAsia" w:ascii="Times New Roman" w:hAnsi="Times New Roman" w:eastAsia="宋体"/>
                      <w:color w:val="auto"/>
                      <w:sz w:val="21"/>
                      <w:highlight w:val="none"/>
                      <w:lang w:val="en-US" w:eastAsia="zh-CN"/>
                    </w:rPr>
                  </w:pPr>
                  <w:r>
                    <w:rPr>
                      <w:rFonts w:hint="eastAsia" w:ascii="Times New Roman" w:hAnsi="Times New Roman" w:eastAsia="宋体" w:cs="宋体"/>
                      <w:color w:val="auto"/>
                      <w:kern w:val="2"/>
                      <w:sz w:val="21"/>
                      <w:szCs w:val="21"/>
                      <w:highlight w:val="none"/>
                      <w:lang w:val="en-US" w:eastAsia="zh-CN" w:bidi="ar"/>
                    </w:rPr>
                    <w:t>套</w:t>
                  </w:r>
                </w:p>
              </w:tc>
              <w:tc>
                <w:tcPr>
                  <w:tcW w:w="379" w:type="pct"/>
                  <w:shd w:val="clear" w:color="auto" w:fill="auto"/>
                  <w:noWrap/>
                  <w:vAlign w:val="center"/>
                </w:tcPr>
                <w:p w14:paraId="43B5EEBC">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2</w:t>
                  </w:r>
                </w:p>
              </w:tc>
              <w:tc>
                <w:tcPr>
                  <w:tcW w:w="1202" w:type="pct"/>
                  <w:shd w:val="clear" w:color="auto" w:fill="auto"/>
                  <w:noWrap/>
                  <w:vAlign w:val="center"/>
                </w:tcPr>
                <w:p w14:paraId="634F5D19">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w:t>
                  </w:r>
                </w:p>
              </w:tc>
            </w:tr>
            <w:tr w14:paraId="17D5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04BC58E6">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5</w:t>
                  </w:r>
                </w:p>
              </w:tc>
              <w:tc>
                <w:tcPr>
                  <w:tcW w:w="508" w:type="pct"/>
                  <w:vMerge w:val="continue"/>
                  <w:shd w:val="clear" w:color="auto" w:fill="auto"/>
                  <w:noWrap/>
                  <w:vAlign w:val="center"/>
                </w:tcPr>
                <w:p w14:paraId="24491DDB">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42F6F68A">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b w:val="0"/>
                      <w:bCs/>
                      <w:color w:val="auto"/>
                      <w:sz w:val="21"/>
                      <w:szCs w:val="20"/>
                      <w:lang w:val="en-US" w:eastAsia="zh-CN"/>
                    </w:rPr>
                    <w:t>行吊</w:t>
                  </w:r>
                </w:p>
              </w:tc>
              <w:tc>
                <w:tcPr>
                  <w:tcW w:w="1033" w:type="pct"/>
                  <w:shd w:val="clear" w:color="auto" w:fill="auto"/>
                  <w:noWrap/>
                  <w:vAlign w:val="center"/>
                </w:tcPr>
                <w:p w14:paraId="43046457">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s="宋体"/>
                      <w:color w:val="auto"/>
                      <w:kern w:val="2"/>
                      <w:sz w:val="21"/>
                      <w:szCs w:val="21"/>
                      <w:highlight w:val="none"/>
                      <w:lang w:val="en-US" w:eastAsia="zh-CN" w:bidi="ar"/>
                    </w:rPr>
                    <w:t>一台32t，一台15t</w:t>
                  </w:r>
                </w:p>
              </w:tc>
              <w:tc>
                <w:tcPr>
                  <w:tcW w:w="379" w:type="pct"/>
                  <w:shd w:val="clear" w:color="auto" w:fill="auto"/>
                  <w:noWrap/>
                  <w:vAlign w:val="center"/>
                </w:tcPr>
                <w:p w14:paraId="5DAB118F">
                  <w:pPr>
                    <w:pStyle w:val="34"/>
                    <w:bidi w:val="0"/>
                    <w:ind w:firstLine="0" w:firstLineChars="0"/>
                    <w:rPr>
                      <w:rFonts w:hint="eastAsia" w:ascii="Times New Roman" w:hAnsi="Times New Roman" w:eastAsia="宋体"/>
                      <w:color w:val="auto"/>
                      <w:sz w:val="21"/>
                      <w:highlight w:val="none"/>
                      <w:lang w:val="en-US" w:eastAsia="zh-CN"/>
                    </w:rPr>
                  </w:pPr>
                  <w:r>
                    <w:rPr>
                      <w:rFonts w:hint="eastAsia" w:ascii="Times New Roman" w:hAnsi="Times New Roman" w:eastAsia="宋体" w:cs="宋体"/>
                      <w:color w:val="auto"/>
                      <w:kern w:val="2"/>
                      <w:sz w:val="21"/>
                      <w:szCs w:val="21"/>
                      <w:highlight w:val="none"/>
                      <w:lang w:val="en-US" w:eastAsia="zh-CN" w:bidi="ar"/>
                    </w:rPr>
                    <w:t>台</w:t>
                  </w:r>
                </w:p>
              </w:tc>
              <w:tc>
                <w:tcPr>
                  <w:tcW w:w="379" w:type="pct"/>
                  <w:shd w:val="clear" w:color="auto" w:fill="auto"/>
                  <w:noWrap/>
                  <w:vAlign w:val="center"/>
                </w:tcPr>
                <w:p w14:paraId="18DFBB16">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2</w:t>
                  </w:r>
                </w:p>
              </w:tc>
              <w:tc>
                <w:tcPr>
                  <w:tcW w:w="1202" w:type="pct"/>
                  <w:shd w:val="clear" w:color="auto" w:fill="auto"/>
                  <w:noWrap/>
                  <w:vAlign w:val="center"/>
                </w:tcPr>
                <w:p w14:paraId="67D72355">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w:t>
                  </w:r>
                </w:p>
              </w:tc>
            </w:tr>
            <w:tr w14:paraId="2020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4DD0D973">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6</w:t>
                  </w:r>
                </w:p>
              </w:tc>
              <w:tc>
                <w:tcPr>
                  <w:tcW w:w="508" w:type="pct"/>
                  <w:vMerge w:val="continue"/>
                  <w:shd w:val="clear" w:color="auto" w:fill="auto"/>
                  <w:noWrap/>
                  <w:vAlign w:val="center"/>
                </w:tcPr>
                <w:p w14:paraId="2682A0BB">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51DFADA7">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b w:val="0"/>
                      <w:bCs/>
                      <w:color w:val="auto"/>
                      <w:sz w:val="21"/>
                      <w:szCs w:val="20"/>
                      <w:lang w:val="en-US" w:eastAsia="zh-CN"/>
                    </w:rPr>
                    <w:t>雨污观察井模具</w:t>
                  </w:r>
                </w:p>
              </w:tc>
              <w:tc>
                <w:tcPr>
                  <w:tcW w:w="1033" w:type="pct"/>
                  <w:shd w:val="clear" w:color="auto" w:fill="auto"/>
                  <w:noWrap/>
                  <w:vAlign w:val="center"/>
                </w:tcPr>
                <w:p w14:paraId="70D90A03">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b w:val="0"/>
                      <w:bCs/>
                      <w:color w:val="auto"/>
                      <w:sz w:val="21"/>
                      <w:szCs w:val="20"/>
                      <w:lang w:val="en-US" w:eastAsia="zh-CN"/>
                    </w:rPr>
                    <w:t>内径：1m</w:t>
                  </w:r>
                </w:p>
              </w:tc>
              <w:tc>
                <w:tcPr>
                  <w:tcW w:w="379" w:type="pct"/>
                  <w:shd w:val="clear" w:color="auto" w:fill="auto"/>
                  <w:noWrap/>
                  <w:vAlign w:val="center"/>
                </w:tcPr>
                <w:p w14:paraId="2A7871FA">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套</w:t>
                  </w:r>
                </w:p>
              </w:tc>
              <w:tc>
                <w:tcPr>
                  <w:tcW w:w="379" w:type="pct"/>
                  <w:shd w:val="clear" w:color="auto" w:fill="auto"/>
                  <w:noWrap/>
                  <w:vAlign w:val="center"/>
                </w:tcPr>
                <w:p w14:paraId="1881B24E">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20</w:t>
                  </w:r>
                </w:p>
              </w:tc>
              <w:tc>
                <w:tcPr>
                  <w:tcW w:w="1202" w:type="pct"/>
                  <w:shd w:val="clear" w:color="auto" w:fill="auto"/>
                  <w:noWrap/>
                  <w:vAlign w:val="center"/>
                </w:tcPr>
                <w:p w14:paraId="7D6F18FA">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w:t>
                  </w:r>
                </w:p>
              </w:tc>
            </w:tr>
            <w:tr w14:paraId="2B974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7DAA43C2">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7</w:t>
                  </w:r>
                </w:p>
              </w:tc>
              <w:tc>
                <w:tcPr>
                  <w:tcW w:w="508" w:type="pct"/>
                  <w:vMerge w:val="continue"/>
                  <w:shd w:val="clear" w:color="auto" w:fill="auto"/>
                  <w:noWrap/>
                  <w:vAlign w:val="center"/>
                </w:tcPr>
                <w:p w14:paraId="4D28214A">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504CCDD6">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b w:val="0"/>
                      <w:bCs/>
                      <w:color w:val="auto"/>
                      <w:sz w:val="21"/>
                      <w:szCs w:val="20"/>
                      <w:lang w:val="en-US" w:eastAsia="zh-CN"/>
                    </w:rPr>
                    <w:t>电力井模具</w:t>
                  </w:r>
                </w:p>
              </w:tc>
              <w:tc>
                <w:tcPr>
                  <w:tcW w:w="1033" w:type="pct"/>
                  <w:shd w:val="clear" w:color="auto" w:fill="auto"/>
                  <w:noWrap/>
                  <w:vAlign w:val="center"/>
                </w:tcPr>
                <w:p w14:paraId="72D842EA">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b w:val="0"/>
                      <w:bCs/>
                      <w:color w:val="auto"/>
                      <w:sz w:val="21"/>
                      <w:szCs w:val="20"/>
                      <w:lang w:val="en-US" w:eastAsia="zh-CN"/>
                    </w:rPr>
                    <w:t>2m*2m</w:t>
                  </w:r>
                </w:p>
              </w:tc>
              <w:tc>
                <w:tcPr>
                  <w:tcW w:w="379" w:type="pct"/>
                  <w:shd w:val="clear" w:color="auto" w:fill="auto"/>
                  <w:noWrap/>
                  <w:vAlign w:val="center"/>
                </w:tcPr>
                <w:p w14:paraId="63338511">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套</w:t>
                  </w:r>
                </w:p>
              </w:tc>
              <w:tc>
                <w:tcPr>
                  <w:tcW w:w="379" w:type="pct"/>
                  <w:shd w:val="clear" w:color="auto" w:fill="auto"/>
                  <w:noWrap/>
                  <w:vAlign w:val="center"/>
                </w:tcPr>
                <w:p w14:paraId="6F83D04B">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10</w:t>
                  </w:r>
                </w:p>
              </w:tc>
              <w:tc>
                <w:tcPr>
                  <w:tcW w:w="1202" w:type="pct"/>
                  <w:shd w:val="clear" w:color="auto" w:fill="auto"/>
                  <w:noWrap/>
                  <w:vAlign w:val="center"/>
                </w:tcPr>
                <w:p w14:paraId="5C969DFC">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w:t>
                  </w:r>
                </w:p>
              </w:tc>
            </w:tr>
            <w:tr w14:paraId="741F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6D31080A">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8</w:t>
                  </w:r>
                </w:p>
              </w:tc>
              <w:tc>
                <w:tcPr>
                  <w:tcW w:w="508" w:type="pct"/>
                  <w:vMerge w:val="continue"/>
                  <w:shd w:val="clear" w:color="auto" w:fill="auto"/>
                  <w:noWrap/>
                  <w:vAlign w:val="center"/>
                </w:tcPr>
                <w:p w14:paraId="7FD4691F">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4850C95C">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b w:val="0"/>
                      <w:bCs/>
                      <w:color w:val="auto"/>
                      <w:sz w:val="21"/>
                      <w:szCs w:val="20"/>
                      <w:lang w:val="en-US" w:eastAsia="zh-CN"/>
                    </w:rPr>
                    <w:t>水渠模具</w:t>
                  </w:r>
                </w:p>
              </w:tc>
              <w:tc>
                <w:tcPr>
                  <w:tcW w:w="1033" w:type="pct"/>
                  <w:shd w:val="clear" w:color="auto" w:fill="auto"/>
                  <w:noWrap/>
                  <w:vAlign w:val="center"/>
                </w:tcPr>
                <w:p w14:paraId="294C873B">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b w:val="0"/>
                      <w:bCs/>
                      <w:color w:val="auto"/>
                      <w:sz w:val="21"/>
                      <w:szCs w:val="20"/>
                      <w:lang w:val="en-US" w:eastAsia="zh-CN"/>
                    </w:rPr>
                    <w:t>内径：40-80cm</w:t>
                  </w:r>
                </w:p>
              </w:tc>
              <w:tc>
                <w:tcPr>
                  <w:tcW w:w="379" w:type="pct"/>
                  <w:shd w:val="clear" w:color="auto" w:fill="auto"/>
                  <w:noWrap/>
                  <w:vAlign w:val="center"/>
                </w:tcPr>
                <w:p w14:paraId="65F60F28">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套</w:t>
                  </w:r>
                </w:p>
              </w:tc>
              <w:tc>
                <w:tcPr>
                  <w:tcW w:w="379" w:type="pct"/>
                  <w:shd w:val="clear" w:color="auto" w:fill="auto"/>
                  <w:noWrap/>
                  <w:vAlign w:val="center"/>
                </w:tcPr>
                <w:p w14:paraId="5514E3F0">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40</w:t>
                  </w:r>
                </w:p>
              </w:tc>
              <w:tc>
                <w:tcPr>
                  <w:tcW w:w="1202" w:type="pct"/>
                  <w:shd w:val="clear" w:color="auto" w:fill="auto"/>
                  <w:noWrap/>
                  <w:vAlign w:val="center"/>
                </w:tcPr>
                <w:p w14:paraId="0CEDA15E">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w:t>
                  </w:r>
                </w:p>
              </w:tc>
            </w:tr>
            <w:tr w14:paraId="3590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25574FFC">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9</w:t>
                  </w:r>
                </w:p>
              </w:tc>
              <w:tc>
                <w:tcPr>
                  <w:tcW w:w="508" w:type="pct"/>
                  <w:vMerge w:val="continue"/>
                  <w:shd w:val="clear" w:color="auto" w:fill="auto"/>
                  <w:noWrap/>
                  <w:vAlign w:val="center"/>
                </w:tcPr>
                <w:p w14:paraId="2BEE7817">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30925817">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b w:val="0"/>
                      <w:bCs/>
                      <w:color w:val="auto"/>
                      <w:sz w:val="21"/>
                      <w:szCs w:val="20"/>
                      <w:lang w:val="en-US" w:eastAsia="zh-CN"/>
                    </w:rPr>
                    <w:t>变压器底座模具</w:t>
                  </w:r>
                </w:p>
              </w:tc>
              <w:tc>
                <w:tcPr>
                  <w:tcW w:w="1033" w:type="pct"/>
                  <w:shd w:val="clear" w:color="auto" w:fill="auto"/>
                  <w:noWrap/>
                  <w:vAlign w:val="center"/>
                </w:tcPr>
                <w:p w14:paraId="38FE20C2">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b w:val="0"/>
                      <w:bCs/>
                      <w:color w:val="auto"/>
                      <w:sz w:val="21"/>
                      <w:szCs w:val="20"/>
                      <w:lang w:val="en-US" w:eastAsia="zh-CN"/>
                    </w:rPr>
                    <w:t>2m*3m</w:t>
                  </w:r>
                </w:p>
              </w:tc>
              <w:tc>
                <w:tcPr>
                  <w:tcW w:w="379" w:type="pct"/>
                  <w:shd w:val="clear" w:color="auto" w:fill="auto"/>
                  <w:noWrap/>
                  <w:vAlign w:val="center"/>
                </w:tcPr>
                <w:p w14:paraId="060A996F">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套</w:t>
                  </w:r>
                </w:p>
              </w:tc>
              <w:tc>
                <w:tcPr>
                  <w:tcW w:w="379" w:type="pct"/>
                  <w:shd w:val="clear" w:color="auto" w:fill="auto"/>
                  <w:noWrap/>
                  <w:vAlign w:val="center"/>
                </w:tcPr>
                <w:p w14:paraId="6FC647CE">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10</w:t>
                  </w:r>
                </w:p>
              </w:tc>
              <w:tc>
                <w:tcPr>
                  <w:tcW w:w="1202" w:type="pct"/>
                  <w:shd w:val="clear" w:color="auto" w:fill="auto"/>
                  <w:noWrap/>
                  <w:vAlign w:val="center"/>
                </w:tcPr>
                <w:p w14:paraId="130CDE5A">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w:t>
                  </w:r>
                </w:p>
              </w:tc>
            </w:tr>
            <w:tr w14:paraId="2402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0DDD10E6">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10</w:t>
                  </w:r>
                </w:p>
              </w:tc>
              <w:tc>
                <w:tcPr>
                  <w:tcW w:w="508" w:type="pct"/>
                  <w:vMerge w:val="continue"/>
                  <w:shd w:val="clear" w:color="auto" w:fill="auto"/>
                  <w:noWrap/>
                  <w:vAlign w:val="center"/>
                </w:tcPr>
                <w:p w14:paraId="791A2D05">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23CB8E7B">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b w:val="0"/>
                      <w:bCs/>
                      <w:color w:val="auto"/>
                      <w:sz w:val="21"/>
                      <w:szCs w:val="20"/>
                      <w:lang w:val="en-US" w:eastAsia="zh-CN"/>
                    </w:rPr>
                    <w:t>围墙制作设备</w:t>
                  </w:r>
                </w:p>
              </w:tc>
              <w:tc>
                <w:tcPr>
                  <w:tcW w:w="1033" w:type="pct"/>
                  <w:shd w:val="clear" w:color="auto" w:fill="auto"/>
                  <w:noWrap/>
                  <w:vAlign w:val="center"/>
                </w:tcPr>
                <w:p w14:paraId="45582782">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w:t>
                  </w:r>
                </w:p>
              </w:tc>
              <w:tc>
                <w:tcPr>
                  <w:tcW w:w="379" w:type="pct"/>
                  <w:shd w:val="clear" w:color="auto" w:fill="auto"/>
                  <w:noWrap/>
                  <w:vAlign w:val="center"/>
                </w:tcPr>
                <w:p w14:paraId="1D42CAD0">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套</w:t>
                  </w:r>
                </w:p>
              </w:tc>
              <w:tc>
                <w:tcPr>
                  <w:tcW w:w="379" w:type="pct"/>
                  <w:shd w:val="clear" w:color="auto" w:fill="auto"/>
                  <w:noWrap/>
                  <w:vAlign w:val="center"/>
                </w:tcPr>
                <w:p w14:paraId="204577AB">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1202" w:type="pct"/>
                  <w:shd w:val="clear" w:color="auto" w:fill="auto"/>
                  <w:noWrap/>
                  <w:vAlign w:val="center"/>
                </w:tcPr>
                <w:p w14:paraId="05A11314">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b w:val="0"/>
                      <w:bCs/>
                      <w:color w:val="auto"/>
                      <w:sz w:val="21"/>
                      <w:szCs w:val="20"/>
                      <w:lang w:val="en-US" w:eastAsia="zh-CN"/>
                    </w:rPr>
                    <w:t>立柱机1台</w:t>
                  </w:r>
                  <w:r>
                    <w:rPr>
                      <w:rFonts w:hint="eastAsia" w:ascii="Times New Roman" w:hAnsi="Times New Roman" w:eastAsia="宋体"/>
                      <w:b w:val="0"/>
                      <w:bCs/>
                      <w:color w:val="auto"/>
                      <w:sz w:val="21"/>
                      <w:szCs w:val="20"/>
                      <w:lang w:val="en-US" w:eastAsia="zh-CN"/>
                    </w:rPr>
                    <w:br w:type="textWrapping"/>
                  </w:r>
                  <w:r>
                    <w:rPr>
                      <w:rFonts w:hint="eastAsia" w:ascii="Times New Roman" w:hAnsi="Times New Roman" w:eastAsia="宋体"/>
                      <w:b w:val="0"/>
                      <w:bCs/>
                      <w:color w:val="auto"/>
                      <w:sz w:val="21"/>
                      <w:szCs w:val="20"/>
                      <w:lang w:val="en-US" w:eastAsia="zh-CN"/>
                    </w:rPr>
                    <w:t>楼板机1台</w:t>
                  </w:r>
                </w:p>
              </w:tc>
            </w:tr>
            <w:tr w14:paraId="15693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42F29781">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11</w:t>
                  </w:r>
                </w:p>
              </w:tc>
              <w:tc>
                <w:tcPr>
                  <w:tcW w:w="508" w:type="pct"/>
                  <w:vMerge w:val="continue"/>
                  <w:shd w:val="clear" w:color="auto" w:fill="auto"/>
                  <w:noWrap/>
                  <w:vAlign w:val="center"/>
                </w:tcPr>
                <w:p w14:paraId="6B2BE98A">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28F2A061">
                  <w:pPr>
                    <w:pStyle w:val="34"/>
                    <w:bidi w:val="0"/>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围弯机</w:t>
                  </w:r>
                </w:p>
              </w:tc>
              <w:tc>
                <w:tcPr>
                  <w:tcW w:w="1033" w:type="pct"/>
                  <w:shd w:val="clear" w:color="auto" w:fill="auto"/>
                  <w:noWrap/>
                  <w:vAlign w:val="center"/>
                </w:tcPr>
                <w:p w14:paraId="0678BF91">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w:t>
                  </w:r>
                </w:p>
              </w:tc>
              <w:tc>
                <w:tcPr>
                  <w:tcW w:w="379" w:type="pct"/>
                  <w:shd w:val="clear" w:color="auto" w:fill="auto"/>
                  <w:noWrap/>
                  <w:vAlign w:val="center"/>
                </w:tcPr>
                <w:p w14:paraId="7114DC5E">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台</w:t>
                  </w:r>
                </w:p>
              </w:tc>
              <w:tc>
                <w:tcPr>
                  <w:tcW w:w="379" w:type="pct"/>
                  <w:shd w:val="clear" w:color="auto" w:fill="auto"/>
                  <w:noWrap/>
                  <w:vAlign w:val="center"/>
                </w:tcPr>
                <w:p w14:paraId="724BFF23">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1202" w:type="pct"/>
                  <w:shd w:val="clear" w:color="auto" w:fill="auto"/>
                  <w:noWrap/>
                  <w:vAlign w:val="center"/>
                </w:tcPr>
                <w:p w14:paraId="62A25403">
                  <w:pPr>
                    <w:pStyle w:val="34"/>
                    <w:bidi w:val="0"/>
                    <w:ind w:firstLine="0" w:firstLineChars="0"/>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r>
            <w:tr w14:paraId="7C7D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782BDB54">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12</w:t>
                  </w:r>
                </w:p>
              </w:tc>
              <w:tc>
                <w:tcPr>
                  <w:tcW w:w="508" w:type="pct"/>
                  <w:vMerge w:val="continue"/>
                  <w:shd w:val="clear" w:color="auto" w:fill="auto"/>
                  <w:noWrap/>
                  <w:vAlign w:val="center"/>
                </w:tcPr>
                <w:p w14:paraId="4D40A27A">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4CADBCFF">
                  <w:pPr>
                    <w:pStyle w:val="34"/>
                    <w:bidi w:val="0"/>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拉直机</w:t>
                  </w:r>
                </w:p>
              </w:tc>
              <w:tc>
                <w:tcPr>
                  <w:tcW w:w="1033" w:type="pct"/>
                  <w:shd w:val="clear" w:color="auto" w:fill="auto"/>
                  <w:noWrap/>
                  <w:vAlign w:val="center"/>
                </w:tcPr>
                <w:p w14:paraId="05CFE2C6">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w:t>
                  </w:r>
                </w:p>
              </w:tc>
              <w:tc>
                <w:tcPr>
                  <w:tcW w:w="379" w:type="pct"/>
                  <w:shd w:val="clear" w:color="auto" w:fill="auto"/>
                  <w:noWrap/>
                  <w:vAlign w:val="center"/>
                </w:tcPr>
                <w:p w14:paraId="5495A7BE">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台</w:t>
                  </w:r>
                </w:p>
              </w:tc>
              <w:tc>
                <w:tcPr>
                  <w:tcW w:w="379" w:type="pct"/>
                  <w:shd w:val="clear" w:color="auto" w:fill="auto"/>
                  <w:noWrap/>
                  <w:vAlign w:val="center"/>
                </w:tcPr>
                <w:p w14:paraId="16A0627D">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1202" w:type="pct"/>
                  <w:shd w:val="clear" w:color="auto" w:fill="auto"/>
                  <w:noWrap/>
                  <w:vAlign w:val="center"/>
                </w:tcPr>
                <w:p w14:paraId="612A53D1">
                  <w:pPr>
                    <w:pStyle w:val="34"/>
                    <w:bidi w:val="0"/>
                    <w:ind w:firstLine="0" w:firstLineChars="0"/>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r>
            <w:tr w14:paraId="4DD5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137156DC">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13</w:t>
                  </w:r>
                </w:p>
              </w:tc>
              <w:tc>
                <w:tcPr>
                  <w:tcW w:w="508" w:type="pct"/>
                  <w:vMerge w:val="continue"/>
                  <w:shd w:val="clear" w:color="auto" w:fill="auto"/>
                  <w:noWrap/>
                  <w:vAlign w:val="center"/>
                </w:tcPr>
                <w:p w14:paraId="3D67216F">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334E749B">
                  <w:pPr>
                    <w:pStyle w:val="34"/>
                    <w:bidi w:val="0"/>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切断机</w:t>
                  </w:r>
                </w:p>
              </w:tc>
              <w:tc>
                <w:tcPr>
                  <w:tcW w:w="1033" w:type="pct"/>
                  <w:shd w:val="clear" w:color="auto" w:fill="auto"/>
                  <w:noWrap/>
                  <w:vAlign w:val="center"/>
                </w:tcPr>
                <w:p w14:paraId="03EE797E">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w:t>
                  </w:r>
                </w:p>
              </w:tc>
              <w:tc>
                <w:tcPr>
                  <w:tcW w:w="379" w:type="pct"/>
                  <w:shd w:val="clear" w:color="auto" w:fill="auto"/>
                  <w:noWrap/>
                  <w:vAlign w:val="center"/>
                </w:tcPr>
                <w:p w14:paraId="0FEC4C3F">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台</w:t>
                  </w:r>
                </w:p>
              </w:tc>
              <w:tc>
                <w:tcPr>
                  <w:tcW w:w="379" w:type="pct"/>
                  <w:shd w:val="clear" w:color="auto" w:fill="auto"/>
                  <w:noWrap/>
                  <w:vAlign w:val="center"/>
                </w:tcPr>
                <w:p w14:paraId="1BB46599">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1202" w:type="pct"/>
                  <w:shd w:val="clear" w:color="auto" w:fill="auto"/>
                  <w:noWrap/>
                  <w:vAlign w:val="center"/>
                </w:tcPr>
                <w:p w14:paraId="77FAAE11">
                  <w:pPr>
                    <w:pStyle w:val="34"/>
                    <w:bidi w:val="0"/>
                    <w:ind w:firstLine="0" w:firstLineChars="0"/>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r>
            <w:tr w14:paraId="2B95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32B9C689">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14</w:t>
                  </w:r>
                </w:p>
              </w:tc>
              <w:tc>
                <w:tcPr>
                  <w:tcW w:w="508" w:type="pct"/>
                  <w:vMerge w:val="continue"/>
                  <w:shd w:val="clear" w:color="auto" w:fill="auto"/>
                  <w:noWrap/>
                  <w:vAlign w:val="center"/>
                </w:tcPr>
                <w:p w14:paraId="7ACE329F">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0E3B5BB4">
                  <w:pPr>
                    <w:pStyle w:val="34"/>
                    <w:bidi w:val="0"/>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二保焊机</w:t>
                  </w:r>
                </w:p>
              </w:tc>
              <w:tc>
                <w:tcPr>
                  <w:tcW w:w="1033" w:type="pct"/>
                  <w:shd w:val="clear" w:color="auto" w:fill="auto"/>
                  <w:noWrap/>
                  <w:vAlign w:val="center"/>
                </w:tcPr>
                <w:p w14:paraId="03DF5934">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w:t>
                  </w:r>
                </w:p>
              </w:tc>
              <w:tc>
                <w:tcPr>
                  <w:tcW w:w="379" w:type="pct"/>
                  <w:shd w:val="clear" w:color="auto" w:fill="auto"/>
                  <w:noWrap/>
                  <w:vAlign w:val="center"/>
                </w:tcPr>
                <w:p w14:paraId="3159DD41">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台</w:t>
                  </w:r>
                </w:p>
              </w:tc>
              <w:tc>
                <w:tcPr>
                  <w:tcW w:w="379" w:type="pct"/>
                  <w:shd w:val="clear" w:color="auto" w:fill="auto"/>
                  <w:noWrap/>
                  <w:vAlign w:val="center"/>
                </w:tcPr>
                <w:p w14:paraId="6A1F6E1A">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2</w:t>
                  </w:r>
                </w:p>
              </w:tc>
              <w:tc>
                <w:tcPr>
                  <w:tcW w:w="1202" w:type="pct"/>
                  <w:shd w:val="clear" w:color="auto" w:fill="auto"/>
                  <w:noWrap/>
                  <w:vAlign w:val="center"/>
                </w:tcPr>
                <w:p w14:paraId="7B7B3498">
                  <w:pPr>
                    <w:pStyle w:val="34"/>
                    <w:bidi w:val="0"/>
                    <w:ind w:firstLine="0" w:firstLineChars="0"/>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r>
            <w:tr w14:paraId="53E2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587C816B">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15</w:t>
                  </w:r>
                </w:p>
              </w:tc>
              <w:tc>
                <w:tcPr>
                  <w:tcW w:w="508" w:type="pct"/>
                  <w:vMerge w:val="restart"/>
                  <w:shd w:val="clear" w:color="auto" w:fill="auto"/>
                  <w:noWrap/>
                  <w:vAlign w:val="center"/>
                </w:tcPr>
                <w:p w14:paraId="42173928">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水洗砂</w:t>
                  </w:r>
                </w:p>
              </w:tc>
              <w:tc>
                <w:tcPr>
                  <w:tcW w:w="1204" w:type="pct"/>
                  <w:shd w:val="clear" w:color="auto" w:fill="auto"/>
                  <w:noWrap/>
                  <w:vAlign w:val="center"/>
                </w:tcPr>
                <w:p w14:paraId="2E990BDC">
                  <w:pPr>
                    <w:pStyle w:val="34"/>
                    <w:bidi w:val="0"/>
                    <w:rPr>
                      <w:rFonts w:hint="eastAsia" w:ascii="Times New Roman" w:hAnsi="Times New Roman" w:eastAsia="宋体"/>
                      <w:b w:val="0"/>
                      <w:bCs/>
                      <w:color w:val="auto"/>
                      <w:sz w:val="21"/>
                      <w:szCs w:val="20"/>
                      <w:lang w:val="en-US" w:eastAsia="zh-CN"/>
                    </w:rPr>
                  </w:pPr>
                  <w:r>
                    <w:rPr>
                      <w:rFonts w:hint="eastAsia" w:ascii="Times New Roman" w:hAnsi="Times New Roman" w:eastAsia="宋体" w:cs="Times New Roman"/>
                      <w:b w:val="0"/>
                      <w:bCs/>
                      <w:color w:val="auto"/>
                      <w:sz w:val="21"/>
                      <w:szCs w:val="20"/>
                      <w:lang w:val="en-US" w:eastAsia="zh-CN"/>
                    </w:rPr>
                    <w:t>布料预洗装置</w:t>
                  </w:r>
                </w:p>
              </w:tc>
              <w:tc>
                <w:tcPr>
                  <w:tcW w:w="1033" w:type="pct"/>
                  <w:shd w:val="clear" w:color="auto" w:fill="auto"/>
                  <w:noWrap/>
                  <w:vAlign w:val="center"/>
                </w:tcPr>
                <w:p w14:paraId="33B84C81">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szCs w:val="20"/>
                      <w:highlight w:val="none"/>
                      <w:lang w:val="en-US" w:eastAsia="zh-CN"/>
                    </w:rPr>
                    <w:t>BX120</w:t>
                  </w:r>
                </w:p>
              </w:tc>
              <w:tc>
                <w:tcPr>
                  <w:tcW w:w="379" w:type="pct"/>
                  <w:shd w:val="clear" w:color="auto" w:fill="auto"/>
                  <w:noWrap/>
                  <w:vAlign w:val="center"/>
                </w:tcPr>
                <w:p w14:paraId="34F6230C">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套</w:t>
                  </w:r>
                </w:p>
              </w:tc>
              <w:tc>
                <w:tcPr>
                  <w:tcW w:w="379" w:type="pct"/>
                  <w:shd w:val="clear" w:color="auto" w:fill="auto"/>
                  <w:noWrap/>
                  <w:vAlign w:val="center"/>
                </w:tcPr>
                <w:p w14:paraId="3072ADA7">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2</w:t>
                  </w:r>
                </w:p>
              </w:tc>
              <w:tc>
                <w:tcPr>
                  <w:tcW w:w="1202" w:type="pct"/>
                  <w:shd w:val="clear" w:color="auto" w:fill="auto"/>
                  <w:noWrap/>
                  <w:vAlign w:val="center"/>
                </w:tcPr>
                <w:p w14:paraId="062A4DC9">
                  <w:pPr>
                    <w:pStyle w:val="34"/>
                    <w:bidi w:val="0"/>
                    <w:ind w:firstLine="0" w:firstLineChars="0"/>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r>
            <w:tr w14:paraId="6DDF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651917F7">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16</w:t>
                  </w:r>
                </w:p>
              </w:tc>
              <w:tc>
                <w:tcPr>
                  <w:tcW w:w="508" w:type="pct"/>
                  <w:vMerge w:val="continue"/>
                  <w:shd w:val="clear" w:color="auto" w:fill="auto"/>
                  <w:noWrap/>
                  <w:vAlign w:val="center"/>
                </w:tcPr>
                <w:p w14:paraId="39A9405A">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7745F41E">
                  <w:pPr>
                    <w:pStyle w:val="34"/>
                    <w:bidi w:val="0"/>
                    <w:rPr>
                      <w:rFonts w:hint="eastAsia" w:ascii="Times New Roman" w:hAnsi="Times New Roman" w:eastAsia="宋体" w:cs="Times New Roman"/>
                      <w:b w:val="0"/>
                      <w:bCs/>
                      <w:color w:val="auto"/>
                      <w:sz w:val="21"/>
                      <w:szCs w:val="20"/>
                      <w:lang w:val="en-US" w:eastAsia="zh-CN"/>
                    </w:rPr>
                  </w:pPr>
                  <w:r>
                    <w:rPr>
                      <w:rFonts w:hint="eastAsia" w:ascii="Times New Roman" w:hAnsi="Times New Roman" w:eastAsia="宋体" w:cs="Times New Roman"/>
                      <w:b w:val="0"/>
                      <w:bCs/>
                      <w:color w:val="auto"/>
                      <w:sz w:val="21"/>
                      <w:szCs w:val="20"/>
                      <w:lang w:val="en-US" w:eastAsia="zh-CN"/>
                    </w:rPr>
                    <w:t>双螺旋洗砂机</w:t>
                  </w:r>
                </w:p>
              </w:tc>
              <w:tc>
                <w:tcPr>
                  <w:tcW w:w="1033" w:type="pct"/>
                  <w:shd w:val="clear" w:color="auto" w:fill="auto"/>
                  <w:noWrap/>
                  <w:vAlign w:val="center"/>
                </w:tcPr>
                <w:p w14:paraId="6E62EBCC">
                  <w:pPr>
                    <w:pStyle w:val="34"/>
                    <w:bidi w:val="0"/>
                    <w:rPr>
                      <w:rFonts w:hint="eastAsia" w:ascii="Times New Roman" w:hAnsi="Times New Roman" w:eastAsia="宋体"/>
                      <w:color w:val="auto"/>
                      <w:sz w:val="21"/>
                      <w:szCs w:val="20"/>
                      <w:highlight w:val="none"/>
                      <w:lang w:val="en-US" w:eastAsia="zh-CN"/>
                    </w:rPr>
                  </w:pPr>
                  <w:r>
                    <w:rPr>
                      <w:rFonts w:hint="eastAsia" w:ascii="Times New Roman" w:hAnsi="Times New Roman" w:eastAsia="宋体"/>
                      <w:color w:val="auto"/>
                      <w:sz w:val="21"/>
                      <w:szCs w:val="20"/>
                      <w:highlight w:val="none"/>
                      <w:lang w:val="en-US" w:eastAsia="zh-CN"/>
                    </w:rPr>
                    <w:t>DXLX1285</w:t>
                  </w:r>
                </w:p>
              </w:tc>
              <w:tc>
                <w:tcPr>
                  <w:tcW w:w="379" w:type="pct"/>
                  <w:shd w:val="clear" w:color="auto" w:fill="auto"/>
                  <w:noWrap/>
                  <w:vAlign w:val="center"/>
                </w:tcPr>
                <w:p w14:paraId="1DF000D3">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套</w:t>
                  </w:r>
                </w:p>
              </w:tc>
              <w:tc>
                <w:tcPr>
                  <w:tcW w:w="379" w:type="pct"/>
                  <w:shd w:val="clear" w:color="auto" w:fill="auto"/>
                  <w:noWrap/>
                  <w:vAlign w:val="center"/>
                </w:tcPr>
                <w:p w14:paraId="1240C2A2">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2</w:t>
                  </w:r>
                </w:p>
              </w:tc>
              <w:tc>
                <w:tcPr>
                  <w:tcW w:w="1202" w:type="pct"/>
                  <w:shd w:val="clear" w:color="auto" w:fill="auto"/>
                  <w:noWrap/>
                  <w:vAlign w:val="center"/>
                </w:tcPr>
                <w:p w14:paraId="5C3D7870">
                  <w:pPr>
                    <w:pStyle w:val="34"/>
                    <w:bidi w:val="0"/>
                    <w:ind w:firstLine="0" w:firstLineChars="0"/>
                    <w:rPr>
                      <w:rFonts w:hint="eastAsia" w:ascii="Times New Roman" w:hAnsi="Times New Roman" w:eastAsia="宋体"/>
                      <w:b w:val="0"/>
                      <w:bCs/>
                      <w:color w:val="auto"/>
                      <w:sz w:val="21"/>
                      <w:szCs w:val="20"/>
                      <w:lang w:val="en-US" w:eastAsia="zh-CN"/>
                    </w:rPr>
                  </w:pPr>
                  <w:r>
                    <w:rPr>
                      <w:rFonts w:hint="eastAsia" w:ascii="Times New Roman" w:hAnsi="Times New Roman" w:eastAsia="宋体" w:cs="宋体"/>
                      <w:color w:val="auto"/>
                      <w:kern w:val="2"/>
                      <w:sz w:val="21"/>
                      <w:szCs w:val="20"/>
                      <w:highlight w:val="none"/>
                      <w:lang w:val="en-US" w:eastAsia="zh-CN" w:bidi="ar"/>
                    </w:rPr>
                    <w:t>产能：</w:t>
                  </w:r>
                  <w:r>
                    <w:rPr>
                      <w:rFonts w:hint="eastAsia" w:cs="宋体"/>
                      <w:color w:val="auto"/>
                      <w:kern w:val="2"/>
                      <w:sz w:val="21"/>
                      <w:szCs w:val="20"/>
                      <w:highlight w:val="none"/>
                      <w:lang w:val="en-US" w:eastAsia="zh-CN" w:bidi="ar"/>
                    </w:rPr>
                    <w:t>75-150</w:t>
                  </w:r>
                  <w:r>
                    <w:rPr>
                      <w:rFonts w:hint="eastAsia" w:ascii="Times New Roman" w:hAnsi="Times New Roman" w:eastAsia="宋体" w:cs="宋体"/>
                      <w:color w:val="auto"/>
                      <w:kern w:val="2"/>
                      <w:sz w:val="21"/>
                      <w:szCs w:val="20"/>
                      <w:highlight w:val="none"/>
                      <w:lang w:val="en-US" w:eastAsia="zh-CN" w:bidi="ar"/>
                    </w:rPr>
                    <w:t>t/h</w:t>
                  </w:r>
                </w:p>
              </w:tc>
            </w:tr>
            <w:tr w14:paraId="6461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4EB51279">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17</w:t>
                  </w:r>
                </w:p>
              </w:tc>
              <w:tc>
                <w:tcPr>
                  <w:tcW w:w="508" w:type="pct"/>
                  <w:vMerge w:val="continue"/>
                  <w:shd w:val="clear" w:color="auto" w:fill="auto"/>
                  <w:noWrap/>
                  <w:vAlign w:val="center"/>
                </w:tcPr>
                <w:p w14:paraId="4007F1A3">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577687EC">
                  <w:pPr>
                    <w:pStyle w:val="34"/>
                    <w:bidi w:val="0"/>
                    <w:rPr>
                      <w:rFonts w:hint="eastAsia" w:ascii="Times New Roman" w:hAnsi="Times New Roman" w:eastAsia="宋体" w:cs="Times New Roman"/>
                      <w:b w:val="0"/>
                      <w:bCs/>
                      <w:color w:val="auto"/>
                      <w:sz w:val="21"/>
                      <w:szCs w:val="20"/>
                      <w:lang w:val="en-US" w:eastAsia="zh-CN"/>
                    </w:rPr>
                  </w:pPr>
                  <w:r>
                    <w:rPr>
                      <w:rFonts w:hint="eastAsia" w:ascii="Times New Roman" w:hAnsi="Times New Roman" w:eastAsia="宋体" w:cs="Times New Roman"/>
                      <w:b w:val="0"/>
                      <w:bCs/>
                      <w:color w:val="auto"/>
                      <w:sz w:val="21"/>
                      <w:szCs w:val="20"/>
                      <w:lang w:val="en-US" w:eastAsia="zh-CN"/>
                    </w:rPr>
                    <w:t>轮式洗砂机</w:t>
                  </w:r>
                </w:p>
              </w:tc>
              <w:tc>
                <w:tcPr>
                  <w:tcW w:w="1033" w:type="pct"/>
                  <w:shd w:val="clear" w:color="auto" w:fill="auto"/>
                  <w:noWrap/>
                  <w:vAlign w:val="center"/>
                </w:tcPr>
                <w:p w14:paraId="604D87DD">
                  <w:pPr>
                    <w:pStyle w:val="34"/>
                    <w:bidi w:val="0"/>
                    <w:rPr>
                      <w:rFonts w:hint="eastAsia" w:ascii="Times New Roman" w:hAnsi="Times New Roman" w:eastAsia="宋体"/>
                      <w:color w:val="auto"/>
                      <w:sz w:val="21"/>
                      <w:szCs w:val="20"/>
                      <w:highlight w:val="none"/>
                      <w:lang w:val="en-US" w:eastAsia="zh-CN"/>
                    </w:rPr>
                  </w:pPr>
                  <w:r>
                    <w:rPr>
                      <w:rFonts w:hint="eastAsia" w:ascii="Times New Roman" w:hAnsi="Times New Roman" w:eastAsia="宋体"/>
                      <w:color w:val="auto"/>
                      <w:sz w:val="21"/>
                      <w:szCs w:val="20"/>
                      <w:highlight w:val="none"/>
                      <w:lang w:val="en-US" w:eastAsia="zh-CN"/>
                    </w:rPr>
                    <w:t>LX2436</w:t>
                  </w:r>
                </w:p>
              </w:tc>
              <w:tc>
                <w:tcPr>
                  <w:tcW w:w="379" w:type="pct"/>
                  <w:shd w:val="clear" w:color="auto" w:fill="auto"/>
                  <w:noWrap/>
                  <w:vAlign w:val="center"/>
                </w:tcPr>
                <w:p w14:paraId="20C945CA">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台</w:t>
                  </w:r>
                </w:p>
              </w:tc>
              <w:tc>
                <w:tcPr>
                  <w:tcW w:w="379" w:type="pct"/>
                  <w:shd w:val="clear" w:color="auto" w:fill="auto"/>
                  <w:noWrap/>
                  <w:vAlign w:val="center"/>
                </w:tcPr>
                <w:p w14:paraId="331C91FA">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4</w:t>
                  </w:r>
                </w:p>
              </w:tc>
              <w:tc>
                <w:tcPr>
                  <w:tcW w:w="1202" w:type="pct"/>
                  <w:shd w:val="clear" w:color="auto" w:fill="auto"/>
                  <w:noWrap/>
                  <w:vAlign w:val="center"/>
                </w:tcPr>
                <w:p w14:paraId="209C797D">
                  <w:pPr>
                    <w:pStyle w:val="34"/>
                    <w:bidi w:val="0"/>
                    <w:ind w:firstLine="0" w:firstLineChars="0"/>
                    <w:rPr>
                      <w:rFonts w:hint="eastAsia" w:ascii="Times New Roman" w:hAnsi="Times New Roman" w:eastAsia="宋体"/>
                      <w:b w:val="0"/>
                      <w:bCs/>
                      <w:color w:val="auto"/>
                      <w:sz w:val="21"/>
                      <w:szCs w:val="20"/>
                      <w:lang w:val="en-US" w:eastAsia="zh-CN"/>
                    </w:rPr>
                  </w:pPr>
                  <w:r>
                    <w:rPr>
                      <w:rFonts w:hint="eastAsia" w:ascii="Times New Roman" w:hAnsi="Times New Roman" w:eastAsia="宋体" w:cs="宋体"/>
                      <w:color w:val="auto"/>
                      <w:kern w:val="2"/>
                      <w:sz w:val="21"/>
                      <w:szCs w:val="20"/>
                      <w:highlight w:val="none"/>
                      <w:lang w:val="en-US" w:eastAsia="zh-CN" w:bidi="ar"/>
                    </w:rPr>
                    <w:t>产能：</w:t>
                  </w:r>
                  <w:r>
                    <w:rPr>
                      <w:rFonts w:hint="eastAsia" w:cs="宋体"/>
                      <w:color w:val="auto"/>
                      <w:kern w:val="2"/>
                      <w:sz w:val="21"/>
                      <w:szCs w:val="20"/>
                      <w:highlight w:val="none"/>
                      <w:lang w:val="en-US" w:eastAsia="zh-CN" w:bidi="ar"/>
                    </w:rPr>
                    <w:t>75-150</w:t>
                  </w:r>
                  <w:r>
                    <w:rPr>
                      <w:rFonts w:hint="eastAsia" w:ascii="Times New Roman" w:hAnsi="Times New Roman" w:eastAsia="宋体" w:cs="宋体"/>
                      <w:color w:val="auto"/>
                      <w:kern w:val="2"/>
                      <w:sz w:val="21"/>
                      <w:szCs w:val="20"/>
                      <w:highlight w:val="none"/>
                      <w:lang w:val="en-US" w:eastAsia="zh-CN" w:bidi="ar"/>
                    </w:rPr>
                    <w:t>t/h</w:t>
                  </w:r>
                </w:p>
              </w:tc>
            </w:tr>
            <w:tr w14:paraId="71F0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045AD7F7">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18</w:t>
                  </w:r>
                </w:p>
              </w:tc>
              <w:tc>
                <w:tcPr>
                  <w:tcW w:w="508" w:type="pct"/>
                  <w:vMerge w:val="continue"/>
                  <w:shd w:val="clear" w:color="auto" w:fill="auto"/>
                  <w:noWrap/>
                  <w:vAlign w:val="center"/>
                </w:tcPr>
                <w:p w14:paraId="23913739">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79374FF6">
                  <w:pPr>
                    <w:pStyle w:val="34"/>
                    <w:bidi w:val="0"/>
                    <w:rPr>
                      <w:rFonts w:hint="eastAsia" w:ascii="Times New Roman" w:hAnsi="Times New Roman" w:eastAsia="宋体" w:cs="Times New Roman"/>
                      <w:b w:val="0"/>
                      <w:bCs/>
                      <w:color w:val="auto"/>
                      <w:sz w:val="21"/>
                      <w:szCs w:val="20"/>
                      <w:lang w:val="en-US" w:eastAsia="zh-CN"/>
                    </w:rPr>
                  </w:pPr>
                  <w:r>
                    <w:rPr>
                      <w:rFonts w:hint="eastAsia" w:ascii="Times New Roman" w:hAnsi="Times New Roman" w:eastAsia="宋体" w:cs="Times New Roman"/>
                      <w:b w:val="0"/>
                      <w:bCs/>
                      <w:color w:val="auto"/>
                      <w:sz w:val="21"/>
                      <w:szCs w:val="20"/>
                      <w:lang w:val="en-US" w:eastAsia="zh-CN"/>
                    </w:rPr>
                    <w:t>脱水筛</w:t>
                  </w:r>
                </w:p>
              </w:tc>
              <w:tc>
                <w:tcPr>
                  <w:tcW w:w="1033" w:type="pct"/>
                  <w:shd w:val="clear" w:color="auto" w:fill="auto"/>
                  <w:noWrap/>
                  <w:vAlign w:val="center"/>
                </w:tcPr>
                <w:p w14:paraId="688D2D56">
                  <w:pPr>
                    <w:pStyle w:val="34"/>
                    <w:bidi w:val="0"/>
                    <w:rPr>
                      <w:rFonts w:hint="eastAsia" w:ascii="Times New Roman" w:hAnsi="Times New Roman" w:eastAsia="宋体"/>
                      <w:color w:val="auto"/>
                      <w:sz w:val="21"/>
                      <w:szCs w:val="20"/>
                      <w:highlight w:val="none"/>
                      <w:lang w:val="en-US" w:eastAsia="zh-CN"/>
                    </w:rPr>
                  </w:pPr>
                  <w:r>
                    <w:rPr>
                      <w:rFonts w:hint="eastAsia" w:ascii="Times New Roman" w:hAnsi="Times New Roman" w:eastAsia="宋体"/>
                      <w:color w:val="auto"/>
                      <w:sz w:val="21"/>
                      <w:szCs w:val="20"/>
                      <w:highlight w:val="none"/>
                      <w:lang w:val="en-US" w:eastAsia="zh-CN"/>
                    </w:rPr>
                    <w:t>TSS2442</w:t>
                  </w:r>
                </w:p>
              </w:tc>
              <w:tc>
                <w:tcPr>
                  <w:tcW w:w="379" w:type="pct"/>
                  <w:shd w:val="clear" w:color="auto" w:fill="auto"/>
                  <w:noWrap/>
                  <w:vAlign w:val="center"/>
                </w:tcPr>
                <w:p w14:paraId="3867A27A">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套</w:t>
                  </w:r>
                </w:p>
              </w:tc>
              <w:tc>
                <w:tcPr>
                  <w:tcW w:w="379" w:type="pct"/>
                  <w:shd w:val="clear" w:color="auto" w:fill="auto"/>
                  <w:noWrap/>
                  <w:vAlign w:val="center"/>
                </w:tcPr>
                <w:p w14:paraId="6AB11218">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2</w:t>
                  </w:r>
                </w:p>
              </w:tc>
              <w:tc>
                <w:tcPr>
                  <w:tcW w:w="1202" w:type="pct"/>
                  <w:shd w:val="clear" w:color="auto" w:fill="auto"/>
                  <w:noWrap/>
                  <w:vAlign w:val="center"/>
                </w:tcPr>
                <w:p w14:paraId="5F1E2ADB">
                  <w:pPr>
                    <w:pStyle w:val="34"/>
                    <w:bidi w:val="0"/>
                    <w:ind w:firstLine="0" w:firstLineChars="0"/>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r>
            <w:tr w14:paraId="593C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7E4C16EA">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19</w:t>
                  </w:r>
                </w:p>
              </w:tc>
              <w:tc>
                <w:tcPr>
                  <w:tcW w:w="508" w:type="pct"/>
                  <w:vMerge w:val="continue"/>
                  <w:shd w:val="clear" w:color="auto" w:fill="auto"/>
                  <w:noWrap/>
                  <w:vAlign w:val="center"/>
                </w:tcPr>
                <w:p w14:paraId="201CFB5C">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64834129">
                  <w:pPr>
                    <w:pStyle w:val="34"/>
                    <w:bidi w:val="0"/>
                    <w:rPr>
                      <w:rFonts w:hint="eastAsia" w:ascii="Times New Roman" w:hAnsi="Times New Roman" w:eastAsia="宋体" w:cs="Times New Roman"/>
                      <w:b w:val="0"/>
                      <w:bCs/>
                      <w:color w:val="auto"/>
                      <w:sz w:val="21"/>
                      <w:szCs w:val="20"/>
                      <w:lang w:val="en-US" w:eastAsia="zh-CN"/>
                    </w:rPr>
                  </w:pPr>
                  <w:r>
                    <w:rPr>
                      <w:rFonts w:hint="eastAsia" w:ascii="Times New Roman" w:hAnsi="Times New Roman" w:eastAsia="宋体" w:cs="Times New Roman"/>
                      <w:b w:val="0"/>
                      <w:bCs/>
                      <w:color w:val="auto"/>
                      <w:sz w:val="21"/>
                      <w:szCs w:val="20"/>
                      <w:lang w:val="en-US" w:eastAsia="zh-CN"/>
                    </w:rPr>
                    <w:t>细砂回收装置</w:t>
                  </w:r>
                </w:p>
              </w:tc>
              <w:tc>
                <w:tcPr>
                  <w:tcW w:w="1033" w:type="pct"/>
                  <w:shd w:val="clear" w:color="auto" w:fill="auto"/>
                  <w:noWrap/>
                  <w:vAlign w:val="center"/>
                </w:tcPr>
                <w:p w14:paraId="3A211A2C">
                  <w:pPr>
                    <w:pStyle w:val="34"/>
                    <w:bidi w:val="0"/>
                    <w:rPr>
                      <w:rFonts w:hint="eastAsia" w:ascii="Times New Roman" w:hAnsi="Times New Roman" w:eastAsia="宋体"/>
                      <w:color w:val="auto"/>
                      <w:sz w:val="21"/>
                      <w:szCs w:val="20"/>
                      <w:highlight w:val="none"/>
                      <w:lang w:val="en-US" w:eastAsia="zh-CN"/>
                    </w:rPr>
                  </w:pPr>
                  <w:r>
                    <w:rPr>
                      <w:rFonts w:hint="eastAsia" w:ascii="Times New Roman" w:hAnsi="Times New Roman" w:eastAsia="宋体"/>
                      <w:color w:val="auto"/>
                      <w:sz w:val="21"/>
                      <w:szCs w:val="20"/>
                      <w:highlight w:val="none"/>
                      <w:lang w:val="en-US" w:eastAsia="zh-CN"/>
                    </w:rPr>
                    <w:t>HSY300</w:t>
                  </w:r>
                </w:p>
              </w:tc>
              <w:tc>
                <w:tcPr>
                  <w:tcW w:w="379" w:type="pct"/>
                  <w:shd w:val="clear" w:color="auto" w:fill="auto"/>
                  <w:noWrap/>
                  <w:vAlign w:val="center"/>
                </w:tcPr>
                <w:p w14:paraId="109A2700">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套</w:t>
                  </w:r>
                </w:p>
              </w:tc>
              <w:tc>
                <w:tcPr>
                  <w:tcW w:w="379" w:type="pct"/>
                  <w:shd w:val="clear" w:color="auto" w:fill="auto"/>
                  <w:noWrap/>
                  <w:vAlign w:val="center"/>
                </w:tcPr>
                <w:p w14:paraId="52D49F54">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2</w:t>
                  </w:r>
                </w:p>
              </w:tc>
              <w:tc>
                <w:tcPr>
                  <w:tcW w:w="1202" w:type="pct"/>
                  <w:shd w:val="clear" w:color="auto" w:fill="auto"/>
                  <w:noWrap/>
                  <w:vAlign w:val="center"/>
                </w:tcPr>
                <w:p w14:paraId="5565B98A">
                  <w:pPr>
                    <w:pStyle w:val="34"/>
                    <w:bidi w:val="0"/>
                    <w:ind w:firstLine="0" w:firstLineChars="0"/>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r>
            <w:tr w14:paraId="44A1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2F6D8681">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20</w:t>
                  </w:r>
                </w:p>
              </w:tc>
              <w:tc>
                <w:tcPr>
                  <w:tcW w:w="508" w:type="pct"/>
                  <w:vMerge w:val="continue"/>
                  <w:shd w:val="clear" w:color="auto" w:fill="auto"/>
                  <w:noWrap/>
                  <w:vAlign w:val="center"/>
                </w:tcPr>
                <w:p w14:paraId="65C98877">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0A539687">
                  <w:pPr>
                    <w:pStyle w:val="34"/>
                    <w:bidi w:val="0"/>
                    <w:rPr>
                      <w:rFonts w:hint="default" w:ascii="Times New Roman" w:hAnsi="Times New Roman" w:eastAsia="宋体" w:cs="Times New Roman"/>
                      <w:b w:val="0"/>
                      <w:bCs/>
                      <w:color w:val="auto"/>
                      <w:sz w:val="21"/>
                      <w:szCs w:val="20"/>
                      <w:lang w:val="en-US" w:eastAsia="zh-CN"/>
                    </w:rPr>
                  </w:pPr>
                  <w:r>
                    <w:rPr>
                      <w:rFonts w:hint="eastAsia" w:ascii="Times New Roman" w:hAnsi="Times New Roman" w:eastAsia="宋体" w:cs="Times New Roman"/>
                      <w:b w:val="0"/>
                      <w:bCs/>
                      <w:color w:val="auto"/>
                      <w:sz w:val="21"/>
                      <w:szCs w:val="20"/>
                      <w:lang w:val="en-US" w:eastAsia="zh-CN"/>
                    </w:rPr>
                    <w:t>输送机</w:t>
                  </w:r>
                </w:p>
              </w:tc>
              <w:tc>
                <w:tcPr>
                  <w:tcW w:w="1033" w:type="pct"/>
                  <w:shd w:val="clear" w:color="auto" w:fill="auto"/>
                  <w:noWrap/>
                  <w:vAlign w:val="center"/>
                </w:tcPr>
                <w:p w14:paraId="4365F2F7">
                  <w:pPr>
                    <w:pStyle w:val="34"/>
                    <w:bidi w:val="0"/>
                    <w:rPr>
                      <w:rFonts w:hint="default" w:ascii="Times New Roman" w:hAnsi="Times New Roman" w:eastAsia="宋体"/>
                      <w:color w:val="auto"/>
                      <w:sz w:val="21"/>
                      <w:szCs w:val="20"/>
                      <w:highlight w:val="none"/>
                      <w:lang w:val="en-US" w:eastAsia="zh-CN"/>
                    </w:rPr>
                  </w:pPr>
                  <w:r>
                    <w:rPr>
                      <w:rFonts w:hint="eastAsia" w:ascii="Times New Roman" w:hAnsi="Times New Roman" w:eastAsia="宋体"/>
                      <w:color w:val="auto"/>
                      <w:sz w:val="21"/>
                      <w:szCs w:val="20"/>
                      <w:highlight w:val="none"/>
                      <w:lang w:val="en-US" w:eastAsia="zh-CN"/>
                    </w:rPr>
                    <w:t>/</w:t>
                  </w:r>
                </w:p>
              </w:tc>
              <w:tc>
                <w:tcPr>
                  <w:tcW w:w="379" w:type="pct"/>
                  <w:shd w:val="clear" w:color="auto" w:fill="auto"/>
                  <w:noWrap/>
                  <w:vAlign w:val="center"/>
                </w:tcPr>
                <w:p w14:paraId="32649C8A">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套</w:t>
                  </w:r>
                </w:p>
              </w:tc>
              <w:tc>
                <w:tcPr>
                  <w:tcW w:w="379" w:type="pct"/>
                  <w:shd w:val="clear" w:color="auto" w:fill="auto"/>
                  <w:noWrap/>
                  <w:vAlign w:val="center"/>
                </w:tcPr>
                <w:p w14:paraId="70B61C8C">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10</w:t>
                  </w:r>
                </w:p>
              </w:tc>
              <w:tc>
                <w:tcPr>
                  <w:tcW w:w="1202" w:type="pct"/>
                  <w:shd w:val="clear" w:color="auto" w:fill="auto"/>
                  <w:noWrap/>
                  <w:vAlign w:val="center"/>
                </w:tcPr>
                <w:p w14:paraId="357FD44D">
                  <w:pPr>
                    <w:pStyle w:val="34"/>
                    <w:bidi w:val="0"/>
                    <w:ind w:firstLine="0" w:firstLineChars="0"/>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r>
            <w:tr w14:paraId="18E7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66D98F1E">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21</w:t>
                  </w:r>
                </w:p>
              </w:tc>
              <w:tc>
                <w:tcPr>
                  <w:tcW w:w="508" w:type="pct"/>
                  <w:vMerge w:val="restart"/>
                  <w:shd w:val="clear" w:color="auto" w:fill="auto"/>
                  <w:noWrap/>
                  <w:vAlign w:val="center"/>
                </w:tcPr>
                <w:p w14:paraId="519A40B4">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水稳料</w:t>
                  </w:r>
                </w:p>
              </w:tc>
              <w:tc>
                <w:tcPr>
                  <w:tcW w:w="1204" w:type="pct"/>
                  <w:shd w:val="clear" w:color="auto" w:fill="auto"/>
                  <w:noWrap/>
                  <w:vAlign w:val="center"/>
                </w:tcPr>
                <w:p w14:paraId="20CCD4FD">
                  <w:pPr>
                    <w:pStyle w:val="34"/>
                    <w:bidi w:val="0"/>
                    <w:rPr>
                      <w:rFonts w:hint="eastAsia" w:ascii="Times New Roman" w:hAnsi="Times New Roman" w:eastAsia="宋体" w:cs="Times New Roman"/>
                      <w:b w:val="0"/>
                      <w:bCs/>
                      <w:color w:val="auto"/>
                      <w:sz w:val="21"/>
                      <w:szCs w:val="20"/>
                      <w:lang w:val="en-US" w:eastAsia="zh-CN"/>
                    </w:rPr>
                  </w:pPr>
                  <w:r>
                    <w:rPr>
                      <w:rFonts w:hint="eastAsia" w:ascii="Times New Roman" w:hAnsi="Times New Roman" w:eastAsia="宋体" w:cs="Times New Roman"/>
                      <w:b w:val="0"/>
                      <w:bCs/>
                      <w:color w:val="auto"/>
                      <w:sz w:val="21"/>
                      <w:szCs w:val="20"/>
                      <w:lang w:val="en-US" w:eastAsia="zh-CN"/>
                    </w:rPr>
                    <w:t>搅拌机</w:t>
                  </w:r>
                </w:p>
              </w:tc>
              <w:tc>
                <w:tcPr>
                  <w:tcW w:w="1033" w:type="pct"/>
                  <w:shd w:val="clear" w:color="auto" w:fill="auto"/>
                  <w:noWrap/>
                  <w:vAlign w:val="center"/>
                </w:tcPr>
                <w:p w14:paraId="352C4E0F">
                  <w:pPr>
                    <w:pStyle w:val="34"/>
                    <w:bidi w:val="0"/>
                    <w:rPr>
                      <w:rFonts w:hint="default" w:ascii="Times New Roman" w:hAnsi="Times New Roman" w:eastAsia="宋体"/>
                      <w:color w:val="auto"/>
                      <w:sz w:val="21"/>
                      <w:szCs w:val="20"/>
                      <w:highlight w:val="none"/>
                      <w:lang w:val="en-US" w:eastAsia="zh-CN"/>
                    </w:rPr>
                  </w:pPr>
                  <w:r>
                    <w:rPr>
                      <w:rFonts w:hint="eastAsia" w:ascii="Times New Roman" w:hAnsi="Times New Roman" w:eastAsia="宋体"/>
                      <w:color w:val="auto"/>
                      <w:sz w:val="21"/>
                      <w:highlight w:val="none"/>
                      <w:lang w:val="en-US" w:eastAsia="zh-CN"/>
                    </w:rPr>
                    <w:t>MHZS35</w:t>
                  </w:r>
                </w:p>
              </w:tc>
              <w:tc>
                <w:tcPr>
                  <w:tcW w:w="379" w:type="pct"/>
                  <w:shd w:val="clear" w:color="auto" w:fill="auto"/>
                  <w:noWrap/>
                  <w:vAlign w:val="center"/>
                </w:tcPr>
                <w:p w14:paraId="7A5126DE">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台</w:t>
                  </w:r>
                </w:p>
              </w:tc>
              <w:tc>
                <w:tcPr>
                  <w:tcW w:w="379" w:type="pct"/>
                  <w:shd w:val="clear" w:color="auto" w:fill="auto"/>
                  <w:noWrap/>
                  <w:vAlign w:val="center"/>
                </w:tcPr>
                <w:p w14:paraId="6F2F7001">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1202" w:type="pct"/>
                  <w:shd w:val="clear" w:color="auto" w:fill="auto"/>
                  <w:noWrap/>
                  <w:vAlign w:val="center"/>
                </w:tcPr>
                <w:p w14:paraId="36ABD9A7">
                  <w:pPr>
                    <w:pStyle w:val="34"/>
                    <w:bidi w:val="0"/>
                    <w:ind w:firstLine="0" w:firstLineChars="0"/>
                    <w:rPr>
                      <w:rFonts w:hint="eastAsia" w:ascii="Times New Roman" w:hAnsi="Times New Roman" w:eastAsia="宋体"/>
                      <w:b w:val="0"/>
                      <w:bCs/>
                      <w:color w:val="auto"/>
                      <w:sz w:val="21"/>
                      <w:szCs w:val="20"/>
                      <w:lang w:val="en-US" w:eastAsia="zh-CN"/>
                    </w:rPr>
                  </w:pPr>
                  <w:r>
                    <w:rPr>
                      <w:rFonts w:hint="eastAsia" w:ascii="Times New Roman" w:hAnsi="Times New Roman" w:eastAsia="宋体" w:cs="宋体"/>
                      <w:color w:val="auto"/>
                      <w:kern w:val="2"/>
                      <w:sz w:val="21"/>
                      <w:szCs w:val="21"/>
                      <w:highlight w:val="none"/>
                      <w:lang w:val="en-US" w:eastAsia="zh-CN" w:bidi="ar"/>
                    </w:rPr>
                    <w:t>产能：</w:t>
                  </w:r>
                  <w:r>
                    <w:rPr>
                      <w:rFonts w:hint="eastAsia" w:cs="宋体"/>
                      <w:color w:val="auto"/>
                      <w:kern w:val="2"/>
                      <w:sz w:val="21"/>
                      <w:szCs w:val="21"/>
                      <w:highlight w:val="none"/>
                      <w:lang w:val="en-US" w:eastAsia="zh-CN" w:bidi="ar"/>
                    </w:rPr>
                    <w:t>13</w:t>
                  </w:r>
                  <w:r>
                    <w:rPr>
                      <w:rFonts w:hint="eastAsia"/>
                      <w:b w:val="0"/>
                      <w:bCs/>
                      <w:color w:val="auto"/>
                      <w:sz w:val="21"/>
                      <w:szCs w:val="20"/>
                      <w:lang w:val="en-US" w:eastAsia="zh-CN"/>
                    </w:rPr>
                    <w:t>0-150</w:t>
                  </w:r>
                  <w:r>
                    <w:rPr>
                      <w:rFonts w:hint="eastAsia" w:ascii="Times New Roman" w:hAnsi="Times New Roman" w:eastAsia="宋体"/>
                      <w:b w:val="0"/>
                      <w:bCs/>
                      <w:color w:val="auto"/>
                      <w:sz w:val="21"/>
                      <w:szCs w:val="20"/>
                      <w:lang w:val="en-US" w:eastAsia="zh-CN"/>
                    </w:rPr>
                    <w:t>t/h</w:t>
                  </w:r>
                </w:p>
              </w:tc>
            </w:tr>
            <w:tr w14:paraId="7EB6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2533CAB0">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22</w:t>
                  </w:r>
                </w:p>
              </w:tc>
              <w:tc>
                <w:tcPr>
                  <w:tcW w:w="508" w:type="pct"/>
                  <w:vMerge w:val="continue"/>
                  <w:shd w:val="clear" w:color="auto" w:fill="auto"/>
                  <w:noWrap/>
                  <w:vAlign w:val="center"/>
                </w:tcPr>
                <w:p w14:paraId="18927BC7">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482F13B1">
                  <w:pPr>
                    <w:pStyle w:val="34"/>
                    <w:bidi w:val="0"/>
                    <w:rPr>
                      <w:rFonts w:hint="eastAsia" w:ascii="Times New Roman" w:hAnsi="Times New Roman" w:eastAsia="宋体" w:cs="Times New Roman"/>
                      <w:b w:val="0"/>
                      <w:bCs/>
                      <w:color w:val="auto"/>
                      <w:sz w:val="21"/>
                      <w:szCs w:val="20"/>
                      <w:lang w:val="en-US" w:eastAsia="zh-CN"/>
                    </w:rPr>
                  </w:pPr>
                  <w:r>
                    <w:rPr>
                      <w:rFonts w:hint="eastAsia" w:ascii="Times New Roman" w:hAnsi="Times New Roman" w:eastAsia="宋体"/>
                      <w:b w:val="0"/>
                      <w:bCs/>
                      <w:color w:val="auto"/>
                      <w:sz w:val="21"/>
                      <w:szCs w:val="20"/>
                      <w:lang w:val="en-US" w:eastAsia="zh-CN"/>
                    </w:rPr>
                    <w:t>输送机</w:t>
                  </w:r>
                </w:p>
              </w:tc>
              <w:tc>
                <w:tcPr>
                  <w:tcW w:w="1033" w:type="pct"/>
                  <w:shd w:val="clear" w:color="auto" w:fill="auto"/>
                  <w:noWrap/>
                  <w:vAlign w:val="center"/>
                </w:tcPr>
                <w:p w14:paraId="33A39CF2">
                  <w:pPr>
                    <w:pStyle w:val="34"/>
                    <w:bidi w:val="0"/>
                    <w:rPr>
                      <w:rFonts w:hint="default" w:ascii="Times New Roman" w:hAnsi="Times New Roman" w:eastAsia="宋体"/>
                      <w:color w:val="auto"/>
                      <w:sz w:val="21"/>
                      <w:szCs w:val="20"/>
                      <w:highlight w:val="none"/>
                      <w:lang w:val="en-US" w:eastAsia="zh-CN"/>
                    </w:rPr>
                  </w:pPr>
                  <w:r>
                    <w:rPr>
                      <w:rFonts w:hint="eastAsia" w:ascii="Times New Roman" w:hAnsi="Times New Roman" w:eastAsia="宋体"/>
                      <w:color w:val="auto"/>
                      <w:sz w:val="21"/>
                      <w:szCs w:val="20"/>
                      <w:highlight w:val="none"/>
                      <w:lang w:val="en-US" w:eastAsia="zh-CN"/>
                    </w:rPr>
                    <w:t>/</w:t>
                  </w:r>
                </w:p>
              </w:tc>
              <w:tc>
                <w:tcPr>
                  <w:tcW w:w="379" w:type="pct"/>
                  <w:shd w:val="clear" w:color="auto" w:fill="auto"/>
                  <w:noWrap/>
                  <w:vAlign w:val="center"/>
                </w:tcPr>
                <w:p w14:paraId="7C72041C">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套</w:t>
                  </w:r>
                </w:p>
              </w:tc>
              <w:tc>
                <w:tcPr>
                  <w:tcW w:w="379" w:type="pct"/>
                  <w:shd w:val="clear" w:color="auto" w:fill="auto"/>
                  <w:noWrap/>
                  <w:vAlign w:val="center"/>
                </w:tcPr>
                <w:p w14:paraId="12F7CF68">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2</w:t>
                  </w:r>
                </w:p>
              </w:tc>
              <w:tc>
                <w:tcPr>
                  <w:tcW w:w="1202" w:type="pct"/>
                  <w:shd w:val="clear" w:color="auto" w:fill="auto"/>
                  <w:noWrap/>
                  <w:vAlign w:val="center"/>
                </w:tcPr>
                <w:p w14:paraId="13EECFDF">
                  <w:pPr>
                    <w:pStyle w:val="34"/>
                    <w:bidi w:val="0"/>
                    <w:ind w:firstLine="0" w:firstLineChars="0"/>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r>
            <w:tr w14:paraId="0253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54D69BC2">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23</w:t>
                  </w:r>
                </w:p>
              </w:tc>
              <w:tc>
                <w:tcPr>
                  <w:tcW w:w="508" w:type="pct"/>
                  <w:vMerge w:val="restart"/>
                  <w:shd w:val="clear" w:color="auto" w:fill="auto"/>
                  <w:noWrap/>
                  <w:vAlign w:val="center"/>
                </w:tcPr>
                <w:p w14:paraId="67BC42D7">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湿拌</w:t>
                  </w:r>
                  <w:r>
                    <w:rPr>
                      <w:rFonts w:hint="eastAsia" w:ascii="Times New Roman" w:hAnsi="Times New Roman" w:eastAsia="宋体"/>
                      <w:color w:val="auto"/>
                      <w:sz w:val="21"/>
                      <w:highlight w:val="none"/>
                      <w:lang w:val="en-US" w:eastAsia="zh-CN"/>
                    </w:rPr>
                    <w:br w:type="textWrapping"/>
                  </w:r>
                  <w:r>
                    <w:rPr>
                      <w:rFonts w:hint="eastAsia" w:ascii="Times New Roman" w:hAnsi="Times New Roman" w:eastAsia="宋体"/>
                      <w:color w:val="auto"/>
                      <w:sz w:val="21"/>
                      <w:highlight w:val="none"/>
                      <w:lang w:val="en-US" w:eastAsia="zh-CN"/>
                    </w:rPr>
                    <w:t>砂浆</w:t>
                  </w:r>
                </w:p>
              </w:tc>
              <w:tc>
                <w:tcPr>
                  <w:tcW w:w="1204" w:type="pct"/>
                  <w:shd w:val="clear" w:color="auto" w:fill="auto"/>
                  <w:noWrap/>
                  <w:vAlign w:val="center"/>
                </w:tcPr>
                <w:p w14:paraId="5B523C9E">
                  <w:pPr>
                    <w:pStyle w:val="34"/>
                    <w:bidi w:val="0"/>
                    <w:ind w:firstLine="0" w:firstLineChars="0"/>
                    <w:rPr>
                      <w:rFonts w:hint="eastAsia" w:ascii="Times New Roman" w:hAnsi="Times New Roman" w:eastAsia="宋体" w:cs="Times New Roman"/>
                      <w:b w:val="0"/>
                      <w:bCs/>
                      <w:color w:val="auto"/>
                      <w:sz w:val="21"/>
                      <w:szCs w:val="20"/>
                      <w:lang w:val="en-US" w:eastAsia="zh-CN"/>
                    </w:rPr>
                  </w:pPr>
                  <w:r>
                    <w:rPr>
                      <w:rFonts w:hint="eastAsia" w:ascii="Times New Roman" w:hAnsi="Times New Roman" w:eastAsia="宋体" w:cs="Times New Roman"/>
                      <w:b w:val="0"/>
                      <w:bCs/>
                      <w:color w:val="auto"/>
                      <w:sz w:val="21"/>
                      <w:szCs w:val="20"/>
                      <w:lang w:val="en-US" w:eastAsia="zh-CN"/>
                    </w:rPr>
                    <w:t>水泥料仓</w:t>
                  </w:r>
                </w:p>
              </w:tc>
              <w:tc>
                <w:tcPr>
                  <w:tcW w:w="1033" w:type="pct"/>
                  <w:shd w:val="clear" w:color="auto" w:fill="auto"/>
                  <w:noWrap/>
                  <w:vAlign w:val="center"/>
                </w:tcPr>
                <w:p w14:paraId="6506444F">
                  <w:pPr>
                    <w:pStyle w:val="34"/>
                    <w:bidi w:val="0"/>
                    <w:ind w:firstLine="0" w:firstLineChars="0"/>
                    <w:rPr>
                      <w:rFonts w:hint="eastAsia" w:ascii="Times New Roman" w:hAnsi="Times New Roman" w:eastAsia="宋体"/>
                      <w:color w:val="auto"/>
                      <w:sz w:val="21"/>
                      <w:szCs w:val="20"/>
                      <w:highlight w:val="none"/>
                      <w:lang w:val="en-US" w:eastAsia="zh-CN"/>
                    </w:rPr>
                  </w:pPr>
                  <w:r>
                    <w:rPr>
                      <w:rFonts w:hint="eastAsia"/>
                      <w:color w:val="auto"/>
                      <w:sz w:val="21"/>
                      <w:szCs w:val="20"/>
                      <w:highlight w:val="none"/>
                      <w:lang w:val="en-US" w:eastAsia="zh-CN"/>
                    </w:rPr>
                    <w:t>1</w:t>
                  </w:r>
                  <w:r>
                    <w:rPr>
                      <w:rFonts w:hint="eastAsia" w:ascii="Times New Roman" w:hAnsi="Times New Roman" w:eastAsia="宋体"/>
                      <w:color w:val="auto"/>
                      <w:sz w:val="21"/>
                      <w:szCs w:val="20"/>
                      <w:highlight w:val="none"/>
                      <w:lang w:val="en-US" w:eastAsia="zh-CN"/>
                    </w:rPr>
                    <w:t>00t</w:t>
                  </w:r>
                </w:p>
              </w:tc>
              <w:tc>
                <w:tcPr>
                  <w:tcW w:w="379" w:type="pct"/>
                  <w:shd w:val="clear" w:color="auto" w:fill="auto"/>
                  <w:noWrap/>
                  <w:vAlign w:val="center"/>
                </w:tcPr>
                <w:p w14:paraId="0A533D79">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台</w:t>
                  </w:r>
                </w:p>
              </w:tc>
              <w:tc>
                <w:tcPr>
                  <w:tcW w:w="379" w:type="pct"/>
                  <w:shd w:val="clear" w:color="auto" w:fill="auto"/>
                  <w:noWrap/>
                  <w:vAlign w:val="center"/>
                </w:tcPr>
                <w:p w14:paraId="26A68DCA">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1202" w:type="pct"/>
                  <w:shd w:val="clear" w:color="auto" w:fill="auto"/>
                  <w:noWrap/>
                  <w:vAlign w:val="center"/>
                </w:tcPr>
                <w:p w14:paraId="10D79B79">
                  <w:pPr>
                    <w:pStyle w:val="34"/>
                    <w:bidi w:val="0"/>
                    <w:ind w:firstLine="0" w:firstLineChars="0"/>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r>
            <w:tr w14:paraId="595A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1B27D3DF">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24</w:t>
                  </w:r>
                </w:p>
              </w:tc>
              <w:tc>
                <w:tcPr>
                  <w:tcW w:w="508" w:type="pct"/>
                  <w:vMerge w:val="continue"/>
                  <w:shd w:val="clear" w:color="auto" w:fill="auto"/>
                  <w:noWrap/>
                  <w:vAlign w:val="center"/>
                </w:tcPr>
                <w:p w14:paraId="52AEB0D7">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58D80831">
                  <w:pPr>
                    <w:pStyle w:val="34"/>
                    <w:bidi w:val="0"/>
                    <w:ind w:firstLine="0" w:firstLineChars="0"/>
                    <w:rPr>
                      <w:rFonts w:hint="eastAsia" w:ascii="Times New Roman" w:hAnsi="Times New Roman" w:eastAsia="宋体" w:cs="Times New Roman"/>
                      <w:b w:val="0"/>
                      <w:bCs/>
                      <w:color w:val="auto"/>
                      <w:sz w:val="21"/>
                      <w:szCs w:val="20"/>
                      <w:lang w:val="en-US" w:eastAsia="zh-CN"/>
                    </w:rPr>
                  </w:pPr>
                  <w:r>
                    <w:rPr>
                      <w:rFonts w:hint="eastAsia" w:ascii="Times New Roman" w:hAnsi="Times New Roman" w:eastAsia="宋体"/>
                      <w:b w:val="0"/>
                      <w:bCs/>
                      <w:color w:val="auto"/>
                      <w:sz w:val="21"/>
                      <w:szCs w:val="20"/>
                      <w:lang w:val="en-US" w:eastAsia="zh-CN"/>
                    </w:rPr>
                    <w:t>粉煤灰料仓</w:t>
                  </w:r>
                </w:p>
              </w:tc>
              <w:tc>
                <w:tcPr>
                  <w:tcW w:w="1033" w:type="pct"/>
                  <w:shd w:val="clear" w:color="auto" w:fill="auto"/>
                  <w:noWrap/>
                  <w:vAlign w:val="center"/>
                </w:tcPr>
                <w:p w14:paraId="4DBBBD6A">
                  <w:pPr>
                    <w:pStyle w:val="34"/>
                    <w:bidi w:val="0"/>
                    <w:ind w:firstLine="0" w:firstLineChars="0"/>
                    <w:rPr>
                      <w:rFonts w:hint="eastAsia" w:ascii="Times New Roman" w:hAnsi="Times New Roman" w:eastAsia="宋体"/>
                      <w:color w:val="auto"/>
                      <w:sz w:val="21"/>
                      <w:szCs w:val="20"/>
                      <w:highlight w:val="none"/>
                      <w:lang w:val="en-US" w:eastAsia="zh-CN"/>
                    </w:rPr>
                  </w:pPr>
                  <w:r>
                    <w:rPr>
                      <w:rFonts w:hint="eastAsia" w:ascii="Times New Roman" w:hAnsi="Times New Roman" w:eastAsia="宋体"/>
                      <w:color w:val="auto"/>
                      <w:sz w:val="21"/>
                      <w:szCs w:val="20"/>
                      <w:highlight w:val="none"/>
                      <w:lang w:val="en-US" w:eastAsia="zh-CN"/>
                    </w:rPr>
                    <w:t>200t</w:t>
                  </w:r>
                </w:p>
              </w:tc>
              <w:tc>
                <w:tcPr>
                  <w:tcW w:w="379" w:type="pct"/>
                  <w:shd w:val="clear" w:color="auto" w:fill="auto"/>
                  <w:noWrap/>
                  <w:vAlign w:val="center"/>
                </w:tcPr>
                <w:p w14:paraId="78591564">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台</w:t>
                  </w:r>
                </w:p>
              </w:tc>
              <w:tc>
                <w:tcPr>
                  <w:tcW w:w="379" w:type="pct"/>
                  <w:shd w:val="clear" w:color="auto" w:fill="auto"/>
                  <w:noWrap/>
                  <w:vAlign w:val="center"/>
                </w:tcPr>
                <w:p w14:paraId="5C26FE61">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1202" w:type="pct"/>
                  <w:shd w:val="clear" w:color="auto" w:fill="auto"/>
                  <w:noWrap/>
                  <w:vAlign w:val="center"/>
                </w:tcPr>
                <w:p w14:paraId="42135309">
                  <w:pPr>
                    <w:pStyle w:val="34"/>
                    <w:bidi w:val="0"/>
                    <w:ind w:firstLine="0" w:firstLineChars="0"/>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r>
            <w:tr w14:paraId="4F6B7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4F682422">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25</w:t>
                  </w:r>
                </w:p>
              </w:tc>
              <w:tc>
                <w:tcPr>
                  <w:tcW w:w="508" w:type="pct"/>
                  <w:vMerge w:val="continue"/>
                  <w:shd w:val="clear" w:color="auto" w:fill="auto"/>
                  <w:noWrap/>
                  <w:vAlign w:val="center"/>
                </w:tcPr>
                <w:p w14:paraId="6F450AA0">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0D285B0B">
                  <w:pPr>
                    <w:pStyle w:val="34"/>
                    <w:bidi w:val="0"/>
                    <w:ind w:firstLine="0" w:firstLineChars="0"/>
                    <w:rPr>
                      <w:rFonts w:hint="eastAsia" w:ascii="Times New Roman" w:hAnsi="Times New Roman" w:eastAsia="宋体" w:cs="Times New Roman"/>
                      <w:b w:val="0"/>
                      <w:bCs/>
                      <w:color w:val="auto"/>
                      <w:sz w:val="21"/>
                      <w:szCs w:val="20"/>
                      <w:lang w:val="en-US" w:eastAsia="zh-CN"/>
                    </w:rPr>
                  </w:pPr>
                  <w:r>
                    <w:rPr>
                      <w:rFonts w:hint="eastAsia" w:ascii="Times New Roman" w:hAnsi="Times New Roman" w:eastAsia="宋体" w:cs="Times New Roman"/>
                      <w:b w:val="0"/>
                      <w:bCs/>
                      <w:color w:val="auto"/>
                      <w:sz w:val="21"/>
                      <w:szCs w:val="20"/>
                      <w:lang w:val="en-US" w:eastAsia="zh-CN"/>
                    </w:rPr>
                    <w:t>搅拌机</w:t>
                  </w:r>
                </w:p>
              </w:tc>
              <w:tc>
                <w:tcPr>
                  <w:tcW w:w="1033" w:type="pct"/>
                  <w:shd w:val="clear" w:color="auto" w:fill="auto"/>
                  <w:noWrap/>
                  <w:vAlign w:val="center"/>
                </w:tcPr>
                <w:p w14:paraId="45BF6BA5">
                  <w:pPr>
                    <w:pStyle w:val="34"/>
                    <w:bidi w:val="0"/>
                    <w:ind w:firstLine="0" w:firstLineChars="0"/>
                    <w:rPr>
                      <w:rFonts w:hint="eastAsia" w:ascii="Times New Roman" w:hAnsi="Times New Roman" w:eastAsia="宋体"/>
                      <w:color w:val="auto"/>
                      <w:sz w:val="21"/>
                      <w:szCs w:val="20"/>
                      <w:highlight w:val="none"/>
                      <w:lang w:val="en-US" w:eastAsia="zh-CN"/>
                    </w:rPr>
                  </w:pPr>
                  <w:r>
                    <w:rPr>
                      <w:rFonts w:hint="eastAsia" w:ascii="Times New Roman" w:hAnsi="Times New Roman" w:eastAsia="宋体"/>
                      <w:color w:val="auto"/>
                      <w:sz w:val="21"/>
                      <w:highlight w:val="none"/>
                      <w:lang w:val="en-US" w:eastAsia="zh-CN"/>
                    </w:rPr>
                    <w:t>MHZS35</w:t>
                  </w:r>
                </w:p>
              </w:tc>
              <w:tc>
                <w:tcPr>
                  <w:tcW w:w="379" w:type="pct"/>
                  <w:shd w:val="clear" w:color="auto" w:fill="auto"/>
                  <w:noWrap/>
                  <w:vAlign w:val="center"/>
                </w:tcPr>
                <w:p w14:paraId="46A7CE9A">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台</w:t>
                  </w:r>
                </w:p>
              </w:tc>
              <w:tc>
                <w:tcPr>
                  <w:tcW w:w="379" w:type="pct"/>
                  <w:shd w:val="clear" w:color="auto" w:fill="auto"/>
                  <w:noWrap/>
                  <w:vAlign w:val="center"/>
                </w:tcPr>
                <w:p w14:paraId="679C0FA6">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1202" w:type="pct"/>
                  <w:shd w:val="clear" w:color="auto" w:fill="auto"/>
                  <w:noWrap/>
                  <w:vAlign w:val="center"/>
                </w:tcPr>
                <w:p w14:paraId="1804F4B0">
                  <w:pPr>
                    <w:pStyle w:val="34"/>
                    <w:bidi w:val="0"/>
                    <w:ind w:firstLine="0" w:firstLineChars="0"/>
                    <w:rPr>
                      <w:rFonts w:hint="eastAsia" w:ascii="Times New Roman" w:hAnsi="Times New Roman" w:eastAsia="宋体"/>
                      <w:b w:val="0"/>
                      <w:bCs/>
                      <w:color w:val="auto"/>
                      <w:sz w:val="21"/>
                      <w:szCs w:val="20"/>
                      <w:lang w:val="en-US" w:eastAsia="zh-CN"/>
                    </w:rPr>
                  </w:pPr>
                  <w:r>
                    <w:rPr>
                      <w:rFonts w:hint="eastAsia" w:ascii="Times New Roman" w:hAnsi="Times New Roman" w:eastAsia="宋体" w:cs="宋体"/>
                      <w:color w:val="auto"/>
                      <w:kern w:val="2"/>
                      <w:sz w:val="21"/>
                      <w:szCs w:val="21"/>
                      <w:highlight w:val="none"/>
                      <w:lang w:val="en-US" w:eastAsia="zh-CN" w:bidi="ar"/>
                    </w:rPr>
                    <w:t>产能：</w:t>
                  </w:r>
                  <w:r>
                    <w:rPr>
                      <w:rFonts w:hint="eastAsia" w:cs="宋体"/>
                      <w:color w:val="auto"/>
                      <w:kern w:val="2"/>
                      <w:sz w:val="21"/>
                      <w:szCs w:val="21"/>
                      <w:highlight w:val="none"/>
                      <w:lang w:val="en-US" w:eastAsia="zh-CN" w:bidi="ar"/>
                    </w:rPr>
                    <w:t>40-50</w:t>
                  </w:r>
                  <w:r>
                    <w:rPr>
                      <w:rFonts w:hint="eastAsia" w:ascii="Times New Roman" w:hAnsi="Times New Roman" w:eastAsia="宋体"/>
                      <w:b w:val="0"/>
                      <w:bCs/>
                      <w:color w:val="auto"/>
                      <w:sz w:val="21"/>
                      <w:szCs w:val="20"/>
                      <w:lang w:val="en-US" w:eastAsia="zh-CN"/>
                    </w:rPr>
                    <w:t>t/h</w:t>
                  </w:r>
                </w:p>
              </w:tc>
            </w:tr>
            <w:tr w14:paraId="5E66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05139CFC">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26</w:t>
                  </w:r>
                </w:p>
              </w:tc>
              <w:tc>
                <w:tcPr>
                  <w:tcW w:w="508" w:type="pct"/>
                  <w:vMerge w:val="continue"/>
                  <w:shd w:val="clear" w:color="auto" w:fill="auto"/>
                  <w:noWrap/>
                  <w:vAlign w:val="center"/>
                </w:tcPr>
                <w:p w14:paraId="0D9B374A">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6902141C">
                  <w:pPr>
                    <w:pStyle w:val="34"/>
                    <w:bidi w:val="0"/>
                    <w:ind w:firstLine="0" w:firstLineChars="0"/>
                    <w:rPr>
                      <w:rFonts w:hint="eastAsia" w:ascii="Times New Roman" w:hAnsi="Times New Roman" w:eastAsia="宋体" w:cs="Times New Roman"/>
                      <w:b w:val="0"/>
                      <w:bCs/>
                      <w:color w:val="auto"/>
                      <w:sz w:val="21"/>
                      <w:szCs w:val="20"/>
                      <w:lang w:val="en-US" w:eastAsia="zh-CN"/>
                    </w:rPr>
                  </w:pPr>
                  <w:r>
                    <w:rPr>
                      <w:rFonts w:hint="eastAsia" w:ascii="Times New Roman" w:hAnsi="Times New Roman" w:eastAsia="宋体"/>
                      <w:b w:val="0"/>
                      <w:bCs/>
                      <w:color w:val="auto"/>
                      <w:sz w:val="21"/>
                      <w:szCs w:val="20"/>
                      <w:lang w:val="en-US" w:eastAsia="zh-CN"/>
                    </w:rPr>
                    <w:t>输送机</w:t>
                  </w:r>
                </w:p>
              </w:tc>
              <w:tc>
                <w:tcPr>
                  <w:tcW w:w="1033" w:type="pct"/>
                  <w:shd w:val="clear" w:color="auto" w:fill="auto"/>
                  <w:noWrap/>
                  <w:vAlign w:val="center"/>
                </w:tcPr>
                <w:p w14:paraId="178D05A2">
                  <w:pPr>
                    <w:pStyle w:val="34"/>
                    <w:bidi w:val="0"/>
                    <w:ind w:firstLine="0" w:firstLineChars="0"/>
                    <w:rPr>
                      <w:rFonts w:hint="eastAsia" w:ascii="Times New Roman" w:hAnsi="Times New Roman" w:eastAsia="宋体"/>
                      <w:color w:val="auto"/>
                      <w:sz w:val="21"/>
                      <w:szCs w:val="20"/>
                      <w:highlight w:val="none"/>
                      <w:lang w:val="en-US" w:eastAsia="zh-CN"/>
                    </w:rPr>
                  </w:pPr>
                  <w:r>
                    <w:rPr>
                      <w:rFonts w:hint="eastAsia" w:ascii="Times New Roman" w:hAnsi="Times New Roman" w:eastAsia="宋体"/>
                      <w:color w:val="auto"/>
                      <w:sz w:val="21"/>
                      <w:szCs w:val="20"/>
                      <w:highlight w:val="none"/>
                      <w:lang w:val="en-US" w:eastAsia="zh-CN"/>
                    </w:rPr>
                    <w:t>/</w:t>
                  </w:r>
                </w:p>
              </w:tc>
              <w:tc>
                <w:tcPr>
                  <w:tcW w:w="379" w:type="pct"/>
                  <w:shd w:val="clear" w:color="auto" w:fill="auto"/>
                  <w:noWrap/>
                  <w:vAlign w:val="center"/>
                </w:tcPr>
                <w:p w14:paraId="4BE38D5E">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套</w:t>
                  </w:r>
                </w:p>
              </w:tc>
              <w:tc>
                <w:tcPr>
                  <w:tcW w:w="379" w:type="pct"/>
                  <w:shd w:val="clear" w:color="auto" w:fill="auto"/>
                  <w:noWrap/>
                  <w:vAlign w:val="center"/>
                </w:tcPr>
                <w:p w14:paraId="73C161D5">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2</w:t>
                  </w:r>
                </w:p>
              </w:tc>
              <w:tc>
                <w:tcPr>
                  <w:tcW w:w="1202" w:type="pct"/>
                  <w:shd w:val="clear" w:color="auto" w:fill="auto"/>
                  <w:noWrap/>
                  <w:vAlign w:val="center"/>
                </w:tcPr>
                <w:p w14:paraId="408864CE">
                  <w:pPr>
                    <w:pStyle w:val="34"/>
                    <w:bidi w:val="0"/>
                    <w:ind w:firstLine="0" w:firstLineChars="0"/>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r>
            <w:tr w14:paraId="61CD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1E86ED69">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27</w:t>
                  </w:r>
                </w:p>
              </w:tc>
              <w:tc>
                <w:tcPr>
                  <w:tcW w:w="508" w:type="pct"/>
                  <w:vMerge w:val="restart"/>
                  <w:shd w:val="clear" w:color="auto" w:fill="auto"/>
                  <w:noWrap/>
                  <w:vAlign w:val="center"/>
                </w:tcPr>
                <w:p w14:paraId="031046A4">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搬运</w:t>
                  </w:r>
                </w:p>
                <w:p w14:paraId="1044502F">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工序</w:t>
                  </w:r>
                </w:p>
              </w:tc>
              <w:tc>
                <w:tcPr>
                  <w:tcW w:w="1204" w:type="pct"/>
                  <w:shd w:val="clear" w:color="auto" w:fill="auto"/>
                  <w:noWrap/>
                  <w:vAlign w:val="center"/>
                </w:tcPr>
                <w:p w14:paraId="7CCD95E2">
                  <w:pPr>
                    <w:pStyle w:val="34"/>
                    <w:bidi w:val="0"/>
                    <w:ind w:firstLine="0" w:firstLineChars="0"/>
                    <w:rPr>
                      <w:rFonts w:hint="eastAsia" w:ascii="Times New Roman" w:hAnsi="Times New Roman" w:eastAsia="宋体"/>
                      <w:b w:val="0"/>
                      <w:bCs/>
                      <w:color w:val="auto"/>
                      <w:sz w:val="21"/>
                      <w:szCs w:val="20"/>
                      <w:lang w:val="en-US" w:eastAsia="zh-CN"/>
                    </w:rPr>
                  </w:pPr>
                  <w:r>
                    <w:rPr>
                      <w:rFonts w:hint="eastAsia" w:ascii="Times New Roman" w:hAnsi="Times New Roman" w:eastAsia="宋体" w:cs="Times New Roman"/>
                      <w:b w:val="0"/>
                      <w:bCs/>
                      <w:color w:val="auto"/>
                      <w:sz w:val="21"/>
                      <w:szCs w:val="20"/>
                      <w:lang w:val="en-US" w:eastAsia="zh-CN"/>
                    </w:rPr>
                    <w:t>叉车</w:t>
                  </w:r>
                </w:p>
              </w:tc>
              <w:tc>
                <w:tcPr>
                  <w:tcW w:w="1033" w:type="pct"/>
                  <w:shd w:val="clear" w:color="auto" w:fill="auto"/>
                  <w:noWrap/>
                  <w:vAlign w:val="center"/>
                </w:tcPr>
                <w:p w14:paraId="5DD686F7">
                  <w:pPr>
                    <w:pStyle w:val="34"/>
                    <w:bidi w:val="0"/>
                    <w:ind w:firstLine="0" w:firstLineChars="0"/>
                    <w:rPr>
                      <w:rFonts w:hint="eastAsia" w:ascii="Times New Roman" w:hAnsi="Times New Roman" w:eastAsia="宋体"/>
                      <w:color w:val="auto"/>
                      <w:sz w:val="21"/>
                      <w:szCs w:val="20"/>
                      <w:highlight w:val="none"/>
                      <w:lang w:val="en-US" w:eastAsia="zh-CN"/>
                    </w:rPr>
                  </w:pPr>
                  <w:r>
                    <w:rPr>
                      <w:rFonts w:hint="eastAsia" w:ascii="Times New Roman" w:hAnsi="Times New Roman" w:eastAsia="宋体"/>
                      <w:color w:val="auto"/>
                      <w:sz w:val="21"/>
                      <w:szCs w:val="20"/>
                      <w:highlight w:val="none"/>
                      <w:lang w:val="en-US" w:eastAsia="zh-CN"/>
                    </w:rPr>
                    <w:t>20t</w:t>
                  </w:r>
                </w:p>
              </w:tc>
              <w:tc>
                <w:tcPr>
                  <w:tcW w:w="379" w:type="pct"/>
                  <w:shd w:val="clear" w:color="auto" w:fill="auto"/>
                  <w:noWrap/>
                  <w:vAlign w:val="center"/>
                </w:tcPr>
                <w:p w14:paraId="312917FD">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辆</w:t>
                  </w:r>
                </w:p>
              </w:tc>
              <w:tc>
                <w:tcPr>
                  <w:tcW w:w="379" w:type="pct"/>
                  <w:shd w:val="clear" w:color="auto" w:fill="auto"/>
                  <w:noWrap/>
                  <w:vAlign w:val="center"/>
                </w:tcPr>
                <w:p w14:paraId="57326A87">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2</w:t>
                  </w:r>
                </w:p>
              </w:tc>
              <w:tc>
                <w:tcPr>
                  <w:tcW w:w="1202" w:type="pct"/>
                  <w:shd w:val="clear" w:color="auto" w:fill="auto"/>
                  <w:noWrap/>
                  <w:vAlign w:val="center"/>
                </w:tcPr>
                <w:p w14:paraId="7F95AD30">
                  <w:pPr>
                    <w:pStyle w:val="34"/>
                    <w:bidi w:val="0"/>
                    <w:ind w:firstLine="0" w:firstLineChars="0"/>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r>
            <w:tr w14:paraId="7FA5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39241D74">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28</w:t>
                  </w:r>
                </w:p>
              </w:tc>
              <w:tc>
                <w:tcPr>
                  <w:tcW w:w="508" w:type="pct"/>
                  <w:vMerge w:val="continue"/>
                  <w:shd w:val="clear" w:color="auto" w:fill="auto"/>
                  <w:noWrap/>
                  <w:vAlign w:val="center"/>
                </w:tcPr>
                <w:p w14:paraId="721D1A20">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29C4BFFB">
                  <w:pPr>
                    <w:pStyle w:val="34"/>
                    <w:bidi w:val="0"/>
                    <w:ind w:firstLine="0" w:firstLineChars="0"/>
                    <w:rPr>
                      <w:rFonts w:hint="eastAsia" w:ascii="Times New Roman" w:hAnsi="Times New Roman" w:eastAsia="宋体"/>
                      <w:b w:val="0"/>
                      <w:bCs/>
                      <w:color w:val="auto"/>
                      <w:sz w:val="21"/>
                      <w:szCs w:val="20"/>
                      <w:lang w:val="en-US" w:eastAsia="zh-CN"/>
                    </w:rPr>
                  </w:pPr>
                  <w:r>
                    <w:rPr>
                      <w:rFonts w:hint="eastAsia" w:ascii="Times New Roman" w:hAnsi="Times New Roman" w:eastAsia="宋体" w:cs="Times New Roman"/>
                      <w:b w:val="0"/>
                      <w:bCs/>
                      <w:color w:val="auto"/>
                      <w:sz w:val="21"/>
                      <w:szCs w:val="20"/>
                      <w:lang w:val="en-US" w:eastAsia="zh-CN"/>
                    </w:rPr>
                    <w:t>吊车</w:t>
                  </w:r>
                </w:p>
              </w:tc>
              <w:tc>
                <w:tcPr>
                  <w:tcW w:w="1033" w:type="pct"/>
                  <w:shd w:val="clear" w:color="auto" w:fill="auto"/>
                  <w:noWrap/>
                  <w:vAlign w:val="center"/>
                </w:tcPr>
                <w:p w14:paraId="4196E4CD">
                  <w:pPr>
                    <w:pStyle w:val="34"/>
                    <w:bidi w:val="0"/>
                    <w:ind w:firstLine="0" w:firstLineChars="0"/>
                    <w:rPr>
                      <w:rFonts w:hint="eastAsia" w:ascii="Times New Roman" w:hAnsi="Times New Roman" w:eastAsia="宋体"/>
                      <w:color w:val="auto"/>
                      <w:sz w:val="21"/>
                      <w:szCs w:val="20"/>
                      <w:highlight w:val="none"/>
                      <w:lang w:val="en-US" w:eastAsia="zh-CN"/>
                    </w:rPr>
                  </w:pPr>
                  <w:r>
                    <w:rPr>
                      <w:rFonts w:hint="eastAsia" w:ascii="Times New Roman" w:hAnsi="Times New Roman" w:eastAsia="宋体"/>
                      <w:color w:val="auto"/>
                      <w:sz w:val="21"/>
                      <w:szCs w:val="20"/>
                      <w:highlight w:val="none"/>
                      <w:lang w:val="en-US" w:eastAsia="zh-CN"/>
                    </w:rPr>
                    <w:t>20-50t</w:t>
                  </w:r>
                </w:p>
              </w:tc>
              <w:tc>
                <w:tcPr>
                  <w:tcW w:w="379" w:type="pct"/>
                  <w:shd w:val="clear" w:color="auto" w:fill="auto"/>
                  <w:noWrap/>
                  <w:vAlign w:val="center"/>
                </w:tcPr>
                <w:p w14:paraId="67480407">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辆</w:t>
                  </w:r>
                </w:p>
              </w:tc>
              <w:tc>
                <w:tcPr>
                  <w:tcW w:w="379" w:type="pct"/>
                  <w:shd w:val="clear" w:color="auto" w:fill="auto"/>
                  <w:noWrap/>
                  <w:vAlign w:val="center"/>
                </w:tcPr>
                <w:p w14:paraId="5BB84A6F">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1202" w:type="pct"/>
                  <w:shd w:val="clear" w:color="auto" w:fill="auto"/>
                  <w:noWrap/>
                  <w:vAlign w:val="center"/>
                </w:tcPr>
                <w:p w14:paraId="746152B4">
                  <w:pPr>
                    <w:pStyle w:val="34"/>
                    <w:bidi w:val="0"/>
                    <w:ind w:firstLine="0" w:firstLineChars="0"/>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r>
            <w:tr w14:paraId="23D9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5A185270">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29</w:t>
                  </w:r>
                </w:p>
              </w:tc>
              <w:tc>
                <w:tcPr>
                  <w:tcW w:w="508" w:type="pct"/>
                  <w:vMerge w:val="continue"/>
                  <w:shd w:val="clear" w:color="auto" w:fill="auto"/>
                  <w:noWrap/>
                  <w:vAlign w:val="center"/>
                </w:tcPr>
                <w:p w14:paraId="34152A8B">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069BC137">
                  <w:pPr>
                    <w:pStyle w:val="34"/>
                    <w:bidi w:val="0"/>
                    <w:ind w:firstLine="0" w:firstLineChars="0"/>
                    <w:rPr>
                      <w:rFonts w:hint="default" w:ascii="Times New Roman" w:hAnsi="Times New Roman" w:eastAsia="宋体" w:cs="Times New Roman"/>
                      <w:b w:val="0"/>
                      <w:bCs/>
                      <w:color w:val="auto"/>
                      <w:sz w:val="21"/>
                      <w:szCs w:val="20"/>
                      <w:lang w:val="en-US" w:eastAsia="zh-CN"/>
                    </w:rPr>
                  </w:pPr>
                  <w:r>
                    <w:rPr>
                      <w:rFonts w:hint="eastAsia" w:ascii="Times New Roman" w:hAnsi="Times New Roman" w:eastAsia="宋体" w:cs="Times New Roman"/>
                      <w:b w:val="0"/>
                      <w:bCs/>
                      <w:color w:val="auto"/>
                      <w:sz w:val="21"/>
                      <w:szCs w:val="20"/>
                      <w:lang w:val="en-US" w:eastAsia="zh-CN"/>
                    </w:rPr>
                    <w:t>铲车</w:t>
                  </w:r>
                </w:p>
              </w:tc>
              <w:tc>
                <w:tcPr>
                  <w:tcW w:w="1033" w:type="pct"/>
                  <w:shd w:val="clear" w:color="auto" w:fill="auto"/>
                  <w:noWrap/>
                  <w:vAlign w:val="center"/>
                </w:tcPr>
                <w:p w14:paraId="166C9490">
                  <w:pPr>
                    <w:pStyle w:val="34"/>
                    <w:bidi w:val="0"/>
                    <w:ind w:firstLine="0" w:firstLineChars="0"/>
                    <w:rPr>
                      <w:rFonts w:hint="default" w:ascii="Times New Roman" w:hAnsi="Times New Roman" w:eastAsia="宋体"/>
                      <w:color w:val="auto"/>
                      <w:sz w:val="21"/>
                      <w:szCs w:val="20"/>
                      <w:highlight w:val="none"/>
                      <w:lang w:val="en-US" w:eastAsia="zh-CN"/>
                    </w:rPr>
                  </w:pPr>
                  <w:r>
                    <w:rPr>
                      <w:rFonts w:hint="eastAsia" w:ascii="Times New Roman" w:hAnsi="Times New Roman" w:eastAsia="宋体"/>
                      <w:color w:val="auto"/>
                      <w:sz w:val="21"/>
                      <w:szCs w:val="20"/>
                      <w:highlight w:val="none"/>
                      <w:lang w:val="en-US" w:eastAsia="zh-CN"/>
                    </w:rPr>
                    <w:t>5t</w:t>
                  </w:r>
                </w:p>
              </w:tc>
              <w:tc>
                <w:tcPr>
                  <w:tcW w:w="379" w:type="pct"/>
                  <w:shd w:val="clear" w:color="auto" w:fill="auto"/>
                  <w:noWrap/>
                  <w:vAlign w:val="center"/>
                </w:tcPr>
                <w:p w14:paraId="2B121A56">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辆</w:t>
                  </w:r>
                </w:p>
              </w:tc>
              <w:tc>
                <w:tcPr>
                  <w:tcW w:w="379" w:type="pct"/>
                  <w:shd w:val="clear" w:color="auto" w:fill="auto"/>
                  <w:noWrap/>
                  <w:vAlign w:val="center"/>
                </w:tcPr>
                <w:p w14:paraId="636E8787">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3</w:t>
                  </w:r>
                </w:p>
              </w:tc>
              <w:tc>
                <w:tcPr>
                  <w:tcW w:w="1202" w:type="pct"/>
                  <w:shd w:val="clear" w:color="auto" w:fill="auto"/>
                  <w:noWrap/>
                  <w:vAlign w:val="center"/>
                </w:tcPr>
                <w:p w14:paraId="5365AB8C">
                  <w:pPr>
                    <w:pStyle w:val="34"/>
                    <w:bidi w:val="0"/>
                    <w:ind w:firstLine="0" w:firstLineChars="0"/>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r>
            <w:tr w14:paraId="57E3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1DB2006A">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30</w:t>
                  </w:r>
                </w:p>
              </w:tc>
              <w:tc>
                <w:tcPr>
                  <w:tcW w:w="508" w:type="pct"/>
                  <w:vMerge w:val="continue"/>
                  <w:shd w:val="clear" w:color="auto" w:fill="auto"/>
                  <w:noWrap/>
                  <w:vAlign w:val="center"/>
                </w:tcPr>
                <w:p w14:paraId="53CDFE63">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190A5E4E">
                  <w:pPr>
                    <w:pStyle w:val="34"/>
                    <w:bidi w:val="0"/>
                    <w:ind w:firstLine="0" w:firstLineChars="0"/>
                    <w:rPr>
                      <w:rFonts w:hint="default" w:ascii="Times New Roman" w:hAnsi="Times New Roman" w:eastAsia="宋体" w:cs="Times New Roman"/>
                      <w:b w:val="0"/>
                      <w:bCs/>
                      <w:color w:val="auto"/>
                      <w:sz w:val="21"/>
                      <w:szCs w:val="20"/>
                      <w:lang w:val="en-US" w:eastAsia="zh-CN"/>
                    </w:rPr>
                  </w:pPr>
                  <w:r>
                    <w:rPr>
                      <w:rFonts w:hint="eastAsia" w:ascii="Times New Roman" w:hAnsi="Times New Roman" w:eastAsia="宋体" w:cs="Times New Roman"/>
                      <w:b w:val="0"/>
                      <w:bCs/>
                      <w:color w:val="auto"/>
                      <w:sz w:val="21"/>
                      <w:szCs w:val="20"/>
                      <w:lang w:val="en-US" w:eastAsia="zh-CN"/>
                    </w:rPr>
                    <w:t>罐车</w:t>
                  </w:r>
                </w:p>
              </w:tc>
              <w:tc>
                <w:tcPr>
                  <w:tcW w:w="1033" w:type="pct"/>
                  <w:shd w:val="clear" w:color="auto" w:fill="auto"/>
                  <w:noWrap/>
                  <w:vAlign w:val="center"/>
                </w:tcPr>
                <w:p w14:paraId="503B525B">
                  <w:pPr>
                    <w:pStyle w:val="34"/>
                    <w:bidi w:val="0"/>
                    <w:ind w:firstLine="0" w:firstLineChars="0"/>
                    <w:rPr>
                      <w:rFonts w:hint="default" w:ascii="Times New Roman" w:hAnsi="Times New Roman" w:eastAsia="宋体"/>
                      <w:color w:val="auto"/>
                      <w:sz w:val="21"/>
                      <w:szCs w:val="20"/>
                      <w:highlight w:val="none"/>
                      <w:lang w:val="en-US" w:eastAsia="zh-CN"/>
                    </w:rPr>
                  </w:pPr>
                  <w:r>
                    <w:rPr>
                      <w:rFonts w:hint="eastAsia" w:ascii="Times New Roman" w:hAnsi="Times New Roman" w:eastAsia="宋体"/>
                      <w:color w:val="auto"/>
                      <w:sz w:val="21"/>
                      <w:szCs w:val="20"/>
                      <w:highlight w:val="none"/>
                      <w:lang w:val="en-US" w:eastAsia="zh-CN"/>
                    </w:rPr>
                    <w:t>/</w:t>
                  </w:r>
                </w:p>
              </w:tc>
              <w:tc>
                <w:tcPr>
                  <w:tcW w:w="379" w:type="pct"/>
                  <w:shd w:val="clear" w:color="auto" w:fill="auto"/>
                  <w:noWrap/>
                  <w:vAlign w:val="center"/>
                </w:tcPr>
                <w:p w14:paraId="272510B0">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辆</w:t>
                  </w:r>
                </w:p>
              </w:tc>
              <w:tc>
                <w:tcPr>
                  <w:tcW w:w="379" w:type="pct"/>
                  <w:shd w:val="clear" w:color="auto" w:fill="auto"/>
                  <w:noWrap/>
                  <w:vAlign w:val="center"/>
                </w:tcPr>
                <w:p w14:paraId="26D16D4F">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1202" w:type="pct"/>
                  <w:shd w:val="clear" w:color="auto" w:fill="auto"/>
                  <w:noWrap/>
                  <w:vAlign w:val="center"/>
                </w:tcPr>
                <w:p w14:paraId="176694A7">
                  <w:pPr>
                    <w:pStyle w:val="34"/>
                    <w:bidi w:val="0"/>
                    <w:ind w:firstLine="0" w:firstLineChars="0"/>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外租</w:t>
                  </w:r>
                </w:p>
              </w:tc>
            </w:tr>
            <w:tr w14:paraId="04E3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64DE7490">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31</w:t>
                  </w:r>
                </w:p>
              </w:tc>
              <w:tc>
                <w:tcPr>
                  <w:tcW w:w="508" w:type="pct"/>
                  <w:vMerge w:val="restart"/>
                  <w:shd w:val="clear" w:color="auto" w:fill="auto"/>
                  <w:noWrap/>
                  <w:vAlign w:val="center"/>
                </w:tcPr>
                <w:p w14:paraId="15E82B52">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污水处理工序</w:t>
                  </w:r>
                </w:p>
              </w:tc>
              <w:tc>
                <w:tcPr>
                  <w:tcW w:w="1204" w:type="pct"/>
                  <w:shd w:val="clear" w:color="auto" w:fill="auto"/>
                  <w:noWrap/>
                  <w:vAlign w:val="center"/>
                </w:tcPr>
                <w:p w14:paraId="6704CD08">
                  <w:pPr>
                    <w:pStyle w:val="34"/>
                    <w:bidi w:val="0"/>
                    <w:rPr>
                      <w:rFonts w:hint="eastAsia" w:ascii="Times New Roman" w:hAnsi="Times New Roman" w:eastAsia="宋体"/>
                      <w:color w:val="auto"/>
                      <w:sz w:val="21"/>
                      <w:highlight w:val="none"/>
                      <w:lang w:val="en-US" w:eastAsia="zh-CN"/>
                    </w:rPr>
                  </w:pPr>
                  <w:r>
                    <w:rPr>
                      <w:rFonts w:hint="eastAsia"/>
                      <w:color w:val="auto"/>
                      <w:sz w:val="21"/>
                      <w:highlight w:val="none"/>
                      <w:lang w:val="en-US" w:eastAsia="zh-CN"/>
                    </w:rPr>
                    <w:t>隔膜厢式</w:t>
                  </w:r>
                  <w:r>
                    <w:rPr>
                      <w:rFonts w:hint="eastAsia" w:ascii="Times New Roman" w:hAnsi="Times New Roman" w:eastAsia="宋体"/>
                      <w:color w:val="auto"/>
                      <w:sz w:val="21"/>
                      <w:highlight w:val="none"/>
                      <w:lang w:val="en-US" w:eastAsia="zh-CN"/>
                    </w:rPr>
                    <w:t>板框压滤机</w:t>
                  </w:r>
                </w:p>
              </w:tc>
              <w:tc>
                <w:tcPr>
                  <w:tcW w:w="1033" w:type="pct"/>
                  <w:shd w:val="clear" w:color="auto" w:fill="auto"/>
                  <w:noWrap/>
                  <w:vAlign w:val="center"/>
                </w:tcPr>
                <w:p w14:paraId="17E98B22">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XM</w:t>
                  </w:r>
                  <w:r>
                    <w:rPr>
                      <w:rFonts w:hint="eastAsia"/>
                      <w:color w:val="auto"/>
                      <w:sz w:val="21"/>
                      <w:highlight w:val="none"/>
                      <w:lang w:val="en-US" w:eastAsia="zh-CN"/>
                    </w:rPr>
                    <w:t>Y-8</w:t>
                  </w:r>
                  <w:r>
                    <w:rPr>
                      <w:rFonts w:hint="eastAsia" w:ascii="Times New Roman" w:hAnsi="Times New Roman" w:eastAsia="宋体"/>
                      <w:color w:val="auto"/>
                      <w:sz w:val="21"/>
                      <w:highlight w:val="none"/>
                      <w:lang w:val="en-US" w:eastAsia="zh-CN"/>
                    </w:rPr>
                    <w:t>0/1250-U</w:t>
                  </w:r>
                  <w:r>
                    <w:rPr>
                      <w:rFonts w:hint="eastAsia"/>
                      <w:color w:val="auto"/>
                      <w:sz w:val="21"/>
                      <w:highlight w:val="none"/>
                      <w:lang w:val="en-US" w:eastAsia="zh-CN"/>
                    </w:rPr>
                    <w:t>B</w:t>
                  </w:r>
                </w:p>
              </w:tc>
              <w:tc>
                <w:tcPr>
                  <w:tcW w:w="379" w:type="pct"/>
                  <w:shd w:val="clear" w:color="auto" w:fill="auto"/>
                  <w:noWrap/>
                  <w:vAlign w:val="center"/>
                </w:tcPr>
                <w:p w14:paraId="21C9D95C">
                  <w:pPr>
                    <w:pStyle w:val="34"/>
                    <w:bidi w:val="0"/>
                    <w:ind w:firstLine="0" w:firstLineChars="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台</w:t>
                  </w:r>
                </w:p>
              </w:tc>
              <w:tc>
                <w:tcPr>
                  <w:tcW w:w="379" w:type="pct"/>
                  <w:shd w:val="clear" w:color="auto" w:fill="auto"/>
                  <w:noWrap/>
                  <w:vAlign w:val="center"/>
                </w:tcPr>
                <w:p w14:paraId="7A63DD48">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3</w:t>
                  </w:r>
                </w:p>
              </w:tc>
              <w:tc>
                <w:tcPr>
                  <w:tcW w:w="1202" w:type="pct"/>
                  <w:shd w:val="clear" w:color="auto" w:fill="auto"/>
                  <w:noWrap/>
                  <w:vAlign w:val="center"/>
                </w:tcPr>
                <w:p w14:paraId="713EDDC9">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w:t>
                  </w:r>
                </w:p>
              </w:tc>
            </w:tr>
            <w:tr w14:paraId="1B9A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609FDFF4">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32</w:t>
                  </w:r>
                </w:p>
              </w:tc>
              <w:tc>
                <w:tcPr>
                  <w:tcW w:w="508" w:type="pct"/>
                  <w:vMerge w:val="continue"/>
                  <w:shd w:val="clear" w:color="auto" w:fill="auto"/>
                  <w:noWrap/>
                  <w:vAlign w:val="center"/>
                </w:tcPr>
                <w:p w14:paraId="17BD49D6">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2874C67C">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污泥罐</w:t>
                  </w:r>
                </w:p>
              </w:tc>
              <w:tc>
                <w:tcPr>
                  <w:tcW w:w="1033" w:type="pct"/>
                  <w:shd w:val="clear" w:color="auto" w:fill="auto"/>
                  <w:noWrap/>
                  <w:vAlign w:val="center"/>
                </w:tcPr>
                <w:p w14:paraId="2131F8E8">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300m</w:t>
                  </w:r>
                  <w:r>
                    <w:rPr>
                      <w:rFonts w:hint="eastAsia" w:ascii="Times New Roman" w:hAnsi="Times New Roman" w:eastAsia="宋体"/>
                      <w:color w:val="auto"/>
                      <w:sz w:val="21"/>
                      <w:highlight w:val="none"/>
                      <w:vertAlign w:val="superscript"/>
                      <w:lang w:val="en-US" w:eastAsia="zh-CN"/>
                    </w:rPr>
                    <w:t>3</w:t>
                  </w:r>
                </w:p>
              </w:tc>
              <w:tc>
                <w:tcPr>
                  <w:tcW w:w="379" w:type="pct"/>
                  <w:shd w:val="clear" w:color="auto" w:fill="auto"/>
                  <w:noWrap/>
                  <w:vAlign w:val="center"/>
                </w:tcPr>
                <w:p w14:paraId="4FC0D498">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个</w:t>
                  </w:r>
                </w:p>
              </w:tc>
              <w:tc>
                <w:tcPr>
                  <w:tcW w:w="379" w:type="pct"/>
                  <w:shd w:val="clear" w:color="auto" w:fill="auto"/>
                  <w:noWrap/>
                  <w:vAlign w:val="center"/>
                </w:tcPr>
                <w:p w14:paraId="5599088E">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1202" w:type="pct"/>
                  <w:shd w:val="clear" w:color="auto" w:fill="auto"/>
                  <w:noWrap/>
                  <w:vAlign w:val="center"/>
                </w:tcPr>
                <w:p w14:paraId="2EA37829">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w:t>
                  </w:r>
                </w:p>
              </w:tc>
            </w:tr>
            <w:tr w14:paraId="3E81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2B5FDC04">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33</w:t>
                  </w:r>
                </w:p>
              </w:tc>
              <w:tc>
                <w:tcPr>
                  <w:tcW w:w="508" w:type="pct"/>
                  <w:vMerge w:val="continue"/>
                  <w:shd w:val="clear" w:color="auto" w:fill="auto"/>
                  <w:noWrap/>
                  <w:vAlign w:val="center"/>
                </w:tcPr>
                <w:p w14:paraId="0808A148">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47DC7527">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default" w:ascii="Times New Roman" w:hAnsi="Times New Roman" w:eastAsia="宋体"/>
                      <w:color w:val="auto"/>
                      <w:sz w:val="21"/>
                      <w:highlight w:val="none"/>
                      <w:lang w:val="en-US" w:eastAsia="zh-CN"/>
                    </w:rPr>
                    <w:t>清水罐</w:t>
                  </w:r>
                </w:p>
              </w:tc>
              <w:tc>
                <w:tcPr>
                  <w:tcW w:w="1033" w:type="pct"/>
                  <w:shd w:val="clear" w:color="auto" w:fill="auto"/>
                  <w:noWrap/>
                  <w:vAlign w:val="center"/>
                </w:tcPr>
                <w:p w14:paraId="500EF560">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300m</w:t>
                  </w:r>
                  <w:r>
                    <w:rPr>
                      <w:rFonts w:hint="eastAsia" w:ascii="Times New Roman" w:hAnsi="Times New Roman" w:eastAsia="宋体"/>
                      <w:color w:val="auto"/>
                      <w:sz w:val="21"/>
                      <w:highlight w:val="none"/>
                      <w:vertAlign w:val="superscript"/>
                      <w:lang w:val="en-US" w:eastAsia="zh-CN"/>
                    </w:rPr>
                    <w:t>3</w:t>
                  </w:r>
                </w:p>
              </w:tc>
              <w:tc>
                <w:tcPr>
                  <w:tcW w:w="379" w:type="pct"/>
                  <w:shd w:val="clear" w:color="auto" w:fill="auto"/>
                  <w:noWrap/>
                  <w:vAlign w:val="center"/>
                </w:tcPr>
                <w:p w14:paraId="6E0F9031">
                  <w:pPr>
                    <w:pStyle w:val="34"/>
                    <w:bidi w:val="0"/>
                    <w:ind w:firstLine="0" w:firstLineChars="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个</w:t>
                  </w:r>
                </w:p>
              </w:tc>
              <w:tc>
                <w:tcPr>
                  <w:tcW w:w="379" w:type="pct"/>
                  <w:shd w:val="clear" w:color="auto" w:fill="auto"/>
                  <w:noWrap/>
                  <w:vAlign w:val="center"/>
                </w:tcPr>
                <w:p w14:paraId="262964DE">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1202" w:type="pct"/>
                  <w:shd w:val="clear" w:color="auto" w:fill="auto"/>
                  <w:noWrap/>
                  <w:vAlign w:val="center"/>
                </w:tcPr>
                <w:p w14:paraId="7D834FCE">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w:t>
                  </w:r>
                </w:p>
              </w:tc>
            </w:tr>
            <w:tr w14:paraId="4E34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4E618E91">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34</w:t>
                  </w:r>
                </w:p>
              </w:tc>
              <w:tc>
                <w:tcPr>
                  <w:tcW w:w="508" w:type="pct"/>
                  <w:vMerge w:val="continue"/>
                  <w:shd w:val="clear" w:color="auto" w:fill="auto"/>
                  <w:noWrap/>
                  <w:vAlign w:val="center"/>
                </w:tcPr>
                <w:p w14:paraId="43CCCAC9">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39FB4AFD">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清水泵</w:t>
                  </w:r>
                </w:p>
              </w:tc>
              <w:tc>
                <w:tcPr>
                  <w:tcW w:w="1033" w:type="pct"/>
                  <w:shd w:val="clear" w:color="auto" w:fill="auto"/>
                  <w:noWrap/>
                  <w:vAlign w:val="center"/>
                </w:tcPr>
                <w:p w14:paraId="28E086C5">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w:t>
                  </w:r>
                </w:p>
              </w:tc>
              <w:tc>
                <w:tcPr>
                  <w:tcW w:w="379" w:type="pct"/>
                  <w:shd w:val="clear" w:color="auto" w:fill="auto"/>
                  <w:noWrap/>
                  <w:vAlign w:val="center"/>
                </w:tcPr>
                <w:p w14:paraId="77586D60">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台</w:t>
                  </w:r>
                </w:p>
              </w:tc>
              <w:tc>
                <w:tcPr>
                  <w:tcW w:w="379" w:type="pct"/>
                  <w:shd w:val="clear" w:color="auto" w:fill="auto"/>
                  <w:noWrap/>
                  <w:vAlign w:val="center"/>
                </w:tcPr>
                <w:p w14:paraId="38B2C122">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w:t>
                  </w:r>
                </w:p>
              </w:tc>
              <w:tc>
                <w:tcPr>
                  <w:tcW w:w="1202" w:type="pct"/>
                  <w:shd w:val="clear" w:color="auto" w:fill="auto"/>
                  <w:noWrap/>
                  <w:vAlign w:val="center"/>
                </w:tcPr>
                <w:p w14:paraId="19288F26">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流量300m</w:t>
                  </w:r>
                  <w:r>
                    <w:rPr>
                      <w:rFonts w:hint="eastAsia" w:ascii="Times New Roman" w:hAnsi="Times New Roman" w:eastAsia="宋体" w:cs="宋体"/>
                      <w:color w:val="auto"/>
                      <w:kern w:val="2"/>
                      <w:sz w:val="21"/>
                      <w:szCs w:val="21"/>
                      <w:highlight w:val="none"/>
                      <w:vertAlign w:val="superscript"/>
                      <w:lang w:val="en-US" w:eastAsia="zh-CN" w:bidi="ar"/>
                    </w:rPr>
                    <w:t>3</w:t>
                  </w:r>
                  <w:r>
                    <w:rPr>
                      <w:rFonts w:hint="eastAsia" w:ascii="Times New Roman" w:hAnsi="Times New Roman" w:eastAsia="宋体" w:cs="宋体"/>
                      <w:color w:val="auto"/>
                      <w:kern w:val="2"/>
                      <w:sz w:val="21"/>
                      <w:szCs w:val="21"/>
                      <w:highlight w:val="none"/>
                      <w:lang w:val="en-US" w:eastAsia="zh-CN" w:bidi="ar"/>
                    </w:rPr>
                    <w:t>/h</w:t>
                  </w:r>
                </w:p>
              </w:tc>
            </w:tr>
            <w:tr w14:paraId="12F5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684751E5">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35</w:t>
                  </w:r>
                </w:p>
              </w:tc>
              <w:tc>
                <w:tcPr>
                  <w:tcW w:w="508" w:type="pct"/>
                  <w:vMerge w:val="continue"/>
                  <w:shd w:val="clear" w:color="auto" w:fill="auto"/>
                  <w:noWrap/>
                  <w:vAlign w:val="center"/>
                </w:tcPr>
                <w:p w14:paraId="4F8B6E5E">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2D49D058">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压滤机专用泥浆泵</w:t>
                  </w:r>
                </w:p>
              </w:tc>
              <w:tc>
                <w:tcPr>
                  <w:tcW w:w="1033" w:type="pct"/>
                  <w:shd w:val="clear" w:color="auto" w:fill="auto"/>
                  <w:noWrap/>
                  <w:vAlign w:val="center"/>
                </w:tcPr>
                <w:p w14:paraId="3F5AA010">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65SYA</w:t>
                  </w:r>
                </w:p>
              </w:tc>
              <w:tc>
                <w:tcPr>
                  <w:tcW w:w="379" w:type="pct"/>
                  <w:shd w:val="clear" w:color="auto" w:fill="auto"/>
                  <w:noWrap/>
                  <w:vAlign w:val="center"/>
                </w:tcPr>
                <w:p w14:paraId="4DF7E65E">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台</w:t>
                  </w:r>
                </w:p>
              </w:tc>
              <w:tc>
                <w:tcPr>
                  <w:tcW w:w="379" w:type="pct"/>
                  <w:shd w:val="clear" w:color="auto" w:fill="auto"/>
                  <w:noWrap/>
                  <w:vAlign w:val="center"/>
                </w:tcPr>
                <w:p w14:paraId="5B404597">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3</w:t>
                  </w:r>
                </w:p>
              </w:tc>
              <w:tc>
                <w:tcPr>
                  <w:tcW w:w="1202" w:type="pct"/>
                  <w:shd w:val="clear" w:color="auto" w:fill="auto"/>
                  <w:noWrap/>
                  <w:vAlign w:val="center"/>
                </w:tcPr>
                <w:p w14:paraId="5F19F4DE">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流量300m</w:t>
                  </w:r>
                  <w:r>
                    <w:rPr>
                      <w:rFonts w:hint="eastAsia" w:ascii="Times New Roman" w:hAnsi="Times New Roman" w:eastAsia="宋体" w:cs="宋体"/>
                      <w:color w:val="auto"/>
                      <w:kern w:val="2"/>
                      <w:sz w:val="21"/>
                      <w:szCs w:val="21"/>
                      <w:highlight w:val="none"/>
                      <w:vertAlign w:val="superscript"/>
                      <w:lang w:val="en-US" w:eastAsia="zh-CN" w:bidi="ar"/>
                    </w:rPr>
                    <w:t>3</w:t>
                  </w:r>
                  <w:r>
                    <w:rPr>
                      <w:rFonts w:hint="eastAsia" w:ascii="Times New Roman" w:hAnsi="Times New Roman" w:eastAsia="宋体" w:cs="宋体"/>
                      <w:color w:val="auto"/>
                      <w:kern w:val="2"/>
                      <w:sz w:val="21"/>
                      <w:szCs w:val="21"/>
                      <w:highlight w:val="none"/>
                      <w:lang w:val="en-US" w:eastAsia="zh-CN" w:bidi="ar"/>
                    </w:rPr>
                    <w:t>/h</w:t>
                  </w:r>
                </w:p>
              </w:tc>
            </w:tr>
            <w:tr w14:paraId="09C7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shd w:val="clear" w:color="auto" w:fill="auto"/>
                  <w:noWrap/>
                  <w:vAlign w:val="center"/>
                </w:tcPr>
                <w:p w14:paraId="6C1580CD">
                  <w:pPr>
                    <w:pStyle w:val="34"/>
                    <w:bidi w:val="0"/>
                    <w:ind w:firstLine="0" w:firstLineChars="0"/>
                    <w:rPr>
                      <w:rFonts w:hint="default" w:ascii="Times New Roman" w:hAnsi="Times New Roman" w:eastAsia="宋体"/>
                      <w:color w:val="auto"/>
                      <w:sz w:val="21"/>
                      <w:highlight w:val="none"/>
                      <w:lang w:val="en-US" w:eastAsia="zh-CN"/>
                    </w:rPr>
                  </w:pPr>
                  <w:bookmarkStart w:id="12" w:name="_Ref11790"/>
                  <w:r>
                    <w:rPr>
                      <w:rFonts w:hint="eastAsia" w:ascii="Times New Roman" w:hAnsi="Times New Roman" w:eastAsia="宋体"/>
                      <w:color w:val="auto"/>
                      <w:sz w:val="21"/>
                      <w:highlight w:val="none"/>
                      <w:lang w:val="en-US" w:eastAsia="zh-CN"/>
                    </w:rPr>
                    <w:t>36</w:t>
                  </w:r>
                </w:p>
              </w:tc>
              <w:tc>
                <w:tcPr>
                  <w:tcW w:w="508" w:type="pct"/>
                  <w:vMerge w:val="continue"/>
                  <w:shd w:val="clear" w:color="auto" w:fill="auto"/>
                  <w:noWrap/>
                  <w:vAlign w:val="center"/>
                </w:tcPr>
                <w:p w14:paraId="1C35B132">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7025CD69">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污水泵</w:t>
                  </w:r>
                </w:p>
              </w:tc>
              <w:tc>
                <w:tcPr>
                  <w:tcW w:w="1033" w:type="pct"/>
                  <w:shd w:val="clear" w:color="auto" w:fill="auto"/>
                  <w:noWrap/>
                  <w:vAlign w:val="center"/>
                </w:tcPr>
                <w:p w14:paraId="150A3DC2">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w:t>
                  </w:r>
                </w:p>
              </w:tc>
              <w:tc>
                <w:tcPr>
                  <w:tcW w:w="379" w:type="pct"/>
                  <w:shd w:val="clear" w:color="auto" w:fill="auto"/>
                  <w:noWrap/>
                  <w:vAlign w:val="center"/>
                </w:tcPr>
                <w:p w14:paraId="78D1D1D0">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台</w:t>
                  </w:r>
                </w:p>
              </w:tc>
              <w:tc>
                <w:tcPr>
                  <w:tcW w:w="379" w:type="pct"/>
                  <w:shd w:val="clear" w:color="auto" w:fill="auto"/>
                  <w:noWrap/>
                  <w:vAlign w:val="center"/>
                </w:tcPr>
                <w:p w14:paraId="223741A4">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4</w:t>
                  </w:r>
                </w:p>
              </w:tc>
              <w:tc>
                <w:tcPr>
                  <w:tcW w:w="1202" w:type="pct"/>
                  <w:shd w:val="clear" w:color="auto" w:fill="auto"/>
                  <w:noWrap/>
                  <w:vAlign w:val="center"/>
                </w:tcPr>
                <w:p w14:paraId="2EB3BB0C">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22千瓦</w:t>
                  </w:r>
                </w:p>
              </w:tc>
            </w:tr>
            <w:tr w14:paraId="7A85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2" w:type="pct"/>
                  <w:shd w:val="clear" w:color="auto" w:fill="auto"/>
                  <w:noWrap/>
                  <w:vAlign w:val="center"/>
                </w:tcPr>
                <w:p w14:paraId="0E1A61C1">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37</w:t>
                  </w:r>
                </w:p>
              </w:tc>
              <w:tc>
                <w:tcPr>
                  <w:tcW w:w="508" w:type="pct"/>
                  <w:vMerge w:val="continue"/>
                  <w:shd w:val="clear" w:color="auto" w:fill="auto"/>
                  <w:noWrap/>
                  <w:vAlign w:val="center"/>
                </w:tcPr>
                <w:p w14:paraId="0077C5E6">
                  <w:pPr>
                    <w:pStyle w:val="34"/>
                    <w:bidi w:val="0"/>
                    <w:rPr>
                      <w:rFonts w:hint="eastAsia" w:ascii="Times New Roman" w:hAnsi="Times New Roman" w:eastAsia="宋体"/>
                      <w:color w:val="auto"/>
                      <w:sz w:val="21"/>
                      <w:highlight w:val="none"/>
                      <w:lang w:val="en-US" w:eastAsia="zh-CN"/>
                    </w:rPr>
                  </w:pPr>
                </w:p>
              </w:tc>
              <w:tc>
                <w:tcPr>
                  <w:tcW w:w="1204" w:type="pct"/>
                  <w:shd w:val="clear" w:color="auto" w:fill="auto"/>
                  <w:noWrap/>
                  <w:vAlign w:val="center"/>
                </w:tcPr>
                <w:p w14:paraId="772B6B8F">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污水泵</w:t>
                  </w:r>
                </w:p>
              </w:tc>
              <w:tc>
                <w:tcPr>
                  <w:tcW w:w="1033" w:type="pct"/>
                  <w:shd w:val="clear" w:color="auto" w:fill="auto"/>
                  <w:noWrap/>
                  <w:vAlign w:val="center"/>
                </w:tcPr>
                <w:p w14:paraId="257EA904">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w:t>
                  </w:r>
                </w:p>
              </w:tc>
              <w:tc>
                <w:tcPr>
                  <w:tcW w:w="379" w:type="pct"/>
                  <w:shd w:val="clear" w:color="auto" w:fill="auto"/>
                  <w:noWrap/>
                  <w:vAlign w:val="center"/>
                </w:tcPr>
                <w:p w14:paraId="60C92D92">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台</w:t>
                  </w:r>
                </w:p>
              </w:tc>
              <w:tc>
                <w:tcPr>
                  <w:tcW w:w="379" w:type="pct"/>
                  <w:shd w:val="clear" w:color="auto" w:fill="auto"/>
                  <w:noWrap/>
                  <w:vAlign w:val="center"/>
                </w:tcPr>
                <w:p w14:paraId="132F0D85">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2</w:t>
                  </w:r>
                </w:p>
              </w:tc>
              <w:tc>
                <w:tcPr>
                  <w:tcW w:w="1202" w:type="pct"/>
                  <w:shd w:val="clear" w:color="auto" w:fill="auto"/>
                  <w:noWrap/>
                  <w:vAlign w:val="center"/>
                </w:tcPr>
                <w:p w14:paraId="35EF40B0">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45千瓦</w:t>
                  </w:r>
                </w:p>
              </w:tc>
            </w:tr>
          </w:tbl>
          <w:p w14:paraId="02AF33A6">
            <w:pPr>
              <w:pStyle w:val="11"/>
              <w:keepNext w:val="0"/>
              <w:keepLines w:val="0"/>
              <w:pageBreakBefore w:val="0"/>
              <w:widowControl w:val="0"/>
              <w:numPr>
                <w:ilvl w:val="1"/>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宋体"/>
                <w:b w:val="0"/>
                <w:bCs w:val="0"/>
                <w:color w:val="auto"/>
                <w:kern w:val="2"/>
                <w:sz w:val="24"/>
                <w:szCs w:val="24"/>
                <w:lang w:val="en-US" w:eastAsia="zh-CN" w:bidi="ar-SA"/>
              </w:rPr>
            </w:pPr>
            <w:r>
              <w:rPr>
                <w:rFonts w:hint="eastAsia" w:cs="宋体"/>
                <w:b w:val="0"/>
                <w:bCs w:val="0"/>
                <w:color w:val="auto"/>
                <w:kern w:val="2"/>
                <w:sz w:val="24"/>
                <w:szCs w:val="24"/>
                <w:lang w:val="en-US" w:eastAsia="zh-CN" w:bidi="ar-SA"/>
              </w:rPr>
              <w:t>水洗砂生产线：洗砂机设备设计生产能力为75t/h-150t/h，年运行2240h，水洗砂生产车间内设两条水洗砂生产线，则洗砂机设备可年洗砂33.6万t-67.2万t物料，可满足本项目生产需求；</w:t>
            </w:r>
          </w:p>
          <w:p w14:paraId="7D29A4A0">
            <w:pPr>
              <w:pStyle w:val="11"/>
              <w:keepNext w:val="0"/>
              <w:keepLines w:val="0"/>
              <w:pageBreakBefore w:val="0"/>
              <w:widowControl w:val="0"/>
              <w:numPr>
                <w:ilvl w:val="1"/>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宋体"/>
                <w:b w:val="0"/>
                <w:bCs w:val="0"/>
                <w:color w:val="auto"/>
                <w:kern w:val="2"/>
                <w:sz w:val="24"/>
                <w:szCs w:val="24"/>
                <w:lang w:val="en-US" w:eastAsia="zh-CN" w:bidi="ar-SA"/>
              </w:rPr>
            </w:pPr>
            <w:r>
              <w:rPr>
                <w:rFonts w:hint="eastAsia" w:cs="宋体"/>
                <w:b w:val="0"/>
                <w:bCs w:val="0"/>
                <w:color w:val="auto"/>
                <w:kern w:val="2"/>
                <w:sz w:val="24"/>
                <w:szCs w:val="24"/>
                <w:lang w:val="en-US" w:eastAsia="zh-CN" w:bidi="ar-SA"/>
              </w:rPr>
              <w:t>水稳料生产线：搅拌机设备设计生产能力为130t/h-150t/h，年运行2240h，则搅拌机设备可年搅拌29.12万t-33.6万t物料，可满足本项目生产需求；</w:t>
            </w:r>
          </w:p>
          <w:p w14:paraId="60C81B30">
            <w:pPr>
              <w:pStyle w:val="11"/>
              <w:keepNext w:val="0"/>
              <w:keepLines w:val="0"/>
              <w:pageBreakBefore w:val="0"/>
              <w:widowControl w:val="0"/>
              <w:numPr>
                <w:ilvl w:val="1"/>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宋体"/>
                <w:b w:val="0"/>
                <w:bCs w:val="0"/>
                <w:color w:val="auto"/>
                <w:kern w:val="2"/>
                <w:sz w:val="24"/>
                <w:szCs w:val="24"/>
                <w:lang w:val="en-US" w:eastAsia="zh-CN" w:bidi="ar-SA"/>
              </w:rPr>
            </w:pPr>
            <w:r>
              <w:rPr>
                <w:rFonts w:hint="eastAsia" w:cs="宋体"/>
                <w:b w:val="0"/>
                <w:bCs w:val="0"/>
                <w:color w:val="auto"/>
                <w:kern w:val="2"/>
                <w:sz w:val="24"/>
                <w:szCs w:val="24"/>
                <w:lang w:val="en-US" w:eastAsia="zh-CN" w:bidi="ar-SA"/>
              </w:rPr>
              <w:t>湿拌砂浆生产线：搅拌机设备设计生产能力为40t/h-50t/h，年运行2240h，则搅拌机设备可年搅拌8.96万t-11.2万t物料，可满足本项目生产需求；</w:t>
            </w:r>
          </w:p>
          <w:p w14:paraId="4927A2EF">
            <w:pPr>
              <w:pStyle w:val="11"/>
              <w:keepNext w:val="0"/>
              <w:keepLines w:val="0"/>
              <w:pageBreakBefore w:val="0"/>
              <w:widowControl w:val="0"/>
              <w:numPr>
                <w:ilvl w:val="1"/>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宋体"/>
                <w:b/>
                <w:bCs/>
                <w:color w:val="auto"/>
                <w:kern w:val="2"/>
                <w:sz w:val="24"/>
                <w:szCs w:val="24"/>
                <w:lang w:val="en-US" w:eastAsia="zh-CN" w:bidi="ar-SA"/>
              </w:rPr>
            </w:pPr>
            <w:r>
              <w:rPr>
                <w:rFonts w:hint="eastAsia" w:cs="宋体"/>
                <w:b w:val="0"/>
                <w:bCs w:val="0"/>
                <w:color w:val="auto"/>
                <w:kern w:val="2"/>
                <w:sz w:val="24"/>
                <w:szCs w:val="24"/>
                <w:lang w:val="en-US" w:eastAsia="zh-CN" w:bidi="ar-SA"/>
              </w:rPr>
              <w:t>预制构件生产线：搅拌机设备设计生产能力为40t/h-50t/h，年运行2240h，则搅拌机设备可年搅拌8.96万t-11.2万t物料，可满足本项目生产需求；</w:t>
            </w:r>
          </w:p>
          <w:p w14:paraId="7C470607">
            <w:pPr>
              <w:pStyle w:val="11"/>
              <w:keepNext w:val="0"/>
              <w:keepLines w:val="0"/>
              <w:pageBreakBefore w:val="0"/>
              <w:widowControl w:val="0"/>
              <w:numPr>
                <w:ilvl w:val="1"/>
                <w:numId w:val="0"/>
              </w:numPr>
              <w:kinsoku/>
              <w:wordWrap/>
              <w:overflowPunct/>
              <w:topLinePunct w:val="0"/>
              <w:autoSpaceDE/>
              <w:autoSpaceDN/>
              <w:bidi w:val="0"/>
              <w:adjustRightInd/>
              <w:snapToGrid/>
              <w:ind w:firstLine="482" w:firstLineChars="200"/>
              <w:textAlignment w:val="auto"/>
              <w:rPr>
                <w:rFonts w:hint="eastAsia"/>
                <w:color w:val="auto"/>
                <w:lang w:eastAsia="zh-CN"/>
              </w:rPr>
            </w:pPr>
            <w:r>
              <w:rPr>
                <w:rFonts w:hint="default" w:ascii="Times New Roman" w:hAnsi="Times New Roman" w:eastAsia="宋体" w:cs="宋体"/>
                <w:b/>
                <w:bCs/>
                <w:color w:val="auto"/>
                <w:kern w:val="2"/>
                <w:sz w:val="24"/>
                <w:szCs w:val="24"/>
                <w:lang w:val="en-US" w:eastAsia="zh-CN" w:bidi="ar-SA"/>
              </w:rPr>
              <w:t>2.4</w:t>
            </w:r>
            <w:r>
              <w:rPr>
                <w:rFonts w:hint="eastAsia"/>
                <w:color w:val="auto"/>
                <w:lang w:eastAsia="zh-CN"/>
              </w:rPr>
              <w:t>主要原辅材料</w:t>
            </w:r>
            <w:bookmarkEnd w:id="12"/>
          </w:p>
          <w:p w14:paraId="454BEFD9">
            <w:pPr>
              <w:keepNext w:val="0"/>
              <w:keepLines w:val="0"/>
              <w:pageBreakBefore w:val="0"/>
              <w:widowControl w:val="0"/>
              <w:kinsoku/>
              <w:wordWrap/>
              <w:overflowPunct/>
              <w:topLinePunct w:val="0"/>
              <w:autoSpaceDE/>
              <w:autoSpaceDN/>
              <w:bidi w:val="0"/>
              <w:adjustRightInd/>
              <w:snapToGrid/>
              <w:ind w:firstLine="480" w:firstLineChars="200"/>
              <w:textAlignment w:val="auto"/>
              <w:rPr>
                <w:color w:val="auto"/>
                <w:highlight w:val="none"/>
              </w:rPr>
            </w:pPr>
            <w:r>
              <w:rPr>
                <w:rFonts w:hint="eastAsia"/>
                <w:color w:val="auto"/>
                <w:highlight w:val="none"/>
                <w:lang w:val="en-US" w:eastAsia="zh-CN"/>
              </w:rPr>
              <w:t>1、本项目原辅材料</w:t>
            </w:r>
            <w:r>
              <w:rPr>
                <w:rFonts w:hint="eastAsia"/>
                <w:color w:val="auto"/>
                <w:highlight w:val="none"/>
                <w:lang w:eastAsia="zh-CN"/>
              </w:rPr>
              <w:t>见</w:t>
            </w:r>
            <w:r>
              <w:rPr>
                <w:rFonts w:hint="eastAsia"/>
                <w:color w:val="auto"/>
                <w:highlight w:val="none"/>
                <w:lang w:val="en-US" w:eastAsia="zh-CN"/>
              </w:rPr>
              <w:t>表2.4-1</w:t>
            </w:r>
            <w:r>
              <w:rPr>
                <w:rFonts w:hint="eastAsia"/>
                <w:color w:val="auto"/>
                <w:highlight w:val="none"/>
                <w:lang w:eastAsia="zh-CN"/>
              </w:rPr>
              <w:t>。</w:t>
            </w:r>
            <w:bookmarkStart w:id="13" w:name="_Ref2071"/>
          </w:p>
          <w:p w14:paraId="7F1CD79E">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eastAsia"/>
                <w:color w:val="auto"/>
                <w:highlight w:val="none"/>
                <w:lang w:eastAsia="zh-CN"/>
              </w:rPr>
            </w:pPr>
            <w:r>
              <w:rPr>
                <w:color w:val="auto"/>
                <w:highlight w:val="none"/>
              </w:rPr>
              <w:t>表</w:t>
            </w:r>
            <w:r>
              <w:rPr>
                <w:color w:val="auto"/>
                <w:highlight w:val="none"/>
              </w:rPr>
              <w:fldChar w:fldCharType="begin"/>
            </w:r>
            <w:r>
              <w:rPr>
                <w:color w:val="auto"/>
                <w:highlight w:val="none"/>
              </w:rPr>
              <w:instrText xml:space="preserve"> STYLEREF 2 \s </w:instrText>
            </w:r>
            <w:r>
              <w:rPr>
                <w:color w:val="auto"/>
                <w:highlight w:val="none"/>
              </w:rPr>
              <w:fldChar w:fldCharType="separate"/>
            </w:r>
            <w:r>
              <w:rPr>
                <w:color w:val="auto"/>
                <w:highlight w:val="none"/>
              </w:rPr>
              <w:t>2.4</w:t>
            </w:r>
            <w:r>
              <w:rPr>
                <w:color w:val="auto"/>
                <w:highlight w:val="none"/>
              </w:rPr>
              <w:fldChar w:fldCharType="end"/>
            </w:r>
            <w:r>
              <w:rPr>
                <w:rFonts w:hint="eastAsia"/>
                <w:color w:val="auto"/>
                <w:highlight w:val="none"/>
                <w:lang w:eastAsia="zh-CN"/>
              </w:rPr>
              <w:t>-</w:t>
            </w:r>
            <w:r>
              <w:rPr>
                <w:color w:val="auto"/>
                <w:highlight w:val="none"/>
              </w:rPr>
              <w:fldChar w:fldCharType="begin"/>
            </w:r>
            <w:r>
              <w:rPr>
                <w:color w:val="auto"/>
                <w:highlight w:val="none"/>
              </w:rPr>
              <w:instrText xml:space="preserve"> SEQ 表 \* ARABIC \s 2 </w:instrText>
            </w:r>
            <w:r>
              <w:rPr>
                <w:color w:val="auto"/>
                <w:highlight w:val="none"/>
              </w:rPr>
              <w:fldChar w:fldCharType="separate"/>
            </w:r>
            <w:r>
              <w:rPr>
                <w:color w:val="auto"/>
                <w:highlight w:val="none"/>
              </w:rPr>
              <w:t>1</w:t>
            </w:r>
            <w:r>
              <w:rPr>
                <w:color w:val="auto"/>
                <w:highlight w:val="none"/>
              </w:rPr>
              <w:fldChar w:fldCharType="end"/>
            </w:r>
            <w:bookmarkEnd w:id="13"/>
            <w:r>
              <w:rPr>
                <w:rFonts w:hint="eastAsia"/>
                <w:color w:val="auto"/>
                <w:highlight w:val="none"/>
                <w:lang w:val="en-US" w:eastAsia="zh-CN"/>
              </w:rPr>
              <w:t xml:space="preserve">  </w:t>
            </w:r>
            <w:r>
              <w:rPr>
                <w:rFonts w:hint="eastAsia"/>
                <w:color w:val="auto"/>
                <w:highlight w:val="none"/>
              </w:rPr>
              <w:t>主要原辅材料</w:t>
            </w:r>
            <w:r>
              <w:rPr>
                <w:rFonts w:hint="eastAsia"/>
                <w:color w:val="auto"/>
                <w:highlight w:val="none"/>
                <w:lang w:val="en-US" w:eastAsia="zh-CN"/>
              </w:rPr>
              <w:t>统计</w:t>
            </w:r>
            <w:r>
              <w:rPr>
                <w:rFonts w:hint="eastAsia"/>
                <w:color w:val="auto"/>
                <w:highlight w:val="none"/>
              </w:rPr>
              <w:t>表</w:t>
            </w:r>
          </w:p>
          <w:tbl>
            <w:tblPr>
              <w:tblStyle w:val="28"/>
              <w:tblW w:w="89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500"/>
              <w:gridCol w:w="1108"/>
              <w:gridCol w:w="923"/>
              <w:gridCol w:w="703"/>
              <w:gridCol w:w="1074"/>
              <w:gridCol w:w="2812"/>
            </w:tblGrid>
            <w:tr w14:paraId="1AD7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noWrap w:val="0"/>
                  <w:vAlign w:val="center"/>
                </w:tcPr>
                <w:p w14:paraId="3915B49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类型</w:t>
                  </w:r>
                </w:p>
              </w:tc>
              <w:tc>
                <w:tcPr>
                  <w:tcW w:w="1500" w:type="dxa"/>
                  <w:noWrap w:val="0"/>
                  <w:vAlign w:val="center"/>
                </w:tcPr>
                <w:p w14:paraId="72ADCCD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原辅材料名称</w:t>
                  </w:r>
                </w:p>
              </w:tc>
              <w:tc>
                <w:tcPr>
                  <w:tcW w:w="1108" w:type="dxa"/>
                  <w:noWrap w:val="0"/>
                  <w:vAlign w:val="center"/>
                </w:tcPr>
                <w:p w14:paraId="3CB5DBD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规格</w:t>
                  </w:r>
                </w:p>
              </w:tc>
              <w:tc>
                <w:tcPr>
                  <w:tcW w:w="923" w:type="dxa"/>
                  <w:noWrap w:val="0"/>
                  <w:vAlign w:val="center"/>
                </w:tcPr>
                <w:p w14:paraId="02122D4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年用量</w:t>
                  </w:r>
                </w:p>
              </w:tc>
              <w:tc>
                <w:tcPr>
                  <w:tcW w:w="703" w:type="dxa"/>
                  <w:noWrap w:val="0"/>
                  <w:vAlign w:val="center"/>
                </w:tcPr>
                <w:p w14:paraId="144079D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单位</w:t>
                  </w:r>
                </w:p>
              </w:tc>
              <w:tc>
                <w:tcPr>
                  <w:tcW w:w="1074" w:type="dxa"/>
                  <w:noWrap w:val="0"/>
                  <w:vAlign w:val="center"/>
                </w:tcPr>
                <w:p w14:paraId="415E849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包装形式</w:t>
                  </w:r>
                </w:p>
              </w:tc>
              <w:tc>
                <w:tcPr>
                  <w:tcW w:w="2812" w:type="dxa"/>
                  <w:noWrap w:val="0"/>
                  <w:vAlign w:val="center"/>
                </w:tcPr>
                <w:p w14:paraId="72A3EC3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bCs w:val="0"/>
                      <w:color w:val="auto"/>
                      <w:sz w:val="21"/>
                      <w:szCs w:val="20"/>
                      <w:lang w:val="en-US" w:eastAsia="zh-CN"/>
                    </w:rPr>
                  </w:pPr>
                  <w:r>
                    <w:rPr>
                      <w:rFonts w:hint="eastAsia"/>
                      <w:b w:val="0"/>
                      <w:bCs/>
                      <w:color w:val="auto"/>
                      <w:sz w:val="21"/>
                      <w:szCs w:val="20"/>
                      <w:lang w:val="en-US" w:eastAsia="zh-CN"/>
                    </w:rPr>
                    <w:t>存储方式</w:t>
                  </w:r>
                </w:p>
              </w:tc>
            </w:tr>
            <w:tr w14:paraId="3DF0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vMerge w:val="restart"/>
                  <w:shd w:val="clear" w:color="auto" w:fill="auto"/>
                  <w:noWrap w:val="0"/>
                  <w:vAlign w:val="center"/>
                </w:tcPr>
                <w:p w14:paraId="1D5E18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预制</w:t>
                  </w:r>
                </w:p>
                <w:p w14:paraId="27761E7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构件</w:t>
                  </w:r>
                </w:p>
              </w:tc>
              <w:tc>
                <w:tcPr>
                  <w:tcW w:w="1500" w:type="dxa"/>
                  <w:shd w:val="clear" w:color="auto" w:fill="auto"/>
                  <w:noWrap w:val="0"/>
                  <w:vAlign w:val="center"/>
                </w:tcPr>
                <w:p w14:paraId="006CC6F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水泥</w:t>
                  </w:r>
                </w:p>
              </w:tc>
              <w:tc>
                <w:tcPr>
                  <w:tcW w:w="1108" w:type="dxa"/>
                  <w:shd w:val="clear" w:color="auto" w:fill="auto"/>
                  <w:noWrap w:val="0"/>
                  <w:vAlign w:val="center"/>
                </w:tcPr>
                <w:p w14:paraId="7452459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cs="Times New Roman"/>
                      <w:b w:val="0"/>
                      <w:bCs/>
                      <w:color w:val="auto"/>
                      <w:kern w:val="2"/>
                      <w:sz w:val="21"/>
                      <w:szCs w:val="20"/>
                      <w:lang w:val="en-US" w:eastAsia="zh-CN" w:bidi="ar-SA"/>
                    </w:rPr>
                    <w:t>/</w:t>
                  </w:r>
                </w:p>
              </w:tc>
              <w:tc>
                <w:tcPr>
                  <w:tcW w:w="923" w:type="dxa"/>
                  <w:shd w:val="clear" w:color="auto" w:fill="auto"/>
                  <w:noWrap w:val="0"/>
                  <w:vAlign w:val="center"/>
                </w:tcPr>
                <w:p w14:paraId="17F7E09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12</w:t>
                  </w:r>
                  <w:r>
                    <w:rPr>
                      <w:rFonts w:hint="eastAsia"/>
                      <w:b w:val="0"/>
                      <w:bCs/>
                      <w:color w:val="auto"/>
                      <w:sz w:val="21"/>
                      <w:szCs w:val="20"/>
                      <w:lang w:val="en-US" w:eastAsia="zh-CN"/>
                    </w:rPr>
                    <w:t>625</w:t>
                  </w:r>
                </w:p>
              </w:tc>
              <w:tc>
                <w:tcPr>
                  <w:tcW w:w="703" w:type="dxa"/>
                  <w:shd w:val="clear" w:color="auto" w:fill="auto"/>
                  <w:noWrap w:val="0"/>
                  <w:vAlign w:val="center"/>
                </w:tcPr>
                <w:p w14:paraId="20E1123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吨</w:t>
                  </w:r>
                </w:p>
              </w:tc>
              <w:tc>
                <w:tcPr>
                  <w:tcW w:w="1074" w:type="dxa"/>
                  <w:shd w:val="clear" w:color="auto" w:fill="auto"/>
                  <w:noWrap w:val="0"/>
                  <w:vAlign w:val="center"/>
                </w:tcPr>
                <w:p w14:paraId="51E201C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散装</w:t>
                  </w:r>
                </w:p>
              </w:tc>
              <w:tc>
                <w:tcPr>
                  <w:tcW w:w="2812" w:type="dxa"/>
                  <w:shd w:val="clear" w:color="auto" w:fill="auto"/>
                  <w:noWrap w:val="0"/>
                  <w:vAlign w:val="center"/>
                </w:tcPr>
                <w:p w14:paraId="4033772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cs="Times New Roman"/>
                      <w:b w:val="0"/>
                      <w:bCs/>
                      <w:color w:val="auto"/>
                      <w:kern w:val="2"/>
                      <w:sz w:val="21"/>
                      <w:szCs w:val="20"/>
                      <w:lang w:val="en-US" w:eastAsia="zh-CN" w:bidi="ar-SA"/>
                    </w:rPr>
                    <w:t>外购，储存于水泥料仓，位于预制构件生产车间旁。</w:t>
                  </w:r>
                </w:p>
              </w:tc>
            </w:tr>
            <w:tr w14:paraId="3A6D3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vMerge w:val="continue"/>
                  <w:noWrap w:val="0"/>
                  <w:vAlign w:val="center"/>
                </w:tcPr>
                <w:p w14:paraId="2D498F7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p>
              </w:tc>
              <w:tc>
                <w:tcPr>
                  <w:tcW w:w="1500" w:type="dxa"/>
                  <w:shd w:val="clear" w:color="auto" w:fill="auto"/>
                  <w:noWrap w:val="0"/>
                  <w:vAlign w:val="center"/>
                </w:tcPr>
                <w:p w14:paraId="327E092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粉煤灰</w:t>
                  </w:r>
                </w:p>
              </w:tc>
              <w:tc>
                <w:tcPr>
                  <w:tcW w:w="1108" w:type="dxa"/>
                  <w:shd w:val="clear" w:color="auto" w:fill="auto"/>
                  <w:noWrap w:val="0"/>
                  <w:vAlign w:val="center"/>
                </w:tcPr>
                <w:p w14:paraId="1BBACF1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cs="Times New Roman"/>
                      <w:b w:val="0"/>
                      <w:bCs/>
                      <w:color w:val="auto"/>
                      <w:kern w:val="2"/>
                      <w:sz w:val="21"/>
                      <w:szCs w:val="20"/>
                      <w:lang w:val="en-US" w:eastAsia="zh-CN" w:bidi="ar-SA"/>
                    </w:rPr>
                    <w:t>/</w:t>
                  </w:r>
                </w:p>
              </w:tc>
              <w:tc>
                <w:tcPr>
                  <w:tcW w:w="923" w:type="dxa"/>
                  <w:shd w:val="clear" w:color="auto" w:fill="auto"/>
                  <w:noWrap w:val="0"/>
                  <w:vAlign w:val="center"/>
                </w:tcPr>
                <w:p w14:paraId="08F5D18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cs="Times New Roman"/>
                      <w:b w:val="0"/>
                      <w:bCs/>
                      <w:color w:val="auto"/>
                      <w:kern w:val="2"/>
                      <w:sz w:val="21"/>
                      <w:szCs w:val="20"/>
                      <w:lang w:val="en-US" w:eastAsia="zh-CN" w:bidi="ar-SA"/>
                    </w:rPr>
                    <w:t>3326</w:t>
                  </w:r>
                </w:p>
              </w:tc>
              <w:tc>
                <w:tcPr>
                  <w:tcW w:w="703" w:type="dxa"/>
                  <w:shd w:val="clear" w:color="auto" w:fill="auto"/>
                  <w:noWrap w:val="0"/>
                  <w:vAlign w:val="center"/>
                </w:tcPr>
                <w:p w14:paraId="4D50E9F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吨</w:t>
                  </w:r>
                </w:p>
              </w:tc>
              <w:tc>
                <w:tcPr>
                  <w:tcW w:w="1074" w:type="dxa"/>
                  <w:shd w:val="clear" w:color="auto" w:fill="auto"/>
                  <w:noWrap w:val="0"/>
                  <w:vAlign w:val="center"/>
                </w:tcPr>
                <w:p w14:paraId="5CAF1B2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散装</w:t>
                  </w:r>
                </w:p>
              </w:tc>
              <w:tc>
                <w:tcPr>
                  <w:tcW w:w="2812" w:type="dxa"/>
                  <w:shd w:val="clear" w:color="auto" w:fill="auto"/>
                  <w:noWrap w:val="0"/>
                  <w:vAlign w:val="center"/>
                </w:tcPr>
                <w:p w14:paraId="356508A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cs="Times New Roman"/>
                      <w:b w:val="0"/>
                      <w:bCs/>
                      <w:color w:val="auto"/>
                      <w:kern w:val="2"/>
                      <w:sz w:val="21"/>
                      <w:szCs w:val="20"/>
                      <w:lang w:val="en-US" w:eastAsia="zh-CN" w:bidi="ar-SA"/>
                    </w:rPr>
                    <w:t>外购，储存于粉煤灰料仓，位于预制构件生产车间旁。</w:t>
                  </w:r>
                </w:p>
              </w:tc>
            </w:tr>
            <w:tr w14:paraId="4F0A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vMerge w:val="continue"/>
                  <w:noWrap w:val="0"/>
                  <w:vAlign w:val="center"/>
                </w:tcPr>
                <w:p w14:paraId="6EBFFFB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p>
              </w:tc>
              <w:tc>
                <w:tcPr>
                  <w:tcW w:w="1500" w:type="dxa"/>
                  <w:shd w:val="clear" w:color="auto" w:fill="auto"/>
                  <w:noWrap w:val="0"/>
                  <w:vAlign w:val="center"/>
                </w:tcPr>
                <w:p w14:paraId="478E474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石子</w:t>
                  </w:r>
                </w:p>
              </w:tc>
              <w:tc>
                <w:tcPr>
                  <w:tcW w:w="1108" w:type="dxa"/>
                  <w:shd w:val="clear" w:color="auto" w:fill="auto"/>
                  <w:noWrap w:val="0"/>
                  <w:vAlign w:val="center"/>
                </w:tcPr>
                <w:p w14:paraId="48014D1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5、12、13、24mm</w:t>
                  </w:r>
                </w:p>
              </w:tc>
              <w:tc>
                <w:tcPr>
                  <w:tcW w:w="923" w:type="dxa"/>
                  <w:shd w:val="clear" w:color="auto" w:fill="auto"/>
                  <w:noWrap w:val="0"/>
                  <w:vAlign w:val="center"/>
                </w:tcPr>
                <w:p w14:paraId="15D64ED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54</w:t>
                  </w:r>
                  <w:r>
                    <w:rPr>
                      <w:rFonts w:hint="eastAsia"/>
                      <w:b w:val="0"/>
                      <w:bCs/>
                      <w:color w:val="auto"/>
                      <w:sz w:val="21"/>
                      <w:szCs w:val="20"/>
                      <w:lang w:val="en-US" w:eastAsia="zh-CN"/>
                    </w:rPr>
                    <w:t>326</w:t>
                  </w:r>
                </w:p>
              </w:tc>
              <w:tc>
                <w:tcPr>
                  <w:tcW w:w="703" w:type="dxa"/>
                  <w:shd w:val="clear" w:color="auto" w:fill="auto"/>
                  <w:noWrap w:val="0"/>
                  <w:vAlign w:val="center"/>
                </w:tcPr>
                <w:p w14:paraId="0F7CA4F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吨</w:t>
                  </w:r>
                </w:p>
              </w:tc>
              <w:tc>
                <w:tcPr>
                  <w:tcW w:w="1074" w:type="dxa"/>
                  <w:shd w:val="clear" w:color="auto" w:fill="auto"/>
                  <w:noWrap w:val="0"/>
                  <w:vAlign w:val="center"/>
                </w:tcPr>
                <w:p w14:paraId="5388590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散装</w:t>
                  </w:r>
                </w:p>
              </w:tc>
              <w:tc>
                <w:tcPr>
                  <w:tcW w:w="2812" w:type="dxa"/>
                  <w:shd w:val="clear" w:color="auto" w:fill="auto"/>
                  <w:noWrap w:val="0"/>
                  <w:vAlign w:val="center"/>
                </w:tcPr>
                <w:p w14:paraId="062CA1F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cs="Times New Roman"/>
                      <w:b w:val="0"/>
                      <w:bCs/>
                      <w:color w:val="auto"/>
                      <w:kern w:val="2"/>
                      <w:sz w:val="21"/>
                      <w:szCs w:val="20"/>
                      <w:lang w:val="en-US" w:eastAsia="zh-CN" w:bidi="ar-SA"/>
                    </w:rPr>
                    <w:t>外购，储存于原料库，位于水洗砂生产车间旁。</w:t>
                  </w:r>
                </w:p>
              </w:tc>
            </w:tr>
            <w:tr w14:paraId="7697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vMerge w:val="continue"/>
                  <w:noWrap w:val="0"/>
                  <w:vAlign w:val="center"/>
                </w:tcPr>
                <w:p w14:paraId="36A3BA1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p>
              </w:tc>
              <w:tc>
                <w:tcPr>
                  <w:tcW w:w="1500" w:type="dxa"/>
                  <w:shd w:val="clear" w:color="auto" w:fill="auto"/>
                  <w:noWrap w:val="0"/>
                  <w:vAlign w:val="center"/>
                </w:tcPr>
                <w:p w14:paraId="4760816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水洗砂</w:t>
                  </w:r>
                </w:p>
              </w:tc>
              <w:tc>
                <w:tcPr>
                  <w:tcW w:w="1108" w:type="dxa"/>
                  <w:shd w:val="clear" w:color="auto" w:fill="auto"/>
                  <w:noWrap w:val="0"/>
                  <w:vAlign w:val="center"/>
                </w:tcPr>
                <w:p w14:paraId="1915383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cs="Times New Roman"/>
                      <w:b w:val="0"/>
                      <w:bCs/>
                      <w:color w:val="auto"/>
                      <w:kern w:val="2"/>
                      <w:sz w:val="21"/>
                      <w:szCs w:val="20"/>
                      <w:lang w:val="en-US" w:eastAsia="zh-CN" w:bidi="ar-SA"/>
                    </w:rPr>
                    <w:t>/</w:t>
                  </w:r>
                </w:p>
              </w:tc>
              <w:tc>
                <w:tcPr>
                  <w:tcW w:w="923" w:type="dxa"/>
                  <w:shd w:val="clear" w:color="auto" w:fill="auto"/>
                  <w:noWrap w:val="0"/>
                  <w:vAlign w:val="center"/>
                </w:tcPr>
                <w:p w14:paraId="4FA0635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30025</w:t>
                  </w:r>
                </w:p>
              </w:tc>
              <w:tc>
                <w:tcPr>
                  <w:tcW w:w="703" w:type="dxa"/>
                  <w:shd w:val="clear" w:color="auto" w:fill="auto"/>
                  <w:noWrap w:val="0"/>
                  <w:vAlign w:val="center"/>
                </w:tcPr>
                <w:p w14:paraId="555A7EC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吨</w:t>
                  </w:r>
                </w:p>
              </w:tc>
              <w:tc>
                <w:tcPr>
                  <w:tcW w:w="1074" w:type="dxa"/>
                  <w:shd w:val="clear" w:color="auto" w:fill="auto"/>
                  <w:noWrap w:val="0"/>
                  <w:vAlign w:val="center"/>
                </w:tcPr>
                <w:p w14:paraId="4D6ED0C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散装</w:t>
                  </w:r>
                </w:p>
              </w:tc>
              <w:tc>
                <w:tcPr>
                  <w:tcW w:w="2812" w:type="dxa"/>
                  <w:shd w:val="clear" w:color="auto" w:fill="auto"/>
                  <w:noWrap w:val="0"/>
                  <w:vAlign w:val="center"/>
                </w:tcPr>
                <w:p w14:paraId="26F82F7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cs="Times New Roman"/>
                      <w:b w:val="0"/>
                      <w:bCs/>
                      <w:color w:val="auto"/>
                      <w:kern w:val="2"/>
                      <w:sz w:val="21"/>
                      <w:szCs w:val="20"/>
                      <w:lang w:val="en-US" w:eastAsia="zh-CN" w:bidi="ar-SA"/>
                    </w:rPr>
                    <w:t>水洗砂生产线生产，为预制构件的原料，储存于成品堆场，位于水洗砂生产车间旁。</w:t>
                  </w:r>
                </w:p>
              </w:tc>
            </w:tr>
            <w:tr w14:paraId="3407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vMerge w:val="continue"/>
                  <w:noWrap w:val="0"/>
                  <w:vAlign w:val="center"/>
                </w:tcPr>
                <w:p w14:paraId="4B491B4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p>
              </w:tc>
              <w:tc>
                <w:tcPr>
                  <w:tcW w:w="1500" w:type="dxa"/>
                  <w:shd w:val="clear" w:color="auto" w:fill="auto"/>
                  <w:noWrap w:val="0"/>
                  <w:vAlign w:val="center"/>
                </w:tcPr>
                <w:p w14:paraId="67D394C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脱模剂</w:t>
                  </w:r>
                </w:p>
              </w:tc>
              <w:tc>
                <w:tcPr>
                  <w:tcW w:w="1108" w:type="dxa"/>
                  <w:shd w:val="clear" w:color="auto" w:fill="auto"/>
                  <w:noWrap w:val="0"/>
                  <w:vAlign w:val="center"/>
                </w:tcPr>
                <w:p w14:paraId="1696405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cs="Times New Roman"/>
                      <w:b w:val="0"/>
                      <w:bCs/>
                      <w:color w:val="auto"/>
                      <w:kern w:val="2"/>
                      <w:sz w:val="21"/>
                      <w:szCs w:val="20"/>
                      <w:lang w:val="en-US" w:eastAsia="zh-CN" w:bidi="ar-SA"/>
                    </w:rPr>
                    <w:t>/</w:t>
                  </w:r>
                </w:p>
              </w:tc>
              <w:tc>
                <w:tcPr>
                  <w:tcW w:w="923" w:type="dxa"/>
                  <w:shd w:val="clear" w:color="auto" w:fill="auto"/>
                  <w:noWrap w:val="0"/>
                  <w:vAlign w:val="center"/>
                </w:tcPr>
                <w:p w14:paraId="011DF2C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0.1</w:t>
                  </w:r>
                </w:p>
              </w:tc>
              <w:tc>
                <w:tcPr>
                  <w:tcW w:w="703" w:type="dxa"/>
                  <w:shd w:val="clear" w:color="auto" w:fill="auto"/>
                  <w:noWrap w:val="0"/>
                  <w:vAlign w:val="center"/>
                </w:tcPr>
                <w:p w14:paraId="6967F47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吨</w:t>
                  </w:r>
                </w:p>
              </w:tc>
              <w:tc>
                <w:tcPr>
                  <w:tcW w:w="1074" w:type="dxa"/>
                  <w:shd w:val="clear" w:color="auto" w:fill="auto"/>
                  <w:noWrap w:val="0"/>
                  <w:vAlign w:val="center"/>
                </w:tcPr>
                <w:p w14:paraId="68963ED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桶装</w:t>
                  </w:r>
                </w:p>
              </w:tc>
              <w:tc>
                <w:tcPr>
                  <w:tcW w:w="2812" w:type="dxa"/>
                  <w:shd w:val="clear" w:color="auto" w:fill="auto"/>
                  <w:noWrap w:val="0"/>
                  <w:vAlign w:val="center"/>
                </w:tcPr>
                <w:p w14:paraId="2DB3D06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cs="Times New Roman"/>
                      <w:b w:val="0"/>
                      <w:bCs/>
                      <w:color w:val="auto"/>
                      <w:kern w:val="2"/>
                      <w:sz w:val="21"/>
                      <w:szCs w:val="20"/>
                      <w:lang w:val="en-US" w:eastAsia="zh-CN" w:bidi="ar-SA"/>
                    </w:rPr>
                    <w:t>外购，储存于原料库，位于湿拌砂浆生产车间旁。</w:t>
                  </w:r>
                </w:p>
              </w:tc>
            </w:tr>
            <w:tr w14:paraId="735D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vMerge w:val="continue"/>
                  <w:noWrap w:val="0"/>
                  <w:vAlign w:val="center"/>
                </w:tcPr>
                <w:p w14:paraId="7BBBACC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p>
              </w:tc>
              <w:tc>
                <w:tcPr>
                  <w:tcW w:w="1500" w:type="dxa"/>
                  <w:shd w:val="clear" w:color="auto" w:fill="auto"/>
                  <w:noWrap w:val="0"/>
                  <w:vAlign w:val="center"/>
                </w:tcPr>
                <w:p w14:paraId="60D27EB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焊条</w:t>
                  </w:r>
                </w:p>
              </w:tc>
              <w:tc>
                <w:tcPr>
                  <w:tcW w:w="1108" w:type="dxa"/>
                  <w:shd w:val="clear" w:color="auto" w:fill="auto"/>
                  <w:noWrap w:val="0"/>
                  <w:vAlign w:val="center"/>
                </w:tcPr>
                <w:p w14:paraId="06DBCBA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cs="Times New Roman"/>
                      <w:b w:val="0"/>
                      <w:bCs/>
                      <w:color w:val="auto"/>
                      <w:kern w:val="2"/>
                      <w:sz w:val="21"/>
                      <w:szCs w:val="20"/>
                      <w:lang w:val="en-US" w:eastAsia="zh-CN" w:bidi="ar-SA"/>
                    </w:rPr>
                    <w:t>/</w:t>
                  </w:r>
                </w:p>
              </w:tc>
              <w:tc>
                <w:tcPr>
                  <w:tcW w:w="923" w:type="dxa"/>
                  <w:shd w:val="clear" w:color="auto" w:fill="auto"/>
                  <w:noWrap w:val="0"/>
                  <w:vAlign w:val="center"/>
                </w:tcPr>
                <w:p w14:paraId="4B71D66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1.2</w:t>
                  </w:r>
                </w:p>
              </w:tc>
              <w:tc>
                <w:tcPr>
                  <w:tcW w:w="703" w:type="dxa"/>
                  <w:shd w:val="clear" w:color="auto" w:fill="auto"/>
                  <w:noWrap w:val="0"/>
                  <w:vAlign w:val="center"/>
                </w:tcPr>
                <w:p w14:paraId="7240D4A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吨</w:t>
                  </w:r>
                </w:p>
              </w:tc>
              <w:tc>
                <w:tcPr>
                  <w:tcW w:w="1074" w:type="dxa"/>
                  <w:shd w:val="clear" w:color="auto" w:fill="auto"/>
                  <w:noWrap w:val="0"/>
                  <w:vAlign w:val="center"/>
                </w:tcPr>
                <w:p w14:paraId="62310A1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盒装</w:t>
                  </w:r>
                </w:p>
              </w:tc>
              <w:tc>
                <w:tcPr>
                  <w:tcW w:w="2812" w:type="dxa"/>
                  <w:shd w:val="clear" w:color="auto" w:fill="auto"/>
                  <w:noWrap w:val="0"/>
                  <w:vAlign w:val="center"/>
                </w:tcPr>
                <w:p w14:paraId="6272079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cs="Times New Roman"/>
                      <w:b w:val="0"/>
                      <w:bCs/>
                      <w:color w:val="auto"/>
                      <w:kern w:val="2"/>
                      <w:sz w:val="21"/>
                      <w:szCs w:val="20"/>
                      <w:lang w:val="en-US" w:eastAsia="zh-CN" w:bidi="ar-SA"/>
                    </w:rPr>
                    <w:t>外购，储存于原料库，位于湿拌砂浆生产车间旁。</w:t>
                  </w:r>
                </w:p>
              </w:tc>
            </w:tr>
            <w:tr w14:paraId="59DF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vMerge w:val="continue"/>
                  <w:noWrap w:val="0"/>
                  <w:vAlign w:val="center"/>
                </w:tcPr>
                <w:p w14:paraId="0F8845A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p>
              </w:tc>
              <w:tc>
                <w:tcPr>
                  <w:tcW w:w="1500" w:type="dxa"/>
                  <w:shd w:val="clear" w:color="auto" w:fill="auto"/>
                  <w:noWrap w:val="0"/>
                  <w:vAlign w:val="center"/>
                </w:tcPr>
                <w:p w14:paraId="74FB270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钢筋</w:t>
                  </w:r>
                </w:p>
              </w:tc>
              <w:tc>
                <w:tcPr>
                  <w:tcW w:w="1108" w:type="dxa"/>
                  <w:shd w:val="clear" w:color="auto" w:fill="auto"/>
                  <w:noWrap w:val="0"/>
                  <w:vAlign w:val="center"/>
                </w:tcPr>
                <w:p w14:paraId="52004BE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cs="Times New Roman"/>
                      <w:b w:val="0"/>
                      <w:bCs/>
                      <w:color w:val="auto"/>
                      <w:kern w:val="2"/>
                      <w:sz w:val="21"/>
                      <w:szCs w:val="20"/>
                      <w:lang w:val="en-US" w:eastAsia="zh-CN" w:bidi="ar-SA"/>
                    </w:rPr>
                    <w:t>/</w:t>
                  </w:r>
                </w:p>
              </w:tc>
              <w:tc>
                <w:tcPr>
                  <w:tcW w:w="923" w:type="dxa"/>
                  <w:shd w:val="clear" w:color="auto" w:fill="auto"/>
                  <w:noWrap w:val="0"/>
                  <w:vAlign w:val="center"/>
                </w:tcPr>
                <w:p w14:paraId="1714F70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1000</w:t>
                  </w:r>
                </w:p>
              </w:tc>
              <w:tc>
                <w:tcPr>
                  <w:tcW w:w="703" w:type="dxa"/>
                  <w:shd w:val="clear" w:color="auto" w:fill="auto"/>
                  <w:noWrap w:val="0"/>
                  <w:vAlign w:val="center"/>
                </w:tcPr>
                <w:p w14:paraId="070E0F9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吨</w:t>
                  </w:r>
                </w:p>
              </w:tc>
              <w:tc>
                <w:tcPr>
                  <w:tcW w:w="1074" w:type="dxa"/>
                  <w:shd w:val="clear" w:color="auto" w:fill="auto"/>
                  <w:noWrap w:val="0"/>
                  <w:vAlign w:val="center"/>
                </w:tcPr>
                <w:p w14:paraId="10F4A25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b w:val="0"/>
                      <w:bCs/>
                      <w:color w:val="auto"/>
                      <w:sz w:val="21"/>
                      <w:szCs w:val="20"/>
                      <w:lang w:val="en-US" w:eastAsia="zh-CN"/>
                    </w:rPr>
                  </w:pPr>
                  <w:r>
                    <w:rPr>
                      <w:rFonts w:hint="eastAsia"/>
                      <w:b w:val="0"/>
                      <w:bCs/>
                      <w:color w:val="auto"/>
                      <w:sz w:val="21"/>
                      <w:szCs w:val="20"/>
                      <w:lang w:val="en-US" w:eastAsia="zh-CN"/>
                    </w:rPr>
                    <w:t>散装</w:t>
                  </w:r>
                </w:p>
              </w:tc>
              <w:tc>
                <w:tcPr>
                  <w:tcW w:w="2812" w:type="dxa"/>
                  <w:shd w:val="clear" w:color="auto" w:fill="auto"/>
                  <w:noWrap w:val="0"/>
                  <w:vAlign w:val="center"/>
                </w:tcPr>
                <w:p w14:paraId="1E9BE5D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val="0"/>
                      <w:bCs/>
                      <w:color w:val="auto"/>
                      <w:kern w:val="2"/>
                      <w:sz w:val="21"/>
                      <w:szCs w:val="20"/>
                      <w:lang w:val="en-US" w:eastAsia="zh-CN" w:bidi="ar-SA"/>
                    </w:rPr>
                  </w:pPr>
                  <w:r>
                    <w:rPr>
                      <w:rFonts w:hint="eastAsia" w:cs="Times New Roman"/>
                      <w:b w:val="0"/>
                      <w:bCs/>
                      <w:color w:val="auto"/>
                      <w:kern w:val="2"/>
                      <w:sz w:val="21"/>
                      <w:szCs w:val="20"/>
                      <w:lang w:val="en-US" w:eastAsia="zh-CN" w:bidi="ar-SA"/>
                    </w:rPr>
                    <w:t>使用二保焊机焊接，</w:t>
                  </w:r>
                  <w:r>
                    <w:rPr>
                      <w:rFonts w:hint="eastAsia" w:cs="Times New Roman"/>
                      <w:b w:val="0"/>
                      <w:bCs/>
                      <w:color w:val="auto"/>
                      <w:kern w:val="2"/>
                      <w:sz w:val="21"/>
                      <w:szCs w:val="20"/>
                      <w:vertAlign w:val="baseline"/>
                      <w:lang w:val="en-US" w:eastAsia="zh-CN" w:bidi="ar-SA"/>
                    </w:rPr>
                    <w:t>钢筋</w:t>
                  </w:r>
                  <w:r>
                    <w:rPr>
                      <w:rFonts w:hint="eastAsia" w:ascii="Times New Roman" w:hAnsi="Times New Roman" w:eastAsia="宋体" w:cs="Times New Roman"/>
                      <w:b w:val="0"/>
                      <w:bCs/>
                      <w:color w:val="auto"/>
                      <w:kern w:val="2"/>
                      <w:sz w:val="21"/>
                      <w:szCs w:val="20"/>
                      <w:lang w:val="en-US" w:eastAsia="zh-CN" w:bidi="ar-SA"/>
                    </w:rPr>
                    <w:t>外购，储存于原料库，位于湿拌砂浆生产车间旁。</w:t>
                  </w:r>
                </w:p>
              </w:tc>
            </w:tr>
            <w:tr w14:paraId="50E2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vMerge w:val="continue"/>
                  <w:noWrap w:val="0"/>
                  <w:vAlign w:val="center"/>
                </w:tcPr>
                <w:p w14:paraId="5220AAE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p>
              </w:tc>
              <w:tc>
                <w:tcPr>
                  <w:tcW w:w="1500" w:type="dxa"/>
                  <w:shd w:val="clear" w:color="auto" w:fill="auto"/>
                  <w:noWrap w:val="0"/>
                  <w:vAlign w:val="center"/>
                </w:tcPr>
                <w:p w14:paraId="7D6820C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b w:val="0"/>
                      <w:bCs/>
                      <w:color w:val="auto"/>
                      <w:sz w:val="21"/>
                      <w:szCs w:val="20"/>
                      <w:lang w:val="en-US" w:eastAsia="zh-CN"/>
                    </w:rPr>
                  </w:pPr>
                  <w:r>
                    <w:rPr>
                      <w:rFonts w:hint="eastAsia"/>
                      <w:b w:val="0"/>
                      <w:bCs/>
                      <w:color w:val="auto"/>
                      <w:sz w:val="21"/>
                      <w:szCs w:val="20"/>
                      <w:lang w:val="en-US" w:eastAsia="zh-CN"/>
                    </w:rPr>
                    <w:t>CO</w:t>
                  </w:r>
                  <w:r>
                    <w:rPr>
                      <w:rFonts w:hint="eastAsia"/>
                      <w:b w:val="0"/>
                      <w:bCs/>
                      <w:color w:val="auto"/>
                      <w:sz w:val="21"/>
                      <w:szCs w:val="20"/>
                      <w:vertAlign w:val="subscript"/>
                      <w:lang w:val="en-US" w:eastAsia="zh-CN"/>
                    </w:rPr>
                    <w:t>2</w:t>
                  </w:r>
                  <w:r>
                    <w:rPr>
                      <w:rFonts w:hint="eastAsia"/>
                      <w:b w:val="0"/>
                      <w:bCs/>
                      <w:color w:val="auto"/>
                      <w:sz w:val="21"/>
                      <w:szCs w:val="20"/>
                      <w:lang w:val="en-US" w:eastAsia="zh-CN"/>
                    </w:rPr>
                    <w:t>气体</w:t>
                  </w:r>
                </w:p>
              </w:tc>
              <w:tc>
                <w:tcPr>
                  <w:tcW w:w="1108" w:type="dxa"/>
                  <w:shd w:val="clear" w:color="auto" w:fill="auto"/>
                  <w:noWrap w:val="0"/>
                  <w:vAlign w:val="center"/>
                </w:tcPr>
                <w:p w14:paraId="2BA9220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b w:val="0"/>
                      <w:bCs/>
                      <w:color w:val="auto"/>
                      <w:kern w:val="2"/>
                      <w:sz w:val="21"/>
                      <w:szCs w:val="20"/>
                      <w:lang w:val="en-US" w:eastAsia="zh-CN" w:bidi="ar-SA"/>
                    </w:rPr>
                  </w:pPr>
                  <w:r>
                    <w:rPr>
                      <w:rFonts w:hint="eastAsia" w:cs="Times New Roman"/>
                      <w:b w:val="0"/>
                      <w:bCs/>
                      <w:color w:val="auto"/>
                      <w:kern w:val="2"/>
                      <w:sz w:val="21"/>
                      <w:szCs w:val="20"/>
                      <w:lang w:val="en-US" w:eastAsia="zh-CN" w:bidi="ar-SA"/>
                    </w:rPr>
                    <w:t>/</w:t>
                  </w:r>
                </w:p>
              </w:tc>
              <w:tc>
                <w:tcPr>
                  <w:tcW w:w="923" w:type="dxa"/>
                  <w:shd w:val="clear" w:color="auto" w:fill="auto"/>
                  <w:noWrap w:val="0"/>
                  <w:vAlign w:val="center"/>
                </w:tcPr>
                <w:p w14:paraId="3BD2075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b w:val="0"/>
                      <w:bCs/>
                      <w:color w:val="auto"/>
                      <w:sz w:val="21"/>
                      <w:szCs w:val="20"/>
                      <w:lang w:val="en-US" w:eastAsia="zh-CN"/>
                    </w:rPr>
                  </w:pPr>
                  <w:r>
                    <w:rPr>
                      <w:rFonts w:hint="eastAsia"/>
                      <w:b w:val="0"/>
                      <w:bCs/>
                      <w:color w:val="auto"/>
                      <w:sz w:val="21"/>
                      <w:szCs w:val="20"/>
                      <w:lang w:val="en-US" w:eastAsia="zh-CN"/>
                    </w:rPr>
                    <w:t>0.5</w:t>
                  </w:r>
                </w:p>
              </w:tc>
              <w:tc>
                <w:tcPr>
                  <w:tcW w:w="703" w:type="dxa"/>
                  <w:shd w:val="clear" w:color="auto" w:fill="auto"/>
                  <w:noWrap w:val="0"/>
                  <w:vAlign w:val="center"/>
                </w:tcPr>
                <w:p w14:paraId="3AB00AE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b w:val="0"/>
                      <w:bCs/>
                      <w:color w:val="auto"/>
                      <w:sz w:val="21"/>
                      <w:szCs w:val="20"/>
                      <w:lang w:val="en-US" w:eastAsia="zh-CN"/>
                    </w:rPr>
                  </w:pPr>
                  <w:r>
                    <w:rPr>
                      <w:rFonts w:hint="eastAsia"/>
                      <w:b w:val="0"/>
                      <w:bCs/>
                      <w:color w:val="auto"/>
                      <w:sz w:val="21"/>
                      <w:szCs w:val="20"/>
                      <w:lang w:val="en-US" w:eastAsia="zh-CN"/>
                    </w:rPr>
                    <w:t>吨</w:t>
                  </w:r>
                </w:p>
              </w:tc>
              <w:tc>
                <w:tcPr>
                  <w:tcW w:w="1074" w:type="dxa"/>
                  <w:shd w:val="clear" w:color="auto" w:fill="auto"/>
                  <w:noWrap w:val="0"/>
                  <w:vAlign w:val="center"/>
                </w:tcPr>
                <w:p w14:paraId="4B99B93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b w:val="0"/>
                      <w:bCs/>
                      <w:color w:val="auto"/>
                      <w:sz w:val="21"/>
                      <w:szCs w:val="20"/>
                      <w:lang w:val="en-US" w:eastAsia="zh-CN"/>
                    </w:rPr>
                  </w:pPr>
                  <w:r>
                    <w:rPr>
                      <w:rFonts w:hint="eastAsia"/>
                      <w:b w:val="0"/>
                      <w:bCs/>
                      <w:color w:val="auto"/>
                      <w:sz w:val="21"/>
                      <w:szCs w:val="20"/>
                      <w:lang w:val="en-US" w:eastAsia="zh-CN"/>
                    </w:rPr>
                    <w:t>瓶装</w:t>
                  </w:r>
                </w:p>
              </w:tc>
              <w:tc>
                <w:tcPr>
                  <w:tcW w:w="2812" w:type="dxa"/>
                  <w:shd w:val="clear" w:color="auto" w:fill="auto"/>
                  <w:noWrap w:val="0"/>
                  <w:vAlign w:val="center"/>
                </w:tcPr>
                <w:p w14:paraId="2B5DCE6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cs="Times New Roman"/>
                      <w:b w:val="0"/>
                      <w:bCs/>
                      <w:color w:val="auto"/>
                      <w:kern w:val="2"/>
                      <w:sz w:val="21"/>
                      <w:szCs w:val="20"/>
                      <w:lang w:val="en-US" w:eastAsia="zh-CN" w:bidi="ar-SA"/>
                    </w:rPr>
                  </w:pPr>
                  <w:r>
                    <w:rPr>
                      <w:rFonts w:hint="eastAsia" w:cs="Times New Roman"/>
                      <w:b w:val="0"/>
                      <w:bCs/>
                      <w:color w:val="auto"/>
                      <w:kern w:val="2"/>
                      <w:sz w:val="21"/>
                      <w:szCs w:val="20"/>
                      <w:lang w:val="en-US" w:eastAsia="zh-CN" w:bidi="ar-SA"/>
                    </w:rPr>
                    <w:t>二保焊工序焊接保护用气。</w:t>
                  </w:r>
                </w:p>
              </w:tc>
            </w:tr>
            <w:tr w14:paraId="2780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noWrap w:val="0"/>
                  <w:vAlign w:val="center"/>
                </w:tcPr>
                <w:p w14:paraId="03B24B6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水洗砂</w:t>
                  </w:r>
                </w:p>
              </w:tc>
              <w:tc>
                <w:tcPr>
                  <w:tcW w:w="1500" w:type="dxa"/>
                  <w:noWrap w:val="0"/>
                  <w:vAlign w:val="center"/>
                </w:tcPr>
                <w:p w14:paraId="3F54A78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石子</w:t>
                  </w:r>
                </w:p>
              </w:tc>
              <w:tc>
                <w:tcPr>
                  <w:tcW w:w="1108" w:type="dxa"/>
                  <w:noWrap w:val="0"/>
                  <w:vAlign w:val="center"/>
                </w:tcPr>
                <w:p w14:paraId="33C2D11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1-2cm</w:t>
                  </w:r>
                </w:p>
              </w:tc>
              <w:tc>
                <w:tcPr>
                  <w:tcW w:w="923" w:type="dxa"/>
                  <w:noWrap w:val="0"/>
                  <w:vAlign w:val="center"/>
                </w:tcPr>
                <w:p w14:paraId="6F731AE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505005</w:t>
                  </w:r>
                </w:p>
              </w:tc>
              <w:tc>
                <w:tcPr>
                  <w:tcW w:w="703" w:type="dxa"/>
                  <w:noWrap w:val="0"/>
                  <w:vAlign w:val="center"/>
                </w:tcPr>
                <w:p w14:paraId="056C61B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吨</w:t>
                  </w:r>
                </w:p>
              </w:tc>
              <w:tc>
                <w:tcPr>
                  <w:tcW w:w="1074" w:type="dxa"/>
                  <w:noWrap w:val="0"/>
                  <w:vAlign w:val="center"/>
                </w:tcPr>
                <w:p w14:paraId="1989F70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散装</w:t>
                  </w:r>
                </w:p>
              </w:tc>
              <w:tc>
                <w:tcPr>
                  <w:tcW w:w="2812" w:type="dxa"/>
                  <w:noWrap w:val="0"/>
                  <w:vAlign w:val="center"/>
                </w:tcPr>
                <w:p w14:paraId="56BF18D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石料厂</w:t>
                  </w:r>
                  <w:r>
                    <w:rPr>
                      <w:rFonts w:hint="eastAsia" w:ascii="Times New Roman" w:hAnsi="Times New Roman" w:eastAsia="宋体"/>
                      <w:b w:val="0"/>
                      <w:bCs/>
                      <w:color w:val="auto"/>
                      <w:sz w:val="21"/>
                      <w:szCs w:val="20"/>
                      <w:lang w:val="en-US" w:eastAsia="zh-CN"/>
                    </w:rPr>
                    <w:t>外购</w:t>
                  </w:r>
                  <w:r>
                    <w:rPr>
                      <w:rFonts w:hint="eastAsia" w:ascii="Times New Roman" w:hAnsi="Times New Roman" w:eastAsia="宋体" w:cs="Times New Roman"/>
                      <w:b w:val="0"/>
                      <w:bCs/>
                      <w:color w:val="auto"/>
                      <w:kern w:val="2"/>
                      <w:sz w:val="21"/>
                      <w:szCs w:val="20"/>
                      <w:lang w:val="en-US" w:eastAsia="zh-CN" w:bidi="ar-SA"/>
                    </w:rPr>
                    <w:t>，储存于原料库，位于湿拌砂浆生产车间旁。</w:t>
                  </w:r>
                </w:p>
              </w:tc>
            </w:tr>
            <w:tr w14:paraId="4FD9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vMerge w:val="restart"/>
                  <w:noWrap w:val="0"/>
                  <w:vAlign w:val="center"/>
                </w:tcPr>
                <w:p w14:paraId="042242F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水稳料</w:t>
                  </w:r>
                </w:p>
              </w:tc>
              <w:tc>
                <w:tcPr>
                  <w:tcW w:w="1500" w:type="dxa"/>
                  <w:noWrap w:val="0"/>
                  <w:vAlign w:val="center"/>
                </w:tcPr>
                <w:p w14:paraId="442267A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水泥</w:t>
                  </w:r>
                </w:p>
              </w:tc>
              <w:tc>
                <w:tcPr>
                  <w:tcW w:w="1108" w:type="dxa"/>
                  <w:noWrap w:val="0"/>
                  <w:vAlign w:val="center"/>
                </w:tcPr>
                <w:p w14:paraId="12E91F8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c>
                <w:tcPr>
                  <w:tcW w:w="923" w:type="dxa"/>
                  <w:shd w:val="clear" w:color="auto" w:fill="auto"/>
                  <w:noWrap w:val="0"/>
                  <w:vAlign w:val="center"/>
                </w:tcPr>
                <w:p w14:paraId="731D37D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12</w:t>
                  </w:r>
                  <w:r>
                    <w:rPr>
                      <w:rFonts w:hint="eastAsia"/>
                      <w:b w:val="0"/>
                      <w:bCs/>
                      <w:color w:val="auto"/>
                      <w:sz w:val="21"/>
                      <w:szCs w:val="20"/>
                      <w:lang w:val="en-US" w:eastAsia="zh-CN"/>
                    </w:rPr>
                    <w:t>302</w:t>
                  </w:r>
                </w:p>
              </w:tc>
              <w:tc>
                <w:tcPr>
                  <w:tcW w:w="703" w:type="dxa"/>
                  <w:noWrap w:val="0"/>
                  <w:vAlign w:val="center"/>
                </w:tcPr>
                <w:p w14:paraId="6A8BD5F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吨</w:t>
                  </w:r>
                </w:p>
              </w:tc>
              <w:tc>
                <w:tcPr>
                  <w:tcW w:w="1074" w:type="dxa"/>
                  <w:noWrap w:val="0"/>
                  <w:vAlign w:val="center"/>
                </w:tcPr>
                <w:p w14:paraId="2AA3026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散装</w:t>
                  </w:r>
                </w:p>
              </w:tc>
              <w:tc>
                <w:tcPr>
                  <w:tcW w:w="2812" w:type="dxa"/>
                  <w:noWrap w:val="0"/>
                  <w:vAlign w:val="center"/>
                </w:tcPr>
                <w:p w14:paraId="5626EDC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cs="Times New Roman"/>
                      <w:b w:val="0"/>
                      <w:bCs/>
                      <w:color w:val="auto"/>
                      <w:kern w:val="2"/>
                      <w:sz w:val="21"/>
                      <w:szCs w:val="20"/>
                      <w:lang w:val="en-US" w:eastAsia="zh-CN" w:bidi="ar-SA"/>
                    </w:rPr>
                    <w:t>外购，储存于水泥料仓，位于</w:t>
                  </w:r>
                  <w:r>
                    <w:rPr>
                      <w:rFonts w:hint="eastAsia" w:cs="Times New Roman"/>
                      <w:b w:val="0"/>
                      <w:bCs/>
                      <w:color w:val="auto"/>
                      <w:kern w:val="2"/>
                      <w:sz w:val="21"/>
                      <w:szCs w:val="20"/>
                      <w:lang w:val="en-US" w:eastAsia="zh-CN" w:bidi="ar-SA"/>
                    </w:rPr>
                    <w:t>预制构件</w:t>
                  </w:r>
                  <w:r>
                    <w:rPr>
                      <w:rFonts w:hint="eastAsia" w:ascii="Times New Roman" w:hAnsi="Times New Roman" w:eastAsia="宋体" w:cs="Times New Roman"/>
                      <w:b w:val="0"/>
                      <w:bCs/>
                      <w:color w:val="auto"/>
                      <w:kern w:val="2"/>
                      <w:sz w:val="21"/>
                      <w:szCs w:val="20"/>
                      <w:lang w:val="en-US" w:eastAsia="zh-CN" w:bidi="ar-SA"/>
                    </w:rPr>
                    <w:t>生产车间旁。</w:t>
                  </w:r>
                </w:p>
              </w:tc>
            </w:tr>
            <w:tr w14:paraId="3C78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vMerge w:val="continue"/>
                  <w:noWrap w:val="0"/>
                  <w:vAlign w:val="center"/>
                </w:tcPr>
                <w:p w14:paraId="1E5F03F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p>
              </w:tc>
              <w:tc>
                <w:tcPr>
                  <w:tcW w:w="1500" w:type="dxa"/>
                  <w:noWrap w:val="0"/>
                  <w:vAlign w:val="center"/>
                </w:tcPr>
                <w:p w14:paraId="5B7C9BA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石子</w:t>
                  </w:r>
                </w:p>
              </w:tc>
              <w:tc>
                <w:tcPr>
                  <w:tcW w:w="1108" w:type="dxa"/>
                  <w:noWrap w:val="0"/>
                  <w:vAlign w:val="center"/>
                </w:tcPr>
                <w:p w14:paraId="1AD806A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5、12、13、24mm</w:t>
                  </w:r>
                </w:p>
              </w:tc>
              <w:tc>
                <w:tcPr>
                  <w:tcW w:w="923" w:type="dxa"/>
                  <w:shd w:val="clear" w:color="auto" w:fill="auto"/>
                  <w:noWrap w:val="0"/>
                  <w:vAlign w:val="center"/>
                </w:tcPr>
                <w:p w14:paraId="4BFE30C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201</w:t>
                  </w:r>
                  <w:r>
                    <w:rPr>
                      <w:rFonts w:hint="eastAsia"/>
                      <w:b w:val="0"/>
                      <w:bCs/>
                      <w:color w:val="auto"/>
                      <w:sz w:val="21"/>
                      <w:szCs w:val="20"/>
                      <w:lang w:val="en-US" w:eastAsia="zh-CN"/>
                    </w:rPr>
                    <w:t>902</w:t>
                  </w:r>
                </w:p>
              </w:tc>
              <w:tc>
                <w:tcPr>
                  <w:tcW w:w="703" w:type="dxa"/>
                  <w:noWrap w:val="0"/>
                  <w:vAlign w:val="center"/>
                </w:tcPr>
                <w:p w14:paraId="7054768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吨</w:t>
                  </w:r>
                </w:p>
              </w:tc>
              <w:tc>
                <w:tcPr>
                  <w:tcW w:w="1074" w:type="dxa"/>
                  <w:noWrap w:val="0"/>
                  <w:vAlign w:val="center"/>
                </w:tcPr>
                <w:p w14:paraId="5896C78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散装</w:t>
                  </w:r>
                </w:p>
              </w:tc>
              <w:tc>
                <w:tcPr>
                  <w:tcW w:w="2812" w:type="dxa"/>
                  <w:noWrap w:val="0"/>
                  <w:vAlign w:val="center"/>
                </w:tcPr>
                <w:p w14:paraId="09BCE07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外购</w:t>
                  </w:r>
                  <w:r>
                    <w:rPr>
                      <w:rFonts w:hint="eastAsia" w:ascii="Times New Roman" w:hAnsi="Times New Roman" w:eastAsia="宋体" w:cs="Times New Roman"/>
                      <w:b w:val="0"/>
                      <w:bCs/>
                      <w:color w:val="auto"/>
                      <w:kern w:val="2"/>
                      <w:sz w:val="21"/>
                      <w:szCs w:val="20"/>
                      <w:lang w:val="en-US" w:eastAsia="zh-CN" w:bidi="ar-SA"/>
                    </w:rPr>
                    <w:t>，储存于原料库，位于湿拌砂浆生产车间旁。</w:t>
                  </w:r>
                </w:p>
              </w:tc>
            </w:tr>
            <w:tr w14:paraId="54C6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vMerge w:val="continue"/>
                  <w:noWrap w:val="0"/>
                  <w:vAlign w:val="center"/>
                </w:tcPr>
                <w:p w14:paraId="5404B7D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p>
              </w:tc>
              <w:tc>
                <w:tcPr>
                  <w:tcW w:w="1500" w:type="dxa"/>
                  <w:noWrap w:val="0"/>
                  <w:vAlign w:val="center"/>
                </w:tcPr>
                <w:p w14:paraId="1378475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水洗砂</w:t>
                  </w:r>
                </w:p>
              </w:tc>
              <w:tc>
                <w:tcPr>
                  <w:tcW w:w="1108" w:type="dxa"/>
                  <w:noWrap w:val="0"/>
                  <w:vAlign w:val="center"/>
                </w:tcPr>
                <w:p w14:paraId="5B7D4D1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c>
                <w:tcPr>
                  <w:tcW w:w="923" w:type="dxa"/>
                  <w:shd w:val="clear" w:color="auto" w:fill="auto"/>
                  <w:noWrap w:val="0"/>
                  <w:vAlign w:val="center"/>
                </w:tcPr>
                <w:p w14:paraId="226D44A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color w:val="auto"/>
                      <w:kern w:val="2"/>
                      <w:sz w:val="21"/>
                      <w:szCs w:val="20"/>
                      <w:lang w:val="en-US" w:eastAsia="zh-CN" w:bidi="ar-SA"/>
                    </w:rPr>
                  </w:pPr>
                  <w:r>
                    <w:rPr>
                      <w:rFonts w:hint="eastAsia" w:ascii="Times New Roman" w:hAnsi="Times New Roman" w:eastAsia="宋体"/>
                      <w:b w:val="0"/>
                      <w:bCs/>
                      <w:color w:val="auto"/>
                      <w:sz w:val="21"/>
                      <w:szCs w:val="20"/>
                      <w:lang w:val="en-US" w:eastAsia="zh-CN"/>
                    </w:rPr>
                    <w:t>86400</w:t>
                  </w:r>
                </w:p>
              </w:tc>
              <w:tc>
                <w:tcPr>
                  <w:tcW w:w="703" w:type="dxa"/>
                  <w:noWrap w:val="0"/>
                  <w:vAlign w:val="center"/>
                </w:tcPr>
                <w:p w14:paraId="1DFB90F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吨</w:t>
                  </w:r>
                </w:p>
              </w:tc>
              <w:tc>
                <w:tcPr>
                  <w:tcW w:w="1074" w:type="dxa"/>
                  <w:noWrap w:val="0"/>
                  <w:vAlign w:val="center"/>
                </w:tcPr>
                <w:p w14:paraId="058C983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散装</w:t>
                  </w:r>
                </w:p>
              </w:tc>
              <w:tc>
                <w:tcPr>
                  <w:tcW w:w="2812" w:type="dxa"/>
                  <w:noWrap w:val="0"/>
                  <w:vAlign w:val="center"/>
                </w:tcPr>
                <w:p w14:paraId="3AA00E3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cs="Times New Roman"/>
                      <w:b w:val="0"/>
                      <w:bCs/>
                      <w:color w:val="auto"/>
                      <w:kern w:val="2"/>
                      <w:sz w:val="21"/>
                      <w:szCs w:val="20"/>
                      <w:lang w:val="en-US" w:eastAsia="zh-CN" w:bidi="ar-SA"/>
                    </w:rPr>
                    <w:t>水洗砂生产线生产，作为水稳料的原料，储存于成品堆场，位于水洗砂生产车间旁。</w:t>
                  </w:r>
                </w:p>
              </w:tc>
            </w:tr>
            <w:tr w14:paraId="6B79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vMerge w:val="restart"/>
                  <w:noWrap w:val="0"/>
                  <w:vAlign w:val="center"/>
                </w:tcPr>
                <w:p w14:paraId="67A7AB4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湿拌</w:t>
                  </w:r>
                </w:p>
                <w:p w14:paraId="2FDEA05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砂浆</w:t>
                  </w:r>
                </w:p>
              </w:tc>
              <w:tc>
                <w:tcPr>
                  <w:tcW w:w="1500" w:type="dxa"/>
                  <w:noWrap w:val="0"/>
                  <w:vAlign w:val="center"/>
                </w:tcPr>
                <w:p w14:paraId="60F8225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水泥</w:t>
                  </w:r>
                </w:p>
              </w:tc>
              <w:tc>
                <w:tcPr>
                  <w:tcW w:w="1108" w:type="dxa"/>
                  <w:noWrap w:val="0"/>
                  <w:vAlign w:val="center"/>
                </w:tcPr>
                <w:p w14:paraId="2835734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c>
                <w:tcPr>
                  <w:tcW w:w="923" w:type="dxa"/>
                  <w:shd w:val="clear" w:color="auto" w:fill="auto"/>
                  <w:noWrap w:val="0"/>
                  <w:vAlign w:val="center"/>
                </w:tcPr>
                <w:p w14:paraId="446CE8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color w:val="auto"/>
                      <w:kern w:val="2"/>
                      <w:sz w:val="21"/>
                      <w:szCs w:val="20"/>
                      <w:u w:val="none"/>
                      <w:lang w:val="en-US" w:eastAsia="zh-CN" w:bidi="ar-SA"/>
                    </w:rPr>
                  </w:pPr>
                  <w:r>
                    <w:rPr>
                      <w:rFonts w:hint="eastAsia" w:ascii="Times New Roman" w:hAnsi="Times New Roman" w:eastAsia="宋体" w:cs="宋体"/>
                      <w:i w:val="0"/>
                      <w:iCs w:val="0"/>
                      <w:color w:val="auto"/>
                      <w:kern w:val="0"/>
                      <w:sz w:val="21"/>
                      <w:szCs w:val="20"/>
                      <w:u w:val="none"/>
                      <w:lang w:val="en-US" w:eastAsia="zh-CN" w:bidi="ar"/>
                    </w:rPr>
                    <w:t>12</w:t>
                  </w:r>
                  <w:r>
                    <w:rPr>
                      <w:rFonts w:hint="eastAsia" w:cs="宋体"/>
                      <w:i w:val="0"/>
                      <w:iCs w:val="0"/>
                      <w:color w:val="auto"/>
                      <w:kern w:val="0"/>
                      <w:sz w:val="21"/>
                      <w:szCs w:val="20"/>
                      <w:u w:val="none"/>
                      <w:lang w:val="en-US" w:eastAsia="zh-CN" w:bidi="ar"/>
                    </w:rPr>
                    <w:t>351</w:t>
                  </w:r>
                </w:p>
              </w:tc>
              <w:tc>
                <w:tcPr>
                  <w:tcW w:w="703" w:type="dxa"/>
                  <w:noWrap w:val="0"/>
                  <w:vAlign w:val="center"/>
                </w:tcPr>
                <w:p w14:paraId="31E9115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吨</w:t>
                  </w:r>
                </w:p>
              </w:tc>
              <w:tc>
                <w:tcPr>
                  <w:tcW w:w="1074" w:type="dxa"/>
                  <w:noWrap w:val="0"/>
                  <w:vAlign w:val="center"/>
                </w:tcPr>
                <w:p w14:paraId="04E1834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散装</w:t>
                  </w:r>
                </w:p>
              </w:tc>
              <w:tc>
                <w:tcPr>
                  <w:tcW w:w="2812" w:type="dxa"/>
                  <w:noWrap w:val="0"/>
                  <w:vAlign w:val="center"/>
                </w:tcPr>
                <w:p w14:paraId="6823BDA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cs="Times New Roman"/>
                      <w:b w:val="0"/>
                      <w:bCs/>
                      <w:color w:val="auto"/>
                      <w:kern w:val="2"/>
                      <w:sz w:val="21"/>
                      <w:szCs w:val="20"/>
                      <w:lang w:val="en-US" w:eastAsia="zh-CN" w:bidi="ar-SA"/>
                    </w:rPr>
                    <w:t>外购，储存于水泥料仓，位于湿拌砂浆生产车间旁。</w:t>
                  </w:r>
                </w:p>
              </w:tc>
            </w:tr>
            <w:tr w14:paraId="3E1E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vMerge w:val="continue"/>
                  <w:noWrap w:val="0"/>
                  <w:vAlign w:val="center"/>
                </w:tcPr>
                <w:p w14:paraId="3813CEF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p>
              </w:tc>
              <w:tc>
                <w:tcPr>
                  <w:tcW w:w="1500" w:type="dxa"/>
                  <w:noWrap w:val="0"/>
                  <w:vAlign w:val="center"/>
                </w:tcPr>
                <w:p w14:paraId="14F5048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粉煤灰</w:t>
                  </w:r>
                </w:p>
              </w:tc>
              <w:tc>
                <w:tcPr>
                  <w:tcW w:w="1108" w:type="dxa"/>
                  <w:noWrap w:val="0"/>
                  <w:vAlign w:val="center"/>
                </w:tcPr>
                <w:p w14:paraId="44B0085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c>
                <w:tcPr>
                  <w:tcW w:w="923" w:type="dxa"/>
                  <w:noWrap w:val="0"/>
                  <w:vAlign w:val="center"/>
                </w:tcPr>
                <w:p w14:paraId="5CE5350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8</w:t>
                  </w:r>
                  <w:r>
                    <w:rPr>
                      <w:rFonts w:hint="eastAsia"/>
                      <w:b w:val="0"/>
                      <w:bCs/>
                      <w:color w:val="auto"/>
                      <w:sz w:val="21"/>
                      <w:szCs w:val="20"/>
                      <w:lang w:val="en-US" w:eastAsia="zh-CN"/>
                    </w:rPr>
                    <w:t>251</w:t>
                  </w:r>
                </w:p>
              </w:tc>
              <w:tc>
                <w:tcPr>
                  <w:tcW w:w="703" w:type="dxa"/>
                  <w:noWrap w:val="0"/>
                  <w:vAlign w:val="center"/>
                </w:tcPr>
                <w:p w14:paraId="03DBB83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吨</w:t>
                  </w:r>
                </w:p>
              </w:tc>
              <w:tc>
                <w:tcPr>
                  <w:tcW w:w="1074" w:type="dxa"/>
                  <w:noWrap w:val="0"/>
                  <w:vAlign w:val="center"/>
                </w:tcPr>
                <w:p w14:paraId="5AC9279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散装</w:t>
                  </w:r>
                </w:p>
              </w:tc>
              <w:tc>
                <w:tcPr>
                  <w:tcW w:w="2812" w:type="dxa"/>
                  <w:noWrap w:val="0"/>
                  <w:vAlign w:val="center"/>
                </w:tcPr>
                <w:p w14:paraId="3B3B1C7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cs="Times New Roman"/>
                      <w:b w:val="0"/>
                      <w:bCs/>
                      <w:color w:val="auto"/>
                      <w:kern w:val="2"/>
                      <w:sz w:val="21"/>
                      <w:szCs w:val="20"/>
                      <w:lang w:val="en-US" w:eastAsia="zh-CN" w:bidi="ar-SA"/>
                    </w:rPr>
                    <w:t>外购，储存于粉煤灰料仓，位于湿拌砂浆生产车间旁。</w:t>
                  </w:r>
                </w:p>
              </w:tc>
            </w:tr>
            <w:tr w14:paraId="50BB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vMerge w:val="continue"/>
                  <w:noWrap w:val="0"/>
                  <w:vAlign w:val="center"/>
                </w:tcPr>
                <w:p w14:paraId="79D1904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p>
              </w:tc>
              <w:tc>
                <w:tcPr>
                  <w:tcW w:w="1500" w:type="dxa"/>
                  <w:noWrap w:val="0"/>
                  <w:vAlign w:val="center"/>
                </w:tcPr>
                <w:p w14:paraId="4A666E6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水洗砂</w:t>
                  </w:r>
                </w:p>
              </w:tc>
              <w:tc>
                <w:tcPr>
                  <w:tcW w:w="1108" w:type="dxa"/>
                  <w:noWrap w:val="0"/>
                  <w:vAlign w:val="center"/>
                </w:tcPr>
                <w:p w14:paraId="01FF5EB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c>
                <w:tcPr>
                  <w:tcW w:w="923" w:type="dxa"/>
                  <w:noWrap w:val="0"/>
                  <w:vAlign w:val="center"/>
                </w:tcPr>
                <w:p w14:paraId="3697F58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79700</w:t>
                  </w:r>
                </w:p>
              </w:tc>
              <w:tc>
                <w:tcPr>
                  <w:tcW w:w="703" w:type="dxa"/>
                  <w:noWrap w:val="0"/>
                  <w:vAlign w:val="center"/>
                </w:tcPr>
                <w:p w14:paraId="7BC668D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吨</w:t>
                  </w:r>
                </w:p>
              </w:tc>
              <w:tc>
                <w:tcPr>
                  <w:tcW w:w="1074" w:type="dxa"/>
                  <w:noWrap w:val="0"/>
                  <w:vAlign w:val="center"/>
                </w:tcPr>
                <w:p w14:paraId="6DB56F7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散装</w:t>
                  </w:r>
                </w:p>
              </w:tc>
              <w:tc>
                <w:tcPr>
                  <w:tcW w:w="2812" w:type="dxa"/>
                  <w:noWrap w:val="0"/>
                  <w:vAlign w:val="center"/>
                </w:tcPr>
                <w:p w14:paraId="7C9F69C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cs="Times New Roman"/>
                      <w:b w:val="0"/>
                      <w:bCs/>
                      <w:color w:val="auto"/>
                      <w:kern w:val="2"/>
                      <w:sz w:val="21"/>
                      <w:szCs w:val="20"/>
                      <w:lang w:val="en-US" w:eastAsia="zh-CN" w:bidi="ar-SA"/>
                    </w:rPr>
                    <w:t>水洗砂生产线生产，作为水稳料的原料，储存于成品堆场，位于水洗砂生产车间旁。</w:t>
                  </w:r>
                </w:p>
              </w:tc>
            </w:tr>
            <w:tr w14:paraId="1276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45" w:type="dxa"/>
                  <w:vMerge w:val="continue"/>
                  <w:noWrap w:val="0"/>
                  <w:vAlign w:val="center"/>
                </w:tcPr>
                <w:p w14:paraId="7B190BF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p>
              </w:tc>
              <w:tc>
                <w:tcPr>
                  <w:tcW w:w="1500" w:type="dxa"/>
                  <w:noWrap w:val="0"/>
                  <w:vAlign w:val="center"/>
                </w:tcPr>
                <w:p w14:paraId="07E205F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添加剂</w:t>
                  </w:r>
                </w:p>
              </w:tc>
              <w:tc>
                <w:tcPr>
                  <w:tcW w:w="1108" w:type="dxa"/>
                  <w:noWrap w:val="0"/>
                  <w:vAlign w:val="center"/>
                </w:tcPr>
                <w:p w14:paraId="2F771FD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w:t>
                  </w:r>
                </w:p>
              </w:tc>
              <w:tc>
                <w:tcPr>
                  <w:tcW w:w="923" w:type="dxa"/>
                  <w:noWrap w:val="0"/>
                  <w:vAlign w:val="center"/>
                </w:tcPr>
                <w:p w14:paraId="64AF54C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100</w:t>
                  </w:r>
                </w:p>
              </w:tc>
              <w:tc>
                <w:tcPr>
                  <w:tcW w:w="703" w:type="dxa"/>
                  <w:noWrap w:val="0"/>
                  <w:vAlign w:val="center"/>
                </w:tcPr>
                <w:p w14:paraId="38CD860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吨</w:t>
                  </w:r>
                </w:p>
              </w:tc>
              <w:tc>
                <w:tcPr>
                  <w:tcW w:w="1074" w:type="dxa"/>
                  <w:noWrap w:val="0"/>
                  <w:vAlign w:val="center"/>
                </w:tcPr>
                <w:p w14:paraId="4A6C004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b w:val="0"/>
                      <w:bCs/>
                      <w:color w:val="auto"/>
                      <w:sz w:val="21"/>
                      <w:szCs w:val="20"/>
                      <w:lang w:val="en-US" w:eastAsia="zh-CN"/>
                    </w:rPr>
                    <w:t>袋装</w:t>
                  </w:r>
                </w:p>
              </w:tc>
              <w:tc>
                <w:tcPr>
                  <w:tcW w:w="2812" w:type="dxa"/>
                  <w:noWrap w:val="0"/>
                  <w:vAlign w:val="center"/>
                </w:tcPr>
                <w:p w14:paraId="0DCE2C9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b w:val="0"/>
                      <w:bCs/>
                      <w:color w:val="auto"/>
                      <w:sz w:val="21"/>
                      <w:szCs w:val="20"/>
                      <w:lang w:val="en-US" w:eastAsia="zh-CN"/>
                    </w:rPr>
                  </w:pPr>
                  <w:r>
                    <w:rPr>
                      <w:rFonts w:hint="eastAsia" w:ascii="Times New Roman" w:hAnsi="Times New Roman" w:eastAsia="宋体"/>
                      <w:b w:val="0"/>
                      <w:bCs/>
                      <w:color w:val="auto"/>
                      <w:sz w:val="21"/>
                      <w:szCs w:val="20"/>
                      <w:lang w:val="en-US" w:eastAsia="zh-CN"/>
                    </w:rPr>
                    <w:t>外购</w:t>
                  </w:r>
                  <w:r>
                    <w:rPr>
                      <w:rFonts w:hint="eastAsia" w:ascii="Times New Roman" w:hAnsi="Times New Roman" w:eastAsia="宋体" w:cs="Times New Roman"/>
                      <w:b w:val="0"/>
                      <w:bCs/>
                      <w:color w:val="auto"/>
                      <w:kern w:val="2"/>
                      <w:sz w:val="21"/>
                      <w:szCs w:val="20"/>
                      <w:lang w:val="en-US" w:eastAsia="zh-CN" w:bidi="ar-SA"/>
                    </w:rPr>
                    <w:t>，储存于原料库，位于湿拌砂浆生产车间旁。</w:t>
                  </w:r>
                </w:p>
              </w:tc>
            </w:tr>
            <w:tr w14:paraId="30C5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965" w:type="dxa"/>
                  <w:gridSpan w:val="7"/>
                  <w:noWrap w:val="0"/>
                  <w:vAlign w:val="center"/>
                </w:tcPr>
                <w:p w14:paraId="063E376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b w:val="0"/>
                      <w:bCs/>
                      <w:color w:val="auto"/>
                      <w:sz w:val="21"/>
                      <w:szCs w:val="20"/>
                      <w:lang w:val="en-US" w:eastAsia="zh-CN"/>
                    </w:rPr>
                  </w:pPr>
                  <w:bookmarkStart w:id="14" w:name="_Ref16731"/>
                  <w:r>
                    <w:rPr>
                      <w:rFonts w:hint="eastAsia" w:ascii="Times New Roman" w:hAnsi="Times New Roman" w:eastAsia="宋体"/>
                      <w:b w:val="0"/>
                      <w:bCs/>
                      <w:color w:val="auto"/>
                      <w:sz w:val="21"/>
                      <w:szCs w:val="20"/>
                      <w:lang w:val="en-US" w:eastAsia="zh-CN"/>
                    </w:rPr>
                    <w:t>备注：</w:t>
                  </w:r>
                  <w:r>
                    <w:rPr>
                      <w:rFonts w:hint="eastAsia"/>
                      <w:b w:val="0"/>
                      <w:bCs/>
                      <w:color w:val="auto"/>
                      <w:sz w:val="21"/>
                      <w:szCs w:val="20"/>
                      <w:lang w:val="en-US" w:eastAsia="zh-CN"/>
                    </w:rPr>
                    <w:t>19.6125</w:t>
                  </w:r>
                  <w:r>
                    <w:rPr>
                      <w:rFonts w:hint="eastAsia" w:ascii="Times New Roman" w:hAnsi="Times New Roman" w:eastAsia="宋体"/>
                      <w:b w:val="0"/>
                      <w:bCs/>
                      <w:color w:val="auto"/>
                      <w:sz w:val="21"/>
                      <w:szCs w:val="20"/>
                      <w:lang w:val="en-US" w:eastAsia="zh-CN"/>
                    </w:rPr>
                    <w:t>万吨的水洗砂</w:t>
                  </w:r>
                  <w:r>
                    <w:rPr>
                      <w:rFonts w:hint="eastAsia"/>
                      <w:b w:val="0"/>
                      <w:bCs/>
                      <w:color w:val="auto"/>
                      <w:sz w:val="21"/>
                      <w:szCs w:val="20"/>
                      <w:lang w:val="en-US" w:eastAsia="zh-CN"/>
                    </w:rPr>
                    <w:t>用于本项目</w:t>
                  </w:r>
                  <w:r>
                    <w:rPr>
                      <w:rFonts w:hint="eastAsia" w:ascii="Times New Roman" w:hAnsi="Times New Roman" w:eastAsia="宋体"/>
                      <w:b w:val="0"/>
                      <w:bCs/>
                      <w:color w:val="auto"/>
                      <w:sz w:val="21"/>
                      <w:szCs w:val="20"/>
                      <w:lang w:val="en-US" w:eastAsia="zh-CN"/>
                    </w:rPr>
                    <w:t>厂区其他产品原料，剩余部分</w:t>
                  </w:r>
                  <w:r>
                    <w:rPr>
                      <w:rFonts w:hint="eastAsia"/>
                      <w:b w:val="0"/>
                      <w:bCs/>
                      <w:color w:val="auto"/>
                      <w:sz w:val="21"/>
                      <w:szCs w:val="20"/>
                      <w:lang w:val="en-US" w:eastAsia="zh-CN"/>
                    </w:rPr>
                    <w:t>外售</w:t>
                  </w:r>
                  <w:r>
                    <w:rPr>
                      <w:rFonts w:hint="eastAsia" w:ascii="Times New Roman" w:hAnsi="Times New Roman" w:eastAsia="宋体"/>
                      <w:b w:val="0"/>
                      <w:bCs/>
                      <w:color w:val="auto"/>
                      <w:sz w:val="21"/>
                      <w:szCs w:val="20"/>
                      <w:lang w:val="en-US" w:eastAsia="zh-CN"/>
                    </w:rPr>
                    <w:t>。</w:t>
                  </w:r>
                </w:p>
              </w:tc>
            </w:tr>
          </w:tbl>
          <w:p w14:paraId="49D64967">
            <w:pPr>
              <w:pStyle w:val="11"/>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both"/>
              <w:textAlignment w:val="auto"/>
              <w:rPr>
                <w:rFonts w:hint="eastAsia" w:cs="宋体"/>
                <w:b w:val="0"/>
                <w:bCs w:val="0"/>
                <w:color w:val="auto"/>
                <w:kern w:val="2"/>
                <w:sz w:val="24"/>
                <w:szCs w:val="24"/>
                <w:lang w:val="en-US" w:eastAsia="zh-CN" w:bidi="ar-SA"/>
              </w:rPr>
            </w:pPr>
            <w:r>
              <w:rPr>
                <w:rFonts w:hint="eastAsia" w:cs="宋体"/>
                <w:b w:val="0"/>
                <w:bCs w:val="0"/>
                <w:color w:val="auto"/>
                <w:kern w:val="2"/>
                <w:sz w:val="24"/>
                <w:szCs w:val="24"/>
                <w:lang w:val="en-US" w:eastAsia="zh-CN" w:bidi="ar-SA"/>
              </w:rPr>
              <w:t>（1）添加剂的主要成分：1）保水增稠组分：以羟丙基甲基纤维素醚（HPMC）为主，用于保证砂浆施工和易性，属于无毒无害的高分子聚合物；</w:t>
            </w:r>
          </w:p>
          <w:p w14:paraId="78534E30">
            <w:pPr>
              <w:pStyle w:val="11"/>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both"/>
              <w:textAlignment w:val="auto"/>
              <w:rPr>
                <w:rFonts w:hint="eastAsia" w:cs="宋体"/>
                <w:b w:val="0"/>
                <w:bCs w:val="0"/>
                <w:color w:val="auto"/>
                <w:kern w:val="2"/>
                <w:sz w:val="24"/>
                <w:szCs w:val="24"/>
                <w:lang w:val="en-US" w:eastAsia="zh-CN" w:bidi="ar-SA"/>
              </w:rPr>
            </w:pPr>
            <w:r>
              <w:rPr>
                <w:rFonts w:hint="eastAsia" w:cs="宋体"/>
                <w:b w:val="0"/>
                <w:bCs w:val="0"/>
                <w:color w:val="auto"/>
                <w:kern w:val="2"/>
                <w:sz w:val="24"/>
                <w:szCs w:val="24"/>
                <w:lang w:val="en-US" w:eastAsia="zh-CN" w:bidi="ar-SA"/>
              </w:rPr>
              <w:t>2）缓凝调节组分：常用葡萄糖酸钠、柠檬酸盐等有机酸盐，用于控制砂浆凝结时间，常温下可生物降解，环境风险较低；</w:t>
            </w:r>
          </w:p>
          <w:p w14:paraId="1E0C352D">
            <w:pPr>
              <w:pStyle w:val="11"/>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both"/>
              <w:textAlignment w:val="auto"/>
              <w:rPr>
                <w:rFonts w:hint="eastAsia" w:cs="宋体"/>
                <w:b w:val="0"/>
                <w:bCs w:val="0"/>
                <w:color w:val="auto"/>
                <w:kern w:val="2"/>
                <w:sz w:val="24"/>
                <w:szCs w:val="24"/>
                <w:lang w:val="en-US" w:eastAsia="zh-CN" w:bidi="ar-SA"/>
              </w:rPr>
            </w:pPr>
            <w:r>
              <w:rPr>
                <w:rFonts w:hint="eastAsia" w:cs="宋体"/>
                <w:b w:val="0"/>
                <w:bCs w:val="0"/>
                <w:color w:val="auto"/>
                <w:kern w:val="2"/>
                <w:sz w:val="24"/>
                <w:szCs w:val="24"/>
                <w:lang w:val="en-US" w:eastAsia="zh-CN" w:bidi="ar-SA"/>
              </w:rPr>
              <w:t>3）减水增强组分：多采用聚羧酸系高效减水剂，无甲醛、无氨；</w:t>
            </w:r>
          </w:p>
          <w:p w14:paraId="763017FB">
            <w:pPr>
              <w:pStyle w:val="11"/>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both"/>
              <w:textAlignment w:val="auto"/>
              <w:rPr>
                <w:rFonts w:hint="eastAsia" w:cs="宋体"/>
                <w:b w:val="0"/>
                <w:bCs w:val="0"/>
                <w:color w:val="auto"/>
                <w:kern w:val="2"/>
                <w:sz w:val="24"/>
                <w:szCs w:val="24"/>
                <w:lang w:val="en-US" w:eastAsia="zh-CN" w:bidi="ar-SA"/>
              </w:rPr>
            </w:pPr>
            <w:r>
              <w:rPr>
                <w:rFonts w:hint="eastAsia" w:cs="宋体"/>
                <w:b w:val="0"/>
                <w:bCs w:val="0"/>
                <w:color w:val="auto"/>
                <w:kern w:val="2"/>
                <w:sz w:val="24"/>
                <w:szCs w:val="24"/>
                <w:lang w:val="en-US" w:eastAsia="zh-CN" w:bidi="ar-SA"/>
              </w:rPr>
              <w:t>4）引气及稳定组分：少量松香类引气剂、淀粉醚等，用于改善砂浆流动性和抗离析性能；</w:t>
            </w:r>
          </w:p>
          <w:p w14:paraId="570F0513">
            <w:pPr>
              <w:pStyle w:val="11"/>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both"/>
              <w:textAlignment w:val="auto"/>
              <w:rPr>
                <w:rFonts w:hint="eastAsia" w:cs="宋体"/>
                <w:b w:val="0"/>
                <w:bCs w:val="0"/>
                <w:color w:val="auto"/>
                <w:kern w:val="2"/>
                <w:sz w:val="24"/>
                <w:szCs w:val="24"/>
                <w:lang w:val="en-US" w:eastAsia="zh-CN" w:bidi="ar-SA"/>
              </w:rPr>
            </w:pPr>
            <w:r>
              <w:rPr>
                <w:rFonts w:hint="eastAsia" w:cs="宋体"/>
                <w:b w:val="0"/>
                <w:bCs w:val="0"/>
                <w:color w:val="auto"/>
                <w:kern w:val="2"/>
                <w:sz w:val="24"/>
                <w:szCs w:val="24"/>
                <w:lang w:val="en-US" w:eastAsia="zh-CN" w:bidi="ar-SA"/>
              </w:rPr>
              <w:t>5）辅助功能组分：根据需求添加适量消泡剂、早强剂、稳定剂等，均为常规化工助剂，不含重金属及持久性有机污染物。</w:t>
            </w:r>
          </w:p>
          <w:p w14:paraId="2E85C2AD">
            <w:pPr>
              <w:pStyle w:val="11"/>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宋体"/>
                <w:b w:val="0"/>
                <w:bCs w:val="0"/>
                <w:color w:val="auto"/>
                <w:kern w:val="2"/>
                <w:sz w:val="24"/>
                <w:szCs w:val="24"/>
                <w:lang w:val="en-US" w:eastAsia="zh-CN" w:bidi="ar-SA"/>
              </w:rPr>
            </w:pPr>
            <w:r>
              <w:rPr>
                <w:rFonts w:hint="eastAsia" w:cs="宋体"/>
                <w:b w:val="0"/>
                <w:bCs w:val="0"/>
                <w:color w:val="auto"/>
                <w:kern w:val="2"/>
                <w:sz w:val="24"/>
                <w:szCs w:val="24"/>
                <w:lang w:val="en-US" w:eastAsia="zh-CN" w:bidi="ar-SA"/>
              </w:rPr>
              <w:t>该类添加剂无明显废气、废水及危险废物环境风险，储存、使用过程仅需做好防雨防潮、防洒落即可，不属于重点管控的危险原辅材料。</w:t>
            </w:r>
          </w:p>
          <w:p w14:paraId="5CF0CD88">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ascii="Times New Roman" w:hAnsi="Times New Roman" w:eastAsia="宋体" w:cs="宋体"/>
                <w:color w:val="auto"/>
                <w:sz w:val="24"/>
                <w:szCs w:val="24"/>
              </w:rPr>
            </w:pPr>
            <w:r>
              <w:rPr>
                <w:rFonts w:hint="eastAsia" w:ascii="Times New Roman" w:hAnsi="Times New Roman" w:eastAsia="宋体"/>
                <w:color w:val="auto"/>
                <w:sz w:val="24"/>
                <w:lang w:val="en-US" w:eastAsia="zh-CN"/>
              </w:rPr>
              <w:t>（2）脱模剂的主要成分：</w:t>
            </w:r>
            <w:r>
              <w:rPr>
                <w:rFonts w:ascii="Times New Roman" w:hAnsi="Times New Roman" w:eastAsia="宋体" w:cs="宋体"/>
                <w:color w:val="auto"/>
                <w:sz w:val="24"/>
                <w:szCs w:val="24"/>
              </w:rPr>
              <w:t>本项目预制构件混凝土浇筑成型采用</w:t>
            </w:r>
            <w:r>
              <w:rPr>
                <w:rStyle w:val="31"/>
                <w:rFonts w:ascii="Times New Roman" w:hAnsi="Times New Roman" w:eastAsia="宋体" w:cs="宋体"/>
                <w:b w:val="0"/>
                <w:bCs w:val="0"/>
                <w:color w:val="auto"/>
                <w:sz w:val="24"/>
                <w:szCs w:val="24"/>
              </w:rPr>
              <w:t>水性环保脱模剂</w:t>
            </w:r>
            <w:r>
              <w:rPr>
                <w:rFonts w:ascii="Times New Roman" w:hAnsi="Times New Roman" w:eastAsia="宋体" w:cs="宋体"/>
                <w:b w:val="0"/>
                <w:bCs w:val="0"/>
                <w:color w:val="auto"/>
                <w:sz w:val="24"/>
                <w:szCs w:val="24"/>
              </w:rPr>
              <w:t>，</w:t>
            </w:r>
            <w:r>
              <w:rPr>
                <w:rFonts w:ascii="Times New Roman" w:hAnsi="Times New Roman" w:eastAsia="宋体" w:cs="宋体"/>
                <w:color w:val="auto"/>
                <w:sz w:val="24"/>
                <w:szCs w:val="24"/>
              </w:rPr>
              <w:t>主要由去离子水、植物基脂肪酸衍生物、水性高分子树脂、环保非离子表面活性剂及配套无害功能助剂复配而成，配方不含有机溶剂、矿物油、苯系物、亚硝酸钠等有毒有害成分。</w:t>
            </w:r>
          </w:p>
          <w:p w14:paraId="7B49D798">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olor w:val="auto"/>
                <w:sz w:val="24"/>
                <w:lang w:val="en-US" w:eastAsia="zh-CN"/>
              </w:rPr>
            </w:pPr>
            <w:r>
              <w:rPr>
                <w:rFonts w:hint="eastAsia" w:ascii="Times New Roman" w:hAnsi="Times New Roman" w:eastAsia="宋体"/>
                <w:color w:val="auto"/>
                <w:sz w:val="24"/>
                <w:lang w:val="en-US" w:eastAsia="zh-CN"/>
              </w:rPr>
              <w:t>（3）主要原辅材料储存周期</w:t>
            </w:r>
          </w:p>
          <w:p w14:paraId="06622A00">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olor w:val="auto"/>
                <w:sz w:val="24"/>
                <w:lang w:val="en-US" w:eastAsia="zh-CN"/>
              </w:rPr>
            </w:pPr>
            <w:r>
              <w:rPr>
                <w:rFonts w:hint="eastAsia" w:ascii="Times New Roman" w:hAnsi="Times New Roman" w:eastAsia="宋体"/>
                <w:color w:val="auto"/>
                <w:sz w:val="24"/>
                <w:lang w:val="en-US" w:eastAsia="zh-CN"/>
              </w:rPr>
              <w:t>本项目原料库总面积为1600m</w:t>
            </w:r>
            <w:r>
              <w:rPr>
                <w:rFonts w:hint="eastAsia" w:ascii="Times New Roman" w:hAnsi="Times New Roman" w:eastAsia="宋体"/>
                <w:color w:val="auto"/>
                <w:sz w:val="24"/>
                <w:vertAlign w:val="superscript"/>
                <w:lang w:val="en-US" w:eastAsia="zh-CN"/>
              </w:rPr>
              <w:t>2</w:t>
            </w:r>
            <w:r>
              <w:rPr>
                <w:rFonts w:hint="eastAsia" w:ascii="Times New Roman" w:hAnsi="Times New Roman" w:eastAsia="宋体"/>
                <w:color w:val="auto"/>
                <w:sz w:val="24"/>
                <w:lang w:val="en-US" w:eastAsia="zh-CN"/>
              </w:rPr>
              <w:t>，石子堆存高度为4</w:t>
            </w:r>
            <w:r>
              <w:rPr>
                <w:rFonts w:hint="eastAsia"/>
                <w:color w:val="auto"/>
                <w:sz w:val="24"/>
                <w:lang w:val="en-US" w:eastAsia="zh-CN"/>
              </w:rPr>
              <w:t>-</w:t>
            </w:r>
            <w:r>
              <w:rPr>
                <w:rFonts w:hint="eastAsia" w:ascii="Times New Roman" w:hAnsi="Times New Roman" w:eastAsia="宋体"/>
                <w:color w:val="auto"/>
                <w:sz w:val="24"/>
                <w:lang w:val="en-US" w:eastAsia="zh-CN"/>
              </w:rPr>
              <w:t>6m，堆积密度约为1500 kg/m³，一次性最大堆存量约为1.44万t</w:t>
            </w:r>
            <w:r>
              <w:rPr>
                <w:rFonts w:hint="eastAsia"/>
                <w:color w:val="auto"/>
                <w:sz w:val="24"/>
                <w:lang w:val="en-US" w:eastAsia="zh-CN"/>
              </w:rPr>
              <w:t>，</w:t>
            </w:r>
            <w:r>
              <w:rPr>
                <w:rFonts w:hint="eastAsia" w:ascii="Times New Roman" w:hAnsi="Times New Roman" w:eastAsia="宋体"/>
                <w:color w:val="auto"/>
                <w:sz w:val="24"/>
                <w:lang w:val="en-US" w:eastAsia="zh-CN"/>
              </w:rPr>
              <w:t>可满足本项目约</w:t>
            </w:r>
            <w:r>
              <w:rPr>
                <w:rFonts w:hint="eastAsia"/>
                <w:color w:val="auto"/>
                <w:sz w:val="24"/>
                <w:lang w:val="en-US" w:eastAsia="zh-CN"/>
              </w:rPr>
              <w:t>7</w:t>
            </w:r>
            <w:r>
              <w:rPr>
                <w:rFonts w:hint="eastAsia" w:ascii="Times New Roman" w:hAnsi="Times New Roman" w:eastAsia="宋体"/>
                <w:color w:val="auto"/>
                <w:sz w:val="24"/>
                <w:lang w:val="en-US" w:eastAsia="zh-CN"/>
              </w:rPr>
              <w:t>天的生产用料需求。</w:t>
            </w:r>
          </w:p>
          <w:p w14:paraId="084BB9F5">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lang w:val="en-US" w:eastAsia="zh-CN"/>
              </w:rPr>
            </w:pPr>
            <w:r>
              <w:rPr>
                <w:rFonts w:hint="eastAsia"/>
                <w:color w:val="auto"/>
                <w:lang w:val="en-US" w:eastAsia="zh-CN"/>
              </w:rPr>
              <w:t>2、</w:t>
            </w:r>
            <w:r>
              <w:rPr>
                <w:rFonts w:hint="eastAsia"/>
                <w:color w:val="auto"/>
                <w:lang w:eastAsia="zh-CN"/>
              </w:rPr>
              <w:t>物料平衡分析</w:t>
            </w:r>
            <w:r>
              <w:rPr>
                <w:rFonts w:hint="eastAsia"/>
                <w:color w:val="auto"/>
                <w:lang w:val="en-US" w:eastAsia="zh-CN"/>
              </w:rPr>
              <w:t>见表2.4-2。</w:t>
            </w:r>
          </w:p>
          <w:p w14:paraId="25E2B6E7">
            <w:pPr>
              <w:pStyle w:val="20"/>
              <w:bidi w:val="0"/>
              <w:rPr>
                <w:rFonts w:hint="eastAsia"/>
                <w:color w:val="auto"/>
                <w:highlight w:val="none"/>
                <w:lang w:eastAsia="zh-CN"/>
              </w:rPr>
            </w:pPr>
            <w:bookmarkStart w:id="15" w:name="_Ref13697"/>
            <w:r>
              <w:rPr>
                <w:color w:val="auto"/>
                <w:highlight w:val="none"/>
              </w:rPr>
              <w:t>表</w:t>
            </w:r>
            <w:r>
              <w:rPr>
                <w:color w:val="auto"/>
                <w:highlight w:val="none"/>
              </w:rPr>
              <w:fldChar w:fldCharType="begin"/>
            </w:r>
            <w:r>
              <w:rPr>
                <w:color w:val="auto"/>
                <w:highlight w:val="none"/>
              </w:rPr>
              <w:instrText xml:space="preserve"> STYLEREF 2 \s </w:instrText>
            </w:r>
            <w:r>
              <w:rPr>
                <w:color w:val="auto"/>
                <w:highlight w:val="none"/>
              </w:rPr>
              <w:fldChar w:fldCharType="separate"/>
            </w:r>
            <w:r>
              <w:rPr>
                <w:color w:val="auto"/>
                <w:highlight w:val="none"/>
              </w:rPr>
              <w:t>2.4</w:t>
            </w:r>
            <w:r>
              <w:rPr>
                <w:color w:val="auto"/>
                <w:highlight w:val="none"/>
              </w:rPr>
              <w:fldChar w:fldCharType="end"/>
            </w:r>
            <w:r>
              <w:rPr>
                <w:rFonts w:hint="eastAsia"/>
                <w:color w:val="auto"/>
                <w:highlight w:val="none"/>
                <w:lang w:eastAsia="zh-CN"/>
              </w:rPr>
              <w:t>-</w:t>
            </w:r>
            <w:bookmarkEnd w:id="15"/>
            <w:r>
              <w:rPr>
                <w:rFonts w:hint="eastAsia"/>
                <w:color w:val="auto"/>
                <w:highlight w:val="none"/>
                <w:lang w:val="en-US" w:eastAsia="zh-CN"/>
              </w:rPr>
              <w:t xml:space="preserve">2  </w:t>
            </w:r>
            <w:r>
              <w:rPr>
                <w:rFonts w:hint="eastAsia"/>
                <w:color w:val="auto"/>
                <w:highlight w:val="none"/>
              </w:rPr>
              <w:t>物料平衡分析一览表</w:t>
            </w:r>
          </w:p>
          <w:tbl>
            <w:tblPr>
              <w:tblStyle w:val="28"/>
              <w:tblW w:w="50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1802"/>
              <w:gridCol w:w="1803"/>
              <w:gridCol w:w="1415"/>
              <w:gridCol w:w="2191"/>
            </w:tblGrid>
            <w:tr w14:paraId="0832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noWrap/>
                  <w:vAlign w:val="center"/>
                </w:tcPr>
                <w:p w14:paraId="0E06EB92">
                  <w:pPr>
                    <w:pStyle w:val="34"/>
                    <w:bidi w:val="0"/>
                    <w:rPr>
                      <w:rFonts w:hint="default" w:eastAsia="宋体"/>
                      <w:color w:val="auto"/>
                      <w:highlight w:val="none"/>
                      <w:lang w:val="en-US" w:eastAsia="zh-CN"/>
                    </w:rPr>
                  </w:pPr>
                  <w:r>
                    <w:rPr>
                      <w:rFonts w:hint="eastAsia" w:eastAsia="宋体"/>
                      <w:color w:val="auto"/>
                      <w:highlight w:val="none"/>
                      <w:lang w:val="en-US" w:eastAsia="zh-CN"/>
                    </w:rPr>
                    <w:t>生产线</w:t>
                  </w:r>
                </w:p>
              </w:tc>
              <w:tc>
                <w:tcPr>
                  <w:tcW w:w="1999" w:type="pct"/>
                  <w:gridSpan w:val="2"/>
                  <w:noWrap/>
                  <w:vAlign w:val="center"/>
                </w:tcPr>
                <w:p w14:paraId="7DC1CBC3">
                  <w:pPr>
                    <w:pStyle w:val="34"/>
                    <w:bidi w:val="0"/>
                    <w:rPr>
                      <w:rFonts w:hint="eastAsia"/>
                      <w:color w:val="auto"/>
                      <w:highlight w:val="none"/>
                    </w:rPr>
                  </w:pPr>
                  <w:r>
                    <w:rPr>
                      <w:rFonts w:hint="eastAsia"/>
                      <w:color w:val="auto"/>
                      <w:highlight w:val="none"/>
                      <w:lang w:val="en-US" w:eastAsia="zh-CN"/>
                    </w:rPr>
                    <w:t>投入原辅材料</w:t>
                  </w:r>
                </w:p>
              </w:tc>
              <w:tc>
                <w:tcPr>
                  <w:tcW w:w="2000" w:type="pct"/>
                  <w:gridSpan w:val="2"/>
                  <w:noWrap/>
                  <w:vAlign w:val="center"/>
                </w:tcPr>
                <w:p w14:paraId="288E153B">
                  <w:pPr>
                    <w:pStyle w:val="34"/>
                    <w:bidi w:val="0"/>
                    <w:rPr>
                      <w:rFonts w:hint="default"/>
                      <w:color w:val="auto"/>
                      <w:highlight w:val="none"/>
                      <w:lang w:val="en-US" w:eastAsia="zh-CN"/>
                    </w:rPr>
                  </w:pPr>
                  <w:r>
                    <w:rPr>
                      <w:rFonts w:hint="eastAsia"/>
                      <w:color w:val="auto"/>
                      <w:highlight w:val="none"/>
                      <w:lang w:val="en-US" w:eastAsia="zh-CN"/>
                    </w:rPr>
                    <w:t>产出</w:t>
                  </w:r>
                </w:p>
              </w:tc>
            </w:tr>
            <w:tr w14:paraId="2B84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vMerge w:val="restart"/>
                  <w:shd w:val="clear" w:color="auto" w:fill="auto"/>
                  <w:noWrap/>
                  <w:vAlign w:val="center"/>
                </w:tcPr>
                <w:p w14:paraId="425CB15A">
                  <w:pPr>
                    <w:pStyle w:val="34"/>
                    <w:bidi w:val="0"/>
                    <w:rPr>
                      <w:rFonts w:hint="default"/>
                      <w:color w:val="auto"/>
                      <w:highlight w:val="none"/>
                      <w:lang w:val="en-US" w:eastAsia="zh-CN"/>
                    </w:rPr>
                  </w:pPr>
                  <w:r>
                    <w:rPr>
                      <w:rFonts w:hint="eastAsia"/>
                      <w:color w:val="auto"/>
                      <w:highlight w:val="none"/>
                      <w:lang w:val="en-US" w:eastAsia="zh-CN"/>
                    </w:rPr>
                    <w:t>水洗砂生产线</w:t>
                  </w:r>
                </w:p>
              </w:tc>
              <w:tc>
                <w:tcPr>
                  <w:tcW w:w="999" w:type="pct"/>
                  <w:vMerge w:val="restart"/>
                  <w:shd w:val="clear" w:color="auto" w:fill="auto"/>
                  <w:noWrap/>
                  <w:vAlign w:val="center"/>
                </w:tcPr>
                <w:p w14:paraId="24F11AC7">
                  <w:pPr>
                    <w:pStyle w:val="34"/>
                    <w:bidi w:val="0"/>
                    <w:rPr>
                      <w:rFonts w:hint="default"/>
                      <w:color w:val="auto"/>
                      <w:highlight w:val="none"/>
                      <w:lang w:val="en-US" w:eastAsia="zh-CN"/>
                    </w:rPr>
                  </w:pPr>
                  <w:r>
                    <w:rPr>
                      <w:rFonts w:hint="default"/>
                      <w:color w:val="auto"/>
                      <w:highlight w:val="none"/>
                      <w:lang w:val="en-US" w:eastAsia="zh-CN"/>
                    </w:rPr>
                    <w:t>石子</w:t>
                  </w:r>
                </w:p>
              </w:tc>
              <w:tc>
                <w:tcPr>
                  <w:tcW w:w="1000" w:type="pct"/>
                  <w:vMerge w:val="restart"/>
                  <w:noWrap/>
                  <w:vAlign w:val="center"/>
                </w:tcPr>
                <w:p w14:paraId="02F7E0F7">
                  <w:pPr>
                    <w:pStyle w:val="34"/>
                    <w:bidi w:val="0"/>
                    <w:rPr>
                      <w:rFonts w:hint="default"/>
                      <w:color w:val="auto"/>
                      <w:highlight w:val="none"/>
                      <w:lang w:val="en-US" w:eastAsia="zh-CN"/>
                    </w:rPr>
                  </w:pPr>
                  <w:r>
                    <w:rPr>
                      <w:rFonts w:hint="eastAsia"/>
                      <w:color w:val="auto"/>
                      <w:highlight w:val="none"/>
                      <w:lang w:val="en-US" w:eastAsia="zh-CN"/>
                    </w:rPr>
                    <w:t>505005t/a</w:t>
                  </w:r>
                </w:p>
              </w:tc>
              <w:tc>
                <w:tcPr>
                  <w:tcW w:w="784" w:type="pct"/>
                  <w:shd w:val="clear" w:color="auto" w:fill="auto"/>
                  <w:noWrap/>
                  <w:vAlign w:val="center"/>
                </w:tcPr>
                <w:p w14:paraId="1EA1FB03">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default" w:ascii="Times New Roman" w:hAnsi="Times New Roman" w:eastAsia="宋体" w:cs="宋体"/>
                      <w:color w:val="auto"/>
                      <w:kern w:val="2"/>
                      <w:sz w:val="21"/>
                      <w:szCs w:val="21"/>
                      <w:highlight w:val="none"/>
                      <w:lang w:val="en-US" w:eastAsia="zh-CN" w:bidi="ar"/>
                    </w:rPr>
                    <w:t>除尘灰</w:t>
                  </w:r>
                </w:p>
              </w:tc>
              <w:tc>
                <w:tcPr>
                  <w:tcW w:w="1215" w:type="pct"/>
                  <w:shd w:val="clear" w:color="auto" w:fill="auto"/>
                  <w:noWrap/>
                  <w:vAlign w:val="center"/>
                </w:tcPr>
                <w:p w14:paraId="7EB5503F">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5t/a</w:t>
                  </w:r>
                </w:p>
              </w:tc>
            </w:tr>
            <w:tr w14:paraId="6417B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vMerge w:val="continue"/>
                  <w:shd w:val="clear" w:color="auto" w:fill="auto"/>
                  <w:noWrap/>
                  <w:vAlign w:val="center"/>
                </w:tcPr>
                <w:p w14:paraId="3C1A26E7">
                  <w:pPr>
                    <w:pStyle w:val="34"/>
                    <w:bidi w:val="0"/>
                    <w:rPr>
                      <w:rFonts w:hint="eastAsia"/>
                      <w:color w:val="auto"/>
                      <w:highlight w:val="none"/>
                      <w:lang w:val="en-US" w:eastAsia="zh-CN"/>
                    </w:rPr>
                  </w:pPr>
                </w:p>
              </w:tc>
              <w:tc>
                <w:tcPr>
                  <w:tcW w:w="999" w:type="pct"/>
                  <w:vMerge w:val="continue"/>
                  <w:shd w:val="clear" w:color="auto" w:fill="auto"/>
                  <w:noWrap/>
                  <w:vAlign w:val="center"/>
                </w:tcPr>
                <w:p w14:paraId="0BC41732">
                  <w:pPr>
                    <w:pStyle w:val="34"/>
                    <w:bidi w:val="0"/>
                    <w:rPr>
                      <w:rFonts w:hint="default"/>
                      <w:color w:val="auto"/>
                      <w:highlight w:val="none"/>
                      <w:lang w:val="en-US" w:eastAsia="zh-CN"/>
                    </w:rPr>
                  </w:pPr>
                </w:p>
              </w:tc>
              <w:tc>
                <w:tcPr>
                  <w:tcW w:w="1000" w:type="pct"/>
                  <w:vMerge w:val="continue"/>
                  <w:noWrap/>
                  <w:vAlign w:val="center"/>
                </w:tcPr>
                <w:p w14:paraId="4BABC6BE">
                  <w:pPr>
                    <w:pStyle w:val="34"/>
                    <w:bidi w:val="0"/>
                    <w:rPr>
                      <w:rFonts w:hint="default"/>
                      <w:color w:val="auto"/>
                      <w:highlight w:val="none"/>
                      <w:lang w:val="en-US" w:eastAsia="zh-CN"/>
                    </w:rPr>
                  </w:pPr>
                </w:p>
              </w:tc>
              <w:tc>
                <w:tcPr>
                  <w:tcW w:w="784" w:type="pct"/>
                  <w:shd w:val="clear" w:color="auto" w:fill="auto"/>
                  <w:noWrap/>
                  <w:vAlign w:val="center"/>
                </w:tcPr>
                <w:p w14:paraId="069A38EB">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水洗砂</w:t>
                  </w:r>
                </w:p>
              </w:tc>
              <w:tc>
                <w:tcPr>
                  <w:tcW w:w="1215" w:type="pct"/>
                  <w:shd w:val="clear" w:color="auto" w:fill="auto"/>
                  <w:noWrap/>
                  <w:vAlign w:val="center"/>
                </w:tcPr>
                <w:p w14:paraId="201DD22C">
                  <w:pPr>
                    <w:pStyle w:val="34"/>
                    <w:bidi w:val="0"/>
                    <w:ind w:firstLine="0" w:firstLineChars="0"/>
                    <w:rPr>
                      <w:rFonts w:hint="eastAsia"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500000t/a</w:t>
                  </w:r>
                </w:p>
                <w:p w14:paraId="0116828E">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（其中</w:t>
                  </w:r>
                  <w:r>
                    <w:rPr>
                      <w:rFonts w:hint="eastAsia"/>
                      <w:b w:val="0"/>
                      <w:bCs/>
                      <w:color w:val="auto"/>
                      <w:sz w:val="21"/>
                      <w:szCs w:val="20"/>
                      <w:lang w:val="en-US" w:eastAsia="zh-CN"/>
                    </w:rPr>
                    <w:t>19.6125</w:t>
                  </w:r>
                  <w:r>
                    <w:rPr>
                      <w:rFonts w:hint="eastAsia" w:ascii="Times New Roman" w:hAnsi="Times New Roman" w:eastAsia="宋体"/>
                      <w:b w:val="0"/>
                      <w:bCs/>
                      <w:color w:val="auto"/>
                      <w:sz w:val="21"/>
                      <w:szCs w:val="20"/>
                      <w:lang w:val="en-US" w:eastAsia="zh-CN"/>
                    </w:rPr>
                    <w:t>万吨的水洗砂</w:t>
                  </w:r>
                  <w:r>
                    <w:rPr>
                      <w:rFonts w:hint="eastAsia"/>
                      <w:b w:val="0"/>
                      <w:bCs/>
                      <w:color w:val="auto"/>
                      <w:sz w:val="21"/>
                      <w:szCs w:val="20"/>
                      <w:lang w:val="en-US" w:eastAsia="zh-CN"/>
                    </w:rPr>
                    <w:t>用于本项目</w:t>
                  </w:r>
                  <w:r>
                    <w:rPr>
                      <w:rFonts w:hint="eastAsia" w:ascii="Times New Roman" w:hAnsi="Times New Roman" w:eastAsia="宋体"/>
                      <w:b w:val="0"/>
                      <w:bCs/>
                      <w:color w:val="auto"/>
                      <w:sz w:val="21"/>
                      <w:szCs w:val="20"/>
                      <w:lang w:val="en-US" w:eastAsia="zh-CN"/>
                    </w:rPr>
                    <w:t>厂区其他产品原料，剩余部分</w:t>
                  </w:r>
                  <w:r>
                    <w:rPr>
                      <w:rFonts w:hint="eastAsia"/>
                      <w:b w:val="0"/>
                      <w:bCs/>
                      <w:color w:val="auto"/>
                      <w:sz w:val="21"/>
                      <w:szCs w:val="20"/>
                      <w:lang w:val="en-US" w:eastAsia="zh-CN"/>
                    </w:rPr>
                    <w:t>外售</w:t>
                  </w:r>
                  <w:r>
                    <w:rPr>
                      <w:rFonts w:hint="eastAsia" w:ascii="Times New Roman" w:hAnsi="Times New Roman" w:eastAsia="宋体"/>
                      <w:b w:val="0"/>
                      <w:bCs/>
                      <w:color w:val="auto"/>
                      <w:sz w:val="21"/>
                      <w:szCs w:val="20"/>
                      <w:lang w:val="en-US" w:eastAsia="zh-CN"/>
                    </w:rPr>
                    <w:t>。</w:t>
                  </w:r>
                  <w:r>
                    <w:rPr>
                      <w:rFonts w:hint="eastAsia" w:cs="宋体"/>
                      <w:color w:val="auto"/>
                      <w:kern w:val="2"/>
                      <w:sz w:val="21"/>
                      <w:szCs w:val="21"/>
                      <w:highlight w:val="none"/>
                      <w:lang w:val="en-US" w:eastAsia="zh-CN" w:bidi="ar"/>
                    </w:rPr>
                    <w:t>）</w:t>
                  </w:r>
                </w:p>
              </w:tc>
            </w:tr>
            <w:tr w14:paraId="02D8D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vMerge w:val="continue"/>
                  <w:shd w:val="clear" w:color="auto" w:fill="auto"/>
                  <w:noWrap/>
                  <w:vAlign w:val="center"/>
                </w:tcPr>
                <w:p w14:paraId="72E5800A">
                  <w:pPr>
                    <w:pStyle w:val="34"/>
                    <w:bidi w:val="0"/>
                    <w:rPr>
                      <w:rFonts w:hint="eastAsia"/>
                      <w:color w:val="auto"/>
                      <w:highlight w:val="none"/>
                      <w:lang w:val="en-US" w:eastAsia="zh-CN"/>
                    </w:rPr>
                  </w:pPr>
                </w:p>
              </w:tc>
              <w:tc>
                <w:tcPr>
                  <w:tcW w:w="999" w:type="pct"/>
                  <w:vMerge w:val="continue"/>
                  <w:shd w:val="clear" w:color="auto" w:fill="auto"/>
                  <w:noWrap/>
                  <w:vAlign w:val="center"/>
                </w:tcPr>
                <w:p w14:paraId="64644170">
                  <w:pPr>
                    <w:pStyle w:val="34"/>
                    <w:bidi w:val="0"/>
                    <w:rPr>
                      <w:rFonts w:hint="default"/>
                      <w:color w:val="auto"/>
                      <w:highlight w:val="none"/>
                      <w:lang w:val="en-US" w:eastAsia="zh-CN"/>
                    </w:rPr>
                  </w:pPr>
                </w:p>
              </w:tc>
              <w:tc>
                <w:tcPr>
                  <w:tcW w:w="1000" w:type="pct"/>
                  <w:vMerge w:val="continue"/>
                  <w:noWrap/>
                  <w:vAlign w:val="center"/>
                </w:tcPr>
                <w:p w14:paraId="09017702">
                  <w:pPr>
                    <w:pStyle w:val="34"/>
                    <w:bidi w:val="0"/>
                    <w:rPr>
                      <w:rFonts w:hint="default"/>
                      <w:color w:val="auto"/>
                      <w:highlight w:val="none"/>
                      <w:lang w:val="en-US" w:eastAsia="zh-CN"/>
                    </w:rPr>
                  </w:pPr>
                </w:p>
              </w:tc>
              <w:tc>
                <w:tcPr>
                  <w:tcW w:w="784" w:type="pct"/>
                  <w:shd w:val="clear" w:color="auto" w:fill="auto"/>
                  <w:noWrap/>
                  <w:vAlign w:val="center"/>
                </w:tcPr>
                <w:p w14:paraId="36860094">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泥饼</w:t>
                  </w:r>
                </w:p>
              </w:tc>
              <w:tc>
                <w:tcPr>
                  <w:tcW w:w="1215" w:type="pct"/>
                  <w:shd w:val="clear" w:color="auto" w:fill="auto"/>
                  <w:noWrap/>
                  <w:vAlign w:val="center"/>
                </w:tcPr>
                <w:p w14:paraId="54473C01">
                  <w:pPr>
                    <w:pStyle w:val="34"/>
                    <w:bidi w:val="0"/>
                    <w:ind w:firstLine="0" w:firstLineChars="0"/>
                    <w:rPr>
                      <w:rFonts w:hint="default"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5000t/a</w:t>
                  </w:r>
                </w:p>
              </w:tc>
            </w:tr>
            <w:tr w14:paraId="0018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vMerge w:val="restart"/>
                  <w:shd w:val="clear" w:color="auto" w:fill="auto"/>
                  <w:noWrap/>
                  <w:vAlign w:val="center"/>
                </w:tcPr>
                <w:p w14:paraId="1D6391A5">
                  <w:pPr>
                    <w:pStyle w:val="34"/>
                    <w:bidi w:val="0"/>
                    <w:rPr>
                      <w:rFonts w:hint="default"/>
                      <w:color w:val="auto"/>
                      <w:highlight w:val="none"/>
                      <w:lang w:val="en-US" w:eastAsia="zh-CN"/>
                    </w:rPr>
                  </w:pPr>
                  <w:r>
                    <w:rPr>
                      <w:rFonts w:hint="eastAsia"/>
                      <w:color w:val="auto"/>
                      <w:highlight w:val="none"/>
                      <w:lang w:val="en-US" w:eastAsia="zh-CN"/>
                    </w:rPr>
                    <w:t>水稳料生产线</w:t>
                  </w:r>
                </w:p>
              </w:tc>
              <w:tc>
                <w:tcPr>
                  <w:tcW w:w="999" w:type="pct"/>
                  <w:shd w:val="clear" w:color="auto" w:fill="auto"/>
                  <w:noWrap/>
                  <w:vAlign w:val="center"/>
                </w:tcPr>
                <w:p w14:paraId="564470DB">
                  <w:pPr>
                    <w:pStyle w:val="34"/>
                    <w:bidi w:val="0"/>
                    <w:rPr>
                      <w:rFonts w:hint="default"/>
                      <w:color w:val="auto"/>
                      <w:highlight w:val="none"/>
                      <w:lang w:val="en-US" w:eastAsia="zh-CN"/>
                    </w:rPr>
                  </w:pPr>
                  <w:r>
                    <w:rPr>
                      <w:rFonts w:hint="eastAsia"/>
                      <w:color w:val="auto"/>
                      <w:highlight w:val="none"/>
                      <w:lang w:val="en-US" w:eastAsia="zh-CN"/>
                    </w:rPr>
                    <w:t>水泥</w:t>
                  </w:r>
                </w:p>
              </w:tc>
              <w:tc>
                <w:tcPr>
                  <w:tcW w:w="1000" w:type="pct"/>
                  <w:noWrap/>
                  <w:vAlign w:val="center"/>
                </w:tcPr>
                <w:p w14:paraId="45C77605">
                  <w:pPr>
                    <w:pStyle w:val="34"/>
                    <w:bidi w:val="0"/>
                    <w:rPr>
                      <w:rFonts w:hint="default"/>
                      <w:color w:val="auto"/>
                      <w:highlight w:val="none"/>
                      <w:lang w:val="en-US" w:eastAsia="zh-CN"/>
                    </w:rPr>
                  </w:pPr>
                  <w:r>
                    <w:rPr>
                      <w:rFonts w:hint="eastAsia"/>
                      <w:color w:val="auto"/>
                      <w:highlight w:val="none"/>
                      <w:lang w:val="en-US" w:eastAsia="zh-CN"/>
                    </w:rPr>
                    <w:t>12302t/a</w:t>
                  </w:r>
                </w:p>
              </w:tc>
              <w:tc>
                <w:tcPr>
                  <w:tcW w:w="784" w:type="pct"/>
                  <w:shd w:val="clear" w:color="auto" w:fill="auto"/>
                  <w:noWrap/>
                  <w:vAlign w:val="center"/>
                </w:tcPr>
                <w:p w14:paraId="2E460743">
                  <w:pPr>
                    <w:pStyle w:val="34"/>
                    <w:bidi w:val="0"/>
                    <w:ind w:firstLine="0" w:firstLineChars="0"/>
                    <w:rPr>
                      <w:rFonts w:hint="default"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除尘灰</w:t>
                  </w:r>
                </w:p>
              </w:tc>
              <w:tc>
                <w:tcPr>
                  <w:tcW w:w="1215" w:type="pct"/>
                  <w:shd w:val="clear" w:color="auto" w:fill="auto"/>
                  <w:noWrap/>
                  <w:vAlign w:val="center"/>
                </w:tcPr>
                <w:p w14:paraId="48B33785">
                  <w:pPr>
                    <w:pStyle w:val="34"/>
                    <w:bidi w:val="0"/>
                    <w:ind w:firstLine="0" w:firstLineChars="0"/>
                    <w:rPr>
                      <w:rFonts w:hint="eastAsia"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4t/a</w:t>
                  </w:r>
                </w:p>
              </w:tc>
            </w:tr>
            <w:tr w14:paraId="3992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vMerge w:val="continue"/>
                  <w:shd w:val="clear" w:color="auto" w:fill="auto"/>
                  <w:noWrap/>
                  <w:vAlign w:val="center"/>
                </w:tcPr>
                <w:p w14:paraId="3EC6546F">
                  <w:pPr>
                    <w:pStyle w:val="34"/>
                    <w:bidi w:val="0"/>
                    <w:rPr>
                      <w:rFonts w:hint="eastAsia"/>
                      <w:color w:val="auto"/>
                      <w:highlight w:val="none"/>
                      <w:lang w:val="en-US" w:eastAsia="zh-CN"/>
                    </w:rPr>
                  </w:pPr>
                </w:p>
              </w:tc>
              <w:tc>
                <w:tcPr>
                  <w:tcW w:w="999" w:type="pct"/>
                  <w:shd w:val="clear" w:color="auto" w:fill="auto"/>
                  <w:noWrap/>
                  <w:vAlign w:val="center"/>
                </w:tcPr>
                <w:p w14:paraId="45968ADD">
                  <w:pPr>
                    <w:pStyle w:val="34"/>
                    <w:bidi w:val="0"/>
                    <w:rPr>
                      <w:rFonts w:hint="default"/>
                      <w:color w:val="auto"/>
                      <w:highlight w:val="none"/>
                      <w:lang w:val="en-US" w:eastAsia="zh-CN"/>
                    </w:rPr>
                  </w:pPr>
                  <w:r>
                    <w:rPr>
                      <w:rFonts w:hint="eastAsia"/>
                      <w:color w:val="auto"/>
                      <w:highlight w:val="none"/>
                      <w:lang w:val="en-US" w:eastAsia="zh-CN"/>
                    </w:rPr>
                    <w:t>石子</w:t>
                  </w:r>
                </w:p>
              </w:tc>
              <w:tc>
                <w:tcPr>
                  <w:tcW w:w="1000" w:type="pct"/>
                  <w:noWrap/>
                  <w:vAlign w:val="center"/>
                </w:tcPr>
                <w:p w14:paraId="736933CA">
                  <w:pPr>
                    <w:pStyle w:val="34"/>
                    <w:bidi w:val="0"/>
                    <w:rPr>
                      <w:rFonts w:hint="default"/>
                      <w:color w:val="auto"/>
                      <w:highlight w:val="none"/>
                      <w:lang w:val="en-US" w:eastAsia="zh-CN"/>
                    </w:rPr>
                  </w:pPr>
                  <w:r>
                    <w:rPr>
                      <w:rFonts w:hint="eastAsia"/>
                      <w:color w:val="auto"/>
                      <w:highlight w:val="none"/>
                      <w:lang w:val="en-US" w:eastAsia="zh-CN"/>
                    </w:rPr>
                    <w:t>201902t/a</w:t>
                  </w:r>
                </w:p>
              </w:tc>
              <w:tc>
                <w:tcPr>
                  <w:tcW w:w="784" w:type="pct"/>
                  <w:shd w:val="clear" w:color="auto" w:fill="auto"/>
                  <w:noWrap/>
                  <w:vAlign w:val="center"/>
                </w:tcPr>
                <w:p w14:paraId="6D1D200D">
                  <w:pPr>
                    <w:pStyle w:val="34"/>
                    <w:bidi w:val="0"/>
                    <w:ind w:firstLine="0" w:firstLineChars="0"/>
                    <w:rPr>
                      <w:rFonts w:hint="default"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水稳料</w:t>
                  </w:r>
                </w:p>
              </w:tc>
              <w:tc>
                <w:tcPr>
                  <w:tcW w:w="1215" w:type="pct"/>
                  <w:shd w:val="clear" w:color="auto" w:fill="auto"/>
                  <w:noWrap/>
                  <w:vAlign w:val="center"/>
                </w:tcPr>
                <w:p w14:paraId="723617E6">
                  <w:pPr>
                    <w:pStyle w:val="34"/>
                    <w:bidi w:val="0"/>
                    <w:ind w:firstLine="0" w:firstLineChars="0"/>
                    <w:rPr>
                      <w:rFonts w:hint="eastAsia"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300000t/a</w:t>
                  </w:r>
                </w:p>
              </w:tc>
            </w:tr>
            <w:tr w14:paraId="4283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vMerge w:val="continue"/>
                  <w:shd w:val="clear" w:color="auto" w:fill="auto"/>
                  <w:noWrap/>
                  <w:vAlign w:val="center"/>
                </w:tcPr>
                <w:p w14:paraId="7DB272D1">
                  <w:pPr>
                    <w:pStyle w:val="34"/>
                    <w:bidi w:val="0"/>
                    <w:rPr>
                      <w:rFonts w:hint="eastAsia"/>
                      <w:color w:val="auto"/>
                      <w:highlight w:val="none"/>
                      <w:lang w:val="en-US" w:eastAsia="zh-CN"/>
                    </w:rPr>
                  </w:pPr>
                </w:p>
              </w:tc>
              <w:tc>
                <w:tcPr>
                  <w:tcW w:w="999" w:type="pct"/>
                  <w:shd w:val="clear" w:color="auto" w:fill="auto"/>
                  <w:noWrap/>
                  <w:vAlign w:val="center"/>
                </w:tcPr>
                <w:p w14:paraId="4EC73626">
                  <w:pPr>
                    <w:pStyle w:val="34"/>
                    <w:bidi w:val="0"/>
                    <w:rPr>
                      <w:rFonts w:hint="default"/>
                      <w:color w:val="auto"/>
                      <w:highlight w:val="none"/>
                      <w:lang w:val="en-US" w:eastAsia="zh-CN"/>
                    </w:rPr>
                  </w:pPr>
                  <w:r>
                    <w:rPr>
                      <w:rFonts w:hint="eastAsia"/>
                      <w:color w:val="auto"/>
                      <w:highlight w:val="none"/>
                      <w:lang w:val="en-US" w:eastAsia="zh-CN"/>
                    </w:rPr>
                    <w:t>水洗砂</w:t>
                  </w:r>
                </w:p>
              </w:tc>
              <w:tc>
                <w:tcPr>
                  <w:tcW w:w="1000" w:type="pct"/>
                  <w:noWrap/>
                  <w:vAlign w:val="center"/>
                </w:tcPr>
                <w:p w14:paraId="664AC4F3">
                  <w:pPr>
                    <w:pStyle w:val="34"/>
                    <w:bidi w:val="0"/>
                    <w:rPr>
                      <w:rFonts w:hint="default"/>
                      <w:color w:val="auto"/>
                      <w:highlight w:val="none"/>
                      <w:lang w:val="en-US" w:eastAsia="zh-CN"/>
                    </w:rPr>
                  </w:pPr>
                  <w:r>
                    <w:rPr>
                      <w:rFonts w:hint="eastAsia"/>
                      <w:color w:val="auto"/>
                      <w:highlight w:val="none"/>
                      <w:lang w:val="en-US" w:eastAsia="zh-CN"/>
                    </w:rPr>
                    <w:t>86400t/a</w:t>
                  </w:r>
                </w:p>
              </w:tc>
              <w:tc>
                <w:tcPr>
                  <w:tcW w:w="784" w:type="pct"/>
                  <w:shd w:val="clear" w:color="auto" w:fill="auto"/>
                  <w:noWrap/>
                  <w:vAlign w:val="center"/>
                </w:tcPr>
                <w:p w14:paraId="3D970F54">
                  <w:pPr>
                    <w:pStyle w:val="34"/>
                    <w:bidi w:val="0"/>
                    <w:ind w:firstLine="0" w:firstLineChars="0"/>
                    <w:rPr>
                      <w:rFonts w:hint="default"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泥饼</w:t>
                  </w:r>
                </w:p>
              </w:tc>
              <w:tc>
                <w:tcPr>
                  <w:tcW w:w="1215" w:type="pct"/>
                  <w:shd w:val="clear" w:color="auto" w:fill="auto"/>
                  <w:noWrap/>
                  <w:vAlign w:val="center"/>
                </w:tcPr>
                <w:p w14:paraId="6804F98B">
                  <w:pPr>
                    <w:pStyle w:val="34"/>
                    <w:bidi w:val="0"/>
                    <w:ind w:firstLine="0" w:firstLineChars="0"/>
                    <w:rPr>
                      <w:rFonts w:hint="default"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600t/a</w:t>
                  </w:r>
                </w:p>
              </w:tc>
            </w:tr>
            <w:tr w14:paraId="2AAB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vMerge w:val="restart"/>
                  <w:shd w:val="clear" w:color="auto" w:fill="auto"/>
                  <w:noWrap/>
                  <w:vAlign w:val="center"/>
                </w:tcPr>
                <w:p w14:paraId="6F75A6AB">
                  <w:pPr>
                    <w:pStyle w:val="34"/>
                    <w:bidi w:val="0"/>
                    <w:rPr>
                      <w:rFonts w:hint="default"/>
                      <w:color w:val="auto"/>
                      <w:highlight w:val="none"/>
                      <w:lang w:val="en-US" w:eastAsia="zh-CN"/>
                    </w:rPr>
                  </w:pPr>
                  <w:r>
                    <w:rPr>
                      <w:rFonts w:hint="eastAsia"/>
                      <w:color w:val="auto"/>
                      <w:highlight w:val="none"/>
                      <w:lang w:val="en-US" w:eastAsia="zh-CN"/>
                    </w:rPr>
                    <w:t>湿拌砂浆生产线</w:t>
                  </w:r>
                </w:p>
              </w:tc>
              <w:tc>
                <w:tcPr>
                  <w:tcW w:w="999" w:type="pct"/>
                  <w:shd w:val="clear" w:color="auto" w:fill="auto"/>
                  <w:noWrap/>
                  <w:vAlign w:val="center"/>
                </w:tcPr>
                <w:p w14:paraId="551EE1EE">
                  <w:pPr>
                    <w:pStyle w:val="34"/>
                    <w:bidi w:val="0"/>
                    <w:rPr>
                      <w:rFonts w:hint="default"/>
                      <w:color w:val="auto"/>
                      <w:highlight w:val="none"/>
                      <w:lang w:val="en-US" w:eastAsia="zh-CN"/>
                    </w:rPr>
                  </w:pPr>
                  <w:r>
                    <w:rPr>
                      <w:rFonts w:hint="eastAsia"/>
                      <w:color w:val="auto"/>
                      <w:highlight w:val="none"/>
                      <w:lang w:val="en-US" w:eastAsia="zh-CN"/>
                    </w:rPr>
                    <w:t>水泥</w:t>
                  </w:r>
                </w:p>
              </w:tc>
              <w:tc>
                <w:tcPr>
                  <w:tcW w:w="1000" w:type="pct"/>
                  <w:noWrap/>
                  <w:vAlign w:val="center"/>
                </w:tcPr>
                <w:p w14:paraId="39614C34">
                  <w:pPr>
                    <w:pStyle w:val="34"/>
                    <w:bidi w:val="0"/>
                    <w:rPr>
                      <w:rFonts w:hint="eastAsia"/>
                      <w:color w:val="auto"/>
                      <w:highlight w:val="none"/>
                      <w:lang w:val="en-US" w:eastAsia="zh-CN"/>
                    </w:rPr>
                  </w:pPr>
                  <w:r>
                    <w:rPr>
                      <w:rFonts w:hint="eastAsia"/>
                      <w:color w:val="auto"/>
                      <w:highlight w:val="none"/>
                      <w:lang w:val="en-US" w:eastAsia="zh-CN"/>
                    </w:rPr>
                    <w:t>12351t/a</w:t>
                  </w:r>
                </w:p>
              </w:tc>
              <w:tc>
                <w:tcPr>
                  <w:tcW w:w="784" w:type="pct"/>
                  <w:shd w:val="clear" w:color="auto" w:fill="auto"/>
                  <w:noWrap/>
                  <w:vAlign w:val="center"/>
                </w:tcPr>
                <w:p w14:paraId="2893BAE8">
                  <w:pPr>
                    <w:pStyle w:val="34"/>
                    <w:bidi w:val="0"/>
                    <w:ind w:firstLine="0" w:firstLineChars="0"/>
                    <w:rPr>
                      <w:rFonts w:hint="default"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除尘灰</w:t>
                  </w:r>
                </w:p>
              </w:tc>
              <w:tc>
                <w:tcPr>
                  <w:tcW w:w="1215" w:type="pct"/>
                  <w:shd w:val="clear" w:color="auto" w:fill="auto"/>
                  <w:noWrap/>
                  <w:vAlign w:val="center"/>
                </w:tcPr>
                <w:p w14:paraId="7F956723">
                  <w:pPr>
                    <w:pStyle w:val="34"/>
                    <w:bidi w:val="0"/>
                    <w:ind w:firstLine="0" w:firstLineChars="0"/>
                    <w:rPr>
                      <w:rFonts w:hint="eastAsia" w:cs="宋体"/>
                      <w:color w:val="auto"/>
                      <w:kern w:val="2"/>
                      <w:sz w:val="21"/>
                      <w:szCs w:val="21"/>
                      <w:highlight w:val="none"/>
                      <w:lang w:val="en-US" w:eastAsia="zh-CN" w:bidi="ar"/>
                    </w:rPr>
                  </w:pPr>
                  <w:r>
                    <w:rPr>
                      <w:rFonts w:hint="eastAsia"/>
                      <w:color w:val="auto"/>
                      <w:highlight w:val="none"/>
                      <w:lang w:val="en-US" w:eastAsia="zh-CN"/>
                    </w:rPr>
                    <w:t>2t/a</w:t>
                  </w:r>
                </w:p>
              </w:tc>
            </w:tr>
            <w:tr w14:paraId="05AF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vMerge w:val="continue"/>
                  <w:shd w:val="clear" w:color="auto" w:fill="auto"/>
                  <w:noWrap/>
                  <w:vAlign w:val="center"/>
                </w:tcPr>
                <w:p w14:paraId="26CFEE8F">
                  <w:pPr>
                    <w:pStyle w:val="34"/>
                    <w:bidi w:val="0"/>
                    <w:rPr>
                      <w:rFonts w:hint="eastAsia"/>
                      <w:color w:val="auto"/>
                      <w:highlight w:val="none"/>
                      <w:lang w:val="en-US" w:eastAsia="zh-CN"/>
                    </w:rPr>
                  </w:pPr>
                </w:p>
              </w:tc>
              <w:tc>
                <w:tcPr>
                  <w:tcW w:w="999" w:type="pct"/>
                  <w:shd w:val="clear" w:color="auto" w:fill="auto"/>
                  <w:noWrap/>
                  <w:vAlign w:val="center"/>
                </w:tcPr>
                <w:p w14:paraId="40019547">
                  <w:pPr>
                    <w:pStyle w:val="34"/>
                    <w:bidi w:val="0"/>
                    <w:rPr>
                      <w:rFonts w:hint="default"/>
                      <w:color w:val="auto"/>
                      <w:highlight w:val="none"/>
                      <w:lang w:val="en-US" w:eastAsia="zh-CN"/>
                    </w:rPr>
                  </w:pPr>
                  <w:r>
                    <w:rPr>
                      <w:rFonts w:hint="eastAsia"/>
                      <w:color w:val="auto"/>
                      <w:highlight w:val="none"/>
                      <w:lang w:val="en-US" w:eastAsia="zh-CN"/>
                    </w:rPr>
                    <w:t>粉煤灰</w:t>
                  </w:r>
                </w:p>
              </w:tc>
              <w:tc>
                <w:tcPr>
                  <w:tcW w:w="1000" w:type="pct"/>
                  <w:noWrap/>
                  <w:vAlign w:val="center"/>
                </w:tcPr>
                <w:p w14:paraId="20DCA22C">
                  <w:pPr>
                    <w:pStyle w:val="34"/>
                    <w:bidi w:val="0"/>
                    <w:rPr>
                      <w:rFonts w:hint="eastAsia"/>
                      <w:color w:val="auto"/>
                      <w:highlight w:val="none"/>
                      <w:lang w:val="en-US" w:eastAsia="zh-CN"/>
                    </w:rPr>
                  </w:pPr>
                  <w:r>
                    <w:rPr>
                      <w:rFonts w:hint="eastAsia"/>
                      <w:color w:val="auto"/>
                      <w:highlight w:val="none"/>
                      <w:lang w:val="en-US" w:eastAsia="zh-CN"/>
                    </w:rPr>
                    <w:t>8251t/a</w:t>
                  </w:r>
                </w:p>
              </w:tc>
              <w:tc>
                <w:tcPr>
                  <w:tcW w:w="784" w:type="pct"/>
                  <w:vMerge w:val="restart"/>
                  <w:shd w:val="clear" w:color="auto" w:fill="auto"/>
                  <w:noWrap/>
                  <w:vAlign w:val="center"/>
                </w:tcPr>
                <w:p w14:paraId="553DEDC4">
                  <w:pPr>
                    <w:pStyle w:val="34"/>
                    <w:bidi w:val="0"/>
                    <w:ind w:firstLine="0" w:firstLineChars="0"/>
                    <w:rPr>
                      <w:rFonts w:hint="default"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湿拌砂浆</w:t>
                  </w:r>
                </w:p>
              </w:tc>
              <w:tc>
                <w:tcPr>
                  <w:tcW w:w="1215" w:type="pct"/>
                  <w:vMerge w:val="restart"/>
                  <w:shd w:val="clear" w:color="auto" w:fill="auto"/>
                  <w:noWrap/>
                  <w:vAlign w:val="center"/>
                </w:tcPr>
                <w:p w14:paraId="62AC7DC6">
                  <w:pPr>
                    <w:pStyle w:val="34"/>
                    <w:bidi w:val="0"/>
                    <w:ind w:firstLine="0" w:firstLineChars="0"/>
                    <w:rPr>
                      <w:rFonts w:hint="default"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100000</w:t>
                  </w:r>
                  <w:r>
                    <w:rPr>
                      <w:rFonts w:hint="eastAsia"/>
                      <w:color w:val="auto"/>
                      <w:highlight w:val="none"/>
                      <w:lang w:val="en-US" w:eastAsia="zh-CN"/>
                    </w:rPr>
                    <w:t>t/a</w:t>
                  </w:r>
                </w:p>
              </w:tc>
            </w:tr>
            <w:tr w14:paraId="1373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vMerge w:val="continue"/>
                  <w:shd w:val="clear" w:color="auto" w:fill="auto"/>
                  <w:noWrap/>
                  <w:vAlign w:val="center"/>
                </w:tcPr>
                <w:p w14:paraId="4DEF2B67">
                  <w:pPr>
                    <w:pStyle w:val="34"/>
                    <w:bidi w:val="0"/>
                    <w:rPr>
                      <w:rFonts w:hint="eastAsia"/>
                      <w:color w:val="auto"/>
                      <w:highlight w:val="none"/>
                      <w:lang w:val="en-US" w:eastAsia="zh-CN"/>
                    </w:rPr>
                  </w:pPr>
                </w:p>
              </w:tc>
              <w:tc>
                <w:tcPr>
                  <w:tcW w:w="999" w:type="pct"/>
                  <w:shd w:val="clear" w:color="auto" w:fill="auto"/>
                  <w:noWrap/>
                  <w:vAlign w:val="center"/>
                </w:tcPr>
                <w:p w14:paraId="10596A3D">
                  <w:pPr>
                    <w:pStyle w:val="34"/>
                    <w:bidi w:val="0"/>
                    <w:rPr>
                      <w:rFonts w:hint="default"/>
                      <w:color w:val="auto"/>
                      <w:highlight w:val="none"/>
                      <w:lang w:val="en-US" w:eastAsia="zh-CN"/>
                    </w:rPr>
                  </w:pPr>
                  <w:r>
                    <w:rPr>
                      <w:rFonts w:hint="eastAsia"/>
                      <w:color w:val="auto"/>
                      <w:highlight w:val="none"/>
                      <w:lang w:val="en-US" w:eastAsia="zh-CN"/>
                    </w:rPr>
                    <w:t>水洗砂</w:t>
                  </w:r>
                </w:p>
              </w:tc>
              <w:tc>
                <w:tcPr>
                  <w:tcW w:w="1000" w:type="pct"/>
                  <w:noWrap/>
                  <w:vAlign w:val="center"/>
                </w:tcPr>
                <w:p w14:paraId="5563F0AF">
                  <w:pPr>
                    <w:pStyle w:val="34"/>
                    <w:bidi w:val="0"/>
                    <w:rPr>
                      <w:rFonts w:hint="default"/>
                      <w:color w:val="auto"/>
                      <w:highlight w:val="none"/>
                      <w:lang w:val="en-US" w:eastAsia="zh-CN"/>
                    </w:rPr>
                  </w:pPr>
                  <w:r>
                    <w:rPr>
                      <w:rFonts w:hint="eastAsia"/>
                      <w:color w:val="auto"/>
                      <w:highlight w:val="none"/>
                      <w:lang w:val="en-US" w:eastAsia="zh-CN"/>
                    </w:rPr>
                    <w:t>79700t/a</w:t>
                  </w:r>
                </w:p>
              </w:tc>
              <w:tc>
                <w:tcPr>
                  <w:tcW w:w="784" w:type="pct"/>
                  <w:vMerge w:val="continue"/>
                  <w:shd w:val="clear" w:color="auto" w:fill="auto"/>
                  <w:noWrap/>
                  <w:vAlign w:val="center"/>
                </w:tcPr>
                <w:p w14:paraId="035895DC">
                  <w:pPr>
                    <w:pStyle w:val="34"/>
                    <w:bidi w:val="0"/>
                    <w:ind w:firstLine="0" w:firstLineChars="0"/>
                    <w:rPr>
                      <w:rFonts w:hint="eastAsia" w:cs="宋体"/>
                      <w:color w:val="auto"/>
                      <w:kern w:val="2"/>
                      <w:sz w:val="21"/>
                      <w:szCs w:val="21"/>
                      <w:highlight w:val="none"/>
                      <w:lang w:val="en-US" w:eastAsia="zh-CN" w:bidi="ar"/>
                    </w:rPr>
                  </w:pPr>
                </w:p>
              </w:tc>
              <w:tc>
                <w:tcPr>
                  <w:tcW w:w="1215" w:type="pct"/>
                  <w:vMerge w:val="continue"/>
                  <w:shd w:val="clear" w:color="auto" w:fill="auto"/>
                  <w:noWrap/>
                  <w:vAlign w:val="center"/>
                </w:tcPr>
                <w:p w14:paraId="61E45DA4">
                  <w:pPr>
                    <w:pStyle w:val="34"/>
                    <w:bidi w:val="0"/>
                    <w:ind w:firstLine="0" w:firstLineChars="0"/>
                    <w:rPr>
                      <w:rFonts w:hint="eastAsia" w:cs="宋体"/>
                      <w:color w:val="auto"/>
                      <w:kern w:val="2"/>
                      <w:sz w:val="21"/>
                      <w:szCs w:val="21"/>
                      <w:highlight w:val="none"/>
                      <w:lang w:val="en-US" w:eastAsia="zh-CN" w:bidi="ar"/>
                    </w:rPr>
                  </w:pPr>
                </w:p>
              </w:tc>
            </w:tr>
            <w:tr w14:paraId="0069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vMerge w:val="continue"/>
                  <w:shd w:val="clear" w:color="auto" w:fill="auto"/>
                  <w:noWrap/>
                  <w:vAlign w:val="center"/>
                </w:tcPr>
                <w:p w14:paraId="4769AF27">
                  <w:pPr>
                    <w:pStyle w:val="34"/>
                    <w:bidi w:val="0"/>
                    <w:rPr>
                      <w:rFonts w:hint="eastAsia"/>
                      <w:color w:val="auto"/>
                      <w:highlight w:val="none"/>
                      <w:lang w:val="en-US" w:eastAsia="zh-CN"/>
                    </w:rPr>
                  </w:pPr>
                </w:p>
              </w:tc>
              <w:tc>
                <w:tcPr>
                  <w:tcW w:w="999" w:type="pct"/>
                  <w:shd w:val="clear" w:color="auto" w:fill="auto"/>
                  <w:noWrap/>
                  <w:vAlign w:val="center"/>
                </w:tcPr>
                <w:p w14:paraId="0878AC67">
                  <w:pPr>
                    <w:pStyle w:val="34"/>
                    <w:bidi w:val="0"/>
                    <w:rPr>
                      <w:rFonts w:hint="default"/>
                      <w:color w:val="auto"/>
                      <w:highlight w:val="none"/>
                      <w:lang w:val="en-US" w:eastAsia="zh-CN"/>
                    </w:rPr>
                  </w:pPr>
                  <w:r>
                    <w:rPr>
                      <w:rFonts w:hint="eastAsia"/>
                      <w:color w:val="auto"/>
                      <w:highlight w:val="none"/>
                      <w:lang w:val="en-US" w:eastAsia="zh-CN"/>
                    </w:rPr>
                    <w:t>添加剂</w:t>
                  </w:r>
                </w:p>
              </w:tc>
              <w:tc>
                <w:tcPr>
                  <w:tcW w:w="1000" w:type="pct"/>
                  <w:noWrap/>
                  <w:vAlign w:val="center"/>
                </w:tcPr>
                <w:p w14:paraId="5CA59921">
                  <w:pPr>
                    <w:pStyle w:val="34"/>
                    <w:bidi w:val="0"/>
                    <w:rPr>
                      <w:rFonts w:hint="default"/>
                      <w:color w:val="auto"/>
                      <w:highlight w:val="none"/>
                      <w:lang w:val="en-US" w:eastAsia="zh-CN"/>
                    </w:rPr>
                  </w:pPr>
                  <w:r>
                    <w:rPr>
                      <w:rFonts w:hint="eastAsia"/>
                      <w:color w:val="auto"/>
                      <w:highlight w:val="none"/>
                      <w:lang w:val="en-US" w:eastAsia="zh-CN"/>
                    </w:rPr>
                    <w:t>100t/a</w:t>
                  </w:r>
                </w:p>
              </w:tc>
              <w:tc>
                <w:tcPr>
                  <w:tcW w:w="784" w:type="pct"/>
                  <w:shd w:val="clear" w:color="auto" w:fill="auto"/>
                  <w:noWrap/>
                  <w:vAlign w:val="center"/>
                </w:tcPr>
                <w:p w14:paraId="27A71185">
                  <w:pPr>
                    <w:pStyle w:val="34"/>
                    <w:bidi w:val="0"/>
                    <w:ind w:firstLine="0" w:firstLineChars="0"/>
                    <w:rPr>
                      <w:rFonts w:hint="default"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泥饼</w:t>
                  </w:r>
                </w:p>
              </w:tc>
              <w:tc>
                <w:tcPr>
                  <w:tcW w:w="1215" w:type="pct"/>
                  <w:shd w:val="clear" w:color="auto" w:fill="auto"/>
                  <w:noWrap/>
                  <w:vAlign w:val="center"/>
                </w:tcPr>
                <w:p w14:paraId="3A0F74BA">
                  <w:pPr>
                    <w:pStyle w:val="34"/>
                    <w:bidi w:val="0"/>
                    <w:ind w:firstLine="0" w:firstLineChars="0"/>
                    <w:rPr>
                      <w:rFonts w:hint="eastAsia" w:cs="宋体"/>
                      <w:color w:val="auto"/>
                      <w:kern w:val="2"/>
                      <w:sz w:val="21"/>
                      <w:szCs w:val="21"/>
                      <w:highlight w:val="none"/>
                      <w:lang w:val="en-US" w:eastAsia="zh-CN" w:bidi="ar"/>
                    </w:rPr>
                  </w:pPr>
                  <w:r>
                    <w:rPr>
                      <w:rFonts w:hint="eastAsia"/>
                      <w:color w:val="auto"/>
                      <w:highlight w:val="none"/>
                      <w:lang w:val="en-US" w:eastAsia="zh-CN"/>
                    </w:rPr>
                    <w:t>300t/a</w:t>
                  </w:r>
                </w:p>
              </w:tc>
            </w:tr>
            <w:tr w14:paraId="63D9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vMerge w:val="restart"/>
                  <w:shd w:val="clear" w:color="auto" w:fill="auto"/>
                  <w:noWrap/>
                  <w:vAlign w:val="center"/>
                </w:tcPr>
                <w:p w14:paraId="7F2E6754">
                  <w:pPr>
                    <w:pStyle w:val="34"/>
                    <w:bidi w:val="0"/>
                    <w:rPr>
                      <w:rFonts w:hint="default"/>
                      <w:color w:val="auto"/>
                      <w:highlight w:val="none"/>
                      <w:lang w:val="en-US" w:eastAsia="zh-CN"/>
                    </w:rPr>
                  </w:pPr>
                  <w:r>
                    <w:rPr>
                      <w:rFonts w:hint="eastAsia"/>
                      <w:color w:val="auto"/>
                      <w:highlight w:val="none"/>
                      <w:lang w:val="en-US" w:eastAsia="zh-CN"/>
                    </w:rPr>
                    <w:t>预制构件生产线</w:t>
                  </w:r>
                </w:p>
              </w:tc>
              <w:tc>
                <w:tcPr>
                  <w:tcW w:w="999" w:type="pct"/>
                  <w:shd w:val="clear" w:color="auto" w:fill="auto"/>
                  <w:noWrap/>
                  <w:vAlign w:val="center"/>
                </w:tcPr>
                <w:p w14:paraId="5C1326D9">
                  <w:pPr>
                    <w:pStyle w:val="34"/>
                    <w:bidi w:val="0"/>
                    <w:rPr>
                      <w:rFonts w:hint="default"/>
                      <w:color w:val="auto"/>
                      <w:highlight w:val="none"/>
                      <w:lang w:val="en-US" w:eastAsia="zh-CN"/>
                    </w:rPr>
                  </w:pPr>
                  <w:r>
                    <w:rPr>
                      <w:rFonts w:hint="eastAsia"/>
                      <w:color w:val="auto"/>
                      <w:highlight w:val="none"/>
                      <w:lang w:val="en-US" w:eastAsia="zh-CN"/>
                    </w:rPr>
                    <w:t>水泥</w:t>
                  </w:r>
                </w:p>
              </w:tc>
              <w:tc>
                <w:tcPr>
                  <w:tcW w:w="1000" w:type="pct"/>
                  <w:noWrap/>
                  <w:vAlign w:val="center"/>
                </w:tcPr>
                <w:p w14:paraId="36897D65">
                  <w:pPr>
                    <w:pStyle w:val="34"/>
                    <w:bidi w:val="0"/>
                    <w:rPr>
                      <w:rFonts w:hint="eastAsia"/>
                      <w:color w:val="auto"/>
                      <w:highlight w:val="none"/>
                      <w:lang w:val="en-US" w:eastAsia="zh-CN"/>
                    </w:rPr>
                  </w:pPr>
                  <w:r>
                    <w:rPr>
                      <w:rFonts w:hint="eastAsia"/>
                      <w:color w:val="auto"/>
                      <w:highlight w:val="none"/>
                      <w:lang w:val="en-US" w:eastAsia="zh-CN"/>
                    </w:rPr>
                    <w:t>12625t/a</w:t>
                  </w:r>
                </w:p>
              </w:tc>
              <w:tc>
                <w:tcPr>
                  <w:tcW w:w="784" w:type="pct"/>
                  <w:shd w:val="clear" w:color="auto" w:fill="auto"/>
                  <w:noWrap/>
                  <w:vAlign w:val="center"/>
                </w:tcPr>
                <w:p w14:paraId="47D25CC3">
                  <w:pPr>
                    <w:pStyle w:val="34"/>
                    <w:bidi w:val="0"/>
                    <w:ind w:firstLine="0" w:firstLineChars="0"/>
                    <w:rPr>
                      <w:rFonts w:hint="default"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除尘灰</w:t>
                  </w:r>
                </w:p>
              </w:tc>
              <w:tc>
                <w:tcPr>
                  <w:tcW w:w="1215" w:type="pct"/>
                  <w:shd w:val="clear" w:color="auto" w:fill="auto"/>
                  <w:noWrap/>
                  <w:vAlign w:val="center"/>
                </w:tcPr>
                <w:p w14:paraId="7012F31E">
                  <w:pPr>
                    <w:pStyle w:val="34"/>
                    <w:bidi w:val="0"/>
                    <w:ind w:firstLine="0" w:firstLineChars="0"/>
                    <w:rPr>
                      <w:rFonts w:hint="eastAsia" w:cs="宋体"/>
                      <w:color w:val="auto"/>
                      <w:kern w:val="2"/>
                      <w:sz w:val="21"/>
                      <w:szCs w:val="21"/>
                      <w:highlight w:val="none"/>
                      <w:lang w:val="en-US" w:eastAsia="zh-CN" w:bidi="ar"/>
                    </w:rPr>
                  </w:pPr>
                  <w:r>
                    <w:rPr>
                      <w:rFonts w:hint="eastAsia"/>
                      <w:color w:val="auto"/>
                      <w:highlight w:val="none"/>
                      <w:lang w:val="en-US" w:eastAsia="zh-CN"/>
                    </w:rPr>
                    <w:t>2t/a</w:t>
                  </w:r>
                </w:p>
              </w:tc>
            </w:tr>
            <w:tr w14:paraId="2CB2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vMerge w:val="continue"/>
                  <w:shd w:val="clear" w:color="auto" w:fill="auto"/>
                  <w:noWrap/>
                  <w:vAlign w:val="center"/>
                </w:tcPr>
                <w:p w14:paraId="0971CC45">
                  <w:pPr>
                    <w:pStyle w:val="34"/>
                    <w:bidi w:val="0"/>
                    <w:rPr>
                      <w:rFonts w:hint="eastAsia"/>
                      <w:color w:val="auto"/>
                      <w:highlight w:val="none"/>
                      <w:lang w:val="en-US" w:eastAsia="zh-CN"/>
                    </w:rPr>
                  </w:pPr>
                </w:p>
              </w:tc>
              <w:tc>
                <w:tcPr>
                  <w:tcW w:w="999" w:type="pct"/>
                  <w:shd w:val="clear" w:color="auto" w:fill="auto"/>
                  <w:noWrap/>
                  <w:vAlign w:val="center"/>
                </w:tcPr>
                <w:p w14:paraId="367C941B">
                  <w:pPr>
                    <w:pStyle w:val="34"/>
                    <w:bidi w:val="0"/>
                    <w:rPr>
                      <w:rFonts w:hint="default"/>
                      <w:color w:val="auto"/>
                      <w:highlight w:val="none"/>
                      <w:lang w:val="en-US" w:eastAsia="zh-CN"/>
                    </w:rPr>
                  </w:pPr>
                  <w:r>
                    <w:rPr>
                      <w:rFonts w:hint="eastAsia"/>
                      <w:color w:val="auto"/>
                      <w:highlight w:val="none"/>
                      <w:lang w:val="en-US" w:eastAsia="zh-CN"/>
                    </w:rPr>
                    <w:t>粉煤灰</w:t>
                  </w:r>
                </w:p>
              </w:tc>
              <w:tc>
                <w:tcPr>
                  <w:tcW w:w="1000" w:type="pct"/>
                  <w:noWrap/>
                  <w:vAlign w:val="center"/>
                </w:tcPr>
                <w:p w14:paraId="448381C7">
                  <w:pPr>
                    <w:pStyle w:val="34"/>
                    <w:bidi w:val="0"/>
                    <w:rPr>
                      <w:rFonts w:hint="eastAsia"/>
                      <w:color w:val="auto"/>
                      <w:highlight w:val="none"/>
                      <w:lang w:val="en-US" w:eastAsia="zh-CN"/>
                    </w:rPr>
                  </w:pPr>
                  <w:r>
                    <w:rPr>
                      <w:rFonts w:hint="eastAsia"/>
                      <w:color w:val="auto"/>
                      <w:highlight w:val="none"/>
                      <w:lang w:val="en-US" w:eastAsia="zh-CN"/>
                    </w:rPr>
                    <w:t>3326t/a</w:t>
                  </w:r>
                </w:p>
              </w:tc>
              <w:tc>
                <w:tcPr>
                  <w:tcW w:w="784" w:type="pct"/>
                  <w:vMerge w:val="restart"/>
                  <w:shd w:val="clear" w:color="auto" w:fill="auto"/>
                  <w:noWrap/>
                  <w:vAlign w:val="center"/>
                </w:tcPr>
                <w:p w14:paraId="631FB4DA">
                  <w:pPr>
                    <w:pStyle w:val="34"/>
                    <w:bidi w:val="0"/>
                    <w:ind w:firstLine="0" w:firstLineChars="0"/>
                    <w:rPr>
                      <w:rFonts w:hint="default"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预制构件</w:t>
                  </w:r>
                </w:p>
              </w:tc>
              <w:tc>
                <w:tcPr>
                  <w:tcW w:w="1215" w:type="pct"/>
                  <w:vMerge w:val="restart"/>
                  <w:shd w:val="clear" w:color="auto" w:fill="auto"/>
                  <w:noWrap/>
                  <w:vAlign w:val="center"/>
                </w:tcPr>
                <w:p w14:paraId="5FD515BC">
                  <w:pPr>
                    <w:pStyle w:val="34"/>
                    <w:bidi w:val="0"/>
                    <w:ind w:firstLine="0" w:firstLineChars="0"/>
                    <w:rPr>
                      <w:rFonts w:hint="eastAsia" w:cs="宋体"/>
                      <w:color w:val="auto"/>
                      <w:kern w:val="2"/>
                      <w:sz w:val="21"/>
                      <w:szCs w:val="21"/>
                      <w:highlight w:val="none"/>
                      <w:lang w:val="en-US" w:eastAsia="zh-CN" w:bidi="ar"/>
                    </w:rPr>
                  </w:pPr>
                  <w:r>
                    <w:rPr>
                      <w:rFonts w:hint="eastAsia"/>
                      <w:color w:val="auto"/>
                      <w:highlight w:val="none"/>
                      <w:lang w:val="en-US" w:eastAsia="zh-CN"/>
                    </w:rPr>
                    <w:t>100000t/a</w:t>
                  </w:r>
                </w:p>
              </w:tc>
            </w:tr>
            <w:tr w14:paraId="5FFB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vMerge w:val="continue"/>
                  <w:shd w:val="clear" w:color="auto" w:fill="auto"/>
                  <w:noWrap/>
                  <w:vAlign w:val="center"/>
                </w:tcPr>
                <w:p w14:paraId="07F49277">
                  <w:pPr>
                    <w:pStyle w:val="34"/>
                    <w:bidi w:val="0"/>
                    <w:rPr>
                      <w:rFonts w:hint="eastAsia"/>
                      <w:color w:val="auto"/>
                      <w:highlight w:val="none"/>
                      <w:lang w:val="en-US" w:eastAsia="zh-CN"/>
                    </w:rPr>
                  </w:pPr>
                </w:p>
              </w:tc>
              <w:tc>
                <w:tcPr>
                  <w:tcW w:w="999" w:type="pct"/>
                  <w:shd w:val="clear" w:color="auto" w:fill="auto"/>
                  <w:noWrap/>
                  <w:vAlign w:val="center"/>
                </w:tcPr>
                <w:p w14:paraId="18BAFFC3">
                  <w:pPr>
                    <w:pStyle w:val="34"/>
                    <w:bidi w:val="0"/>
                    <w:rPr>
                      <w:rFonts w:hint="default"/>
                      <w:color w:val="auto"/>
                      <w:highlight w:val="none"/>
                      <w:lang w:val="en-US" w:eastAsia="zh-CN"/>
                    </w:rPr>
                  </w:pPr>
                  <w:r>
                    <w:rPr>
                      <w:rFonts w:hint="eastAsia"/>
                      <w:color w:val="auto"/>
                      <w:highlight w:val="none"/>
                      <w:lang w:val="en-US" w:eastAsia="zh-CN"/>
                    </w:rPr>
                    <w:t>石子</w:t>
                  </w:r>
                </w:p>
              </w:tc>
              <w:tc>
                <w:tcPr>
                  <w:tcW w:w="1000" w:type="pct"/>
                  <w:noWrap/>
                  <w:vAlign w:val="center"/>
                </w:tcPr>
                <w:p w14:paraId="1C4294DF">
                  <w:pPr>
                    <w:pStyle w:val="34"/>
                    <w:bidi w:val="0"/>
                    <w:rPr>
                      <w:rFonts w:hint="eastAsia"/>
                      <w:color w:val="auto"/>
                      <w:highlight w:val="none"/>
                      <w:lang w:val="en-US" w:eastAsia="zh-CN"/>
                    </w:rPr>
                  </w:pPr>
                  <w:r>
                    <w:rPr>
                      <w:rFonts w:hint="eastAsia"/>
                      <w:color w:val="auto"/>
                      <w:highlight w:val="none"/>
                      <w:lang w:val="en-US" w:eastAsia="zh-CN"/>
                    </w:rPr>
                    <w:t>54326t/a</w:t>
                  </w:r>
                </w:p>
              </w:tc>
              <w:tc>
                <w:tcPr>
                  <w:tcW w:w="784" w:type="pct"/>
                  <w:vMerge w:val="continue"/>
                  <w:shd w:val="clear" w:color="auto" w:fill="auto"/>
                  <w:noWrap/>
                  <w:vAlign w:val="center"/>
                </w:tcPr>
                <w:p w14:paraId="529EC303">
                  <w:pPr>
                    <w:pStyle w:val="34"/>
                    <w:bidi w:val="0"/>
                    <w:ind w:firstLine="0" w:firstLineChars="0"/>
                    <w:rPr>
                      <w:rFonts w:hint="eastAsia" w:cs="宋体"/>
                      <w:color w:val="auto"/>
                      <w:kern w:val="2"/>
                      <w:sz w:val="21"/>
                      <w:szCs w:val="21"/>
                      <w:highlight w:val="none"/>
                      <w:lang w:val="en-US" w:eastAsia="zh-CN" w:bidi="ar"/>
                    </w:rPr>
                  </w:pPr>
                </w:p>
              </w:tc>
              <w:tc>
                <w:tcPr>
                  <w:tcW w:w="1215" w:type="pct"/>
                  <w:vMerge w:val="continue"/>
                  <w:shd w:val="clear" w:color="auto" w:fill="auto"/>
                  <w:noWrap/>
                  <w:vAlign w:val="center"/>
                </w:tcPr>
                <w:p w14:paraId="4340D21A">
                  <w:pPr>
                    <w:pStyle w:val="34"/>
                    <w:bidi w:val="0"/>
                    <w:ind w:firstLine="0" w:firstLineChars="0"/>
                    <w:rPr>
                      <w:rFonts w:hint="eastAsia" w:cs="宋体"/>
                      <w:color w:val="auto"/>
                      <w:kern w:val="2"/>
                      <w:sz w:val="21"/>
                      <w:szCs w:val="21"/>
                      <w:highlight w:val="none"/>
                      <w:lang w:val="en-US" w:eastAsia="zh-CN" w:bidi="ar"/>
                    </w:rPr>
                  </w:pPr>
                </w:p>
              </w:tc>
            </w:tr>
            <w:tr w14:paraId="2786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99" w:type="pct"/>
                  <w:vMerge w:val="continue"/>
                  <w:shd w:val="clear" w:color="auto" w:fill="auto"/>
                  <w:noWrap/>
                  <w:vAlign w:val="center"/>
                </w:tcPr>
                <w:p w14:paraId="7521378A">
                  <w:pPr>
                    <w:pStyle w:val="34"/>
                    <w:bidi w:val="0"/>
                    <w:rPr>
                      <w:rFonts w:hint="eastAsia"/>
                      <w:color w:val="auto"/>
                      <w:highlight w:val="none"/>
                      <w:lang w:val="en-US" w:eastAsia="zh-CN"/>
                    </w:rPr>
                  </w:pPr>
                </w:p>
              </w:tc>
              <w:tc>
                <w:tcPr>
                  <w:tcW w:w="999" w:type="pct"/>
                  <w:shd w:val="clear" w:color="auto" w:fill="auto"/>
                  <w:noWrap/>
                  <w:vAlign w:val="center"/>
                </w:tcPr>
                <w:p w14:paraId="577BE3BD">
                  <w:pPr>
                    <w:pStyle w:val="34"/>
                    <w:bidi w:val="0"/>
                    <w:rPr>
                      <w:rFonts w:hint="default"/>
                      <w:color w:val="auto"/>
                      <w:highlight w:val="none"/>
                      <w:lang w:val="en-US" w:eastAsia="zh-CN"/>
                    </w:rPr>
                  </w:pPr>
                  <w:r>
                    <w:rPr>
                      <w:rFonts w:hint="eastAsia"/>
                      <w:color w:val="auto"/>
                      <w:highlight w:val="none"/>
                      <w:lang w:val="en-US" w:eastAsia="zh-CN"/>
                    </w:rPr>
                    <w:t>水洗砂</w:t>
                  </w:r>
                </w:p>
              </w:tc>
              <w:tc>
                <w:tcPr>
                  <w:tcW w:w="1000" w:type="pct"/>
                  <w:noWrap/>
                  <w:vAlign w:val="center"/>
                </w:tcPr>
                <w:p w14:paraId="48CBBC72">
                  <w:pPr>
                    <w:pStyle w:val="34"/>
                    <w:bidi w:val="0"/>
                    <w:rPr>
                      <w:rFonts w:hint="eastAsia"/>
                      <w:color w:val="auto"/>
                      <w:highlight w:val="none"/>
                      <w:lang w:val="en-US" w:eastAsia="zh-CN"/>
                    </w:rPr>
                  </w:pPr>
                  <w:r>
                    <w:rPr>
                      <w:rFonts w:hint="eastAsia"/>
                      <w:color w:val="auto"/>
                      <w:highlight w:val="none"/>
                      <w:lang w:val="en-US" w:eastAsia="zh-CN"/>
                    </w:rPr>
                    <w:t>30025t/a</w:t>
                  </w:r>
                </w:p>
              </w:tc>
              <w:tc>
                <w:tcPr>
                  <w:tcW w:w="784" w:type="pct"/>
                  <w:shd w:val="clear" w:color="auto" w:fill="auto"/>
                  <w:noWrap/>
                  <w:vAlign w:val="center"/>
                </w:tcPr>
                <w:p w14:paraId="46D86C03">
                  <w:pPr>
                    <w:pStyle w:val="34"/>
                    <w:bidi w:val="0"/>
                    <w:ind w:firstLine="0" w:firstLineChars="0"/>
                    <w:rPr>
                      <w:rFonts w:hint="default" w:cs="宋体"/>
                      <w:color w:val="auto"/>
                      <w:kern w:val="2"/>
                      <w:sz w:val="21"/>
                      <w:szCs w:val="21"/>
                      <w:highlight w:val="none"/>
                      <w:lang w:val="en-US" w:eastAsia="zh-CN" w:bidi="ar"/>
                    </w:rPr>
                  </w:pPr>
                  <w:r>
                    <w:rPr>
                      <w:rFonts w:hint="eastAsia" w:cs="宋体"/>
                      <w:color w:val="auto"/>
                      <w:kern w:val="2"/>
                      <w:sz w:val="21"/>
                      <w:szCs w:val="21"/>
                      <w:highlight w:val="none"/>
                      <w:lang w:val="en-US" w:eastAsia="zh-CN" w:bidi="ar"/>
                    </w:rPr>
                    <w:t>泥饼</w:t>
                  </w:r>
                </w:p>
              </w:tc>
              <w:tc>
                <w:tcPr>
                  <w:tcW w:w="1215" w:type="pct"/>
                  <w:shd w:val="clear" w:color="auto" w:fill="auto"/>
                  <w:noWrap/>
                  <w:vAlign w:val="center"/>
                </w:tcPr>
                <w:p w14:paraId="74C9E22D">
                  <w:pPr>
                    <w:pStyle w:val="34"/>
                    <w:bidi w:val="0"/>
                    <w:ind w:firstLine="0" w:firstLineChars="0"/>
                    <w:rPr>
                      <w:rFonts w:hint="eastAsia" w:cs="宋体"/>
                      <w:color w:val="auto"/>
                      <w:kern w:val="2"/>
                      <w:sz w:val="21"/>
                      <w:szCs w:val="21"/>
                      <w:highlight w:val="none"/>
                      <w:lang w:val="en-US" w:eastAsia="zh-CN" w:bidi="ar"/>
                    </w:rPr>
                  </w:pPr>
                  <w:r>
                    <w:rPr>
                      <w:rFonts w:hint="eastAsia"/>
                      <w:color w:val="auto"/>
                      <w:highlight w:val="none"/>
                      <w:lang w:val="en-US" w:eastAsia="zh-CN"/>
                    </w:rPr>
                    <w:t>300t/a</w:t>
                  </w:r>
                </w:p>
              </w:tc>
            </w:tr>
          </w:tbl>
          <w:p w14:paraId="054C9BD5">
            <w:pPr>
              <w:pStyle w:val="11"/>
              <w:pageBreakBefore w:val="0"/>
              <w:widowControl w:val="0"/>
              <w:numPr>
                <w:ilvl w:val="1"/>
                <w:numId w:val="0"/>
              </w:numPr>
              <w:kinsoku/>
              <w:wordWrap/>
              <w:overflowPunct/>
              <w:topLinePunct w:val="0"/>
              <w:autoSpaceDE/>
              <w:autoSpaceDN/>
              <w:bidi w:val="0"/>
              <w:adjustRightInd/>
              <w:snapToGrid/>
              <w:spacing w:line="360" w:lineRule="auto"/>
              <w:ind w:firstLine="482" w:firstLineChars="200"/>
              <w:jc w:val="both"/>
              <w:textAlignment w:val="auto"/>
              <w:rPr>
                <w:rFonts w:hint="eastAsia"/>
                <w:color w:val="auto"/>
                <w:highlight w:val="none"/>
                <w:lang w:eastAsia="zh-CN"/>
              </w:rPr>
            </w:pPr>
            <w:r>
              <w:rPr>
                <w:rFonts w:hint="default" w:ascii="Times New Roman" w:hAnsi="Times New Roman" w:eastAsia="宋体" w:cs="宋体"/>
                <w:b/>
                <w:bCs/>
                <w:color w:val="auto"/>
                <w:kern w:val="2"/>
                <w:sz w:val="24"/>
                <w:szCs w:val="24"/>
                <w:lang w:val="en-US" w:eastAsia="zh-CN" w:bidi="ar-SA"/>
              </w:rPr>
              <w:t>2.5</w:t>
            </w:r>
            <w:r>
              <w:rPr>
                <w:rFonts w:hint="eastAsia"/>
                <w:b/>
                <w:bCs/>
                <w:color w:val="auto"/>
                <w:highlight w:val="none"/>
                <w:lang w:eastAsia="zh-CN"/>
              </w:rPr>
              <w:t>劳动定员及工作制度</w:t>
            </w:r>
            <w:bookmarkEnd w:id="14"/>
          </w:p>
          <w:p w14:paraId="7AEFBBD4">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none"/>
                <w:lang w:eastAsia="zh-CN"/>
              </w:rPr>
            </w:pPr>
            <w:r>
              <w:rPr>
                <w:rFonts w:hint="eastAsia"/>
                <w:color w:val="auto"/>
                <w:highlight w:val="none"/>
                <w:lang w:eastAsia="zh-CN"/>
              </w:rPr>
              <w:t>劳动定员：劳动定员</w:t>
            </w:r>
            <w:r>
              <w:rPr>
                <w:rFonts w:hint="eastAsia"/>
                <w:color w:val="auto"/>
                <w:highlight w:val="none"/>
                <w:lang w:val="en-US" w:eastAsia="zh-CN"/>
              </w:rPr>
              <w:t>21</w:t>
            </w:r>
            <w:r>
              <w:rPr>
                <w:rFonts w:hint="eastAsia"/>
                <w:color w:val="auto"/>
                <w:highlight w:val="none"/>
                <w:lang w:eastAsia="zh-CN"/>
              </w:rPr>
              <w:t>人，其中管理人员</w:t>
            </w:r>
            <w:r>
              <w:rPr>
                <w:rFonts w:hint="eastAsia"/>
                <w:color w:val="auto"/>
                <w:highlight w:val="none"/>
                <w:lang w:val="en-US" w:eastAsia="zh-CN"/>
              </w:rPr>
              <w:t>2</w:t>
            </w:r>
            <w:r>
              <w:rPr>
                <w:rFonts w:hint="eastAsia"/>
                <w:color w:val="auto"/>
                <w:highlight w:val="none"/>
                <w:lang w:eastAsia="zh-CN"/>
              </w:rPr>
              <w:t>人。</w:t>
            </w:r>
          </w:p>
          <w:p w14:paraId="74898D32">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宋体"/>
                <w:b/>
                <w:bCs/>
                <w:color w:val="auto"/>
                <w:kern w:val="2"/>
                <w:sz w:val="24"/>
                <w:szCs w:val="24"/>
                <w:lang w:val="en-US" w:eastAsia="zh-CN" w:bidi="ar-SA"/>
              </w:rPr>
            </w:pPr>
            <w:r>
              <w:rPr>
                <w:rFonts w:hint="eastAsia"/>
                <w:color w:val="auto"/>
                <w:highlight w:val="none"/>
                <w:lang w:eastAsia="zh-CN"/>
              </w:rPr>
              <w:t>工作制度：</w:t>
            </w:r>
            <w:r>
              <w:rPr>
                <w:rFonts w:hint="eastAsia"/>
                <w:color w:val="auto"/>
                <w:highlight w:val="none"/>
                <w:lang w:val="en-US" w:eastAsia="zh-CN"/>
              </w:rPr>
              <w:t>每天1班</w:t>
            </w:r>
            <w:r>
              <w:rPr>
                <w:rFonts w:hint="eastAsia"/>
                <w:color w:val="auto"/>
                <w:highlight w:val="none"/>
                <w:lang w:eastAsia="zh-CN"/>
              </w:rPr>
              <w:t>，每班</w:t>
            </w:r>
            <w:r>
              <w:rPr>
                <w:rFonts w:hint="eastAsia"/>
                <w:color w:val="auto"/>
                <w:highlight w:val="none"/>
                <w:lang w:val="en-US" w:eastAsia="zh-CN"/>
              </w:rPr>
              <w:t>8</w:t>
            </w:r>
            <w:r>
              <w:rPr>
                <w:rFonts w:hint="eastAsia"/>
                <w:color w:val="auto"/>
                <w:highlight w:val="none"/>
                <w:lang w:eastAsia="zh-CN"/>
              </w:rPr>
              <w:t>小时，</w:t>
            </w:r>
            <w:r>
              <w:rPr>
                <w:rFonts w:hint="eastAsia"/>
                <w:color w:val="auto"/>
                <w:highlight w:val="none"/>
                <w:lang w:val="en-US" w:eastAsia="zh-CN"/>
              </w:rPr>
              <w:t>年生产280天。</w:t>
            </w:r>
          </w:p>
          <w:p w14:paraId="6AF37823">
            <w:pPr>
              <w:pStyle w:val="11"/>
              <w:pageBreakBefore w:val="0"/>
              <w:widowControl w:val="0"/>
              <w:numPr>
                <w:ilvl w:val="1"/>
                <w:numId w:val="0"/>
              </w:numPr>
              <w:kinsoku/>
              <w:wordWrap/>
              <w:overflowPunct/>
              <w:topLinePunct w:val="0"/>
              <w:autoSpaceDE/>
              <w:autoSpaceDN/>
              <w:bidi w:val="0"/>
              <w:adjustRightInd/>
              <w:snapToGrid/>
              <w:spacing w:line="360" w:lineRule="auto"/>
              <w:ind w:firstLine="482" w:firstLineChars="200"/>
              <w:jc w:val="both"/>
              <w:textAlignment w:val="auto"/>
              <w:rPr>
                <w:rFonts w:hint="eastAsia"/>
                <w:color w:val="auto"/>
                <w:highlight w:val="none"/>
                <w:lang w:eastAsia="zh-CN"/>
              </w:rPr>
            </w:pPr>
            <w:r>
              <w:rPr>
                <w:rFonts w:hint="default" w:ascii="Times New Roman" w:hAnsi="Times New Roman" w:eastAsia="宋体" w:cs="宋体"/>
                <w:b/>
                <w:bCs/>
                <w:color w:val="auto"/>
                <w:kern w:val="2"/>
                <w:sz w:val="24"/>
                <w:szCs w:val="24"/>
                <w:lang w:val="en-US" w:eastAsia="zh-CN" w:bidi="ar-SA"/>
              </w:rPr>
              <w:t>2.6</w:t>
            </w:r>
            <w:r>
              <w:rPr>
                <w:rFonts w:hint="eastAsia"/>
                <w:color w:val="auto"/>
                <w:highlight w:val="none"/>
                <w:lang w:val="en-US" w:eastAsia="zh-CN"/>
              </w:rPr>
              <w:t>平面布置</w:t>
            </w:r>
          </w:p>
          <w:p w14:paraId="4EB68A2B">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none"/>
                <w:lang w:eastAsia="zh-CN"/>
              </w:rPr>
            </w:pPr>
            <w:r>
              <w:rPr>
                <w:rFonts w:hint="eastAsia"/>
                <w:color w:val="auto"/>
                <w:highlight w:val="none"/>
                <w:lang w:eastAsia="zh-CN"/>
              </w:rPr>
              <w:t>本项目位于山西省长治市</w:t>
            </w:r>
            <w:r>
              <w:rPr>
                <w:rFonts w:hint="eastAsia"/>
                <w:color w:val="auto"/>
                <w:highlight w:val="none"/>
                <w:lang w:val="en-US" w:eastAsia="zh-CN"/>
              </w:rPr>
              <w:t>壶关县集店镇常平村</w:t>
            </w:r>
            <w:r>
              <w:rPr>
                <w:rFonts w:hint="eastAsia"/>
                <w:color w:val="auto"/>
                <w:highlight w:val="none"/>
                <w:lang w:eastAsia="zh-CN"/>
              </w:rPr>
              <w:t>，</w:t>
            </w:r>
            <w:r>
              <w:rPr>
                <w:rFonts w:hint="eastAsia"/>
                <w:color w:val="auto"/>
                <w:highlight w:val="none"/>
                <w:lang w:val="en-US" w:eastAsia="zh-CN"/>
              </w:rPr>
              <w:t>总占地面积</w:t>
            </w:r>
            <w:r>
              <w:rPr>
                <w:rFonts w:hint="eastAsia"/>
                <w:color w:val="auto"/>
                <w:highlight w:val="none"/>
                <w:lang w:eastAsia="zh-CN"/>
              </w:rPr>
              <w:t>为</w:t>
            </w:r>
            <w:r>
              <w:rPr>
                <w:rFonts w:hint="eastAsia"/>
                <w:color w:val="auto"/>
                <w:highlight w:val="none"/>
                <w:lang w:val="en-US" w:eastAsia="zh-CN"/>
              </w:rPr>
              <w:t>42128.28</w:t>
            </w:r>
            <w:r>
              <w:rPr>
                <w:rFonts w:hint="eastAsia"/>
                <w:color w:val="auto"/>
                <w:highlight w:val="none"/>
                <w:lang w:eastAsia="zh-CN"/>
              </w:rPr>
              <w:t>m</w:t>
            </w:r>
            <w:r>
              <w:rPr>
                <w:rFonts w:hint="eastAsia"/>
                <w:color w:val="auto"/>
                <w:highlight w:val="none"/>
                <w:vertAlign w:val="superscript"/>
                <w:lang w:eastAsia="zh-CN"/>
              </w:rPr>
              <w:t>2</w:t>
            </w:r>
            <w:r>
              <w:rPr>
                <w:rFonts w:hint="eastAsia"/>
                <w:color w:val="auto"/>
                <w:highlight w:val="none"/>
                <w:lang w:eastAsia="zh-CN"/>
              </w:rPr>
              <w:t>，</w:t>
            </w:r>
            <w:r>
              <w:rPr>
                <w:rFonts w:hint="eastAsia"/>
                <w:color w:val="auto"/>
                <w:highlight w:val="none"/>
                <w:lang w:val="en-US" w:eastAsia="zh-CN"/>
              </w:rPr>
              <w:t>其中水洗砂生产车间位于厂区西侧，占地面积6320</w:t>
            </w:r>
            <w:r>
              <w:rPr>
                <w:rFonts w:hint="eastAsia"/>
                <w:color w:val="auto"/>
                <w:highlight w:val="none"/>
                <w:lang w:eastAsia="zh-CN"/>
              </w:rPr>
              <w:t>m</w:t>
            </w:r>
            <w:r>
              <w:rPr>
                <w:rFonts w:hint="eastAsia"/>
                <w:color w:val="auto"/>
                <w:highlight w:val="none"/>
                <w:vertAlign w:val="superscript"/>
                <w:lang w:eastAsia="zh-CN"/>
              </w:rPr>
              <w:t>2</w:t>
            </w:r>
            <w:r>
              <w:rPr>
                <w:rFonts w:hint="eastAsia"/>
                <w:color w:val="auto"/>
                <w:highlight w:val="none"/>
                <w:lang w:val="en-US" w:eastAsia="zh-CN"/>
              </w:rPr>
              <w:t>，内设两条生产线；水稳料生产车间位于厂区东侧，占地面积7840</w:t>
            </w:r>
            <w:r>
              <w:rPr>
                <w:rFonts w:hint="eastAsia"/>
                <w:color w:val="auto"/>
                <w:highlight w:val="none"/>
                <w:lang w:eastAsia="zh-CN"/>
              </w:rPr>
              <w:t>m</w:t>
            </w:r>
            <w:r>
              <w:rPr>
                <w:rFonts w:hint="eastAsia"/>
                <w:color w:val="auto"/>
                <w:highlight w:val="none"/>
                <w:vertAlign w:val="superscript"/>
                <w:lang w:eastAsia="zh-CN"/>
              </w:rPr>
              <w:t>2</w:t>
            </w:r>
            <w:r>
              <w:rPr>
                <w:rFonts w:hint="eastAsia"/>
                <w:color w:val="auto"/>
                <w:highlight w:val="none"/>
                <w:vertAlign w:val="baseline"/>
                <w:lang w:eastAsia="zh-CN"/>
              </w:rPr>
              <w:t>；</w:t>
            </w:r>
            <w:r>
              <w:rPr>
                <w:rFonts w:hint="eastAsia"/>
                <w:color w:val="auto"/>
                <w:highlight w:val="none"/>
                <w:lang w:val="en-US" w:eastAsia="zh-CN"/>
              </w:rPr>
              <w:t>湿拌砂浆生产车间位于厂区西侧，占地面积2400</w:t>
            </w:r>
            <w:r>
              <w:rPr>
                <w:rFonts w:hint="eastAsia"/>
                <w:color w:val="auto"/>
                <w:highlight w:val="none"/>
                <w:lang w:eastAsia="zh-CN"/>
              </w:rPr>
              <w:t>m</w:t>
            </w:r>
            <w:r>
              <w:rPr>
                <w:rFonts w:hint="eastAsia"/>
                <w:color w:val="auto"/>
                <w:highlight w:val="none"/>
                <w:vertAlign w:val="superscript"/>
                <w:lang w:eastAsia="zh-CN"/>
              </w:rPr>
              <w:t>2</w:t>
            </w:r>
            <w:r>
              <w:rPr>
                <w:rFonts w:hint="eastAsia"/>
                <w:color w:val="auto"/>
                <w:highlight w:val="none"/>
                <w:vertAlign w:val="baseline"/>
                <w:lang w:eastAsia="zh-CN"/>
              </w:rPr>
              <w:t>；</w:t>
            </w:r>
            <w:r>
              <w:rPr>
                <w:rFonts w:hint="eastAsia"/>
                <w:color w:val="auto"/>
                <w:highlight w:val="none"/>
                <w:lang w:val="en-US" w:eastAsia="zh-CN"/>
              </w:rPr>
              <w:t>预制构件生产车间位于厂区东侧，占地面积6440</w:t>
            </w:r>
            <w:r>
              <w:rPr>
                <w:rFonts w:hint="eastAsia"/>
                <w:color w:val="auto"/>
                <w:highlight w:val="none"/>
                <w:lang w:eastAsia="zh-CN"/>
              </w:rPr>
              <w:t>m</w:t>
            </w:r>
            <w:r>
              <w:rPr>
                <w:rFonts w:hint="eastAsia"/>
                <w:color w:val="auto"/>
                <w:highlight w:val="none"/>
                <w:vertAlign w:val="superscript"/>
                <w:lang w:eastAsia="zh-CN"/>
              </w:rPr>
              <w:t>2</w:t>
            </w:r>
            <w:r>
              <w:rPr>
                <w:rFonts w:hint="eastAsia"/>
                <w:color w:val="auto"/>
                <w:highlight w:val="none"/>
                <w:vertAlign w:val="baseline"/>
                <w:lang w:eastAsia="zh-CN"/>
              </w:rPr>
              <w:t>；</w:t>
            </w:r>
            <w:r>
              <w:rPr>
                <w:rFonts w:hint="eastAsia"/>
                <w:color w:val="auto"/>
                <w:highlight w:val="none"/>
                <w:vertAlign w:val="baseline"/>
                <w:lang w:val="en-US" w:eastAsia="zh-CN"/>
              </w:rPr>
              <w:t>装配式房（预制构件浇筑车间）位于厂区东北侧，</w:t>
            </w:r>
            <w:r>
              <w:rPr>
                <w:rFonts w:hint="eastAsia"/>
                <w:color w:val="auto"/>
                <w:highlight w:val="none"/>
                <w:lang w:val="en-US" w:eastAsia="zh-CN"/>
              </w:rPr>
              <w:t>占地面积2300</w:t>
            </w:r>
            <w:r>
              <w:rPr>
                <w:rFonts w:hint="eastAsia"/>
                <w:color w:val="auto"/>
                <w:highlight w:val="none"/>
                <w:lang w:eastAsia="zh-CN"/>
              </w:rPr>
              <w:t>m</w:t>
            </w:r>
            <w:r>
              <w:rPr>
                <w:rFonts w:hint="eastAsia"/>
                <w:color w:val="auto"/>
                <w:highlight w:val="none"/>
                <w:vertAlign w:val="superscript"/>
                <w:lang w:eastAsia="zh-CN"/>
              </w:rPr>
              <w:t>2</w:t>
            </w:r>
            <w:r>
              <w:rPr>
                <w:rFonts w:hint="eastAsia"/>
                <w:color w:val="auto"/>
                <w:highlight w:val="none"/>
                <w:vertAlign w:val="baseline"/>
                <w:lang w:eastAsia="zh-CN"/>
              </w:rPr>
              <w:t>；</w:t>
            </w:r>
            <w:r>
              <w:rPr>
                <w:rFonts w:hint="eastAsia"/>
                <w:color w:val="auto"/>
                <w:highlight w:val="none"/>
                <w:vertAlign w:val="baseline"/>
                <w:lang w:val="en-US" w:eastAsia="zh-CN"/>
              </w:rPr>
              <w:t>钢筋制作间位于预制构件生产车间内，</w:t>
            </w:r>
            <w:r>
              <w:rPr>
                <w:rFonts w:hint="eastAsia"/>
                <w:color w:val="auto"/>
                <w:highlight w:val="none"/>
                <w:lang w:val="en-US" w:eastAsia="zh-CN"/>
              </w:rPr>
              <w:t>占地面积225</w:t>
            </w:r>
            <w:r>
              <w:rPr>
                <w:rFonts w:hint="eastAsia"/>
                <w:color w:val="auto"/>
                <w:highlight w:val="none"/>
                <w:lang w:eastAsia="zh-CN"/>
              </w:rPr>
              <w:t>m</w:t>
            </w:r>
            <w:r>
              <w:rPr>
                <w:rFonts w:hint="eastAsia"/>
                <w:color w:val="auto"/>
                <w:highlight w:val="none"/>
                <w:vertAlign w:val="superscript"/>
                <w:lang w:eastAsia="zh-CN"/>
              </w:rPr>
              <w:t>2</w:t>
            </w:r>
            <w:r>
              <w:rPr>
                <w:rFonts w:hint="eastAsia"/>
                <w:color w:val="auto"/>
                <w:highlight w:val="none"/>
                <w:vertAlign w:val="baseline"/>
                <w:lang w:eastAsia="zh-CN"/>
              </w:rPr>
              <w:t>；</w:t>
            </w:r>
            <w:r>
              <w:rPr>
                <w:rFonts w:hint="eastAsia"/>
                <w:color w:val="auto"/>
                <w:highlight w:val="none"/>
                <w:vertAlign w:val="baseline"/>
                <w:lang w:val="en-US" w:eastAsia="zh-CN"/>
              </w:rPr>
              <w:t>成品堆场位于厂区西侧，</w:t>
            </w:r>
            <w:r>
              <w:rPr>
                <w:rFonts w:hint="eastAsia"/>
                <w:color w:val="auto"/>
                <w:highlight w:val="none"/>
                <w:lang w:val="en-US" w:eastAsia="zh-CN"/>
              </w:rPr>
              <w:t>占地面积2400</w:t>
            </w:r>
            <w:r>
              <w:rPr>
                <w:rFonts w:hint="eastAsia"/>
                <w:color w:val="auto"/>
                <w:highlight w:val="none"/>
                <w:lang w:eastAsia="zh-CN"/>
              </w:rPr>
              <w:t>m</w:t>
            </w:r>
            <w:r>
              <w:rPr>
                <w:rFonts w:hint="eastAsia"/>
                <w:color w:val="auto"/>
                <w:highlight w:val="none"/>
                <w:vertAlign w:val="superscript"/>
                <w:lang w:eastAsia="zh-CN"/>
              </w:rPr>
              <w:t>2</w:t>
            </w:r>
            <w:r>
              <w:rPr>
                <w:rFonts w:hint="eastAsia"/>
                <w:color w:val="auto"/>
                <w:highlight w:val="none"/>
                <w:vertAlign w:val="baseline"/>
                <w:lang w:eastAsia="zh-CN"/>
              </w:rPr>
              <w:t>，</w:t>
            </w:r>
            <w:r>
              <w:rPr>
                <w:rFonts w:hint="eastAsia"/>
                <w:color w:val="auto"/>
                <w:highlight w:val="none"/>
                <w:vertAlign w:val="baseline"/>
                <w:lang w:val="en-US" w:eastAsia="zh-CN"/>
              </w:rPr>
              <w:t>为伸缩棚结构，</w:t>
            </w:r>
            <w:r>
              <w:rPr>
                <w:rFonts w:hint="eastAsia"/>
                <w:color w:val="auto"/>
                <w:highlight w:val="none"/>
                <w:lang w:val="en-US" w:eastAsia="zh-CN"/>
              </w:rPr>
              <w:t>用于成品堆放</w:t>
            </w:r>
            <w:r>
              <w:rPr>
                <w:rFonts w:hint="eastAsia"/>
                <w:color w:val="auto"/>
                <w:highlight w:val="none"/>
                <w:vertAlign w:val="baseline"/>
                <w:lang w:eastAsia="zh-CN"/>
              </w:rPr>
              <w:t>；</w:t>
            </w:r>
            <w:r>
              <w:rPr>
                <w:rFonts w:hint="eastAsia"/>
                <w:color w:val="auto"/>
                <w:highlight w:val="none"/>
                <w:vertAlign w:val="baseline"/>
                <w:lang w:val="en-US" w:eastAsia="zh-CN"/>
              </w:rPr>
              <w:t>原料库位于厂区北侧，</w:t>
            </w:r>
            <w:r>
              <w:rPr>
                <w:rFonts w:hint="eastAsia"/>
                <w:color w:val="auto"/>
                <w:highlight w:val="none"/>
                <w:lang w:val="en-US" w:eastAsia="zh-CN"/>
              </w:rPr>
              <w:t>占地面积1600</w:t>
            </w:r>
            <w:r>
              <w:rPr>
                <w:rFonts w:hint="eastAsia"/>
                <w:color w:val="auto"/>
                <w:highlight w:val="none"/>
                <w:lang w:eastAsia="zh-CN"/>
              </w:rPr>
              <w:t>m</w:t>
            </w:r>
            <w:r>
              <w:rPr>
                <w:rFonts w:hint="eastAsia"/>
                <w:color w:val="auto"/>
                <w:highlight w:val="none"/>
                <w:vertAlign w:val="superscript"/>
                <w:lang w:eastAsia="zh-CN"/>
              </w:rPr>
              <w:t>2</w:t>
            </w:r>
            <w:r>
              <w:rPr>
                <w:rFonts w:hint="eastAsia"/>
                <w:color w:val="auto"/>
                <w:highlight w:val="none"/>
                <w:vertAlign w:val="baseline"/>
                <w:lang w:eastAsia="zh-CN"/>
              </w:rPr>
              <w:t>；</w:t>
            </w:r>
            <w:r>
              <w:rPr>
                <w:rFonts w:hint="eastAsia"/>
                <w:color w:val="auto"/>
                <w:highlight w:val="none"/>
                <w:vertAlign w:val="baseline"/>
                <w:lang w:val="en-US" w:eastAsia="zh-CN"/>
              </w:rPr>
              <w:t>洗车平台位于厂区出入口处，建设6.4</w:t>
            </w:r>
            <w:r>
              <w:rPr>
                <w:rFonts w:hint="eastAsia"/>
                <w:color w:val="auto"/>
                <w:highlight w:val="none"/>
                <w:lang w:eastAsia="zh-CN"/>
              </w:rPr>
              <w:t>m</w:t>
            </w:r>
            <w:r>
              <w:rPr>
                <w:rFonts w:hint="eastAsia"/>
                <w:color w:val="auto"/>
                <w:highlight w:val="none"/>
                <w:vertAlign w:val="superscript"/>
                <w:lang w:eastAsia="zh-CN"/>
              </w:rPr>
              <w:t>2</w:t>
            </w:r>
            <w:r>
              <w:rPr>
                <w:rFonts w:hint="eastAsia"/>
                <w:color w:val="auto"/>
                <w:highlight w:val="none"/>
                <w:vertAlign w:val="baseline"/>
                <w:lang w:val="en-US" w:eastAsia="zh-CN"/>
              </w:rPr>
              <w:t>的洗车平台，配套有6m</w:t>
            </w:r>
            <w:r>
              <w:rPr>
                <w:rFonts w:hint="eastAsia"/>
                <w:color w:val="auto"/>
                <w:highlight w:val="none"/>
                <w:vertAlign w:val="superscript"/>
                <w:lang w:val="en-US" w:eastAsia="zh-CN"/>
              </w:rPr>
              <w:t>3</w:t>
            </w:r>
            <w:r>
              <w:rPr>
                <w:rFonts w:hint="eastAsia"/>
                <w:color w:val="auto"/>
                <w:highlight w:val="none"/>
                <w:vertAlign w:val="baseline"/>
                <w:lang w:val="en-US" w:eastAsia="zh-CN"/>
              </w:rPr>
              <w:t>的沉淀池。水泥料仓和粉煤灰料仓位于湿拌砂浆生产车间西侧、预制构件生产车间南侧，</w:t>
            </w:r>
            <w:r>
              <w:rPr>
                <w:rFonts w:hint="eastAsia"/>
                <w:color w:val="auto"/>
                <w:highlight w:val="none"/>
                <w:lang w:val="en-US" w:eastAsia="zh-CN"/>
              </w:rPr>
              <w:t>具体</w:t>
            </w:r>
            <w:r>
              <w:rPr>
                <w:rFonts w:hint="eastAsia"/>
                <w:color w:val="auto"/>
                <w:highlight w:val="none"/>
                <w:lang w:eastAsia="zh-CN"/>
              </w:rPr>
              <w:t>平面布置见</w:t>
            </w:r>
            <w:r>
              <w:rPr>
                <w:rFonts w:hint="eastAsia"/>
                <w:color w:val="auto"/>
                <w:highlight w:val="none"/>
                <w:lang w:val="en-US" w:eastAsia="zh-CN"/>
              </w:rPr>
              <w:t>附图4</w:t>
            </w:r>
            <w:r>
              <w:rPr>
                <w:rFonts w:hint="eastAsia"/>
                <w:color w:val="auto"/>
                <w:highlight w:val="none"/>
                <w:lang w:eastAsia="zh-CN"/>
              </w:rPr>
              <w:t>。</w:t>
            </w:r>
          </w:p>
          <w:p w14:paraId="56EDD172">
            <w:pPr>
              <w:pStyle w:val="11"/>
              <w:pageBreakBefore w:val="0"/>
              <w:widowControl w:val="0"/>
              <w:numPr>
                <w:ilvl w:val="1"/>
                <w:numId w:val="0"/>
              </w:numPr>
              <w:kinsoku/>
              <w:wordWrap/>
              <w:overflowPunct/>
              <w:topLinePunct w:val="0"/>
              <w:autoSpaceDE/>
              <w:autoSpaceDN/>
              <w:bidi w:val="0"/>
              <w:adjustRightInd/>
              <w:snapToGrid/>
              <w:spacing w:line="360" w:lineRule="auto"/>
              <w:ind w:firstLine="482" w:firstLineChars="200"/>
              <w:jc w:val="both"/>
              <w:textAlignment w:val="auto"/>
              <w:rPr>
                <w:rFonts w:hint="eastAsia"/>
                <w:color w:val="auto"/>
                <w:lang w:eastAsia="zh-CN"/>
              </w:rPr>
            </w:pPr>
            <w:bookmarkStart w:id="16" w:name="_Ref23230"/>
            <w:r>
              <w:rPr>
                <w:rFonts w:hint="default" w:ascii="Times New Roman" w:hAnsi="Times New Roman" w:eastAsia="宋体" w:cs="宋体"/>
                <w:b/>
                <w:bCs/>
                <w:color w:val="auto"/>
                <w:kern w:val="2"/>
                <w:sz w:val="24"/>
                <w:szCs w:val="24"/>
                <w:lang w:val="en-US" w:eastAsia="zh-CN" w:bidi="ar-SA"/>
              </w:rPr>
              <w:t>2.7</w:t>
            </w:r>
            <w:r>
              <w:rPr>
                <w:rFonts w:hint="eastAsia"/>
                <w:color w:val="auto"/>
                <w:lang w:eastAsia="zh-CN"/>
              </w:rPr>
              <w:t>公辅工程</w:t>
            </w:r>
            <w:bookmarkEnd w:id="16"/>
          </w:p>
          <w:p w14:paraId="39842F40">
            <w:pPr>
              <w:pStyle w:val="12"/>
              <w:pageBreakBefore w:val="0"/>
              <w:widowControl w:val="0"/>
              <w:numPr>
                <w:ilvl w:val="2"/>
                <w:numId w:val="0"/>
              </w:numPr>
              <w:kinsoku/>
              <w:wordWrap/>
              <w:overflowPunct/>
              <w:topLinePunct w:val="0"/>
              <w:autoSpaceDE/>
              <w:autoSpaceDN/>
              <w:bidi w:val="0"/>
              <w:adjustRightInd/>
              <w:snapToGrid/>
              <w:spacing w:beforeLines="0" w:afterLines="0" w:line="360" w:lineRule="auto"/>
              <w:ind w:left="0" w:leftChars="0" w:firstLine="482" w:firstLineChars="200"/>
              <w:jc w:val="both"/>
              <w:textAlignment w:val="auto"/>
              <w:rPr>
                <w:rFonts w:hint="default"/>
                <w:color w:val="auto"/>
                <w:lang w:val="en-US" w:eastAsia="zh-CN"/>
              </w:rPr>
            </w:pPr>
            <w:bookmarkStart w:id="17" w:name="_Ref10608"/>
            <w:r>
              <w:rPr>
                <w:rFonts w:hint="default" w:ascii="Times New Roman" w:hAnsi="Times New Roman" w:eastAsia="宋体" w:cs="Times New Roman"/>
                <w:b/>
                <w:bCs/>
                <w:color w:val="auto"/>
                <w:kern w:val="2"/>
                <w:sz w:val="24"/>
                <w:szCs w:val="24"/>
                <w:lang w:val="en-US" w:eastAsia="zh-CN" w:bidi="ar-SA"/>
              </w:rPr>
              <w:t>2.7.1</w:t>
            </w:r>
            <w:r>
              <w:rPr>
                <w:rFonts w:hint="eastAsia"/>
                <w:color w:val="auto"/>
                <w:lang w:eastAsia="zh-CN"/>
              </w:rPr>
              <w:t>给水工程</w:t>
            </w:r>
            <w:bookmarkEnd w:id="17"/>
          </w:p>
          <w:p w14:paraId="1212FB94">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none"/>
                <w:lang w:eastAsia="zh-CN"/>
              </w:rPr>
            </w:pPr>
            <w:r>
              <w:rPr>
                <w:rFonts w:hint="eastAsia"/>
                <w:color w:val="auto"/>
                <w:highlight w:val="none"/>
                <w:lang w:eastAsia="zh-CN"/>
              </w:rPr>
              <w:t>本工程用水水源由</w:t>
            </w:r>
            <w:r>
              <w:rPr>
                <w:rFonts w:hint="eastAsia"/>
                <w:color w:val="auto"/>
                <w:highlight w:val="none"/>
                <w:lang w:val="en-US" w:eastAsia="zh-CN"/>
              </w:rPr>
              <w:t>常平</w:t>
            </w:r>
            <w:r>
              <w:rPr>
                <w:rFonts w:hint="eastAsia"/>
                <w:color w:val="auto"/>
                <w:highlight w:val="none"/>
                <w:lang w:eastAsia="zh-CN"/>
              </w:rPr>
              <w:t>村自来水管网供给，其水质、水量均可满足本项目生产、生活用水要求。本项目用水</w:t>
            </w:r>
            <w:r>
              <w:rPr>
                <w:rFonts w:hint="eastAsia"/>
                <w:color w:val="auto"/>
                <w:highlight w:val="none"/>
                <w:lang w:val="en-US" w:eastAsia="zh-CN"/>
              </w:rPr>
              <w:t>主要</w:t>
            </w:r>
            <w:r>
              <w:rPr>
                <w:rFonts w:hint="eastAsia"/>
                <w:color w:val="auto"/>
                <w:highlight w:val="none"/>
                <w:lang w:eastAsia="zh-CN"/>
              </w:rPr>
              <w:t>为生活用水、原料库降尘用水、洗砂用水、车辆冲洗用水。</w:t>
            </w:r>
          </w:p>
          <w:p w14:paraId="1561EA98">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default" w:ascii="Times New Roman" w:hAnsi="Times New Roman" w:eastAsia="宋体" w:cs="宋体"/>
                <w:color w:val="auto"/>
                <w:kern w:val="2"/>
                <w:sz w:val="24"/>
                <w:szCs w:val="24"/>
                <w:lang w:val="en-US" w:eastAsia="zh-CN" w:bidi="ar-SA"/>
              </w:rPr>
              <w:t>1、</w:t>
            </w:r>
            <w:r>
              <w:rPr>
                <w:rFonts w:hint="eastAsia"/>
                <w:color w:val="auto"/>
                <w:highlight w:val="none"/>
                <w:lang w:val="en-US" w:eastAsia="zh-CN"/>
              </w:rPr>
              <w:t>给水</w:t>
            </w:r>
          </w:p>
          <w:p w14:paraId="12760359">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none"/>
                <w:lang w:eastAsia="zh-CN"/>
              </w:rPr>
            </w:pPr>
            <w:r>
              <w:rPr>
                <w:rFonts w:hint="eastAsia" w:ascii="Times New Roman" w:hAnsi="Times New Roman" w:eastAsia="宋体" w:cs="宋体"/>
                <w:color w:val="auto"/>
                <w:kern w:val="2"/>
                <w:sz w:val="24"/>
                <w:szCs w:val="24"/>
                <w:lang w:val="en-US" w:eastAsia="zh-CN" w:bidi="ar-SA"/>
              </w:rPr>
              <w:t>（1）</w:t>
            </w:r>
            <w:r>
              <w:rPr>
                <w:rFonts w:hint="eastAsia"/>
                <w:color w:val="auto"/>
                <w:highlight w:val="none"/>
                <w:lang w:eastAsia="zh-CN"/>
              </w:rPr>
              <w:t>生活用水</w:t>
            </w:r>
          </w:p>
          <w:p w14:paraId="05B6C728">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none"/>
                <w:lang w:eastAsia="zh-CN"/>
              </w:rPr>
            </w:pPr>
            <w:r>
              <w:rPr>
                <w:rFonts w:hint="eastAsia"/>
                <w:color w:val="auto"/>
                <w:highlight w:val="none"/>
                <w:lang w:eastAsia="zh-CN"/>
              </w:rPr>
              <w:t>本项目劳动定员</w:t>
            </w:r>
            <w:r>
              <w:rPr>
                <w:rFonts w:hint="eastAsia"/>
                <w:color w:val="auto"/>
                <w:highlight w:val="none"/>
                <w:lang w:val="en-US" w:eastAsia="zh-CN"/>
              </w:rPr>
              <w:t>21</w:t>
            </w:r>
            <w:r>
              <w:rPr>
                <w:rFonts w:hint="eastAsia"/>
                <w:color w:val="auto"/>
                <w:highlight w:val="none"/>
                <w:lang w:eastAsia="zh-CN"/>
              </w:rPr>
              <w:t>人，年工作</w:t>
            </w:r>
            <w:r>
              <w:rPr>
                <w:rFonts w:hint="eastAsia"/>
                <w:color w:val="auto"/>
                <w:highlight w:val="none"/>
                <w:lang w:val="en-US" w:eastAsia="zh-CN"/>
              </w:rPr>
              <w:t>280天</w:t>
            </w:r>
            <w:r>
              <w:rPr>
                <w:rFonts w:hint="eastAsia"/>
                <w:color w:val="auto"/>
                <w:highlight w:val="none"/>
                <w:lang w:eastAsia="zh-CN"/>
              </w:rPr>
              <w:t>，</w:t>
            </w:r>
            <w:r>
              <w:rPr>
                <w:rFonts w:hint="eastAsia"/>
                <w:color w:val="auto"/>
                <w:highlight w:val="none"/>
                <w:lang w:val="en-US" w:eastAsia="zh-CN"/>
              </w:rPr>
              <w:t>厂内</w:t>
            </w:r>
            <w:r>
              <w:rPr>
                <w:rFonts w:hint="eastAsia"/>
                <w:color w:val="auto"/>
                <w:highlight w:val="none"/>
                <w:lang w:eastAsia="zh-CN"/>
              </w:rPr>
              <w:t>不提供食堂、宿舍及洗浴等设施。生活用水主要为职工日常的用水。根据《山西省用水定额第4部分：居民生活》（DB14/T1049.4-202</w:t>
            </w:r>
            <w:r>
              <w:rPr>
                <w:rFonts w:hint="eastAsia"/>
                <w:color w:val="auto"/>
                <w:highlight w:val="none"/>
                <w:lang w:val="en-US" w:eastAsia="zh-CN"/>
              </w:rPr>
              <w:t>5</w:t>
            </w:r>
            <w:r>
              <w:rPr>
                <w:rFonts w:hint="eastAsia"/>
                <w:color w:val="auto"/>
                <w:highlight w:val="none"/>
                <w:lang w:eastAsia="zh-CN"/>
              </w:rPr>
              <w:t>），生活用水量按</w:t>
            </w:r>
            <w:r>
              <w:rPr>
                <w:rFonts w:hint="eastAsia"/>
                <w:color w:val="auto"/>
                <w:highlight w:val="none"/>
                <w:lang w:val="en-US" w:eastAsia="zh-CN"/>
              </w:rPr>
              <w:t>100</w:t>
            </w:r>
            <w:r>
              <w:rPr>
                <w:rFonts w:hint="eastAsia"/>
                <w:color w:val="auto"/>
                <w:highlight w:val="none"/>
                <w:lang w:eastAsia="zh-CN"/>
              </w:rPr>
              <w:t>L/（p</w:t>
            </w:r>
            <w:r>
              <w:rPr>
                <w:rFonts w:hint="default" w:ascii="Times New Roman" w:hAnsi="Times New Roman" w:cs="Times New Roman"/>
                <w:color w:val="auto"/>
                <w:highlight w:val="none"/>
                <w:lang w:eastAsia="zh-CN"/>
              </w:rPr>
              <w:t>·</w:t>
            </w:r>
            <w:r>
              <w:rPr>
                <w:rFonts w:hint="eastAsia"/>
                <w:color w:val="auto"/>
                <w:highlight w:val="none"/>
                <w:lang w:eastAsia="zh-CN"/>
              </w:rPr>
              <w:t>d）计，则日常生活用水量为</w:t>
            </w:r>
            <w:r>
              <w:rPr>
                <w:rFonts w:hint="eastAsia"/>
                <w:color w:val="auto"/>
                <w:highlight w:val="none"/>
                <w:lang w:val="en-US" w:eastAsia="zh-CN"/>
              </w:rPr>
              <w:t>2.1</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/d（</w:t>
            </w:r>
            <w:r>
              <w:rPr>
                <w:rFonts w:hint="eastAsia"/>
                <w:color w:val="auto"/>
                <w:highlight w:val="none"/>
                <w:lang w:val="en-US" w:eastAsia="zh-CN"/>
              </w:rPr>
              <w:t>588</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/a）。</w:t>
            </w:r>
          </w:p>
          <w:p w14:paraId="24E34C35">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aps w:val="0"/>
                <w:color w:val="auto"/>
                <w:kern w:val="2"/>
                <w:sz w:val="24"/>
                <w:szCs w:val="24"/>
                <w:highlight w:val="none"/>
                <w:lang w:val="en-US" w:eastAsia="zh-CN" w:bidi="ar-SA"/>
              </w:rPr>
            </w:pPr>
            <w:r>
              <w:rPr>
                <w:rFonts w:hint="eastAsia" w:ascii="Times New Roman" w:hAnsi="Times New Roman" w:eastAsia="宋体" w:cs="Times New Roman"/>
                <w:caps w:val="0"/>
                <w:color w:val="auto"/>
                <w:kern w:val="2"/>
                <w:sz w:val="24"/>
                <w:szCs w:val="24"/>
                <w:lang w:val="en-US" w:eastAsia="zh-CN" w:bidi="ar-SA"/>
              </w:rPr>
              <w:t>（2）</w:t>
            </w:r>
            <w:r>
              <w:rPr>
                <w:rFonts w:hint="eastAsia" w:ascii="Times New Roman" w:hAnsi="Times New Roman" w:eastAsia="宋体" w:cs="Times New Roman"/>
                <w:caps w:val="0"/>
                <w:color w:val="auto"/>
                <w:kern w:val="2"/>
                <w:sz w:val="24"/>
                <w:szCs w:val="24"/>
                <w:highlight w:val="none"/>
                <w:lang w:val="en-US" w:eastAsia="zh-CN" w:bidi="ar-SA"/>
              </w:rPr>
              <w:t>搅拌用水</w:t>
            </w:r>
          </w:p>
          <w:p w14:paraId="2F9CBB10">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kern w:val="0"/>
                <w:sz w:val="24"/>
                <w:lang w:val="en-US" w:eastAsia="zh-CN"/>
              </w:rPr>
            </w:pPr>
            <w:r>
              <w:rPr>
                <w:rFonts w:hint="eastAsia"/>
                <w:color w:val="auto"/>
                <w:kern w:val="0"/>
                <w:sz w:val="24"/>
                <w:lang w:val="en-US" w:eastAsia="zh-CN"/>
              </w:rPr>
              <w:t>1）水稳料生产线搅拌用水</w:t>
            </w:r>
          </w:p>
          <w:p w14:paraId="110AB16B">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kern w:val="0"/>
                <w:sz w:val="24"/>
                <w:lang w:eastAsia="zh-CN"/>
              </w:rPr>
            </w:pPr>
            <w:r>
              <w:rPr>
                <w:rFonts w:hint="eastAsia"/>
                <w:color w:val="auto"/>
                <w:kern w:val="0"/>
                <w:sz w:val="24"/>
                <w:lang w:eastAsia="zh-CN"/>
              </w:rPr>
              <w:t>项目水稳料生产需要添加水，根据建设单位经验，每吨水稳料需用新鲜水0.015m</w:t>
            </w:r>
            <w:r>
              <w:rPr>
                <w:rFonts w:hint="eastAsia"/>
                <w:color w:val="auto"/>
                <w:kern w:val="0"/>
                <w:sz w:val="24"/>
                <w:vertAlign w:val="superscript"/>
                <w:lang w:eastAsia="zh-CN"/>
              </w:rPr>
              <w:t>3</w:t>
            </w:r>
            <w:r>
              <w:rPr>
                <w:rFonts w:hint="eastAsia"/>
                <w:color w:val="auto"/>
                <w:kern w:val="0"/>
                <w:sz w:val="24"/>
                <w:lang w:eastAsia="zh-CN"/>
              </w:rPr>
              <w:t>，项目年产水稳料</w:t>
            </w:r>
            <w:r>
              <w:rPr>
                <w:rFonts w:hint="eastAsia"/>
                <w:color w:val="auto"/>
                <w:kern w:val="0"/>
                <w:sz w:val="24"/>
                <w:lang w:val="en-US" w:eastAsia="zh-CN"/>
              </w:rPr>
              <w:t>30</w:t>
            </w:r>
            <w:r>
              <w:rPr>
                <w:rFonts w:hint="eastAsia"/>
                <w:color w:val="auto"/>
                <w:kern w:val="0"/>
                <w:sz w:val="24"/>
                <w:lang w:eastAsia="zh-CN"/>
              </w:rPr>
              <w:t>万</w:t>
            </w:r>
            <w:r>
              <w:rPr>
                <w:rFonts w:hint="eastAsia"/>
                <w:color w:val="auto"/>
                <w:kern w:val="0"/>
                <w:sz w:val="24"/>
                <w:lang w:val="en-US" w:eastAsia="zh-CN"/>
              </w:rPr>
              <w:t>吨</w:t>
            </w:r>
            <w:r>
              <w:rPr>
                <w:rFonts w:hint="eastAsia"/>
                <w:color w:val="auto"/>
                <w:kern w:val="0"/>
                <w:sz w:val="24"/>
                <w:lang w:eastAsia="zh-CN"/>
              </w:rPr>
              <w:t xml:space="preserve">，则水稳料生产配料用水量为 </w:t>
            </w:r>
            <w:r>
              <w:rPr>
                <w:rFonts w:hint="eastAsia"/>
                <w:color w:val="auto"/>
                <w:kern w:val="0"/>
                <w:sz w:val="24"/>
                <w:lang w:val="en-US" w:eastAsia="zh-CN"/>
              </w:rPr>
              <w:t>16.07</w:t>
            </w:r>
            <w:r>
              <w:rPr>
                <w:rFonts w:hint="eastAsia"/>
                <w:color w:val="auto"/>
                <w:kern w:val="0"/>
                <w:sz w:val="24"/>
                <w:lang w:eastAsia="zh-CN"/>
              </w:rPr>
              <w:t>m</w:t>
            </w:r>
            <w:r>
              <w:rPr>
                <w:rFonts w:hint="eastAsia"/>
                <w:color w:val="auto"/>
                <w:kern w:val="0"/>
                <w:sz w:val="24"/>
                <w:vertAlign w:val="superscript"/>
                <w:lang w:eastAsia="zh-CN"/>
              </w:rPr>
              <w:t>3</w:t>
            </w:r>
            <w:r>
              <w:rPr>
                <w:rFonts w:hint="eastAsia"/>
                <w:color w:val="auto"/>
                <w:kern w:val="0"/>
                <w:sz w:val="24"/>
                <w:lang w:eastAsia="zh-CN"/>
              </w:rPr>
              <w:t>/d（</w:t>
            </w:r>
            <w:r>
              <w:rPr>
                <w:rFonts w:hint="eastAsia"/>
                <w:color w:val="auto"/>
                <w:kern w:val="0"/>
                <w:sz w:val="24"/>
                <w:lang w:val="en-US" w:eastAsia="zh-CN"/>
              </w:rPr>
              <w:t xml:space="preserve">4500 </w:t>
            </w:r>
            <w:r>
              <w:rPr>
                <w:rFonts w:hint="eastAsia"/>
                <w:color w:val="auto"/>
                <w:kern w:val="0"/>
                <w:sz w:val="24"/>
                <w:lang w:eastAsia="zh-CN"/>
              </w:rPr>
              <w:t>m</w:t>
            </w:r>
            <w:r>
              <w:rPr>
                <w:rFonts w:hint="eastAsia"/>
                <w:color w:val="auto"/>
                <w:kern w:val="0"/>
                <w:sz w:val="24"/>
                <w:vertAlign w:val="superscript"/>
                <w:lang w:eastAsia="zh-CN"/>
              </w:rPr>
              <w:t>3</w:t>
            </w:r>
            <w:r>
              <w:rPr>
                <w:rFonts w:hint="eastAsia"/>
                <w:color w:val="auto"/>
                <w:kern w:val="0"/>
                <w:sz w:val="24"/>
                <w:lang w:eastAsia="zh-CN"/>
              </w:rPr>
              <w:t>/a）。</w:t>
            </w:r>
          </w:p>
          <w:p w14:paraId="48DE8F4E">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kern w:val="0"/>
                <w:sz w:val="24"/>
                <w:lang w:val="en-US" w:eastAsia="zh-CN"/>
              </w:rPr>
            </w:pPr>
            <w:r>
              <w:rPr>
                <w:rFonts w:hint="eastAsia"/>
                <w:color w:val="auto"/>
                <w:kern w:val="0"/>
                <w:sz w:val="24"/>
                <w:lang w:val="en-US" w:eastAsia="zh-CN"/>
              </w:rPr>
              <w:t>2）湿拌砂浆生产线搅拌用水</w:t>
            </w:r>
          </w:p>
          <w:p w14:paraId="58719433">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kern w:val="0"/>
                <w:sz w:val="24"/>
                <w:lang w:eastAsia="zh-CN"/>
              </w:rPr>
            </w:pPr>
            <w:r>
              <w:rPr>
                <w:rFonts w:hint="eastAsia"/>
                <w:color w:val="auto"/>
                <w:kern w:val="0"/>
                <w:sz w:val="24"/>
                <w:lang w:eastAsia="zh-CN"/>
              </w:rPr>
              <w:t>本项目湿拌砂浆生产是将</w:t>
            </w:r>
            <w:r>
              <w:rPr>
                <w:rFonts w:hint="eastAsia"/>
                <w:color w:val="auto"/>
                <w:highlight w:val="none"/>
                <w:lang w:val="en-US" w:eastAsia="zh-CN"/>
              </w:rPr>
              <w:t>水洗砂、水泥、粉煤灰、水</w:t>
            </w:r>
            <w:r>
              <w:rPr>
                <w:rFonts w:hint="eastAsia"/>
                <w:color w:val="auto"/>
                <w:kern w:val="0"/>
                <w:sz w:val="24"/>
                <w:lang w:eastAsia="zh-CN"/>
              </w:rPr>
              <w:t>及根据需要掺入的</w:t>
            </w:r>
            <w:r>
              <w:rPr>
                <w:rFonts w:hint="eastAsia"/>
                <w:color w:val="auto"/>
                <w:kern w:val="0"/>
                <w:sz w:val="24"/>
                <w:lang w:val="en-US" w:eastAsia="zh-CN"/>
              </w:rPr>
              <w:t>添加</w:t>
            </w:r>
            <w:r>
              <w:rPr>
                <w:rFonts w:hint="eastAsia"/>
                <w:color w:val="auto"/>
                <w:kern w:val="0"/>
                <w:sz w:val="24"/>
                <w:lang w:eastAsia="zh-CN"/>
              </w:rPr>
              <w:t>剂组分按照一定比例，在搅拌</w:t>
            </w:r>
            <w:r>
              <w:rPr>
                <w:rFonts w:hint="eastAsia"/>
                <w:color w:val="auto"/>
                <w:kern w:val="0"/>
                <w:sz w:val="24"/>
                <w:lang w:val="en-US" w:eastAsia="zh-CN"/>
              </w:rPr>
              <w:t>机</w:t>
            </w:r>
            <w:r>
              <w:rPr>
                <w:rFonts w:hint="eastAsia"/>
                <w:color w:val="auto"/>
                <w:kern w:val="0"/>
                <w:sz w:val="24"/>
                <w:lang w:eastAsia="zh-CN"/>
              </w:rPr>
              <w:t>经计量、拌制后出售并采用运输车在规定时间内运送到使用地点的拌合物。根据湿拌砂浆的原材料配比，项目每吨产品的耗水量为</w:t>
            </w:r>
            <w:r>
              <w:rPr>
                <w:rFonts w:hint="eastAsia"/>
                <w:color w:val="auto"/>
                <w:kern w:val="0"/>
                <w:sz w:val="24"/>
                <w:highlight w:val="none"/>
                <w:lang w:eastAsia="zh-CN"/>
              </w:rPr>
              <w:t xml:space="preserve"> </w:t>
            </w:r>
            <w:r>
              <w:rPr>
                <w:rFonts w:hint="eastAsia"/>
                <w:color w:val="auto"/>
                <w:kern w:val="0"/>
                <w:sz w:val="24"/>
                <w:highlight w:val="none"/>
                <w:lang w:val="en-US" w:eastAsia="zh-CN"/>
              </w:rPr>
              <w:t>50</w:t>
            </w:r>
            <w:r>
              <w:rPr>
                <w:rFonts w:hint="eastAsia"/>
                <w:color w:val="auto"/>
                <w:kern w:val="0"/>
                <w:sz w:val="24"/>
                <w:highlight w:val="none"/>
                <w:lang w:eastAsia="zh-CN"/>
              </w:rPr>
              <w:t>kg</w:t>
            </w:r>
            <w:r>
              <w:rPr>
                <w:rFonts w:hint="eastAsia"/>
                <w:color w:val="auto"/>
                <w:kern w:val="0"/>
                <w:sz w:val="24"/>
                <w:lang w:eastAsia="zh-CN"/>
              </w:rPr>
              <w:t>，本项目年产湿拌砂浆</w:t>
            </w:r>
            <w:r>
              <w:rPr>
                <w:rFonts w:hint="eastAsia"/>
                <w:color w:val="auto"/>
                <w:kern w:val="0"/>
                <w:sz w:val="24"/>
                <w:lang w:val="en-US" w:eastAsia="zh-CN"/>
              </w:rPr>
              <w:t>10</w:t>
            </w:r>
            <w:r>
              <w:rPr>
                <w:rFonts w:hint="eastAsia"/>
                <w:color w:val="auto"/>
                <w:kern w:val="0"/>
                <w:sz w:val="24"/>
                <w:lang w:eastAsia="zh-CN"/>
              </w:rPr>
              <w:t>万</w:t>
            </w:r>
            <w:r>
              <w:rPr>
                <w:rFonts w:hint="eastAsia"/>
                <w:color w:val="auto"/>
                <w:kern w:val="0"/>
                <w:sz w:val="24"/>
                <w:lang w:val="en-US" w:eastAsia="zh-CN"/>
              </w:rPr>
              <w:t>吨</w:t>
            </w:r>
            <w:r>
              <w:rPr>
                <w:rFonts w:hint="eastAsia"/>
                <w:color w:val="auto"/>
                <w:kern w:val="0"/>
                <w:sz w:val="24"/>
                <w:lang w:eastAsia="zh-CN"/>
              </w:rPr>
              <w:t xml:space="preserve">，因此，计算得总耗水量为 </w:t>
            </w:r>
            <w:r>
              <w:rPr>
                <w:rFonts w:hint="eastAsia"/>
                <w:color w:val="auto"/>
                <w:kern w:val="0"/>
                <w:sz w:val="24"/>
                <w:highlight w:val="none"/>
                <w:lang w:val="en-US" w:eastAsia="zh-CN"/>
              </w:rPr>
              <w:t>17.86</w:t>
            </w:r>
            <w:r>
              <w:rPr>
                <w:rFonts w:hint="eastAsia"/>
                <w:color w:val="auto"/>
                <w:kern w:val="0"/>
                <w:sz w:val="24"/>
                <w:highlight w:val="none"/>
                <w:lang w:eastAsia="zh-CN"/>
              </w:rPr>
              <w:t>m</w:t>
            </w:r>
            <w:r>
              <w:rPr>
                <w:rFonts w:hint="eastAsia"/>
                <w:color w:val="auto"/>
                <w:kern w:val="0"/>
                <w:sz w:val="24"/>
                <w:highlight w:val="none"/>
                <w:vertAlign w:val="superscript"/>
                <w:lang w:eastAsia="zh-CN"/>
              </w:rPr>
              <w:t>3</w:t>
            </w:r>
            <w:r>
              <w:rPr>
                <w:rFonts w:hint="eastAsia"/>
                <w:color w:val="auto"/>
                <w:kern w:val="0"/>
                <w:sz w:val="24"/>
                <w:highlight w:val="none"/>
                <w:lang w:eastAsia="zh-CN"/>
              </w:rPr>
              <w:t>/d，</w:t>
            </w:r>
            <w:r>
              <w:rPr>
                <w:rFonts w:hint="eastAsia"/>
                <w:color w:val="auto"/>
                <w:kern w:val="0"/>
                <w:sz w:val="24"/>
                <w:highlight w:val="none"/>
                <w:lang w:val="en-US" w:eastAsia="zh-CN"/>
              </w:rPr>
              <w:t>5000</w:t>
            </w:r>
            <w:r>
              <w:rPr>
                <w:rFonts w:hint="eastAsia"/>
                <w:color w:val="auto"/>
                <w:kern w:val="0"/>
                <w:sz w:val="24"/>
                <w:highlight w:val="none"/>
                <w:lang w:eastAsia="zh-CN"/>
              </w:rPr>
              <w:t>m</w:t>
            </w:r>
            <w:r>
              <w:rPr>
                <w:rFonts w:hint="eastAsia"/>
                <w:color w:val="auto"/>
                <w:kern w:val="0"/>
                <w:sz w:val="24"/>
                <w:highlight w:val="none"/>
                <w:vertAlign w:val="superscript"/>
                <w:lang w:eastAsia="zh-CN"/>
              </w:rPr>
              <w:t>3</w:t>
            </w:r>
            <w:r>
              <w:rPr>
                <w:rFonts w:hint="eastAsia"/>
                <w:color w:val="auto"/>
                <w:kern w:val="0"/>
                <w:sz w:val="24"/>
                <w:highlight w:val="none"/>
                <w:lang w:eastAsia="zh-CN"/>
              </w:rPr>
              <w:t>/a</w:t>
            </w:r>
            <w:r>
              <w:rPr>
                <w:rFonts w:hint="eastAsia"/>
                <w:color w:val="auto"/>
                <w:kern w:val="0"/>
                <w:sz w:val="24"/>
                <w:lang w:eastAsia="zh-CN"/>
              </w:rPr>
              <w:t>。</w:t>
            </w:r>
          </w:p>
          <w:p w14:paraId="34C5FB29">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kern w:val="0"/>
                <w:sz w:val="24"/>
                <w:lang w:val="en-US" w:eastAsia="zh-CN"/>
              </w:rPr>
            </w:pPr>
            <w:r>
              <w:rPr>
                <w:rFonts w:hint="eastAsia"/>
                <w:color w:val="auto"/>
                <w:kern w:val="0"/>
                <w:sz w:val="24"/>
                <w:lang w:val="en-US" w:eastAsia="zh-CN"/>
              </w:rPr>
              <w:t>3）预制构件生产线搅拌用水</w:t>
            </w:r>
          </w:p>
          <w:p w14:paraId="03CCF425">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none"/>
                <w:lang w:val="en-US" w:eastAsia="zh-CN"/>
              </w:rPr>
            </w:pPr>
            <w:r>
              <w:rPr>
                <w:rFonts w:hint="eastAsia"/>
                <w:color w:val="auto"/>
                <w:highlight w:val="none"/>
                <w:lang w:val="en-US" w:eastAsia="zh-CN"/>
              </w:rPr>
              <w:t>本项目预制构件生产是将水泥、粉煤灰、水洗砂、石子、水按照一定比例混合搅拌制得的混凝土，根据《山西省用水定额 第2部分：工业》（DB14/T 1049.2-2025）石膏、水泥制品及类似制品制造中房屋构件的用水通用值1.17m</w:t>
            </w:r>
            <w:r>
              <w:rPr>
                <w:rFonts w:hint="eastAsia"/>
                <w:color w:val="auto"/>
                <w:highlight w:val="none"/>
                <w:vertAlign w:val="superscript"/>
                <w:lang w:val="en-US" w:eastAsia="zh-CN"/>
              </w:rPr>
              <w:t>3</w:t>
            </w:r>
            <w:r>
              <w:rPr>
                <w:rFonts w:hint="eastAsia"/>
                <w:color w:val="auto"/>
                <w:highlight w:val="none"/>
                <w:lang w:val="en-US" w:eastAsia="zh-CN"/>
              </w:rPr>
              <w:t>/t，本项目年产预制构件10万吨，因此，计算得总耗水量为 417.86m</w:t>
            </w:r>
            <w:r>
              <w:rPr>
                <w:rFonts w:hint="eastAsia"/>
                <w:color w:val="auto"/>
                <w:highlight w:val="none"/>
                <w:vertAlign w:val="superscript"/>
                <w:lang w:val="en-US" w:eastAsia="zh-CN"/>
              </w:rPr>
              <w:t>3</w:t>
            </w:r>
            <w:r>
              <w:rPr>
                <w:rFonts w:hint="eastAsia"/>
                <w:color w:val="auto"/>
                <w:highlight w:val="none"/>
                <w:lang w:val="en-US" w:eastAsia="zh-CN"/>
              </w:rPr>
              <w:t>/d，117000m</w:t>
            </w:r>
            <w:r>
              <w:rPr>
                <w:rFonts w:hint="eastAsia"/>
                <w:color w:val="auto"/>
                <w:highlight w:val="none"/>
                <w:vertAlign w:val="superscript"/>
                <w:lang w:val="en-US" w:eastAsia="zh-CN"/>
              </w:rPr>
              <w:t>3</w:t>
            </w:r>
            <w:r>
              <w:rPr>
                <w:rFonts w:hint="eastAsia"/>
                <w:color w:val="auto"/>
                <w:highlight w:val="none"/>
                <w:lang w:val="en-US" w:eastAsia="zh-CN"/>
              </w:rPr>
              <w:t>/a。</w:t>
            </w:r>
          </w:p>
          <w:p w14:paraId="2E032DE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eastAsia="宋体"/>
                <w:color w:val="auto"/>
                <w:kern w:val="0"/>
                <w:sz w:val="24"/>
                <w:lang w:val="en-US" w:eastAsia="zh-CN"/>
              </w:rPr>
            </w:pPr>
            <w:r>
              <w:rPr>
                <w:rFonts w:hint="eastAsia"/>
                <w:color w:val="auto"/>
                <w:kern w:val="0"/>
                <w:sz w:val="24"/>
                <w:lang w:eastAsia="zh-CN"/>
              </w:rPr>
              <w:t>（</w:t>
            </w:r>
            <w:r>
              <w:rPr>
                <w:rFonts w:hint="eastAsia"/>
                <w:color w:val="auto"/>
                <w:kern w:val="0"/>
                <w:sz w:val="24"/>
                <w:lang w:val="en-US" w:eastAsia="zh-CN"/>
              </w:rPr>
              <w:t>3</w:t>
            </w:r>
            <w:r>
              <w:rPr>
                <w:rFonts w:hint="eastAsia"/>
                <w:color w:val="auto"/>
                <w:kern w:val="0"/>
                <w:sz w:val="24"/>
                <w:lang w:eastAsia="zh-CN"/>
              </w:rPr>
              <w:t>）</w:t>
            </w:r>
            <w:r>
              <w:rPr>
                <w:rFonts w:hint="eastAsia"/>
                <w:color w:val="auto"/>
                <w:kern w:val="0"/>
                <w:sz w:val="24"/>
                <w:lang w:val="en-US" w:eastAsia="zh-CN"/>
              </w:rPr>
              <w:t>洗砂用水</w:t>
            </w:r>
          </w:p>
          <w:p w14:paraId="438E103E">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val="en-US" w:eastAsia="zh-CN"/>
              </w:rPr>
              <w:t>水洗砂生产线：</w:t>
            </w:r>
            <w:r>
              <w:rPr>
                <w:rFonts w:hint="eastAsia"/>
                <w:color w:val="auto"/>
                <w:highlight w:val="none"/>
                <w:lang w:eastAsia="zh-CN"/>
              </w:rPr>
              <w:t>本项目</w:t>
            </w:r>
            <w:r>
              <w:rPr>
                <w:rFonts w:hint="eastAsia"/>
                <w:color w:val="auto"/>
                <w:highlight w:val="none"/>
                <w:lang w:val="en-US" w:eastAsia="zh-CN"/>
              </w:rPr>
              <w:t>水洗砂产量50万t/a，根据建设单位提供的资料，洗砂用水量约1920m</w:t>
            </w:r>
            <w:r>
              <w:rPr>
                <w:rFonts w:hint="eastAsia"/>
                <w:color w:val="auto"/>
                <w:highlight w:val="none"/>
                <w:vertAlign w:val="superscript"/>
                <w:lang w:val="en-US" w:eastAsia="zh-CN"/>
              </w:rPr>
              <w:t>3</w:t>
            </w:r>
            <w:r>
              <w:rPr>
                <w:rFonts w:hint="eastAsia"/>
                <w:color w:val="auto"/>
                <w:highlight w:val="none"/>
                <w:lang w:val="en-US" w:eastAsia="zh-CN"/>
              </w:rPr>
              <w:t>/d（537600m</w:t>
            </w:r>
            <w:r>
              <w:rPr>
                <w:rFonts w:hint="eastAsia"/>
                <w:color w:val="auto"/>
                <w:highlight w:val="none"/>
                <w:vertAlign w:val="superscript"/>
                <w:lang w:val="en-US" w:eastAsia="zh-CN"/>
              </w:rPr>
              <w:t>3</w:t>
            </w:r>
            <w:r>
              <w:rPr>
                <w:rFonts w:hint="eastAsia"/>
                <w:color w:val="auto"/>
                <w:highlight w:val="none"/>
                <w:lang w:val="en-US" w:eastAsia="zh-CN"/>
              </w:rPr>
              <w:t>/a）。经脱水筛脱水后的成品砂含水率为5%左右，含水率按5%计算，则由成品砂带走的水分含量为96m</w:t>
            </w:r>
            <w:r>
              <w:rPr>
                <w:rFonts w:hint="eastAsia"/>
                <w:color w:val="auto"/>
                <w:highlight w:val="none"/>
                <w:vertAlign w:val="superscript"/>
                <w:lang w:val="en-US" w:eastAsia="zh-CN"/>
              </w:rPr>
              <w:t>3</w:t>
            </w:r>
            <w:r>
              <w:rPr>
                <w:rFonts w:hint="eastAsia"/>
                <w:color w:val="auto"/>
                <w:highlight w:val="none"/>
                <w:lang w:val="en-US" w:eastAsia="zh-CN"/>
              </w:rPr>
              <w:t>/d（26880m</w:t>
            </w:r>
            <w:r>
              <w:rPr>
                <w:rFonts w:hint="eastAsia"/>
                <w:color w:val="auto"/>
                <w:highlight w:val="none"/>
                <w:vertAlign w:val="superscript"/>
                <w:lang w:val="en-US" w:eastAsia="zh-CN"/>
              </w:rPr>
              <w:t>3</w:t>
            </w:r>
            <w:r>
              <w:rPr>
                <w:rFonts w:hint="eastAsia"/>
                <w:color w:val="auto"/>
                <w:highlight w:val="none"/>
                <w:lang w:val="en-US" w:eastAsia="zh-CN"/>
              </w:rPr>
              <w:t>/a），剩余的1824m</w:t>
            </w:r>
            <w:r>
              <w:rPr>
                <w:rFonts w:hint="eastAsia"/>
                <w:color w:val="auto"/>
                <w:highlight w:val="none"/>
                <w:vertAlign w:val="superscript"/>
                <w:lang w:val="en-US" w:eastAsia="zh-CN"/>
              </w:rPr>
              <w:t>3</w:t>
            </w:r>
            <w:r>
              <w:rPr>
                <w:rFonts w:hint="eastAsia"/>
                <w:color w:val="auto"/>
                <w:highlight w:val="none"/>
                <w:lang w:val="en-US" w:eastAsia="zh-CN"/>
              </w:rPr>
              <w:t>/d（510720m</w:t>
            </w:r>
            <w:r>
              <w:rPr>
                <w:rFonts w:hint="eastAsia"/>
                <w:color w:val="auto"/>
                <w:highlight w:val="none"/>
                <w:vertAlign w:val="superscript"/>
                <w:lang w:val="en-US" w:eastAsia="zh-CN"/>
              </w:rPr>
              <w:t>3</w:t>
            </w:r>
            <w:r>
              <w:rPr>
                <w:rFonts w:hint="eastAsia"/>
                <w:color w:val="auto"/>
                <w:highlight w:val="none"/>
                <w:lang w:val="en-US" w:eastAsia="zh-CN"/>
              </w:rPr>
              <w:t>/a）经集水罐（高9m，直径6m）沉淀处理后</w:t>
            </w:r>
            <w:r>
              <w:rPr>
                <w:rFonts w:hint="default"/>
                <w:color w:val="auto"/>
                <w:highlight w:val="none"/>
                <w:lang w:val="en-US" w:eastAsia="zh-CN"/>
              </w:rPr>
              <w:t>，上清液</w:t>
            </w:r>
            <w:r>
              <w:rPr>
                <w:rFonts w:hint="eastAsia"/>
                <w:color w:val="auto"/>
                <w:highlight w:val="none"/>
                <w:lang w:val="en-US" w:eastAsia="zh-CN"/>
              </w:rPr>
              <w:t>泵</w:t>
            </w:r>
            <w:r>
              <w:rPr>
                <w:rFonts w:hint="default"/>
                <w:color w:val="auto"/>
                <w:highlight w:val="none"/>
                <w:lang w:val="en-US" w:eastAsia="zh-CN"/>
              </w:rPr>
              <w:t>入清水</w:t>
            </w:r>
            <w:r>
              <w:rPr>
                <w:rFonts w:hint="eastAsia"/>
                <w:color w:val="auto"/>
                <w:highlight w:val="none"/>
                <w:lang w:val="en-US" w:eastAsia="zh-CN"/>
              </w:rPr>
              <w:t>罐</w:t>
            </w:r>
            <w:r>
              <w:rPr>
                <w:rFonts w:hint="default"/>
                <w:color w:val="auto"/>
                <w:highlight w:val="none"/>
                <w:lang w:val="en-US" w:eastAsia="zh-CN"/>
              </w:rPr>
              <w:t>回用洗砂，</w:t>
            </w:r>
            <w:r>
              <w:rPr>
                <w:rFonts w:hint="eastAsia"/>
                <w:color w:val="auto"/>
                <w:highlight w:val="none"/>
                <w:lang w:val="en-US" w:eastAsia="zh-CN"/>
              </w:rPr>
              <w:t>污</w:t>
            </w:r>
            <w:r>
              <w:rPr>
                <w:rFonts w:hint="default"/>
                <w:color w:val="auto"/>
                <w:highlight w:val="none"/>
                <w:lang w:val="en-US" w:eastAsia="zh-CN"/>
              </w:rPr>
              <w:t>泥</w:t>
            </w:r>
            <w:r>
              <w:rPr>
                <w:rFonts w:hint="eastAsia"/>
                <w:color w:val="auto"/>
                <w:highlight w:val="none"/>
                <w:lang w:val="en-US" w:eastAsia="zh-CN"/>
              </w:rPr>
              <w:t>泵入污泥罐，选用隔膜厢式板框压滤机压滤，采用高压隔膜二次压榨，压榨压力 1.2MPa，污泥泥饼含水率可稳定控制在30%，</w:t>
            </w:r>
            <w:r>
              <w:rPr>
                <w:rFonts w:hint="default"/>
                <w:color w:val="auto"/>
                <w:highlight w:val="none"/>
                <w:lang w:val="en-US" w:eastAsia="zh-CN"/>
              </w:rPr>
              <w:t>经</w:t>
            </w:r>
            <w:r>
              <w:rPr>
                <w:rFonts w:hint="eastAsia"/>
                <w:color w:val="auto"/>
                <w:highlight w:val="none"/>
                <w:lang w:val="en-US" w:eastAsia="zh-CN"/>
              </w:rPr>
              <w:t>隔膜厢式板框压滤机</w:t>
            </w:r>
            <w:r>
              <w:rPr>
                <w:rFonts w:hint="default"/>
                <w:color w:val="auto"/>
                <w:highlight w:val="none"/>
                <w:lang w:val="en-US" w:eastAsia="zh-CN"/>
              </w:rPr>
              <w:t>压滤后</w:t>
            </w:r>
            <w:r>
              <w:rPr>
                <w:rFonts w:hint="eastAsia"/>
                <w:color w:val="auto"/>
                <w:highlight w:val="none"/>
                <w:lang w:val="en-US" w:eastAsia="zh-CN"/>
              </w:rPr>
              <w:t>的泥饼不在厂内储存，</w:t>
            </w:r>
            <w:r>
              <w:rPr>
                <w:rFonts w:hint="default"/>
                <w:color w:val="auto"/>
                <w:highlight w:val="none"/>
                <w:lang w:val="en-US" w:eastAsia="zh-CN"/>
              </w:rPr>
              <w:t>压滤后的</w:t>
            </w:r>
            <w:r>
              <w:rPr>
                <w:rFonts w:hint="eastAsia"/>
                <w:color w:val="auto"/>
                <w:highlight w:val="none"/>
                <w:lang w:val="en-US" w:eastAsia="zh-CN"/>
              </w:rPr>
              <w:t>泥饼不进行贮存，立即运至壶关县鑫融建材有限公司用于生产</w:t>
            </w:r>
            <w:r>
              <w:rPr>
                <w:rFonts w:hint="default"/>
                <w:color w:val="auto"/>
                <w:highlight w:val="none"/>
                <w:lang w:val="en-US" w:eastAsia="zh-CN"/>
              </w:rPr>
              <w:t>。</w:t>
            </w:r>
          </w:p>
          <w:p w14:paraId="6675D0CE">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color w:val="auto"/>
                <w:highlight w:val="none"/>
                <w:lang w:val="en-US" w:eastAsia="zh-CN"/>
              </w:rPr>
              <w:t>搅拌机清洗用水</w:t>
            </w:r>
          </w:p>
          <w:p w14:paraId="1EEEF440">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kern w:val="2"/>
                <w:sz w:val="24"/>
                <w:szCs w:val="24"/>
                <w:highlight w:val="none"/>
                <w:lang w:val="en-US" w:eastAsia="zh-CN" w:bidi="ar-SA"/>
              </w:rPr>
              <w:t>搅拌机在暂时停止生产时必须清洗干净，以防止机内混凝土结块。本项目设3台搅拌机，按每台每天清洗1次，按每次每台用水1.5m</w:t>
            </w:r>
            <w:r>
              <w:rPr>
                <w:rFonts w:hint="eastAsia" w:ascii="Times New Roman" w:hAnsi="Times New Roman" w:eastAsia="宋体" w:cs="Times New Roman"/>
                <w:caps w:val="0"/>
                <w:color w:val="auto"/>
                <w:kern w:val="2"/>
                <w:sz w:val="24"/>
                <w:szCs w:val="24"/>
                <w:highlight w:val="none"/>
                <w:vertAlign w:val="superscript"/>
                <w:lang w:val="en-US" w:eastAsia="zh-CN" w:bidi="ar-SA"/>
              </w:rPr>
              <w:t>3</w:t>
            </w:r>
            <w:r>
              <w:rPr>
                <w:rFonts w:hint="eastAsia" w:ascii="Times New Roman" w:hAnsi="Times New Roman" w:eastAsia="宋体" w:cs="Times New Roman"/>
                <w:caps w:val="0"/>
                <w:color w:val="auto"/>
                <w:kern w:val="2"/>
                <w:sz w:val="24"/>
                <w:szCs w:val="24"/>
                <w:highlight w:val="none"/>
                <w:lang w:val="en-US" w:eastAsia="zh-CN" w:bidi="ar-SA"/>
              </w:rPr>
              <w:t>计，则设备清洗用水量为4.5m</w:t>
            </w:r>
            <w:r>
              <w:rPr>
                <w:rFonts w:hint="eastAsia" w:ascii="Times New Roman" w:hAnsi="Times New Roman" w:eastAsia="宋体" w:cs="Times New Roman"/>
                <w:caps w:val="0"/>
                <w:color w:val="auto"/>
                <w:kern w:val="2"/>
                <w:sz w:val="24"/>
                <w:szCs w:val="24"/>
                <w:highlight w:val="none"/>
                <w:vertAlign w:val="superscript"/>
                <w:lang w:val="en-US" w:eastAsia="zh-CN" w:bidi="ar-SA"/>
              </w:rPr>
              <w:t>3</w:t>
            </w:r>
            <w:r>
              <w:rPr>
                <w:rFonts w:hint="eastAsia" w:ascii="Times New Roman" w:hAnsi="Times New Roman" w:eastAsia="宋体" w:cs="Times New Roman"/>
                <w:caps w:val="0"/>
                <w:color w:val="auto"/>
                <w:kern w:val="2"/>
                <w:sz w:val="24"/>
                <w:szCs w:val="24"/>
                <w:highlight w:val="none"/>
                <w:lang w:val="en-US" w:eastAsia="zh-CN" w:bidi="ar-SA"/>
              </w:rPr>
              <w:t>/d，</w:t>
            </w:r>
            <w:r>
              <w:rPr>
                <w:rFonts w:hint="eastAsia" w:cs="Times New Roman"/>
                <w:caps w:val="0"/>
                <w:color w:val="auto"/>
                <w:kern w:val="2"/>
                <w:sz w:val="24"/>
                <w:szCs w:val="24"/>
                <w:highlight w:val="none"/>
                <w:lang w:val="en-US" w:eastAsia="zh-CN" w:bidi="ar-SA"/>
              </w:rPr>
              <w:t>1260</w:t>
            </w:r>
            <w:r>
              <w:rPr>
                <w:rFonts w:hint="eastAsia" w:ascii="Times New Roman" w:hAnsi="Times New Roman" w:eastAsia="宋体" w:cs="Times New Roman"/>
                <w:caps w:val="0"/>
                <w:color w:val="auto"/>
                <w:kern w:val="2"/>
                <w:sz w:val="24"/>
                <w:szCs w:val="24"/>
                <w:highlight w:val="none"/>
                <w:lang w:val="en-US" w:eastAsia="zh-CN" w:bidi="ar-SA"/>
              </w:rPr>
              <w:t>m</w:t>
            </w:r>
            <w:r>
              <w:rPr>
                <w:rFonts w:hint="eastAsia" w:ascii="Times New Roman" w:hAnsi="Times New Roman" w:eastAsia="宋体" w:cs="Times New Roman"/>
                <w:caps w:val="0"/>
                <w:color w:val="auto"/>
                <w:kern w:val="2"/>
                <w:sz w:val="24"/>
                <w:szCs w:val="24"/>
                <w:highlight w:val="none"/>
                <w:vertAlign w:val="superscript"/>
                <w:lang w:val="en-US" w:eastAsia="zh-CN" w:bidi="ar-SA"/>
              </w:rPr>
              <w:t>3</w:t>
            </w:r>
            <w:r>
              <w:rPr>
                <w:rFonts w:hint="eastAsia" w:ascii="Times New Roman" w:hAnsi="Times New Roman" w:eastAsia="宋体" w:cs="Times New Roman"/>
                <w:caps w:val="0"/>
                <w:color w:val="auto"/>
                <w:kern w:val="2"/>
                <w:sz w:val="24"/>
                <w:szCs w:val="24"/>
                <w:highlight w:val="none"/>
                <w:lang w:val="en-US" w:eastAsia="zh-CN" w:bidi="ar-SA"/>
              </w:rPr>
              <w:t>/a。</w:t>
            </w:r>
          </w:p>
          <w:p w14:paraId="37951FD4">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lang w:eastAsia="zh-CN"/>
              </w:rPr>
              <w:t>）</w:t>
            </w:r>
            <w:r>
              <w:rPr>
                <w:rFonts w:hint="eastAsia"/>
                <w:color w:val="auto"/>
                <w:highlight w:val="none"/>
                <w:lang w:val="en-US" w:eastAsia="zh-CN"/>
              </w:rPr>
              <w:t>洗车平台</w:t>
            </w:r>
            <w:r>
              <w:rPr>
                <w:rFonts w:hint="eastAsia"/>
                <w:color w:val="auto"/>
                <w:highlight w:val="none"/>
                <w:lang w:eastAsia="zh-CN"/>
              </w:rPr>
              <w:t>车辆冲洗用水</w:t>
            </w:r>
          </w:p>
          <w:p w14:paraId="01844B2A">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val="en-US" w:eastAsia="zh-CN"/>
              </w:rPr>
              <w:t>1）水洗砂生产线：本工序原料石子运输进厂505005t/a，每天运输约1803.59t，按自卸货车1次运输量最大为30t计算，每天约需运送60车次</w:t>
            </w:r>
            <w:r>
              <w:rPr>
                <w:rFonts w:hint="eastAsia"/>
                <w:color w:val="auto"/>
                <w:highlight w:val="none"/>
                <w:lang w:eastAsia="zh-CN"/>
              </w:rPr>
              <w:t>。</w:t>
            </w:r>
          </w:p>
          <w:p w14:paraId="6268D75F">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val="en-US" w:eastAsia="zh-CN"/>
              </w:rPr>
              <w:t>2）水稳料生产线：本工序原料水泥运输进厂12302t/a，每天运输约43.94t，按罐车1次运输量最大为30t计算，每天约需运送2车次；石子运输进厂201902t/a，每天运输721.08t，按自卸货车1次运输量最大为30t计算，每天约需运送24车次</w:t>
            </w:r>
            <w:r>
              <w:rPr>
                <w:rFonts w:hint="eastAsia"/>
                <w:color w:val="auto"/>
                <w:highlight w:val="none"/>
                <w:lang w:eastAsia="zh-CN"/>
              </w:rPr>
              <w:t>。</w:t>
            </w:r>
          </w:p>
          <w:p w14:paraId="638F3F53">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val="en-US" w:eastAsia="zh-CN"/>
              </w:rPr>
              <w:t>3）湿拌砂浆生产线：本工序原料水泥、粉煤灰运输进厂共20602t/a，每天运输约73.58t，按罐车1次运输量最大为30t计算，每天约需运送3车次</w:t>
            </w:r>
            <w:r>
              <w:rPr>
                <w:rFonts w:hint="eastAsia"/>
                <w:color w:val="auto"/>
                <w:highlight w:val="none"/>
                <w:lang w:eastAsia="zh-CN"/>
              </w:rPr>
              <w:t>。</w:t>
            </w:r>
          </w:p>
          <w:p w14:paraId="7A170656">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val="en-US" w:eastAsia="zh-CN"/>
              </w:rPr>
              <w:t>4）预制构件生产线：本工序原料水泥、粉煤灰运输进厂共15951t/a，每天运输56.97t，按罐车1次运输量最大为30t计算，每天约需运送2车次；石子运输进厂54326t/a，每天运输194.02t，按自卸货车1次运输量最大为30t计算，每天约需运送7车次</w:t>
            </w:r>
            <w:r>
              <w:rPr>
                <w:rFonts w:hint="eastAsia"/>
                <w:color w:val="auto"/>
                <w:highlight w:val="none"/>
                <w:lang w:eastAsia="zh-CN"/>
              </w:rPr>
              <w:t>。</w:t>
            </w:r>
          </w:p>
          <w:p w14:paraId="5183D43B">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none"/>
                <w:lang w:eastAsia="zh-CN"/>
              </w:rPr>
            </w:pPr>
            <w:r>
              <w:rPr>
                <w:rFonts w:hint="eastAsia"/>
                <w:color w:val="auto"/>
                <w:highlight w:val="none"/>
                <w:lang w:val="en-US" w:eastAsia="zh-CN"/>
              </w:rPr>
              <w:t>本项目每天原料约需运送98车次，</w:t>
            </w:r>
            <w:r>
              <w:rPr>
                <w:rFonts w:hint="eastAsia"/>
                <w:color w:val="auto"/>
                <w:highlight w:val="none"/>
                <w:lang w:eastAsia="zh-CN"/>
              </w:rPr>
              <w:t>根据《山西省用水定额</w:t>
            </w:r>
            <w:r>
              <w:rPr>
                <w:rFonts w:hint="eastAsia"/>
                <w:color w:val="auto"/>
                <w:highlight w:val="none"/>
                <w:lang w:val="en-US" w:eastAsia="zh-CN"/>
              </w:rPr>
              <w:t xml:space="preserve"> </w:t>
            </w:r>
            <w:r>
              <w:rPr>
                <w:rFonts w:hint="eastAsia"/>
                <w:color w:val="auto"/>
                <w:highlight w:val="none"/>
                <w:lang w:eastAsia="zh-CN"/>
              </w:rPr>
              <w:t>第3部分：服务业</w:t>
            </w:r>
            <w:r>
              <w:rPr>
                <w:rFonts w:hint="eastAsia"/>
                <w:color w:val="auto"/>
                <w:highlight w:val="none"/>
                <w:lang w:val="en-US" w:eastAsia="zh-CN"/>
              </w:rPr>
              <w:t>用水定额</w:t>
            </w:r>
            <w:r>
              <w:rPr>
                <w:rFonts w:hint="eastAsia"/>
                <w:color w:val="auto"/>
                <w:highlight w:val="none"/>
                <w:lang w:eastAsia="zh-CN"/>
              </w:rPr>
              <w:t>》（DB</w:t>
            </w:r>
            <w:r>
              <w:rPr>
                <w:rFonts w:hint="eastAsia"/>
                <w:color w:val="auto"/>
                <w:highlight w:val="none"/>
                <w:lang w:val="en-US" w:eastAsia="zh-CN"/>
              </w:rPr>
              <w:t xml:space="preserve"> </w:t>
            </w:r>
            <w:r>
              <w:rPr>
                <w:rFonts w:hint="eastAsia"/>
                <w:color w:val="auto"/>
                <w:highlight w:val="none"/>
                <w:lang w:eastAsia="zh-CN"/>
              </w:rPr>
              <w:t>14/T</w:t>
            </w:r>
            <w:r>
              <w:rPr>
                <w:rFonts w:hint="eastAsia"/>
                <w:color w:val="auto"/>
                <w:highlight w:val="none"/>
                <w:lang w:val="en-US" w:eastAsia="zh-CN"/>
              </w:rPr>
              <w:t xml:space="preserve"> </w:t>
            </w:r>
            <w:r>
              <w:rPr>
                <w:rFonts w:hint="eastAsia"/>
                <w:color w:val="auto"/>
                <w:highlight w:val="none"/>
                <w:lang w:eastAsia="zh-CN"/>
              </w:rPr>
              <w:t>1049.3-202</w:t>
            </w:r>
            <w:r>
              <w:rPr>
                <w:rFonts w:hint="eastAsia"/>
                <w:color w:val="auto"/>
                <w:highlight w:val="none"/>
                <w:lang w:val="en-US" w:eastAsia="zh-CN"/>
              </w:rPr>
              <w:t>1</w:t>
            </w:r>
            <w:r>
              <w:rPr>
                <w:rFonts w:hint="eastAsia"/>
                <w:color w:val="auto"/>
                <w:highlight w:val="none"/>
                <w:lang w:eastAsia="zh-CN"/>
              </w:rPr>
              <w:t>）中载重汽车冲洗用水定额先进值40L/辆</w:t>
            </w:r>
            <w:r>
              <w:rPr>
                <w:rFonts w:hint="default" w:ascii="Times New Roman" w:hAnsi="Times New Roman" w:cs="Times New Roman"/>
                <w:color w:val="auto"/>
                <w:highlight w:val="none"/>
                <w:lang w:eastAsia="zh-CN"/>
              </w:rPr>
              <w:t>·</w:t>
            </w:r>
            <w:r>
              <w:rPr>
                <w:rFonts w:hint="eastAsia"/>
                <w:color w:val="auto"/>
                <w:highlight w:val="none"/>
                <w:lang w:eastAsia="zh-CN"/>
              </w:rPr>
              <w:t>次，则</w:t>
            </w:r>
            <w:r>
              <w:rPr>
                <w:rFonts w:hint="eastAsia"/>
                <w:color w:val="auto"/>
                <w:highlight w:val="none"/>
                <w:lang w:val="en-US" w:eastAsia="zh-CN"/>
              </w:rPr>
              <w:t>原料进厂过程</w:t>
            </w:r>
            <w:r>
              <w:rPr>
                <w:rFonts w:hint="eastAsia"/>
                <w:color w:val="auto"/>
                <w:highlight w:val="none"/>
                <w:lang w:eastAsia="zh-CN"/>
              </w:rPr>
              <w:t>洗车用水量为</w:t>
            </w:r>
            <w:r>
              <w:rPr>
                <w:rFonts w:hint="eastAsia"/>
                <w:color w:val="auto"/>
                <w:highlight w:val="none"/>
                <w:lang w:val="en-US" w:eastAsia="zh-CN"/>
              </w:rPr>
              <w:t>3.92</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/d（</w:t>
            </w:r>
            <w:r>
              <w:rPr>
                <w:rFonts w:hint="eastAsia"/>
                <w:color w:val="auto"/>
                <w:highlight w:val="none"/>
                <w:lang w:val="en-US" w:eastAsia="zh-CN"/>
              </w:rPr>
              <w:t>1097.6</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w:t>
            </w:r>
            <w:r>
              <w:rPr>
                <w:rFonts w:hint="eastAsia"/>
                <w:color w:val="auto"/>
                <w:highlight w:val="none"/>
                <w:lang w:val="en-US" w:eastAsia="zh-CN"/>
              </w:rPr>
              <w:t>a</w:t>
            </w:r>
            <w:r>
              <w:rPr>
                <w:rFonts w:hint="eastAsia"/>
                <w:color w:val="auto"/>
                <w:highlight w:val="none"/>
                <w:lang w:eastAsia="zh-CN"/>
              </w:rPr>
              <w:t>）。</w:t>
            </w:r>
          </w:p>
          <w:p w14:paraId="2FB6086A">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val="en-US" w:eastAsia="zh-CN"/>
              </w:rPr>
              <w:t>成品运输：</w:t>
            </w:r>
            <w:r>
              <w:rPr>
                <w:rFonts w:hint="eastAsia"/>
                <w:color w:val="auto"/>
                <w:highlight w:val="none"/>
                <w:lang w:eastAsia="zh-CN"/>
              </w:rPr>
              <w:t>项目</w:t>
            </w:r>
            <w:r>
              <w:rPr>
                <w:rFonts w:hint="eastAsia"/>
                <w:color w:val="auto"/>
                <w:highlight w:val="none"/>
                <w:lang w:val="en-US" w:eastAsia="zh-CN"/>
              </w:rPr>
              <w:t>年产50</w:t>
            </w:r>
            <w:r>
              <w:rPr>
                <w:rFonts w:hint="eastAsia"/>
                <w:color w:val="auto"/>
                <w:highlight w:val="none"/>
                <w:lang w:eastAsia="zh-CN"/>
              </w:rPr>
              <w:t>万吨水洗砂、</w:t>
            </w:r>
            <w:r>
              <w:rPr>
                <w:rFonts w:hint="eastAsia"/>
                <w:color w:val="auto"/>
                <w:highlight w:val="none"/>
                <w:lang w:val="en-US" w:eastAsia="zh-CN"/>
              </w:rPr>
              <w:t>30万吨水稳料、10万吨湿拌砂浆、10万吨预制构件，年生产时间280天</w:t>
            </w:r>
            <w:r>
              <w:rPr>
                <w:rFonts w:hint="eastAsia"/>
                <w:color w:val="auto"/>
                <w:highlight w:val="none"/>
                <w:lang w:eastAsia="zh-CN"/>
              </w:rPr>
              <w:t>，</w:t>
            </w:r>
            <w:r>
              <w:rPr>
                <w:rFonts w:hint="eastAsia"/>
                <w:color w:val="auto"/>
                <w:highlight w:val="none"/>
                <w:lang w:val="en-US" w:eastAsia="zh-CN"/>
              </w:rPr>
              <w:t>每天可生产约3571.43t，按罐车1次运输量最大为30t计算，每天约需运送119车次</w:t>
            </w:r>
            <w:r>
              <w:rPr>
                <w:rFonts w:hint="eastAsia"/>
                <w:color w:val="auto"/>
                <w:highlight w:val="none"/>
                <w:lang w:eastAsia="zh-CN"/>
              </w:rPr>
              <w:t>。根据《山西省用水定额</w:t>
            </w:r>
            <w:r>
              <w:rPr>
                <w:rFonts w:hint="eastAsia"/>
                <w:color w:val="auto"/>
                <w:highlight w:val="none"/>
                <w:lang w:val="en-US" w:eastAsia="zh-CN"/>
              </w:rPr>
              <w:t xml:space="preserve"> </w:t>
            </w:r>
            <w:r>
              <w:rPr>
                <w:rFonts w:hint="eastAsia"/>
                <w:color w:val="auto"/>
                <w:highlight w:val="none"/>
                <w:lang w:eastAsia="zh-CN"/>
              </w:rPr>
              <w:t>第3部分：服务业</w:t>
            </w:r>
            <w:r>
              <w:rPr>
                <w:rFonts w:hint="eastAsia"/>
                <w:color w:val="auto"/>
                <w:highlight w:val="none"/>
                <w:lang w:val="en-US" w:eastAsia="zh-CN"/>
              </w:rPr>
              <w:t>用水定额</w:t>
            </w:r>
            <w:r>
              <w:rPr>
                <w:rFonts w:hint="eastAsia"/>
                <w:color w:val="auto"/>
                <w:highlight w:val="none"/>
                <w:lang w:eastAsia="zh-CN"/>
              </w:rPr>
              <w:t>》（DB</w:t>
            </w:r>
            <w:r>
              <w:rPr>
                <w:rFonts w:hint="eastAsia"/>
                <w:color w:val="auto"/>
                <w:highlight w:val="none"/>
                <w:lang w:val="en-US" w:eastAsia="zh-CN"/>
              </w:rPr>
              <w:t xml:space="preserve"> </w:t>
            </w:r>
            <w:r>
              <w:rPr>
                <w:rFonts w:hint="eastAsia"/>
                <w:color w:val="auto"/>
                <w:highlight w:val="none"/>
                <w:lang w:eastAsia="zh-CN"/>
              </w:rPr>
              <w:t>14/T</w:t>
            </w:r>
            <w:r>
              <w:rPr>
                <w:rFonts w:hint="eastAsia"/>
                <w:color w:val="auto"/>
                <w:highlight w:val="none"/>
                <w:lang w:val="en-US" w:eastAsia="zh-CN"/>
              </w:rPr>
              <w:t xml:space="preserve"> </w:t>
            </w:r>
            <w:r>
              <w:rPr>
                <w:rFonts w:hint="eastAsia"/>
                <w:color w:val="auto"/>
                <w:highlight w:val="none"/>
                <w:lang w:eastAsia="zh-CN"/>
              </w:rPr>
              <w:t>1049.3-202</w:t>
            </w:r>
            <w:r>
              <w:rPr>
                <w:rFonts w:hint="eastAsia"/>
                <w:color w:val="auto"/>
                <w:highlight w:val="none"/>
                <w:lang w:val="en-US" w:eastAsia="zh-CN"/>
              </w:rPr>
              <w:t>1</w:t>
            </w:r>
            <w:r>
              <w:rPr>
                <w:rFonts w:hint="eastAsia"/>
                <w:color w:val="auto"/>
                <w:highlight w:val="none"/>
                <w:lang w:eastAsia="zh-CN"/>
              </w:rPr>
              <w:t>）中载重汽车冲洗用水定额先进值40L/辆</w:t>
            </w:r>
            <w:r>
              <w:rPr>
                <w:rFonts w:hint="default" w:ascii="Times New Roman" w:hAnsi="Times New Roman" w:cs="Times New Roman"/>
                <w:color w:val="auto"/>
                <w:highlight w:val="none"/>
                <w:lang w:eastAsia="zh-CN"/>
              </w:rPr>
              <w:t>·</w:t>
            </w:r>
            <w:r>
              <w:rPr>
                <w:rFonts w:hint="eastAsia"/>
                <w:color w:val="auto"/>
                <w:highlight w:val="none"/>
                <w:lang w:eastAsia="zh-CN"/>
              </w:rPr>
              <w:t>次，</w:t>
            </w:r>
            <w:r>
              <w:rPr>
                <w:rFonts w:hint="eastAsia"/>
                <w:color w:val="auto"/>
                <w:highlight w:val="none"/>
                <w:lang w:val="en-US" w:eastAsia="zh-CN"/>
              </w:rPr>
              <w:t>成品运输过程</w:t>
            </w:r>
            <w:r>
              <w:rPr>
                <w:rFonts w:hint="eastAsia"/>
                <w:color w:val="auto"/>
                <w:highlight w:val="none"/>
                <w:lang w:eastAsia="zh-CN"/>
              </w:rPr>
              <w:t>洗车用水量为</w:t>
            </w:r>
            <w:r>
              <w:rPr>
                <w:rFonts w:hint="eastAsia"/>
                <w:color w:val="auto"/>
                <w:highlight w:val="none"/>
                <w:lang w:val="en-US" w:eastAsia="zh-CN"/>
              </w:rPr>
              <w:t>4.76</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/d（</w:t>
            </w:r>
            <w:r>
              <w:rPr>
                <w:rFonts w:hint="eastAsia"/>
                <w:color w:val="auto"/>
                <w:highlight w:val="none"/>
                <w:lang w:val="en-US" w:eastAsia="zh-CN"/>
              </w:rPr>
              <w:t>1332.8</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w:t>
            </w:r>
            <w:r>
              <w:rPr>
                <w:rFonts w:hint="eastAsia"/>
                <w:color w:val="auto"/>
                <w:highlight w:val="none"/>
                <w:lang w:val="en-US" w:eastAsia="zh-CN"/>
              </w:rPr>
              <w:t>a</w:t>
            </w:r>
            <w:r>
              <w:rPr>
                <w:rFonts w:hint="eastAsia"/>
                <w:color w:val="auto"/>
                <w:highlight w:val="none"/>
                <w:lang w:eastAsia="zh-CN"/>
              </w:rPr>
              <w:t>）。</w:t>
            </w:r>
            <w:r>
              <w:rPr>
                <w:rFonts w:hint="eastAsia"/>
                <w:color w:val="auto"/>
                <w:highlight w:val="none"/>
                <w:lang w:val="en-US" w:eastAsia="zh-CN"/>
              </w:rPr>
              <w:t>则洗车平台的车辆冲洗用水总用量为8.68</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/d（</w:t>
            </w:r>
            <w:r>
              <w:rPr>
                <w:rFonts w:hint="eastAsia"/>
                <w:color w:val="auto"/>
                <w:highlight w:val="none"/>
                <w:lang w:val="en-US" w:eastAsia="zh-CN"/>
              </w:rPr>
              <w:t>2430.4</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w:t>
            </w:r>
            <w:r>
              <w:rPr>
                <w:rFonts w:hint="eastAsia"/>
                <w:color w:val="auto"/>
                <w:highlight w:val="none"/>
                <w:lang w:val="en-US" w:eastAsia="zh-CN"/>
              </w:rPr>
              <w:t>a</w:t>
            </w:r>
            <w:r>
              <w:rPr>
                <w:rFonts w:hint="eastAsia"/>
                <w:color w:val="auto"/>
                <w:highlight w:val="none"/>
                <w:lang w:eastAsia="zh-CN"/>
              </w:rPr>
              <w:t>）。</w:t>
            </w:r>
          </w:p>
          <w:p w14:paraId="4EE5EF2F">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宋体"/>
                <w:color w:val="auto"/>
                <w:kern w:val="2"/>
                <w:sz w:val="24"/>
                <w:szCs w:val="24"/>
                <w:lang w:val="en-US" w:eastAsia="zh-CN" w:bidi="ar-SA"/>
              </w:rPr>
            </w:pPr>
            <w:bookmarkStart w:id="18" w:name="_Ref31888"/>
            <w:r>
              <w:rPr>
                <w:rFonts w:hint="eastAsia" w:cs="宋体"/>
                <w:color w:val="auto"/>
                <w:kern w:val="2"/>
                <w:sz w:val="24"/>
                <w:szCs w:val="24"/>
                <w:lang w:val="en-US" w:eastAsia="zh-CN" w:bidi="ar-SA"/>
              </w:rPr>
              <w:t>（6）车辆罐体冲洗用水</w:t>
            </w:r>
          </w:p>
          <w:p w14:paraId="4B56D828">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Times New Roman"/>
                <w:caps w:val="0"/>
                <w:color w:val="auto"/>
                <w:kern w:val="2"/>
                <w:sz w:val="24"/>
                <w:szCs w:val="24"/>
                <w:highlight w:val="none"/>
                <w:lang w:val="en-US" w:eastAsia="zh-CN" w:bidi="ar-SA"/>
              </w:rPr>
              <w:t>罐车在暂停运输时必须清洗干净，防止车内混凝土结块。本项目设1辆罐车，按每辆每天清洗1次，按每次每辆用水0.5m</w:t>
            </w:r>
            <w:r>
              <w:rPr>
                <w:rFonts w:hint="eastAsia" w:ascii="Times New Roman" w:hAnsi="Times New Roman" w:eastAsia="宋体" w:cs="Times New Roman"/>
                <w:caps w:val="0"/>
                <w:color w:val="auto"/>
                <w:kern w:val="2"/>
                <w:sz w:val="24"/>
                <w:szCs w:val="24"/>
                <w:highlight w:val="none"/>
                <w:vertAlign w:val="superscript"/>
                <w:lang w:val="en-US" w:eastAsia="zh-CN" w:bidi="ar-SA"/>
              </w:rPr>
              <w:t>3</w:t>
            </w:r>
            <w:r>
              <w:rPr>
                <w:rFonts w:hint="eastAsia" w:ascii="Times New Roman" w:hAnsi="Times New Roman" w:eastAsia="宋体" w:cs="Times New Roman"/>
                <w:caps w:val="0"/>
                <w:color w:val="auto"/>
                <w:kern w:val="2"/>
                <w:sz w:val="24"/>
                <w:szCs w:val="24"/>
                <w:highlight w:val="none"/>
                <w:lang w:val="en-US" w:eastAsia="zh-CN" w:bidi="ar-SA"/>
              </w:rPr>
              <w:t>计，则车辆罐体冲洗水量为0.5m</w:t>
            </w:r>
            <w:r>
              <w:rPr>
                <w:rFonts w:hint="eastAsia" w:ascii="Times New Roman" w:hAnsi="Times New Roman" w:eastAsia="宋体" w:cs="Times New Roman"/>
                <w:caps w:val="0"/>
                <w:color w:val="auto"/>
                <w:kern w:val="2"/>
                <w:sz w:val="24"/>
                <w:szCs w:val="24"/>
                <w:highlight w:val="none"/>
                <w:vertAlign w:val="superscript"/>
                <w:lang w:val="en-US" w:eastAsia="zh-CN" w:bidi="ar-SA"/>
              </w:rPr>
              <w:t>3</w:t>
            </w:r>
            <w:r>
              <w:rPr>
                <w:rFonts w:hint="eastAsia" w:ascii="Times New Roman" w:hAnsi="Times New Roman" w:eastAsia="宋体" w:cs="Times New Roman"/>
                <w:caps w:val="0"/>
                <w:color w:val="auto"/>
                <w:kern w:val="2"/>
                <w:sz w:val="24"/>
                <w:szCs w:val="24"/>
                <w:highlight w:val="none"/>
                <w:lang w:val="en-US" w:eastAsia="zh-CN" w:bidi="ar-SA"/>
              </w:rPr>
              <w:t>/d，1</w:t>
            </w:r>
            <w:r>
              <w:rPr>
                <w:rFonts w:hint="eastAsia" w:cs="Times New Roman"/>
                <w:caps w:val="0"/>
                <w:color w:val="auto"/>
                <w:kern w:val="2"/>
                <w:sz w:val="24"/>
                <w:szCs w:val="24"/>
                <w:highlight w:val="none"/>
                <w:lang w:val="en-US" w:eastAsia="zh-CN" w:bidi="ar-SA"/>
              </w:rPr>
              <w:t>40</w:t>
            </w:r>
            <w:r>
              <w:rPr>
                <w:rFonts w:hint="eastAsia" w:ascii="Times New Roman" w:hAnsi="Times New Roman" w:eastAsia="宋体" w:cs="Times New Roman"/>
                <w:caps w:val="0"/>
                <w:color w:val="auto"/>
                <w:kern w:val="2"/>
                <w:sz w:val="24"/>
                <w:szCs w:val="24"/>
                <w:highlight w:val="none"/>
                <w:lang w:val="en-US" w:eastAsia="zh-CN" w:bidi="ar-SA"/>
              </w:rPr>
              <w:t>m</w:t>
            </w:r>
            <w:r>
              <w:rPr>
                <w:rFonts w:hint="eastAsia" w:ascii="Times New Roman" w:hAnsi="Times New Roman" w:eastAsia="宋体" w:cs="Times New Roman"/>
                <w:caps w:val="0"/>
                <w:color w:val="auto"/>
                <w:kern w:val="2"/>
                <w:sz w:val="24"/>
                <w:szCs w:val="24"/>
                <w:highlight w:val="none"/>
                <w:vertAlign w:val="superscript"/>
                <w:lang w:val="en-US" w:eastAsia="zh-CN" w:bidi="ar-SA"/>
              </w:rPr>
              <w:t>3</w:t>
            </w:r>
            <w:r>
              <w:rPr>
                <w:rFonts w:hint="eastAsia" w:ascii="Times New Roman" w:hAnsi="Times New Roman" w:eastAsia="宋体" w:cs="Times New Roman"/>
                <w:caps w:val="0"/>
                <w:color w:val="auto"/>
                <w:kern w:val="2"/>
                <w:sz w:val="24"/>
                <w:szCs w:val="24"/>
                <w:highlight w:val="none"/>
                <w:lang w:val="en-US" w:eastAsia="zh-CN" w:bidi="ar-SA"/>
              </w:rPr>
              <w:t>/a。</w:t>
            </w:r>
          </w:p>
          <w:p w14:paraId="2BF61371">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none"/>
                <w:lang w:eastAsia="zh-CN"/>
              </w:rPr>
            </w:pPr>
            <w:r>
              <w:rPr>
                <w:rFonts w:hint="eastAsia" w:ascii="Times New Roman" w:hAnsi="Times New Roman" w:eastAsia="宋体" w:cs="宋体"/>
                <w:color w:val="auto"/>
                <w:kern w:val="2"/>
                <w:sz w:val="24"/>
                <w:szCs w:val="24"/>
                <w:lang w:val="en-US" w:eastAsia="zh-CN" w:bidi="ar-SA"/>
              </w:rPr>
              <w:t>2、</w:t>
            </w:r>
            <w:r>
              <w:rPr>
                <w:rFonts w:hint="eastAsia"/>
                <w:color w:val="auto"/>
                <w:highlight w:val="none"/>
                <w:lang w:eastAsia="zh-CN"/>
              </w:rPr>
              <w:t>排水工程</w:t>
            </w:r>
            <w:bookmarkEnd w:id="18"/>
          </w:p>
          <w:p w14:paraId="4BFAA1EC">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none"/>
                <w:lang w:eastAsia="zh-CN"/>
              </w:rPr>
            </w:pPr>
            <w:r>
              <w:rPr>
                <w:rFonts w:hint="eastAsia" w:ascii="Times New Roman" w:hAnsi="Times New Roman" w:eastAsia="宋体" w:cs="宋体"/>
                <w:color w:val="auto"/>
                <w:kern w:val="2"/>
                <w:sz w:val="24"/>
                <w:szCs w:val="24"/>
                <w:lang w:val="en-US" w:eastAsia="zh-CN" w:bidi="ar-SA"/>
              </w:rPr>
              <w:t>（1）</w:t>
            </w:r>
            <w:r>
              <w:rPr>
                <w:rFonts w:hint="eastAsia"/>
                <w:color w:val="auto"/>
                <w:highlight w:val="none"/>
                <w:lang w:eastAsia="zh-CN"/>
              </w:rPr>
              <w:t>生活污水</w:t>
            </w:r>
          </w:p>
          <w:p w14:paraId="2210C4BA">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none"/>
                <w:lang w:eastAsia="zh-CN"/>
              </w:rPr>
            </w:pPr>
            <w:r>
              <w:rPr>
                <w:rFonts w:hint="eastAsia"/>
                <w:color w:val="auto"/>
                <w:highlight w:val="none"/>
                <w:lang w:val="en-US" w:eastAsia="zh-CN"/>
              </w:rPr>
              <w:t>本项目生活污水</w:t>
            </w:r>
            <w:r>
              <w:rPr>
                <w:rFonts w:hint="eastAsia"/>
                <w:color w:val="auto"/>
                <w:highlight w:val="none"/>
                <w:lang w:eastAsia="zh-CN"/>
              </w:rPr>
              <w:t>产生量按用水量的80%计算，则</w:t>
            </w:r>
            <w:r>
              <w:rPr>
                <w:rFonts w:hint="eastAsia"/>
                <w:color w:val="auto"/>
                <w:highlight w:val="none"/>
                <w:lang w:val="en-US" w:eastAsia="zh-CN"/>
              </w:rPr>
              <w:t>生活污水废水</w:t>
            </w:r>
            <w:r>
              <w:rPr>
                <w:rFonts w:hint="eastAsia"/>
                <w:color w:val="auto"/>
                <w:highlight w:val="none"/>
                <w:lang w:eastAsia="zh-CN"/>
              </w:rPr>
              <w:t>产生量为</w:t>
            </w:r>
            <w:r>
              <w:rPr>
                <w:rFonts w:hint="eastAsia"/>
                <w:color w:val="auto"/>
                <w:highlight w:val="none"/>
                <w:lang w:val="en-US" w:eastAsia="zh-CN"/>
              </w:rPr>
              <w:t>1.68</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/d（</w:t>
            </w:r>
            <w:r>
              <w:rPr>
                <w:rFonts w:hint="eastAsia"/>
                <w:color w:val="auto"/>
                <w:highlight w:val="none"/>
                <w:lang w:val="en-US" w:eastAsia="zh-CN"/>
              </w:rPr>
              <w:t>470.4</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/a），通过厂区总排口排入市政污水管网进入壶关县第二污水处理厂处理。</w:t>
            </w:r>
          </w:p>
          <w:p w14:paraId="3A5F9BE2">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w:t>
            </w:r>
            <w:r>
              <w:rPr>
                <w:rFonts w:hint="eastAsia" w:cs="宋体"/>
                <w:color w:val="auto"/>
                <w:kern w:val="2"/>
                <w:sz w:val="24"/>
                <w:szCs w:val="24"/>
                <w:lang w:val="en-US" w:eastAsia="zh-CN" w:bidi="ar-SA"/>
              </w:rPr>
              <w:t>搅拌机清洗废水</w:t>
            </w:r>
          </w:p>
          <w:p w14:paraId="756CCFBC">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sz w:val="24"/>
                <w:szCs w:val="24"/>
                <w:highlight w:val="none"/>
                <w:lang w:val="en-US" w:eastAsia="zh-CN"/>
              </w:rPr>
              <w:t>废水产生量按</w:t>
            </w:r>
            <w:r>
              <w:rPr>
                <w:rFonts w:hint="default" w:ascii="Times New Roman" w:hAnsi="Times New Roman" w:eastAsia="宋体" w:cs="Times New Roman"/>
                <w:caps w:val="0"/>
                <w:color w:val="auto"/>
                <w:sz w:val="24"/>
                <w:szCs w:val="24"/>
                <w:highlight w:val="none"/>
                <w:lang w:val="en-US" w:eastAsia="zh-CN"/>
              </w:rPr>
              <w:t>用水量的80%计算，则</w:t>
            </w:r>
            <w:r>
              <w:rPr>
                <w:rFonts w:hint="eastAsia" w:ascii="Times New Roman" w:hAnsi="Times New Roman" w:eastAsia="宋体" w:cs="Times New Roman"/>
                <w:caps w:val="0"/>
                <w:color w:val="auto"/>
                <w:sz w:val="24"/>
                <w:szCs w:val="24"/>
                <w:highlight w:val="none"/>
                <w:lang w:val="en-US" w:eastAsia="zh-CN"/>
              </w:rPr>
              <w:t>废水产生</w:t>
            </w:r>
            <w:r>
              <w:rPr>
                <w:rFonts w:hint="default" w:ascii="Times New Roman" w:hAnsi="Times New Roman" w:eastAsia="宋体" w:cs="Times New Roman"/>
                <w:caps w:val="0"/>
                <w:color w:val="auto"/>
                <w:sz w:val="24"/>
                <w:szCs w:val="24"/>
                <w:highlight w:val="none"/>
                <w:lang w:val="en-US" w:eastAsia="zh-CN"/>
              </w:rPr>
              <w:t>量为</w:t>
            </w:r>
            <w:r>
              <w:rPr>
                <w:rFonts w:hint="eastAsia" w:ascii="Times New Roman" w:hAnsi="Times New Roman" w:eastAsia="宋体" w:cs="Times New Roman"/>
                <w:caps w:val="0"/>
                <w:color w:val="auto"/>
                <w:sz w:val="24"/>
                <w:szCs w:val="24"/>
                <w:highlight w:val="none"/>
                <w:lang w:val="en-US" w:eastAsia="zh-CN"/>
              </w:rPr>
              <w:t>3.6</w:t>
            </w:r>
            <w:r>
              <w:rPr>
                <w:rFonts w:hint="default" w:ascii="Times New Roman" w:hAnsi="Times New Roman" w:eastAsia="宋体" w:cs="Times New Roman"/>
                <w:caps w:val="0"/>
                <w:color w:val="auto"/>
                <w:sz w:val="24"/>
                <w:szCs w:val="24"/>
                <w:highlight w:val="none"/>
                <w:lang w:val="en-US" w:eastAsia="zh-CN"/>
              </w:rPr>
              <w:t>m</w:t>
            </w:r>
            <w:r>
              <w:rPr>
                <w:rFonts w:hint="default" w:ascii="Times New Roman" w:hAnsi="Times New Roman" w:eastAsia="宋体" w:cs="Times New Roman"/>
                <w:caps w:val="0"/>
                <w:color w:val="auto"/>
                <w:sz w:val="24"/>
                <w:szCs w:val="24"/>
                <w:highlight w:val="none"/>
                <w:vertAlign w:val="superscript"/>
                <w:lang w:val="en-US" w:eastAsia="zh-CN"/>
              </w:rPr>
              <w:t>3</w:t>
            </w:r>
            <w:r>
              <w:rPr>
                <w:rFonts w:hint="default" w:ascii="Times New Roman" w:hAnsi="Times New Roman" w:eastAsia="宋体" w:cs="Times New Roman"/>
                <w:caps w:val="0"/>
                <w:color w:val="auto"/>
                <w:sz w:val="24"/>
                <w:szCs w:val="24"/>
                <w:highlight w:val="none"/>
                <w:lang w:val="en-US" w:eastAsia="zh-CN"/>
              </w:rPr>
              <w:t>/d（</w:t>
            </w:r>
            <w:r>
              <w:rPr>
                <w:rFonts w:hint="eastAsia" w:cs="Times New Roman"/>
                <w:caps w:val="0"/>
                <w:color w:val="auto"/>
                <w:sz w:val="24"/>
                <w:szCs w:val="24"/>
                <w:highlight w:val="none"/>
                <w:lang w:val="en-US" w:eastAsia="zh-CN"/>
              </w:rPr>
              <w:t>1008</w:t>
            </w:r>
            <w:r>
              <w:rPr>
                <w:rFonts w:hint="default" w:ascii="Times New Roman" w:hAnsi="Times New Roman" w:eastAsia="宋体" w:cs="Times New Roman"/>
                <w:caps w:val="0"/>
                <w:color w:val="auto"/>
                <w:sz w:val="24"/>
                <w:szCs w:val="24"/>
                <w:highlight w:val="none"/>
                <w:lang w:val="en-US" w:eastAsia="zh-CN"/>
              </w:rPr>
              <w:t>m</w:t>
            </w:r>
            <w:r>
              <w:rPr>
                <w:rFonts w:hint="default" w:ascii="Times New Roman" w:hAnsi="Times New Roman" w:eastAsia="宋体" w:cs="Times New Roman"/>
                <w:caps w:val="0"/>
                <w:color w:val="auto"/>
                <w:sz w:val="24"/>
                <w:szCs w:val="24"/>
                <w:highlight w:val="none"/>
                <w:vertAlign w:val="superscript"/>
                <w:lang w:val="en-US" w:eastAsia="zh-CN"/>
              </w:rPr>
              <w:t>3</w:t>
            </w:r>
            <w:r>
              <w:rPr>
                <w:rFonts w:hint="default" w:ascii="Times New Roman" w:hAnsi="Times New Roman" w:eastAsia="宋体" w:cs="Times New Roman"/>
                <w:caps w:val="0"/>
                <w:color w:val="auto"/>
                <w:sz w:val="24"/>
                <w:szCs w:val="24"/>
                <w:highlight w:val="none"/>
                <w:lang w:val="en-US" w:eastAsia="zh-CN"/>
              </w:rPr>
              <w:t>/a），</w:t>
            </w:r>
            <w:r>
              <w:rPr>
                <w:rFonts w:hint="eastAsia" w:ascii="Times New Roman" w:hAnsi="Times New Roman" w:eastAsia="宋体" w:cs="Times New Roman"/>
                <w:caps w:val="0"/>
                <w:color w:val="auto"/>
                <w:sz w:val="24"/>
                <w:szCs w:val="24"/>
                <w:highlight w:val="none"/>
                <w:lang w:val="en-US" w:eastAsia="zh-CN"/>
              </w:rPr>
              <w:t>清洗废水</w:t>
            </w:r>
            <w:r>
              <w:rPr>
                <w:rFonts w:hint="default" w:ascii="Times New Roman" w:hAnsi="Times New Roman" w:eastAsia="宋体" w:cs="Times New Roman"/>
                <w:caps w:val="0"/>
                <w:color w:val="auto"/>
                <w:sz w:val="24"/>
                <w:szCs w:val="24"/>
                <w:highlight w:val="none"/>
                <w:lang w:val="en-US" w:eastAsia="zh-CN"/>
              </w:rPr>
              <w:t>处理后进入</w:t>
            </w:r>
            <w:r>
              <w:rPr>
                <w:rFonts w:hint="eastAsia" w:cs="Times New Roman"/>
                <w:caps w:val="0"/>
                <w:color w:val="auto"/>
                <w:sz w:val="24"/>
                <w:szCs w:val="24"/>
                <w:highlight w:val="none"/>
                <w:lang w:val="en-US" w:eastAsia="zh-CN"/>
              </w:rPr>
              <w:t>集水罐</w:t>
            </w:r>
            <w:r>
              <w:rPr>
                <w:rFonts w:hint="default" w:ascii="Times New Roman" w:hAnsi="Times New Roman" w:eastAsia="宋体" w:cs="Times New Roman"/>
                <w:caps w:val="0"/>
                <w:color w:val="auto"/>
                <w:sz w:val="24"/>
                <w:szCs w:val="24"/>
                <w:highlight w:val="none"/>
                <w:lang w:val="en-US" w:eastAsia="zh-CN"/>
              </w:rPr>
              <w:t>（高9m，直径6m）</w:t>
            </w:r>
            <w:r>
              <w:rPr>
                <w:rFonts w:hint="eastAsia" w:ascii="Times New Roman" w:hAnsi="Times New Roman" w:eastAsia="宋体" w:cs="Times New Roman"/>
                <w:caps w:val="0"/>
                <w:color w:val="auto"/>
                <w:sz w:val="24"/>
                <w:szCs w:val="24"/>
                <w:highlight w:val="none"/>
                <w:lang w:val="en-US" w:eastAsia="zh-CN"/>
              </w:rPr>
              <w:t>，经</w:t>
            </w:r>
            <w:r>
              <w:rPr>
                <w:rFonts w:hint="default" w:ascii="Times New Roman" w:hAnsi="Times New Roman" w:eastAsia="宋体" w:cs="Times New Roman"/>
                <w:caps w:val="0"/>
                <w:color w:val="auto"/>
                <w:sz w:val="24"/>
                <w:szCs w:val="24"/>
                <w:highlight w:val="none"/>
                <w:lang w:val="en-US" w:eastAsia="zh-CN"/>
              </w:rPr>
              <w:t>沉淀后回用于</w:t>
            </w:r>
            <w:r>
              <w:rPr>
                <w:rFonts w:hint="eastAsia" w:ascii="Times New Roman" w:hAnsi="Times New Roman" w:eastAsia="宋体" w:cs="Times New Roman"/>
                <w:caps w:val="0"/>
                <w:color w:val="auto"/>
                <w:sz w:val="24"/>
                <w:szCs w:val="24"/>
                <w:highlight w:val="none"/>
                <w:lang w:val="en-US" w:eastAsia="zh-CN"/>
              </w:rPr>
              <w:t>生产。</w:t>
            </w:r>
          </w:p>
          <w:p w14:paraId="095301E9">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none"/>
                <w:lang w:val="en-US" w:eastAsia="zh-CN"/>
              </w:rPr>
            </w:pPr>
            <w:r>
              <w:rPr>
                <w:rFonts w:hint="default" w:ascii="Times New Roman" w:hAnsi="Times New Roman" w:eastAsia="宋体" w:cs="宋体"/>
                <w:color w:val="auto"/>
                <w:kern w:val="2"/>
                <w:sz w:val="24"/>
                <w:szCs w:val="24"/>
                <w:lang w:val="en-US" w:eastAsia="zh-CN" w:bidi="ar-SA"/>
              </w:rPr>
              <w:t>（3）</w:t>
            </w:r>
            <w:r>
              <w:rPr>
                <w:rFonts w:hint="eastAsia"/>
                <w:color w:val="auto"/>
                <w:highlight w:val="none"/>
                <w:lang w:val="en-US" w:eastAsia="zh-CN"/>
              </w:rPr>
              <w:t>洗砂废水</w:t>
            </w:r>
          </w:p>
          <w:p w14:paraId="3C2DB653">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val="en-US" w:eastAsia="zh-CN"/>
              </w:rPr>
              <w:t>本项目洗砂过程因蒸发会损耗部分水，损耗量按5%计，则项目洗砂废水产生量为</w:t>
            </w:r>
            <w:r>
              <w:rPr>
                <w:rFonts w:hint="eastAsia"/>
                <w:color w:val="auto"/>
                <w:kern w:val="0"/>
                <w:sz w:val="24"/>
                <w:lang w:val="en-US" w:eastAsia="zh-CN"/>
              </w:rPr>
              <w:t>1824</w:t>
            </w:r>
            <w:r>
              <w:rPr>
                <w:rFonts w:hint="eastAsia"/>
                <w:color w:val="auto"/>
                <w:kern w:val="0"/>
                <w:sz w:val="24"/>
              </w:rPr>
              <w:t>m</w:t>
            </w:r>
            <w:r>
              <w:rPr>
                <w:rFonts w:hint="eastAsia"/>
                <w:color w:val="auto"/>
                <w:kern w:val="0"/>
                <w:sz w:val="24"/>
                <w:vertAlign w:val="superscript"/>
              </w:rPr>
              <w:t>3</w:t>
            </w:r>
            <w:r>
              <w:rPr>
                <w:rFonts w:hint="eastAsia"/>
                <w:color w:val="auto"/>
                <w:kern w:val="0"/>
                <w:sz w:val="24"/>
              </w:rPr>
              <w:t>/</w:t>
            </w:r>
            <w:r>
              <w:rPr>
                <w:rFonts w:hint="eastAsia"/>
                <w:color w:val="auto"/>
                <w:kern w:val="0"/>
                <w:sz w:val="24"/>
                <w:lang w:val="en-US" w:eastAsia="zh-CN"/>
              </w:rPr>
              <w:t>d</w:t>
            </w:r>
            <w:r>
              <w:rPr>
                <w:rFonts w:hint="eastAsia"/>
                <w:color w:val="auto"/>
                <w:kern w:val="0"/>
                <w:sz w:val="24"/>
              </w:rPr>
              <w:t>（</w:t>
            </w:r>
            <w:r>
              <w:rPr>
                <w:rFonts w:hint="eastAsia"/>
                <w:color w:val="auto"/>
                <w:kern w:val="0"/>
                <w:sz w:val="24"/>
                <w:lang w:val="en-US" w:eastAsia="zh-CN"/>
              </w:rPr>
              <w:t>510720</w:t>
            </w:r>
            <w:r>
              <w:rPr>
                <w:rFonts w:hint="eastAsia"/>
                <w:color w:val="auto"/>
                <w:kern w:val="0"/>
                <w:sz w:val="24"/>
              </w:rPr>
              <w:t>m</w:t>
            </w:r>
            <w:r>
              <w:rPr>
                <w:rFonts w:hint="eastAsia"/>
                <w:color w:val="auto"/>
                <w:kern w:val="0"/>
                <w:sz w:val="24"/>
                <w:vertAlign w:val="superscript"/>
              </w:rPr>
              <w:t>3</w:t>
            </w:r>
            <w:r>
              <w:rPr>
                <w:rFonts w:hint="eastAsia"/>
                <w:color w:val="auto"/>
                <w:kern w:val="0"/>
                <w:sz w:val="24"/>
              </w:rPr>
              <w:t>/</w:t>
            </w:r>
            <w:r>
              <w:rPr>
                <w:rFonts w:hint="eastAsia"/>
                <w:color w:val="auto"/>
                <w:kern w:val="0"/>
                <w:sz w:val="24"/>
                <w:lang w:val="en-US" w:eastAsia="zh-CN"/>
              </w:rPr>
              <w:t>a</w:t>
            </w:r>
            <w:r>
              <w:rPr>
                <w:rFonts w:hint="eastAsia"/>
                <w:color w:val="auto"/>
                <w:kern w:val="0"/>
                <w:sz w:val="24"/>
              </w:rPr>
              <w:t>）</w:t>
            </w:r>
            <w:r>
              <w:rPr>
                <w:rFonts w:hint="eastAsia"/>
                <w:color w:val="auto"/>
                <w:highlight w:val="none"/>
                <w:lang w:val="en-US" w:eastAsia="zh-CN"/>
              </w:rPr>
              <w:t>，则新鲜水补充量为</w:t>
            </w:r>
            <w:r>
              <w:rPr>
                <w:rFonts w:hint="eastAsia"/>
                <w:color w:val="auto"/>
                <w:kern w:val="0"/>
                <w:sz w:val="24"/>
                <w:lang w:val="en-US" w:eastAsia="zh-CN"/>
              </w:rPr>
              <w:t>96</w:t>
            </w:r>
            <w:r>
              <w:rPr>
                <w:rFonts w:hint="eastAsia"/>
                <w:color w:val="auto"/>
                <w:kern w:val="0"/>
                <w:sz w:val="24"/>
              </w:rPr>
              <w:t>m</w:t>
            </w:r>
            <w:r>
              <w:rPr>
                <w:rFonts w:hint="eastAsia"/>
                <w:color w:val="auto"/>
                <w:kern w:val="0"/>
                <w:sz w:val="24"/>
                <w:vertAlign w:val="superscript"/>
              </w:rPr>
              <w:t>3</w:t>
            </w:r>
            <w:r>
              <w:rPr>
                <w:rFonts w:hint="eastAsia"/>
                <w:color w:val="auto"/>
                <w:kern w:val="0"/>
                <w:sz w:val="24"/>
              </w:rPr>
              <w:t>/</w:t>
            </w:r>
            <w:r>
              <w:rPr>
                <w:rFonts w:hint="eastAsia"/>
                <w:color w:val="auto"/>
                <w:kern w:val="0"/>
                <w:sz w:val="24"/>
                <w:lang w:val="en-US" w:eastAsia="zh-CN"/>
              </w:rPr>
              <w:t>d</w:t>
            </w:r>
            <w:r>
              <w:rPr>
                <w:rFonts w:hint="eastAsia"/>
                <w:color w:val="auto"/>
                <w:kern w:val="0"/>
                <w:sz w:val="24"/>
              </w:rPr>
              <w:t>（</w:t>
            </w:r>
            <w:r>
              <w:rPr>
                <w:rFonts w:hint="eastAsia"/>
                <w:color w:val="auto"/>
                <w:kern w:val="0"/>
                <w:sz w:val="24"/>
                <w:lang w:val="en-US" w:eastAsia="zh-CN"/>
              </w:rPr>
              <w:t>26880</w:t>
            </w:r>
            <w:r>
              <w:rPr>
                <w:rFonts w:hint="eastAsia"/>
                <w:color w:val="auto"/>
                <w:kern w:val="0"/>
                <w:sz w:val="24"/>
              </w:rPr>
              <w:t>m</w:t>
            </w:r>
            <w:r>
              <w:rPr>
                <w:rFonts w:hint="eastAsia"/>
                <w:color w:val="auto"/>
                <w:kern w:val="0"/>
                <w:sz w:val="24"/>
                <w:vertAlign w:val="superscript"/>
              </w:rPr>
              <w:t>3</w:t>
            </w:r>
            <w:r>
              <w:rPr>
                <w:rFonts w:hint="eastAsia"/>
                <w:color w:val="auto"/>
                <w:kern w:val="0"/>
                <w:sz w:val="24"/>
              </w:rPr>
              <w:t>/</w:t>
            </w:r>
            <w:r>
              <w:rPr>
                <w:rFonts w:hint="eastAsia"/>
                <w:color w:val="auto"/>
                <w:kern w:val="0"/>
                <w:sz w:val="24"/>
                <w:lang w:val="en-US" w:eastAsia="zh-CN"/>
              </w:rPr>
              <w:t>a</w:t>
            </w:r>
            <w:r>
              <w:rPr>
                <w:rFonts w:hint="eastAsia"/>
                <w:color w:val="auto"/>
                <w:kern w:val="0"/>
                <w:sz w:val="24"/>
              </w:rPr>
              <w:t>）</w:t>
            </w:r>
            <w:r>
              <w:rPr>
                <w:rFonts w:hint="eastAsia"/>
                <w:color w:val="auto"/>
                <w:kern w:val="0"/>
                <w:sz w:val="24"/>
                <w:lang w:eastAsia="zh-CN"/>
              </w:rPr>
              <w:t>，</w:t>
            </w:r>
            <w:r>
              <w:rPr>
                <w:rFonts w:hint="eastAsia"/>
                <w:color w:val="auto"/>
                <w:highlight w:val="none"/>
                <w:lang w:val="en-US" w:eastAsia="zh-CN"/>
              </w:rPr>
              <w:t>洗砂废水经集水罐沉淀处理后，上清液泵入清水罐回用于洗砂机洗砂，污泥泵入污泥罐，经隔膜厢式板框压滤机压滤后的废水回用于洗砂机洗砂，不外排。</w:t>
            </w:r>
          </w:p>
          <w:p w14:paraId="1523CEB1">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eastAsia"/>
                <w:color w:val="auto"/>
                <w:highlight w:val="none"/>
                <w:lang w:val="en-US" w:eastAsia="zh-CN"/>
              </w:rPr>
              <w:t>（4）车辆冲洗废水</w:t>
            </w:r>
          </w:p>
          <w:p w14:paraId="5E2DF333">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none"/>
                <w:lang w:eastAsia="zh-CN"/>
              </w:rPr>
            </w:pPr>
            <w:r>
              <w:rPr>
                <w:rFonts w:hint="eastAsia"/>
                <w:color w:val="auto"/>
                <w:highlight w:val="none"/>
                <w:lang w:eastAsia="zh-CN"/>
              </w:rPr>
              <w:t>产生量按用水量的</w:t>
            </w:r>
            <w:r>
              <w:rPr>
                <w:rFonts w:hint="eastAsia"/>
                <w:color w:val="auto"/>
                <w:highlight w:val="none"/>
                <w:lang w:val="en-US" w:eastAsia="zh-CN"/>
              </w:rPr>
              <w:t>8</w:t>
            </w:r>
            <w:r>
              <w:rPr>
                <w:rFonts w:hint="eastAsia"/>
                <w:color w:val="auto"/>
                <w:highlight w:val="none"/>
                <w:lang w:eastAsia="zh-CN"/>
              </w:rPr>
              <w:t>0%计算，则废水产生量为</w:t>
            </w:r>
            <w:r>
              <w:rPr>
                <w:rFonts w:hint="eastAsia"/>
                <w:color w:val="auto"/>
                <w:highlight w:val="none"/>
                <w:lang w:val="en-US" w:eastAsia="zh-CN"/>
              </w:rPr>
              <w:t>6.944</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/d（</w:t>
            </w:r>
            <w:r>
              <w:rPr>
                <w:rFonts w:hint="eastAsia"/>
                <w:color w:val="auto"/>
                <w:highlight w:val="none"/>
                <w:lang w:val="en-US" w:eastAsia="zh-CN"/>
              </w:rPr>
              <w:t>1944.32</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w:t>
            </w:r>
            <w:r>
              <w:rPr>
                <w:rFonts w:hint="eastAsia"/>
                <w:color w:val="auto"/>
                <w:highlight w:val="none"/>
                <w:lang w:val="en-US" w:eastAsia="zh-CN"/>
              </w:rPr>
              <w:t>a</w:t>
            </w:r>
            <w:r>
              <w:rPr>
                <w:rFonts w:hint="eastAsia"/>
                <w:color w:val="auto"/>
                <w:highlight w:val="none"/>
                <w:lang w:eastAsia="zh-CN"/>
              </w:rPr>
              <w:t>），</w:t>
            </w:r>
            <w:r>
              <w:rPr>
                <w:rFonts w:hint="eastAsia"/>
                <w:color w:val="auto"/>
                <w:highlight w:val="none"/>
                <w:lang w:val="en-US" w:eastAsia="zh-CN"/>
              </w:rPr>
              <w:t>本</w:t>
            </w:r>
            <w:r>
              <w:rPr>
                <w:rFonts w:hint="eastAsia"/>
                <w:color w:val="auto"/>
                <w:highlight w:val="none"/>
                <w:lang w:eastAsia="zh-CN"/>
              </w:rPr>
              <w:t>项目</w:t>
            </w:r>
            <w:r>
              <w:rPr>
                <w:rFonts w:hint="eastAsia"/>
                <w:color w:val="auto"/>
                <w:highlight w:val="none"/>
                <w:lang w:val="en-US" w:eastAsia="zh-CN"/>
              </w:rPr>
              <w:t>新建</w:t>
            </w:r>
            <w:r>
              <w:rPr>
                <w:rFonts w:hint="eastAsia"/>
                <w:color w:val="auto"/>
                <w:highlight w:val="none"/>
                <w:lang w:eastAsia="zh-CN"/>
              </w:rPr>
              <w:t>洗车平台（</w:t>
            </w:r>
            <w:r>
              <w:rPr>
                <w:rFonts w:hint="eastAsia"/>
                <w:color w:val="auto"/>
                <w:highlight w:val="none"/>
                <w:lang w:val="en-US" w:eastAsia="zh-CN"/>
              </w:rPr>
              <w:t>3.2m×2m</w:t>
            </w:r>
            <w:r>
              <w:rPr>
                <w:rFonts w:hint="eastAsia"/>
                <w:color w:val="auto"/>
                <w:highlight w:val="none"/>
                <w:lang w:eastAsia="zh-CN"/>
              </w:rPr>
              <w:t>）进行车辆清洗，洗车废水经沉淀池（</w:t>
            </w:r>
            <w:r>
              <w:rPr>
                <w:rFonts w:hint="eastAsia"/>
                <w:color w:val="auto"/>
                <w:highlight w:val="none"/>
                <w:lang w:val="en-US" w:eastAsia="zh-CN"/>
              </w:rPr>
              <w:t>3</w:t>
            </w:r>
            <w:r>
              <w:rPr>
                <w:rFonts w:hint="eastAsia" w:cs="Times New Roman"/>
                <w:color w:val="auto"/>
                <w:sz w:val="24"/>
                <w:szCs w:val="24"/>
                <w:highlight w:val="none"/>
                <w:lang w:val="en-US" w:eastAsia="zh-CN"/>
              </w:rPr>
              <w:t>m</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2</w:t>
            </w:r>
            <w:r>
              <w:rPr>
                <w:rFonts w:hint="eastAsia"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1m</w:t>
            </w:r>
            <w:r>
              <w:rPr>
                <w:rFonts w:hint="eastAsia"/>
                <w:color w:val="auto"/>
                <w:highlight w:val="none"/>
                <w:lang w:eastAsia="zh-CN"/>
              </w:rPr>
              <w:t>）沉淀后循环使用。</w:t>
            </w:r>
          </w:p>
          <w:p w14:paraId="342E2149">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（5）车辆罐体冲洗废水</w:t>
            </w:r>
          </w:p>
          <w:p w14:paraId="784FE810">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Times New Roman"/>
                <w:caps w:val="0"/>
                <w:color w:val="auto"/>
                <w:sz w:val="24"/>
                <w:szCs w:val="24"/>
                <w:highlight w:val="none"/>
                <w:lang w:val="en-US" w:eastAsia="zh-CN"/>
              </w:rPr>
              <w:t>车辆罐体冲洗废水产生量按</w:t>
            </w:r>
            <w:r>
              <w:rPr>
                <w:rFonts w:hint="default" w:ascii="Times New Roman" w:hAnsi="Times New Roman" w:eastAsia="宋体" w:cs="Times New Roman"/>
                <w:caps w:val="0"/>
                <w:color w:val="auto"/>
                <w:sz w:val="24"/>
                <w:szCs w:val="24"/>
                <w:highlight w:val="none"/>
                <w:lang w:val="en-US" w:eastAsia="zh-CN"/>
              </w:rPr>
              <w:t>用水量的80%计算，则</w:t>
            </w:r>
            <w:r>
              <w:rPr>
                <w:rFonts w:hint="eastAsia" w:ascii="Times New Roman" w:hAnsi="Times New Roman" w:eastAsia="宋体" w:cs="Times New Roman"/>
                <w:caps w:val="0"/>
                <w:color w:val="auto"/>
                <w:sz w:val="24"/>
                <w:szCs w:val="24"/>
                <w:highlight w:val="none"/>
                <w:lang w:val="en-US" w:eastAsia="zh-CN"/>
              </w:rPr>
              <w:t>废水产生</w:t>
            </w:r>
            <w:r>
              <w:rPr>
                <w:rFonts w:hint="default" w:ascii="Times New Roman" w:hAnsi="Times New Roman" w:eastAsia="宋体" w:cs="Times New Roman"/>
                <w:caps w:val="0"/>
                <w:color w:val="auto"/>
                <w:sz w:val="24"/>
                <w:szCs w:val="24"/>
                <w:highlight w:val="none"/>
                <w:lang w:val="en-US" w:eastAsia="zh-CN"/>
              </w:rPr>
              <w:t>量为</w:t>
            </w:r>
            <w:r>
              <w:rPr>
                <w:rFonts w:hint="eastAsia" w:ascii="Times New Roman" w:hAnsi="Times New Roman" w:eastAsia="宋体" w:cs="Times New Roman"/>
                <w:caps w:val="0"/>
                <w:color w:val="auto"/>
                <w:sz w:val="24"/>
                <w:szCs w:val="24"/>
                <w:highlight w:val="none"/>
                <w:lang w:val="en-US" w:eastAsia="zh-CN"/>
              </w:rPr>
              <w:t>0.4</w:t>
            </w:r>
            <w:r>
              <w:rPr>
                <w:rFonts w:hint="default" w:ascii="Times New Roman" w:hAnsi="Times New Roman" w:eastAsia="宋体" w:cs="Times New Roman"/>
                <w:caps w:val="0"/>
                <w:color w:val="auto"/>
                <w:sz w:val="24"/>
                <w:szCs w:val="24"/>
                <w:highlight w:val="none"/>
                <w:lang w:val="en-US" w:eastAsia="zh-CN"/>
              </w:rPr>
              <w:t>m</w:t>
            </w:r>
            <w:r>
              <w:rPr>
                <w:rFonts w:hint="default" w:ascii="Times New Roman" w:hAnsi="Times New Roman" w:eastAsia="宋体" w:cs="Times New Roman"/>
                <w:caps w:val="0"/>
                <w:color w:val="auto"/>
                <w:sz w:val="24"/>
                <w:szCs w:val="24"/>
                <w:highlight w:val="none"/>
                <w:vertAlign w:val="superscript"/>
                <w:lang w:val="en-US" w:eastAsia="zh-CN"/>
              </w:rPr>
              <w:t>3</w:t>
            </w:r>
            <w:r>
              <w:rPr>
                <w:rFonts w:hint="default" w:ascii="Times New Roman" w:hAnsi="Times New Roman" w:eastAsia="宋体" w:cs="Times New Roman"/>
                <w:caps w:val="0"/>
                <w:color w:val="auto"/>
                <w:sz w:val="24"/>
                <w:szCs w:val="24"/>
                <w:highlight w:val="none"/>
                <w:lang w:val="en-US" w:eastAsia="zh-CN"/>
              </w:rPr>
              <w:t>/d（</w:t>
            </w:r>
            <w:r>
              <w:rPr>
                <w:rFonts w:hint="eastAsia" w:cs="Times New Roman"/>
                <w:caps w:val="0"/>
                <w:color w:val="auto"/>
                <w:sz w:val="24"/>
                <w:szCs w:val="24"/>
                <w:highlight w:val="none"/>
                <w:lang w:val="en-US" w:eastAsia="zh-CN"/>
              </w:rPr>
              <w:t>112</w:t>
            </w:r>
            <w:r>
              <w:rPr>
                <w:rFonts w:hint="default" w:ascii="Times New Roman" w:hAnsi="Times New Roman" w:eastAsia="宋体" w:cs="Times New Roman"/>
                <w:caps w:val="0"/>
                <w:color w:val="auto"/>
                <w:sz w:val="24"/>
                <w:szCs w:val="24"/>
                <w:highlight w:val="none"/>
                <w:lang w:val="en-US" w:eastAsia="zh-CN"/>
              </w:rPr>
              <w:t>m</w:t>
            </w:r>
            <w:r>
              <w:rPr>
                <w:rFonts w:hint="default" w:ascii="Times New Roman" w:hAnsi="Times New Roman" w:eastAsia="宋体" w:cs="Times New Roman"/>
                <w:caps w:val="0"/>
                <w:color w:val="auto"/>
                <w:sz w:val="24"/>
                <w:szCs w:val="24"/>
                <w:highlight w:val="none"/>
                <w:vertAlign w:val="superscript"/>
                <w:lang w:val="en-US" w:eastAsia="zh-CN"/>
              </w:rPr>
              <w:t>3</w:t>
            </w:r>
            <w:r>
              <w:rPr>
                <w:rFonts w:hint="default" w:ascii="Times New Roman" w:hAnsi="Times New Roman" w:eastAsia="宋体" w:cs="Times New Roman"/>
                <w:caps w:val="0"/>
                <w:color w:val="auto"/>
                <w:sz w:val="24"/>
                <w:szCs w:val="24"/>
                <w:highlight w:val="none"/>
                <w:lang w:val="en-US" w:eastAsia="zh-CN"/>
              </w:rPr>
              <w:t>/a），</w:t>
            </w:r>
            <w:r>
              <w:rPr>
                <w:rFonts w:hint="eastAsia" w:ascii="Times New Roman" w:hAnsi="Times New Roman" w:eastAsia="宋体" w:cs="Times New Roman"/>
                <w:caps w:val="0"/>
                <w:color w:val="auto"/>
                <w:sz w:val="24"/>
                <w:szCs w:val="24"/>
                <w:highlight w:val="none"/>
                <w:lang w:val="en-US" w:eastAsia="zh-CN"/>
              </w:rPr>
              <w:t>经沉淀池</w:t>
            </w:r>
            <w:r>
              <w:rPr>
                <w:rFonts w:hint="default" w:ascii="Times New Roman" w:hAnsi="Times New Roman" w:eastAsia="宋体" w:cs="Times New Roman"/>
                <w:caps w:val="0"/>
                <w:color w:val="auto"/>
                <w:sz w:val="24"/>
                <w:szCs w:val="24"/>
                <w:highlight w:val="none"/>
                <w:lang w:val="en-US" w:eastAsia="zh-CN"/>
              </w:rPr>
              <w:t>沉淀后回用于</w:t>
            </w:r>
            <w:r>
              <w:rPr>
                <w:rFonts w:hint="eastAsia" w:ascii="Times New Roman" w:hAnsi="Times New Roman" w:eastAsia="宋体" w:cs="Times New Roman"/>
                <w:caps w:val="0"/>
                <w:color w:val="auto"/>
                <w:sz w:val="24"/>
                <w:szCs w:val="24"/>
                <w:highlight w:val="none"/>
                <w:lang w:val="en-US" w:eastAsia="zh-CN"/>
              </w:rPr>
              <w:t>生产。</w:t>
            </w:r>
          </w:p>
          <w:p w14:paraId="6B83E4F4">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default" w:ascii="Times New Roman" w:hAnsi="Times New Roman" w:eastAsia="宋体" w:cs="宋体"/>
                <w:color w:val="auto"/>
                <w:kern w:val="2"/>
                <w:sz w:val="24"/>
                <w:szCs w:val="24"/>
                <w:highlight w:val="none"/>
                <w:lang w:val="en-US" w:eastAsia="zh-CN" w:bidi="ar-SA"/>
              </w:rPr>
              <w:t>3、</w:t>
            </w:r>
            <w:r>
              <w:rPr>
                <w:rFonts w:hint="default"/>
                <w:color w:val="auto"/>
                <w:highlight w:val="none"/>
                <w:lang w:val="en-US" w:eastAsia="zh-CN"/>
              </w:rPr>
              <w:t>水平衡图</w:t>
            </w:r>
          </w:p>
          <w:p w14:paraId="629D4511">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szCs w:val="24"/>
                <w:highlight w:val="none"/>
                <w:lang w:eastAsia="zh-CN"/>
              </w:rPr>
            </w:pPr>
            <w:r>
              <w:rPr>
                <w:rFonts w:hint="eastAsia"/>
                <w:color w:val="auto"/>
                <w:highlight w:val="none"/>
                <w:lang w:eastAsia="zh-CN"/>
              </w:rPr>
              <w:t>本项目给排水情况见</w:t>
            </w:r>
            <w:r>
              <w:rPr>
                <w:rFonts w:hint="eastAsia"/>
                <w:color w:val="auto"/>
                <w:highlight w:val="none"/>
                <w:lang w:eastAsia="zh-CN"/>
              </w:rPr>
              <w:fldChar w:fldCharType="begin"/>
            </w:r>
            <w:r>
              <w:rPr>
                <w:color w:val="auto"/>
              </w:rPr>
              <w:instrText xml:space="preserve"> REF _Ref1940 \h  \* MERGEFORMAT</w:instrText>
            </w:r>
            <w:r>
              <w:rPr>
                <w:rFonts w:hint="eastAsia"/>
                <w:color w:val="auto"/>
                <w:highlight w:val="none"/>
                <w:lang w:eastAsia="zh-CN"/>
              </w:rPr>
              <w:fldChar w:fldCharType="separate"/>
            </w:r>
            <w:r>
              <w:rPr>
                <w:color w:val="auto"/>
                <w:highlight w:val="none"/>
              </w:rPr>
              <w:t>表</w:t>
            </w:r>
            <w:r>
              <w:rPr>
                <w:color w:val="auto"/>
                <w:highlight w:val="none"/>
              </w:rPr>
              <w:fldChar w:fldCharType="begin"/>
            </w:r>
            <w:r>
              <w:rPr>
                <w:color w:val="auto"/>
                <w:highlight w:val="none"/>
              </w:rPr>
              <w:instrText xml:space="preserve"> STYLEREF 2 \s </w:instrText>
            </w:r>
            <w:r>
              <w:rPr>
                <w:color w:val="auto"/>
                <w:highlight w:val="none"/>
              </w:rPr>
              <w:fldChar w:fldCharType="separate"/>
            </w:r>
            <w:r>
              <w:rPr>
                <w:color w:val="auto"/>
                <w:highlight w:val="none"/>
              </w:rPr>
              <w:t>2.7</w:t>
            </w:r>
            <w:r>
              <w:rPr>
                <w:color w:val="auto"/>
                <w:highlight w:val="none"/>
              </w:rPr>
              <w:fldChar w:fldCharType="end"/>
            </w:r>
            <w:r>
              <w:rPr>
                <w:rFonts w:hint="eastAsia"/>
                <w:color w:val="auto"/>
                <w:highlight w:val="none"/>
                <w:lang w:eastAsia="zh-CN"/>
              </w:rPr>
              <w:t>-</w:t>
            </w:r>
            <w:r>
              <w:rPr>
                <w:color w:val="auto"/>
                <w:highlight w:val="none"/>
              </w:rPr>
              <w:t>1</w:t>
            </w:r>
            <w:r>
              <w:rPr>
                <w:rFonts w:hint="eastAsia"/>
                <w:color w:val="auto"/>
                <w:highlight w:val="none"/>
                <w:lang w:eastAsia="zh-CN"/>
              </w:rPr>
              <w:fldChar w:fldCharType="end"/>
            </w:r>
            <w:r>
              <w:rPr>
                <w:rFonts w:hint="eastAsia"/>
                <w:color w:val="auto"/>
                <w:highlight w:val="none"/>
                <w:lang w:eastAsia="zh-CN"/>
              </w:rPr>
              <w:t>，给排</w:t>
            </w:r>
            <w:r>
              <w:rPr>
                <w:rFonts w:hint="eastAsia"/>
                <w:color w:val="auto"/>
                <w:sz w:val="24"/>
                <w:szCs w:val="24"/>
                <w:highlight w:val="none"/>
                <w:lang w:eastAsia="zh-CN"/>
              </w:rPr>
              <w:t>水平衡图见</w:t>
            </w:r>
            <w:r>
              <w:rPr>
                <w:rFonts w:hint="eastAsia"/>
                <w:color w:val="auto"/>
                <w:sz w:val="24"/>
                <w:szCs w:val="24"/>
                <w:highlight w:val="none"/>
                <w:lang w:eastAsia="zh-CN"/>
              </w:rPr>
              <w:fldChar w:fldCharType="begin"/>
            </w:r>
            <w:r>
              <w:rPr>
                <w:color w:val="auto"/>
              </w:rPr>
              <w:instrText xml:space="preserve"> REF _Ref1986 \h  \* MERGEFORMAT</w:instrText>
            </w:r>
            <w:r>
              <w:rPr>
                <w:rFonts w:hint="eastAsia"/>
                <w:color w:val="auto"/>
                <w:sz w:val="24"/>
                <w:szCs w:val="24"/>
                <w:highlight w:val="none"/>
                <w:lang w:eastAsia="zh-CN"/>
              </w:rPr>
              <w:fldChar w:fldCharType="separate"/>
            </w:r>
            <w:r>
              <w:rPr>
                <w:color w:val="auto"/>
                <w:highlight w:val="none"/>
              </w:rPr>
              <w:t>图</w:t>
            </w:r>
            <w:r>
              <w:rPr>
                <w:color w:val="auto"/>
                <w:highlight w:val="none"/>
              </w:rPr>
              <w:fldChar w:fldCharType="begin"/>
            </w:r>
            <w:r>
              <w:rPr>
                <w:color w:val="auto"/>
                <w:highlight w:val="none"/>
              </w:rPr>
              <w:instrText xml:space="preserve"> STYLEREF 2 \s </w:instrText>
            </w:r>
            <w:r>
              <w:rPr>
                <w:color w:val="auto"/>
                <w:highlight w:val="none"/>
              </w:rPr>
              <w:fldChar w:fldCharType="separate"/>
            </w:r>
            <w:r>
              <w:rPr>
                <w:color w:val="auto"/>
                <w:highlight w:val="none"/>
              </w:rPr>
              <w:t>2.7</w:t>
            </w:r>
            <w:r>
              <w:rPr>
                <w:color w:val="auto"/>
                <w:highlight w:val="none"/>
              </w:rPr>
              <w:fldChar w:fldCharType="end"/>
            </w:r>
            <w:r>
              <w:rPr>
                <w:rFonts w:hint="eastAsia"/>
                <w:color w:val="auto"/>
                <w:highlight w:val="none"/>
                <w:lang w:eastAsia="zh-CN"/>
              </w:rPr>
              <w:t>-</w:t>
            </w:r>
            <w:r>
              <w:rPr>
                <w:color w:val="auto"/>
                <w:highlight w:val="none"/>
              </w:rPr>
              <w:t>1</w:t>
            </w:r>
            <w:r>
              <w:rPr>
                <w:rFonts w:hint="eastAsia"/>
                <w:color w:val="auto"/>
                <w:sz w:val="24"/>
                <w:szCs w:val="24"/>
                <w:highlight w:val="none"/>
                <w:lang w:eastAsia="zh-CN"/>
              </w:rPr>
              <w:fldChar w:fldCharType="end"/>
            </w:r>
            <w:r>
              <w:rPr>
                <w:rFonts w:hint="eastAsia"/>
                <w:color w:val="auto"/>
                <w:sz w:val="24"/>
                <w:szCs w:val="24"/>
                <w:highlight w:val="none"/>
                <w:lang w:eastAsia="zh-CN"/>
              </w:rPr>
              <w:t>。</w:t>
            </w:r>
            <w:bookmarkStart w:id="19" w:name="_Ref23259"/>
            <w:bookmarkStart w:id="20" w:name="_Ref1940"/>
          </w:p>
          <w:p w14:paraId="3C4E8B58">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eastAsia"/>
                <w:color w:val="auto"/>
                <w:highlight w:val="none"/>
                <w:lang w:eastAsia="zh-CN"/>
              </w:rPr>
            </w:pPr>
            <w:r>
              <w:rPr>
                <w:color w:val="auto"/>
                <w:highlight w:val="none"/>
              </w:rPr>
              <w:t>表</w:t>
            </w:r>
            <w:r>
              <w:rPr>
                <w:color w:val="auto"/>
                <w:highlight w:val="none"/>
              </w:rPr>
              <w:fldChar w:fldCharType="begin"/>
            </w:r>
            <w:r>
              <w:rPr>
                <w:color w:val="auto"/>
                <w:highlight w:val="none"/>
              </w:rPr>
              <w:instrText xml:space="preserve"> STYLEREF 2 \s </w:instrText>
            </w:r>
            <w:r>
              <w:rPr>
                <w:color w:val="auto"/>
                <w:highlight w:val="none"/>
              </w:rPr>
              <w:fldChar w:fldCharType="separate"/>
            </w:r>
            <w:r>
              <w:rPr>
                <w:color w:val="auto"/>
                <w:highlight w:val="none"/>
              </w:rPr>
              <w:t>2.7</w:t>
            </w:r>
            <w:r>
              <w:rPr>
                <w:color w:val="auto"/>
                <w:highlight w:val="none"/>
              </w:rPr>
              <w:fldChar w:fldCharType="end"/>
            </w:r>
            <w:r>
              <w:rPr>
                <w:rFonts w:hint="eastAsia"/>
                <w:color w:val="auto"/>
                <w:highlight w:val="none"/>
                <w:lang w:eastAsia="zh-CN"/>
              </w:rPr>
              <w:t>-</w:t>
            </w:r>
            <w:r>
              <w:rPr>
                <w:color w:val="auto"/>
                <w:highlight w:val="none"/>
              </w:rPr>
              <w:fldChar w:fldCharType="begin"/>
            </w:r>
            <w:r>
              <w:rPr>
                <w:color w:val="auto"/>
                <w:highlight w:val="none"/>
              </w:rPr>
              <w:instrText xml:space="preserve"> SEQ 表 \* ARABIC \s 2 </w:instrText>
            </w:r>
            <w:r>
              <w:rPr>
                <w:color w:val="auto"/>
                <w:highlight w:val="none"/>
              </w:rPr>
              <w:fldChar w:fldCharType="separate"/>
            </w:r>
            <w:r>
              <w:rPr>
                <w:color w:val="auto"/>
                <w:highlight w:val="none"/>
              </w:rPr>
              <w:t>1</w:t>
            </w:r>
            <w:r>
              <w:rPr>
                <w:color w:val="auto"/>
                <w:highlight w:val="none"/>
              </w:rPr>
              <w:fldChar w:fldCharType="end"/>
            </w:r>
            <w:r>
              <w:rPr>
                <w:rFonts w:hint="eastAsia"/>
                <w:color w:val="auto"/>
                <w:highlight w:val="none"/>
                <w:lang w:val="en-US" w:eastAsia="zh-CN"/>
              </w:rPr>
              <w:t xml:space="preserve">  </w:t>
            </w:r>
            <w:r>
              <w:rPr>
                <w:rFonts w:hint="eastAsia"/>
                <w:color w:val="auto"/>
                <w:highlight w:val="none"/>
              </w:rPr>
              <w:t>项目给排水情况一览表     （单位：m</w:t>
            </w:r>
            <w:r>
              <w:rPr>
                <w:rFonts w:hint="eastAsia"/>
                <w:color w:val="auto"/>
                <w:highlight w:val="none"/>
                <w:vertAlign w:val="superscript"/>
              </w:rPr>
              <w:t>3</w:t>
            </w:r>
            <w:r>
              <w:rPr>
                <w:rFonts w:hint="eastAsia"/>
                <w:color w:val="auto"/>
                <w:highlight w:val="none"/>
              </w:rPr>
              <w:t>/d）</w:t>
            </w:r>
          </w:p>
          <w:tbl>
            <w:tblPr>
              <w:tblStyle w:val="2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930"/>
              <w:gridCol w:w="900"/>
              <w:gridCol w:w="1031"/>
              <w:gridCol w:w="1041"/>
              <w:gridCol w:w="1060"/>
              <w:gridCol w:w="1011"/>
              <w:gridCol w:w="1525"/>
            </w:tblGrid>
            <w:tr w14:paraId="3546D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 w:type="pct"/>
                  <w:noWrap w:val="0"/>
                  <w:vAlign w:val="center"/>
                </w:tcPr>
                <w:p w14:paraId="6D4850A3">
                  <w:pPr>
                    <w:pStyle w:val="34"/>
                    <w:bidi w:val="0"/>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序号</w:t>
                  </w:r>
                </w:p>
              </w:tc>
              <w:tc>
                <w:tcPr>
                  <w:tcW w:w="1072" w:type="pct"/>
                  <w:noWrap w:val="0"/>
                  <w:vAlign w:val="center"/>
                </w:tcPr>
                <w:p w14:paraId="124F86AF">
                  <w:pPr>
                    <w:pStyle w:val="34"/>
                    <w:bidi w:val="0"/>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项目</w:t>
                  </w:r>
                </w:p>
              </w:tc>
              <w:tc>
                <w:tcPr>
                  <w:tcW w:w="500" w:type="pct"/>
                  <w:noWrap w:val="0"/>
                  <w:vAlign w:val="center"/>
                </w:tcPr>
                <w:p w14:paraId="1F61171B">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用</w:t>
                  </w:r>
                  <w:r>
                    <w:rPr>
                      <w:rFonts w:hint="default" w:ascii="Times New Roman" w:hAnsi="Times New Roman" w:eastAsia="宋体"/>
                      <w:color w:val="auto"/>
                      <w:sz w:val="21"/>
                      <w:highlight w:val="none"/>
                      <w:lang w:val="en-US" w:eastAsia="zh-CN"/>
                    </w:rPr>
                    <w:t>水量</w:t>
                  </w:r>
                </w:p>
              </w:tc>
              <w:tc>
                <w:tcPr>
                  <w:tcW w:w="572" w:type="pct"/>
                  <w:noWrap w:val="0"/>
                  <w:vAlign w:val="center"/>
                </w:tcPr>
                <w:p w14:paraId="3A55EBF7">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废</w:t>
                  </w:r>
                  <w:r>
                    <w:rPr>
                      <w:rFonts w:hint="default" w:ascii="Times New Roman" w:hAnsi="Times New Roman" w:eastAsia="宋体"/>
                      <w:color w:val="auto"/>
                      <w:sz w:val="21"/>
                      <w:highlight w:val="none"/>
                      <w:lang w:val="en-US" w:eastAsia="zh-CN"/>
                    </w:rPr>
                    <w:t>水量</w:t>
                  </w:r>
                </w:p>
              </w:tc>
              <w:tc>
                <w:tcPr>
                  <w:tcW w:w="578" w:type="pct"/>
                  <w:noWrap w:val="0"/>
                  <w:vAlign w:val="center"/>
                </w:tcPr>
                <w:p w14:paraId="35CACD7E">
                  <w:pPr>
                    <w:pStyle w:val="34"/>
                    <w:bidi w:val="0"/>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损耗量</w:t>
                  </w:r>
                </w:p>
              </w:tc>
              <w:tc>
                <w:tcPr>
                  <w:tcW w:w="589" w:type="pct"/>
                  <w:noWrap w:val="0"/>
                  <w:vAlign w:val="center"/>
                </w:tcPr>
                <w:p w14:paraId="2DE63C06">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回用水量</w:t>
                  </w:r>
                </w:p>
              </w:tc>
              <w:tc>
                <w:tcPr>
                  <w:tcW w:w="561" w:type="pct"/>
                  <w:noWrap w:val="0"/>
                  <w:vAlign w:val="center"/>
                </w:tcPr>
                <w:p w14:paraId="46A9B5C5">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新鲜水补充量</w:t>
                  </w:r>
                </w:p>
              </w:tc>
              <w:tc>
                <w:tcPr>
                  <w:tcW w:w="847" w:type="pct"/>
                  <w:noWrap w:val="0"/>
                  <w:vAlign w:val="center"/>
                </w:tcPr>
                <w:p w14:paraId="58440B97">
                  <w:pPr>
                    <w:pStyle w:val="34"/>
                    <w:bidi w:val="0"/>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备注</w:t>
                  </w:r>
                </w:p>
              </w:tc>
            </w:tr>
            <w:tr w14:paraId="6FFA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 w:type="pct"/>
                  <w:noWrap w:val="0"/>
                  <w:vAlign w:val="center"/>
                </w:tcPr>
                <w:p w14:paraId="3A7562AD">
                  <w:pPr>
                    <w:pStyle w:val="34"/>
                    <w:bidi w:val="0"/>
                    <w:rPr>
                      <w:rFonts w:hint="default" w:ascii="Times New Roman" w:hAnsi="Times New Roman" w:eastAsia="宋体"/>
                      <w:color w:val="auto"/>
                      <w:sz w:val="21"/>
                      <w:highlight w:val="none"/>
                    </w:rPr>
                  </w:pPr>
                  <w:r>
                    <w:rPr>
                      <w:rFonts w:hint="default" w:ascii="Times New Roman" w:hAnsi="Times New Roman" w:eastAsia="宋体"/>
                      <w:color w:val="auto"/>
                      <w:sz w:val="21"/>
                      <w:highlight w:val="none"/>
                    </w:rPr>
                    <w:t>1</w:t>
                  </w:r>
                </w:p>
              </w:tc>
              <w:tc>
                <w:tcPr>
                  <w:tcW w:w="1072" w:type="pct"/>
                  <w:noWrap w:val="0"/>
                  <w:vAlign w:val="center"/>
                </w:tcPr>
                <w:p w14:paraId="2572D779">
                  <w:pPr>
                    <w:pStyle w:val="34"/>
                    <w:bidi w:val="0"/>
                    <w:rPr>
                      <w:rFonts w:hint="default" w:ascii="Times New Roman" w:hAnsi="Times New Roman" w:eastAsia="宋体"/>
                      <w:color w:val="auto"/>
                      <w:sz w:val="21"/>
                      <w:highlight w:val="none"/>
                    </w:rPr>
                  </w:pPr>
                  <w:r>
                    <w:rPr>
                      <w:rFonts w:hint="default" w:ascii="Times New Roman" w:hAnsi="Times New Roman" w:eastAsia="宋体"/>
                      <w:color w:val="auto"/>
                      <w:sz w:val="21"/>
                      <w:highlight w:val="none"/>
                    </w:rPr>
                    <w:t>生活用水</w:t>
                  </w:r>
                </w:p>
              </w:tc>
              <w:tc>
                <w:tcPr>
                  <w:tcW w:w="500" w:type="pct"/>
                  <w:noWrap w:val="0"/>
                  <w:vAlign w:val="center"/>
                </w:tcPr>
                <w:p w14:paraId="4856B442">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2.1</w:t>
                  </w:r>
                </w:p>
              </w:tc>
              <w:tc>
                <w:tcPr>
                  <w:tcW w:w="572" w:type="pct"/>
                  <w:noWrap w:val="0"/>
                  <w:vAlign w:val="center"/>
                </w:tcPr>
                <w:p w14:paraId="2D064F11">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1.68</w:t>
                  </w:r>
                </w:p>
              </w:tc>
              <w:tc>
                <w:tcPr>
                  <w:tcW w:w="578" w:type="pct"/>
                  <w:noWrap w:val="0"/>
                  <w:vAlign w:val="center"/>
                </w:tcPr>
                <w:p w14:paraId="730CC6EE">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0.</w:t>
                  </w:r>
                  <w:r>
                    <w:rPr>
                      <w:rFonts w:hint="eastAsia"/>
                      <w:color w:val="auto"/>
                      <w:sz w:val="21"/>
                      <w:highlight w:val="none"/>
                      <w:lang w:val="en-US" w:eastAsia="zh-CN"/>
                    </w:rPr>
                    <w:t>42</w:t>
                  </w:r>
                </w:p>
              </w:tc>
              <w:tc>
                <w:tcPr>
                  <w:tcW w:w="589" w:type="pct"/>
                  <w:noWrap w:val="0"/>
                  <w:vAlign w:val="center"/>
                </w:tcPr>
                <w:p w14:paraId="783F779F">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0</w:t>
                  </w:r>
                </w:p>
              </w:tc>
              <w:tc>
                <w:tcPr>
                  <w:tcW w:w="561" w:type="pct"/>
                  <w:noWrap w:val="0"/>
                  <w:vAlign w:val="center"/>
                </w:tcPr>
                <w:p w14:paraId="29A0A83F">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2.1</w:t>
                  </w:r>
                </w:p>
              </w:tc>
              <w:tc>
                <w:tcPr>
                  <w:tcW w:w="847" w:type="pct"/>
                  <w:noWrap w:val="0"/>
                  <w:vAlign w:val="center"/>
                </w:tcPr>
                <w:p w14:paraId="0FBA7E3B">
                  <w:pPr>
                    <w:pStyle w:val="34"/>
                    <w:bidi w:val="0"/>
                    <w:rPr>
                      <w:rFonts w:hint="default" w:ascii="Times New Roman" w:hAnsi="Times New Roman" w:eastAsia="宋体"/>
                      <w:color w:val="auto"/>
                      <w:sz w:val="21"/>
                      <w:highlight w:val="none"/>
                      <w:lang w:val="en-US" w:eastAsia="zh-CN"/>
                    </w:rPr>
                  </w:pPr>
                  <w:r>
                    <w:rPr>
                      <w:rFonts w:hint="default" w:ascii="Times New Roman" w:hAnsi="Times New Roman" w:cs="Times New Roman"/>
                      <w:b w:val="0"/>
                      <w:bCs/>
                      <w:color w:val="auto"/>
                      <w:sz w:val="21"/>
                      <w:szCs w:val="21"/>
                      <w:highlight w:val="none"/>
                      <w:u w:val="none"/>
                      <w:lang w:val="en-US" w:eastAsia="zh-CN"/>
                    </w:rPr>
                    <w:t>通过</w:t>
                  </w:r>
                  <w:r>
                    <w:rPr>
                      <w:rFonts w:hint="eastAsia" w:ascii="Times New Roman" w:hAnsi="Times New Roman" w:cs="Times New Roman"/>
                      <w:b w:val="0"/>
                      <w:bCs/>
                      <w:color w:val="auto"/>
                      <w:sz w:val="21"/>
                      <w:szCs w:val="21"/>
                      <w:highlight w:val="none"/>
                      <w:u w:val="none"/>
                      <w:lang w:val="en-US" w:eastAsia="zh-CN"/>
                    </w:rPr>
                    <w:t>厂区</w:t>
                  </w:r>
                  <w:r>
                    <w:rPr>
                      <w:rFonts w:hint="default" w:ascii="Times New Roman" w:hAnsi="Times New Roman" w:cs="Times New Roman"/>
                      <w:b w:val="0"/>
                      <w:bCs/>
                      <w:color w:val="auto"/>
                      <w:sz w:val="21"/>
                      <w:szCs w:val="21"/>
                      <w:highlight w:val="none"/>
                      <w:u w:val="none"/>
                      <w:lang w:val="en-US" w:eastAsia="zh-CN"/>
                    </w:rPr>
                    <w:t>总排口排入市政污水管网</w:t>
                  </w:r>
                </w:p>
              </w:tc>
            </w:tr>
            <w:tr w14:paraId="77FE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 w:type="pct"/>
                  <w:noWrap w:val="0"/>
                  <w:vAlign w:val="center"/>
                </w:tcPr>
                <w:p w14:paraId="4A834886">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2</w:t>
                  </w:r>
                </w:p>
              </w:tc>
              <w:tc>
                <w:tcPr>
                  <w:tcW w:w="1072" w:type="pct"/>
                  <w:shd w:val="clear" w:color="auto" w:fill="auto"/>
                  <w:noWrap w:val="0"/>
                  <w:vAlign w:val="center"/>
                </w:tcPr>
                <w:p w14:paraId="4C214088">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搅拌用水</w:t>
                  </w:r>
                </w:p>
              </w:tc>
              <w:tc>
                <w:tcPr>
                  <w:tcW w:w="500" w:type="pct"/>
                  <w:shd w:val="clear" w:color="auto" w:fill="auto"/>
                  <w:noWrap w:val="0"/>
                  <w:vAlign w:val="center"/>
                </w:tcPr>
                <w:p w14:paraId="7F373F1F">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color w:val="auto"/>
                      <w:sz w:val="21"/>
                      <w:highlight w:val="none"/>
                      <w:lang w:val="en-US" w:eastAsia="zh-CN"/>
                    </w:rPr>
                    <w:t>451.79</w:t>
                  </w:r>
                </w:p>
              </w:tc>
              <w:tc>
                <w:tcPr>
                  <w:tcW w:w="572" w:type="pct"/>
                  <w:shd w:val="clear" w:color="auto" w:fill="auto"/>
                  <w:noWrap w:val="0"/>
                  <w:vAlign w:val="center"/>
                </w:tcPr>
                <w:p w14:paraId="7601D97E">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0</w:t>
                  </w:r>
                </w:p>
              </w:tc>
              <w:tc>
                <w:tcPr>
                  <w:tcW w:w="578" w:type="pct"/>
                  <w:shd w:val="clear" w:color="auto" w:fill="auto"/>
                  <w:noWrap w:val="0"/>
                  <w:vAlign w:val="center"/>
                </w:tcPr>
                <w:p w14:paraId="02C2D8E5">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color w:val="auto"/>
                      <w:sz w:val="21"/>
                      <w:highlight w:val="none"/>
                      <w:lang w:val="en-US" w:eastAsia="zh-CN"/>
                    </w:rPr>
                    <w:t>451.79</w:t>
                  </w:r>
                </w:p>
              </w:tc>
              <w:tc>
                <w:tcPr>
                  <w:tcW w:w="589" w:type="pct"/>
                  <w:shd w:val="clear" w:color="auto" w:fill="auto"/>
                  <w:noWrap w:val="0"/>
                  <w:vAlign w:val="center"/>
                </w:tcPr>
                <w:p w14:paraId="0BC26C62">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0</w:t>
                  </w:r>
                </w:p>
              </w:tc>
              <w:tc>
                <w:tcPr>
                  <w:tcW w:w="561" w:type="pct"/>
                  <w:shd w:val="clear" w:color="auto" w:fill="auto"/>
                  <w:noWrap w:val="0"/>
                  <w:vAlign w:val="center"/>
                </w:tcPr>
                <w:p w14:paraId="6734277A">
                  <w:pPr>
                    <w:pStyle w:val="34"/>
                    <w:bidi w:val="0"/>
                    <w:ind w:firstLine="0" w:firstLineChars="0"/>
                    <w:rPr>
                      <w:rFonts w:hint="default"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451.79</w:t>
                  </w:r>
                </w:p>
              </w:tc>
              <w:tc>
                <w:tcPr>
                  <w:tcW w:w="847" w:type="pct"/>
                  <w:shd w:val="clear" w:color="auto" w:fill="auto"/>
                  <w:noWrap w:val="0"/>
                  <w:vAlign w:val="center"/>
                </w:tcPr>
                <w:p w14:paraId="426BE757">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全部进入产品，无废水</w:t>
                  </w:r>
                </w:p>
              </w:tc>
            </w:tr>
            <w:tr w14:paraId="54D2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 w:type="pct"/>
                  <w:noWrap w:val="0"/>
                  <w:vAlign w:val="center"/>
                </w:tcPr>
                <w:p w14:paraId="451F60A6">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3</w:t>
                  </w:r>
                </w:p>
              </w:tc>
              <w:tc>
                <w:tcPr>
                  <w:tcW w:w="1072" w:type="pct"/>
                  <w:noWrap w:val="0"/>
                  <w:vAlign w:val="center"/>
                </w:tcPr>
                <w:p w14:paraId="2B5B7652">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洗砂用水</w:t>
                  </w:r>
                </w:p>
              </w:tc>
              <w:tc>
                <w:tcPr>
                  <w:tcW w:w="500" w:type="pct"/>
                  <w:noWrap w:val="0"/>
                  <w:vAlign w:val="center"/>
                </w:tcPr>
                <w:p w14:paraId="43C5C5D4">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1920</w:t>
                  </w:r>
                </w:p>
              </w:tc>
              <w:tc>
                <w:tcPr>
                  <w:tcW w:w="572" w:type="pct"/>
                  <w:noWrap w:val="0"/>
                  <w:vAlign w:val="center"/>
                </w:tcPr>
                <w:p w14:paraId="15BCD012">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18</w:t>
                  </w:r>
                  <w:r>
                    <w:rPr>
                      <w:rFonts w:hint="eastAsia"/>
                      <w:color w:val="auto"/>
                      <w:sz w:val="21"/>
                      <w:highlight w:val="none"/>
                      <w:lang w:val="en-US" w:eastAsia="zh-CN"/>
                    </w:rPr>
                    <w:t>24</w:t>
                  </w:r>
                </w:p>
              </w:tc>
              <w:tc>
                <w:tcPr>
                  <w:tcW w:w="578" w:type="pct"/>
                  <w:noWrap w:val="0"/>
                  <w:vAlign w:val="center"/>
                </w:tcPr>
                <w:p w14:paraId="28022EDF">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96</w:t>
                  </w:r>
                </w:p>
              </w:tc>
              <w:tc>
                <w:tcPr>
                  <w:tcW w:w="589" w:type="pct"/>
                  <w:noWrap w:val="0"/>
                  <w:vAlign w:val="center"/>
                </w:tcPr>
                <w:p w14:paraId="40AB22B1">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1824</w:t>
                  </w:r>
                </w:p>
              </w:tc>
              <w:tc>
                <w:tcPr>
                  <w:tcW w:w="561" w:type="pct"/>
                  <w:noWrap w:val="0"/>
                  <w:vAlign w:val="center"/>
                </w:tcPr>
                <w:p w14:paraId="747CB574">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96</w:t>
                  </w:r>
                </w:p>
              </w:tc>
              <w:tc>
                <w:tcPr>
                  <w:tcW w:w="847" w:type="pct"/>
                  <w:noWrap w:val="0"/>
                  <w:vAlign w:val="center"/>
                </w:tcPr>
                <w:p w14:paraId="48CD068F">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沉淀压滤后全部回用</w:t>
                  </w:r>
                </w:p>
              </w:tc>
            </w:tr>
            <w:tr w14:paraId="068C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 w:type="pct"/>
                  <w:noWrap w:val="0"/>
                  <w:vAlign w:val="center"/>
                </w:tcPr>
                <w:p w14:paraId="1854CE99">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4</w:t>
                  </w:r>
                </w:p>
              </w:tc>
              <w:tc>
                <w:tcPr>
                  <w:tcW w:w="1072" w:type="pct"/>
                  <w:noWrap w:val="0"/>
                  <w:vAlign w:val="center"/>
                </w:tcPr>
                <w:p w14:paraId="3C6809F8">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搅拌机</w:t>
                  </w:r>
                  <w:r>
                    <w:rPr>
                      <w:rFonts w:hint="eastAsia" w:ascii="Times New Roman" w:hAnsi="Times New Roman" w:eastAsia="宋体"/>
                      <w:color w:val="auto"/>
                      <w:sz w:val="21"/>
                      <w:highlight w:val="none"/>
                      <w:lang w:val="en-US" w:eastAsia="zh-CN"/>
                    </w:rPr>
                    <w:t>清洗用水</w:t>
                  </w:r>
                </w:p>
              </w:tc>
              <w:tc>
                <w:tcPr>
                  <w:tcW w:w="500" w:type="pct"/>
                  <w:noWrap w:val="0"/>
                  <w:vAlign w:val="center"/>
                </w:tcPr>
                <w:p w14:paraId="261AE279">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4.5</w:t>
                  </w:r>
                </w:p>
              </w:tc>
              <w:tc>
                <w:tcPr>
                  <w:tcW w:w="572" w:type="pct"/>
                  <w:noWrap w:val="0"/>
                  <w:vAlign w:val="center"/>
                </w:tcPr>
                <w:p w14:paraId="35AA3F7A">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3.6</w:t>
                  </w:r>
                </w:p>
              </w:tc>
              <w:tc>
                <w:tcPr>
                  <w:tcW w:w="578" w:type="pct"/>
                  <w:noWrap w:val="0"/>
                  <w:vAlign w:val="center"/>
                </w:tcPr>
                <w:p w14:paraId="0CD7F5CE">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0.9</w:t>
                  </w:r>
                </w:p>
              </w:tc>
              <w:tc>
                <w:tcPr>
                  <w:tcW w:w="589" w:type="pct"/>
                  <w:noWrap w:val="0"/>
                  <w:vAlign w:val="center"/>
                </w:tcPr>
                <w:p w14:paraId="5590375E">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3.6</w:t>
                  </w:r>
                </w:p>
              </w:tc>
              <w:tc>
                <w:tcPr>
                  <w:tcW w:w="561" w:type="pct"/>
                  <w:noWrap w:val="0"/>
                  <w:vAlign w:val="center"/>
                </w:tcPr>
                <w:p w14:paraId="07FFC05C">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0.9</w:t>
                  </w:r>
                </w:p>
              </w:tc>
              <w:tc>
                <w:tcPr>
                  <w:tcW w:w="847" w:type="pct"/>
                  <w:noWrap w:val="0"/>
                  <w:vAlign w:val="center"/>
                </w:tcPr>
                <w:p w14:paraId="3BBD6051">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经沉淀后全部回用</w:t>
                  </w:r>
                </w:p>
              </w:tc>
            </w:tr>
            <w:tr w14:paraId="11BF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 w:type="pct"/>
                  <w:noWrap w:val="0"/>
                  <w:vAlign w:val="center"/>
                </w:tcPr>
                <w:p w14:paraId="53B97CFA">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5</w:t>
                  </w:r>
                </w:p>
              </w:tc>
              <w:tc>
                <w:tcPr>
                  <w:tcW w:w="1072" w:type="pct"/>
                  <w:noWrap w:val="0"/>
                  <w:vAlign w:val="center"/>
                </w:tcPr>
                <w:p w14:paraId="413FD20F">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车辆</w:t>
                  </w:r>
                  <w:r>
                    <w:rPr>
                      <w:rFonts w:hint="eastAsia"/>
                      <w:color w:val="auto"/>
                      <w:sz w:val="21"/>
                      <w:highlight w:val="none"/>
                      <w:lang w:val="en-US" w:eastAsia="zh-CN"/>
                    </w:rPr>
                    <w:t>冲</w:t>
                  </w:r>
                  <w:r>
                    <w:rPr>
                      <w:rFonts w:hint="eastAsia" w:ascii="Times New Roman" w:hAnsi="Times New Roman" w:eastAsia="宋体"/>
                      <w:color w:val="auto"/>
                      <w:sz w:val="21"/>
                      <w:highlight w:val="none"/>
                      <w:lang w:val="en-US" w:eastAsia="zh-CN"/>
                    </w:rPr>
                    <w:t>洗用水</w:t>
                  </w:r>
                </w:p>
              </w:tc>
              <w:tc>
                <w:tcPr>
                  <w:tcW w:w="500" w:type="pct"/>
                  <w:noWrap w:val="0"/>
                  <w:vAlign w:val="center"/>
                </w:tcPr>
                <w:p w14:paraId="3FCA716E">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8.68</w:t>
                  </w:r>
                </w:p>
              </w:tc>
              <w:tc>
                <w:tcPr>
                  <w:tcW w:w="572" w:type="pct"/>
                  <w:noWrap w:val="0"/>
                  <w:vAlign w:val="center"/>
                </w:tcPr>
                <w:p w14:paraId="118566B8">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6.944</w:t>
                  </w:r>
                </w:p>
              </w:tc>
              <w:tc>
                <w:tcPr>
                  <w:tcW w:w="578" w:type="pct"/>
                  <w:noWrap w:val="0"/>
                  <w:vAlign w:val="center"/>
                </w:tcPr>
                <w:p w14:paraId="19BFA5B9">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1.736</w:t>
                  </w:r>
                </w:p>
              </w:tc>
              <w:tc>
                <w:tcPr>
                  <w:tcW w:w="589" w:type="pct"/>
                  <w:noWrap w:val="0"/>
                  <w:vAlign w:val="center"/>
                </w:tcPr>
                <w:p w14:paraId="3C0DBE62">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6.944</w:t>
                  </w:r>
                </w:p>
              </w:tc>
              <w:tc>
                <w:tcPr>
                  <w:tcW w:w="561" w:type="pct"/>
                  <w:noWrap w:val="0"/>
                  <w:vAlign w:val="center"/>
                </w:tcPr>
                <w:p w14:paraId="032D8C3A">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1.736</w:t>
                  </w:r>
                </w:p>
              </w:tc>
              <w:tc>
                <w:tcPr>
                  <w:tcW w:w="847" w:type="pct"/>
                  <w:noWrap w:val="0"/>
                  <w:vAlign w:val="center"/>
                </w:tcPr>
                <w:p w14:paraId="41F27775">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废水沉淀后循环使用</w:t>
                  </w:r>
                </w:p>
              </w:tc>
            </w:tr>
            <w:tr w14:paraId="384FA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7" w:type="pct"/>
                  <w:noWrap w:val="0"/>
                  <w:vAlign w:val="center"/>
                </w:tcPr>
                <w:p w14:paraId="7BB15D3A">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6</w:t>
                  </w:r>
                </w:p>
              </w:tc>
              <w:tc>
                <w:tcPr>
                  <w:tcW w:w="1072" w:type="pct"/>
                  <w:noWrap w:val="0"/>
                  <w:vAlign w:val="center"/>
                </w:tcPr>
                <w:p w14:paraId="36F130DC">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车辆罐体冲洗用水</w:t>
                  </w:r>
                </w:p>
              </w:tc>
              <w:tc>
                <w:tcPr>
                  <w:tcW w:w="500" w:type="pct"/>
                  <w:noWrap w:val="0"/>
                  <w:vAlign w:val="center"/>
                </w:tcPr>
                <w:p w14:paraId="07196AE1">
                  <w:pPr>
                    <w:pStyle w:val="34"/>
                    <w:bidi w:val="0"/>
                    <w:rPr>
                      <w:rFonts w:hint="default"/>
                      <w:color w:val="auto"/>
                      <w:sz w:val="21"/>
                      <w:highlight w:val="none"/>
                      <w:lang w:val="en-US" w:eastAsia="zh-CN"/>
                    </w:rPr>
                  </w:pPr>
                  <w:r>
                    <w:rPr>
                      <w:rFonts w:hint="eastAsia"/>
                      <w:color w:val="auto"/>
                      <w:sz w:val="21"/>
                      <w:highlight w:val="none"/>
                      <w:lang w:val="en-US" w:eastAsia="zh-CN"/>
                    </w:rPr>
                    <w:t>0.5</w:t>
                  </w:r>
                </w:p>
              </w:tc>
              <w:tc>
                <w:tcPr>
                  <w:tcW w:w="572" w:type="pct"/>
                  <w:noWrap w:val="0"/>
                  <w:vAlign w:val="center"/>
                </w:tcPr>
                <w:p w14:paraId="0B9BC3CD">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0.4</w:t>
                  </w:r>
                </w:p>
              </w:tc>
              <w:tc>
                <w:tcPr>
                  <w:tcW w:w="578" w:type="pct"/>
                  <w:noWrap w:val="0"/>
                  <w:vAlign w:val="center"/>
                </w:tcPr>
                <w:p w14:paraId="40B88B73">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0.1</w:t>
                  </w:r>
                </w:p>
              </w:tc>
              <w:tc>
                <w:tcPr>
                  <w:tcW w:w="589" w:type="pct"/>
                  <w:noWrap w:val="0"/>
                  <w:vAlign w:val="center"/>
                </w:tcPr>
                <w:p w14:paraId="1E8A672E">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0.4</w:t>
                  </w:r>
                </w:p>
              </w:tc>
              <w:tc>
                <w:tcPr>
                  <w:tcW w:w="561" w:type="pct"/>
                  <w:noWrap w:val="0"/>
                  <w:vAlign w:val="center"/>
                </w:tcPr>
                <w:p w14:paraId="494EC93B">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0.1</w:t>
                  </w:r>
                </w:p>
              </w:tc>
              <w:tc>
                <w:tcPr>
                  <w:tcW w:w="847" w:type="pct"/>
                  <w:noWrap w:val="0"/>
                  <w:vAlign w:val="center"/>
                </w:tcPr>
                <w:p w14:paraId="134AA3F0">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废水沉淀后循环使用</w:t>
                  </w:r>
                </w:p>
              </w:tc>
            </w:tr>
            <w:tr w14:paraId="363E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50" w:type="pct"/>
                  <w:gridSpan w:val="2"/>
                  <w:noWrap w:val="0"/>
                  <w:vAlign w:val="center"/>
                </w:tcPr>
                <w:p w14:paraId="551B8125">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合计</w:t>
                  </w:r>
                </w:p>
              </w:tc>
              <w:tc>
                <w:tcPr>
                  <w:tcW w:w="500" w:type="pct"/>
                  <w:noWrap w:val="0"/>
                  <w:vAlign w:val="center"/>
                </w:tcPr>
                <w:p w14:paraId="4DA7A2A5">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2387.57</w:t>
                  </w:r>
                </w:p>
              </w:tc>
              <w:tc>
                <w:tcPr>
                  <w:tcW w:w="572" w:type="pct"/>
                  <w:noWrap w:val="0"/>
                  <w:vAlign w:val="center"/>
                </w:tcPr>
                <w:p w14:paraId="564A9B26">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1836.624</w:t>
                  </w:r>
                </w:p>
              </w:tc>
              <w:tc>
                <w:tcPr>
                  <w:tcW w:w="578" w:type="pct"/>
                  <w:noWrap w:val="0"/>
                  <w:vAlign w:val="center"/>
                </w:tcPr>
                <w:p w14:paraId="4216E6CC">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550.946</w:t>
                  </w:r>
                </w:p>
              </w:tc>
              <w:tc>
                <w:tcPr>
                  <w:tcW w:w="589" w:type="pct"/>
                  <w:noWrap w:val="0"/>
                  <w:vAlign w:val="center"/>
                </w:tcPr>
                <w:p w14:paraId="17D30FE3">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1834.944</w:t>
                  </w:r>
                </w:p>
              </w:tc>
              <w:tc>
                <w:tcPr>
                  <w:tcW w:w="561" w:type="pct"/>
                  <w:noWrap w:val="0"/>
                  <w:vAlign w:val="center"/>
                </w:tcPr>
                <w:p w14:paraId="68A81358">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552.626</w:t>
                  </w:r>
                </w:p>
              </w:tc>
              <w:tc>
                <w:tcPr>
                  <w:tcW w:w="847" w:type="pct"/>
                  <w:noWrap w:val="0"/>
                  <w:vAlign w:val="center"/>
                </w:tcPr>
                <w:p w14:paraId="169BF71C">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w:t>
                  </w:r>
                </w:p>
              </w:tc>
            </w:tr>
            <w:bookmarkEnd w:id="19"/>
            <w:bookmarkEnd w:id="20"/>
          </w:tbl>
          <w:p w14:paraId="31CAADCD">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宋体"/>
                <w:color w:val="auto"/>
                <w:kern w:val="2"/>
                <w:sz w:val="24"/>
                <w:szCs w:val="24"/>
                <w:highlight w:val="none"/>
                <w:lang w:val="en-US" w:eastAsia="zh-CN" w:bidi="ar-SA"/>
              </w:rPr>
            </w:pPr>
          </w:p>
          <w:p w14:paraId="510A3A2B">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宋体"/>
                <w:color w:val="auto"/>
                <w:kern w:val="2"/>
                <w:sz w:val="24"/>
                <w:szCs w:val="24"/>
                <w:highlight w:val="none"/>
                <w:lang w:val="en-US" w:eastAsia="zh-CN" w:bidi="ar-SA"/>
              </w:rPr>
            </w:pPr>
          </w:p>
          <w:p w14:paraId="34EFDBD0">
            <w:pPr>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宋体"/>
                <w:color w:val="auto"/>
                <w:kern w:val="2"/>
                <w:sz w:val="24"/>
                <w:szCs w:val="24"/>
                <w:highlight w:val="none"/>
                <w:lang w:val="en-US" w:eastAsia="zh-CN" w:bidi="ar-SA"/>
              </w:rPr>
            </w:pPr>
          </w:p>
          <w:p w14:paraId="523D8394">
            <w:pPr>
              <w:pStyle w:val="34"/>
              <w:bidi w:val="0"/>
              <w:jc w:val="both"/>
              <w:rPr>
                <w:rFonts w:hint="eastAsia"/>
                <w:color w:val="auto"/>
                <w:highlight w:val="none"/>
                <w:lang w:eastAsia="zh-CN"/>
              </w:rPr>
            </w:pPr>
            <w:r>
              <w:rPr>
                <w:color w:val="auto"/>
              </w:rPr>
              <w:drawing>
                <wp:inline distT="0" distB="0" distL="114300" distR="114300">
                  <wp:extent cx="5720715" cy="4930140"/>
                  <wp:effectExtent l="0" t="0" r="13335" b="3810"/>
                  <wp:docPr id="18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3"/>
                          <pic:cNvPicPr>
                            <a:picLocks noChangeAspect="1"/>
                          </pic:cNvPicPr>
                        </pic:nvPicPr>
                        <pic:blipFill>
                          <a:blip r:embed="rId12"/>
                          <a:stretch>
                            <a:fillRect/>
                          </a:stretch>
                        </pic:blipFill>
                        <pic:spPr>
                          <a:xfrm>
                            <a:off x="0" y="0"/>
                            <a:ext cx="5720715" cy="4930140"/>
                          </a:xfrm>
                          <a:prstGeom prst="rect">
                            <a:avLst/>
                          </a:prstGeom>
                          <a:noFill/>
                          <a:ln>
                            <a:noFill/>
                          </a:ln>
                        </pic:spPr>
                      </pic:pic>
                    </a:graphicData>
                  </a:graphic>
                </wp:inline>
              </w:drawing>
            </w:r>
          </w:p>
          <w:p w14:paraId="17D21F55">
            <w:pPr>
              <w:pStyle w:val="20"/>
              <w:bidi w:val="0"/>
              <w:rPr>
                <w:rFonts w:hint="eastAsia"/>
                <w:color w:val="auto"/>
                <w:highlight w:val="none"/>
                <w:lang w:eastAsia="zh-CN"/>
              </w:rPr>
            </w:pPr>
            <w:bookmarkStart w:id="21" w:name="_Ref1986"/>
            <w:r>
              <w:rPr>
                <w:color w:val="auto"/>
                <w:highlight w:val="none"/>
              </w:rPr>
              <w:t>图</w:t>
            </w:r>
            <w:r>
              <w:rPr>
                <w:color w:val="auto"/>
                <w:highlight w:val="none"/>
              </w:rPr>
              <w:fldChar w:fldCharType="begin"/>
            </w:r>
            <w:r>
              <w:rPr>
                <w:color w:val="auto"/>
                <w:highlight w:val="none"/>
              </w:rPr>
              <w:instrText xml:space="preserve"> STYLEREF 2 \s </w:instrText>
            </w:r>
            <w:r>
              <w:rPr>
                <w:color w:val="auto"/>
                <w:highlight w:val="none"/>
              </w:rPr>
              <w:fldChar w:fldCharType="separate"/>
            </w:r>
            <w:r>
              <w:rPr>
                <w:color w:val="auto"/>
                <w:highlight w:val="none"/>
              </w:rPr>
              <w:t>2.7</w:t>
            </w:r>
            <w:r>
              <w:rPr>
                <w:color w:val="auto"/>
                <w:highlight w:val="none"/>
              </w:rPr>
              <w:fldChar w:fldCharType="end"/>
            </w:r>
            <w:r>
              <w:rPr>
                <w:rFonts w:hint="eastAsia"/>
                <w:color w:val="auto"/>
                <w:highlight w:val="none"/>
                <w:lang w:eastAsia="zh-CN"/>
              </w:rPr>
              <w:t>-</w:t>
            </w:r>
            <w:r>
              <w:rPr>
                <w:color w:val="auto"/>
                <w:highlight w:val="none"/>
              </w:rPr>
              <w:fldChar w:fldCharType="begin"/>
            </w:r>
            <w:r>
              <w:rPr>
                <w:color w:val="auto"/>
                <w:highlight w:val="none"/>
              </w:rPr>
              <w:instrText xml:space="preserve"> SEQ 图 \* ARABIC \s 2 </w:instrText>
            </w:r>
            <w:r>
              <w:rPr>
                <w:color w:val="auto"/>
                <w:highlight w:val="none"/>
              </w:rPr>
              <w:fldChar w:fldCharType="separate"/>
            </w:r>
            <w:r>
              <w:rPr>
                <w:color w:val="auto"/>
                <w:highlight w:val="none"/>
              </w:rPr>
              <w:t>1</w:t>
            </w:r>
            <w:r>
              <w:rPr>
                <w:color w:val="auto"/>
                <w:highlight w:val="none"/>
              </w:rPr>
              <w:fldChar w:fldCharType="end"/>
            </w:r>
            <w:bookmarkEnd w:id="21"/>
            <w:r>
              <w:rPr>
                <w:rFonts w:hint="eastAsia"/>
                <w:color w:val="auto"/>
                <w:highlight w:val="none"/>
                <w:lang w:val="en-US" w:eastAsia="zh-CN"/>
              </w:rPr>
              <w:t xml:space="preserve">  </w:t>
            </w:r>
            <w:r>
              <w:rPr>
                <w:rFonts w:hint="eastAsia"/>
                <w:color w:val="auto"/>
                <w:sz w:val="21"/>
                <w:szCs w:val="21"/>
                <w:highlight w:val="none"/>
                <w:lang w:eastAsia="zh-CN"/>
              </w:rPr>
              <w:t>项</w:t>
            </w:r>
            <w:r>
              <w:rPr>
                <w:rFonts w:hint="eastAsia"/>
                <w:color w:val="auto"/>
                <w:highlight w:val="none"/>
                <w:lang w:eastAsia="zh-CN"/>
              </w:rPr>
              <w:t>目水平衡图</w:t>
            </w:r>
            <w:r>
              <w:rPr>
                <w:rFonts w:hint="eastAsia"/>
                <w:color w:val="auto"/>
                <w:highlight w:val="none"/>
                <w:lang w:val="en-US" w:eastAsia="zh-CN"/>
              </w:rPr>
              <w:t xml:space="preserve">  </w:t>
            </w:r>
            <w:r>
              <w:rPr>
                <w:rFonts w:hint="eastAsia"/>
                <w:color w:val="auto"/>
                <w:highlight w:val="none"/>
                <w:lang w:eastAsia="zh-CN"/>
              </w:rPr>
              <w:t>（单位m</w:t>
            </w:r>
            <w:r>
              <w:rPr>
                <w:rFonts w:hint="eastAsia"/>
                <w:color w:val="auto"/>
                <w:highlight w:val="none"/>
                <w:vertAlign w:val="superscript"/>
                <w:lang w:eastAsia="zh-CN"/>
              </w:rPr>
              <w:t>3</w:t>
            </w:r>
            <w:r>
              <w:rPr>
                <w:rFonts w:hint="eastAsia"/>
                <w:color w:val="auto"/>
                <w:highlight w:val="none"/>
                <w:lang w:eastAsia="zh-CN"/>
              </w:rPr>
              <w:t>/d）</w:t>
            </w:r>
          </w:p>
          <w:p w14:paraId="4F76EC61">
            <w:pPr>
              <w:pStyle w:val="12"/>
              <w:keepNext/>
              <w:keepLines/>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b w:val="0"/>
                <w:bCs w:val="0"/>
                <w:color w:val="auto"/>
                <w:kern w:val="2"/>
                <w:sz w:val="24"/>
                <w:szCs w:val="24"/>
                <w:lang w:val="en-US" w:eastAsia="zh-CN" w:bidi="ar-SA"/>
              </w:rPr>
            </w:pPr>
            <w:bookmarkStart w:id="22" w:name="_Ref31891"/>
            <w:r>
              <w:rPr>
                <w:rFonts w:hint="eastAsia" w:cs="Times New Roman"/>
                <w:b w:val="0"/>
                <w:bCs w:val="0"/>
                <w:color w:val="auto"/>
                <w:kern w:val="2"/>
                <w:sz w:val="24"/>
                <w:szCs w:val="24"/>
                <w:lang w:val="en-US" w:eastAsia="zh-CN" w:bidi="ar-SA"/>
              </w:rPr>
              <w:t>（1）初期雨水收集池</w:t>
            </w:r>
          </w:p>
          <w:p w14:paraId="781DE06B">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default" w:ascii="Times New Roman" w:hAnsi="Times New Roman" w:eastAsia="宋体" w:cs="Times New Roman"/>
                <w:b w:val="0"/>
                <w:bCs/>
                <w:caps w:val="0"/>
                <w:color w:val="auto"/>
                <w:sz w:val="24"/>
                <w:szCs w:val="24"/>
                <w:highlight w:val="none"/>
                <w:lang w:val="en-US" w:eastAsia="zh-CN"/>
              </w:rPr>
            </w:pPr>
            <w:r>
              <w:rPr>
                <w:rFonts w:hint="default" w:ascii="Times New Roman" w:hAnsi="Times New Roman" w:eastAsia="宋体" w:cs="Times New Roman"/>
                <w:b w:val="0"/>
                <w:bCs/>
                <w:caps w:val="0"/>
                <w:color w:val="auto"/>
                <w:sz w:val="24"/>
                <w:szCs w:val="24"/>
                <w:highlight w:val="none"/>
                <w:lang w:val="en-US" w:eastAsia="zh-CN"/>
              </w:rPr>
              <w:t>当地暴雨强度计算公式参考</w:t>
            </w:r>
            <w:r>
              <w:rPr>
                <w:rFonts w:hint="eastAsia" w:ascii="Times New Roman" w:hAnsi="Times New Roman" w:eastAsia="宋体" w:cs="Times New Roman"/>
                <w:b w:val="0"/>
                <w:bCs/>
                <w:caps w:val="0"/>
                <w:color w:val="auto"/>
                <w:sz w:val="24"/>
                <w:szCs w:val="24"/>
                <w:highlight w:val="none"/>
                <w:lang w:val="en-US" w:eastAsia="zh-CN"/>
              </w:rPr>
              <w:t>《山西省工程建设地方标准 海绵城市建设技术标准》（DBJ04/T 344-2025）</w:t>
            </w:r>
            <w:r>
              <w:rPr>
                <w:rFonts w:hint="default" w:ascii="Times New Roman" w:hAnsi="Times New Roman" w:eastAsia="宋体" w:cs="Times New Roman"/>
                <w:b w:val="0"/>
                <w:bCs/>
                <w:caps w:val="0"/>
                <w:color w:val="auto"/>
                <w:sz w:val="24"/>
                <w:szCs w:val="24"/>
                <w:highlight w:val="none"/>
                <w:lang w:val="en-US" w:eastAsia="zh-CN"/>
              </w:rPr>
              <w:t>：</w:t>
            </w:r>
          </w:p>
          <w:p w14:paraId="0F9EE165">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jc w:val="center"/>
              <w:textAlignment w:val="auto"/>
              <w:rPr>
                <w:rFonts w:hint="default" w:ascii="Times New Roman" w:hAnsi="Times New Roman" w:eastAsia="宋体" w:cs="Times New Roman"/>
                <w:b w:val="0"/>
                <w:bCs/>
                <w:caps w:val="0"/>
                <w:color w:val="auto"/>
                <w:sz w:val="24"/>
                <w:szCs w:val="24"/>
                <w:highlight w:val="none"/>
                <w:lang w:val="en-US" w:eastAsia="zh-CN"/>
              </w:rPr>
            </w:pPr>
            <w:r>
              <w:rPr>
                <w:color w:val="auto"/>
              </w:rPr>
              <w:drawing>
                <wp:inline distT="0" distB="0" distL="114300" distR="114300">
                  <wp:extent cx="2160270" cy="528955"/>
                  <wp:effectExtent l="0" t="0" r="11430" b="444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3"/>
                          <a:stretch>
                            <a:fillRect/>
                          </a:stretch>
                        </pic:blipFill>
                        <pic:spPr>
                          <a:xfrm>
                            <a:off x="0" y="0"/>
                            <a:ext cx="2160270" cy="528955"/>
                          </a:xfrm>
                          <a:prstGeom prst="rect">
                            <a:avLst/>
                          </a:prstGeom>
                          <a:noFill/>
                          <a:ln>
                            <a:noFill/>
                          </a:ln>
                        </pic:spPr>
                      </pic:pic>
                    </a:graphicData>
                  </a:graphic>
                </wp:inline>
              </w:drawing>
            </w:r>
          </w:p>
          <w:p w14:paraId="4C8E7044">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default" w:ascii="Times New Roman" w:hAnsi="Times New Roman" w:eastAsia="宋体" w:cs="Times New Roman"/>
                <w:b w:val="0"/>
                <w:bCs/>
                <w:caps w:val="0"/>
                <w:color w:val="auto"/>
                <w:sz w:val="24"/>
                <w:szCs w:val="24"/>
                <w:highlight w:val="none"/>
                <w:lang w:val="en-US" w:eastAsia="zh-CN"/>
              </w:rPr>
            </w:pPr>
            <w:r>
              <w:rPr>
                <w:rFonts w:hint="default" w:ascii="Times New Roman" w:hAnsi="Times New Roman" w:eastAsia="宋体" w:cs="Times New Roman"/>
                <w:b w:val="0"/>
                <w:bCs/>
                <w:caps w:val="0"/>
                <w:color w:val="auto"/>
                <w:sz w:val="24"/>
                <w:szCs w:val="24"/>
                <w:highlight w:val="none"/>
                <w:lang w:val="en-US" w:eastAsia="zh-CN"/>
              </w:rPr>
              <w:t>式中：</w:t>
            </w:r>
          </w:p>
          <w:p w14:paraId="07129B2A">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default" w:ascii="Times New Roman" w:hAnsi="Times New Roman" w:eastAsia="宋体" w:cs="Times New Roman"/>
                <w:b w:val="0"/>
                <w:bCs/>
                <w:caps w:val="0"/>
                <w:color w:val="auto"/>
                <w:sz w:val="24"/>
                <w:szCs w:val="24"/>
                <w:highlight w:val="none"/>
                <w:lang w:val="en-US" w:eastAsia="zh-CN"/>
              </w:rPr>
            </w:pPr>
            <w:r>
              <w:rPr>
                <w:rFonts w:hint="default" w:ascii="Times New Roman" w:hAnsi="Times New Roman" w:eastAsia="宋体" w:cs="Times New Roman"/>
                <w:b w:val="0"/>
                <w:bCs/>
                <w:caps w:val="0"/>
                <w:color w:val="auto"/>
                <w:sz w:val="24"/>
                <w:szCs w:val="24"/>
                <w:highlight w:val="none"/>
                <w:lang w:val="en-US" w:eastAsia="zh-CN"/>
              </w:rPr>
              <w:t>q ——暴雨强度</w:t>
            </w:r>
            <w:r>
              <w:rPr>
                <w:rFonts w:hint="eastAsia" w:ascii="Times New Roman" w:hAnsi="Times New Roman" w:eastAsia="宋体" w:cs="Times New Roman"/>
                <w:b w:val="0"/>
                <w:bCs/>
                <w:caps w:val="0"/>
                <w:color w:val="auto"/>
                <w:sz w:val="24"/>
                <w:szCs w:val="24"/>
                <w:highlight w:val="none"/>
                <w:lang w:val="en-US" w:eastAsia="zh-CN"/>
              </w:rPr>
              <w:t>，</w:t>
            </w:r>
            <w:r>
              <w:rPr>
                <w:rFonts w:hint="default" w:ascii="Times New Roman" w:hAnsi="Times New Roman" w:eastAsia="宋体" w:cs="Times New Roman"/>
                <w:b w:val="0"/>
                <w:bCs/>
                <w:caps w:val="0"/>
                <w:color w:val="auto"/>
                <w:sz w:val="24"/>
                <w:szCs w:val="24"/>
                <w:highlight w:val="none"/>
                <w:lang w:val="en-US" w:eastAsia="zh-CN"/>
              </w:rPr>
              <w:t>（L/S·hm</w:t>
            </w:r>
            <w:r>
              <w:rPr>
                <w:rFonts w:hint="default" w:ascii="Times New Roman" w:hAnsi="Times New Roman" w:eastAsia="宋体" w:cs="Times New Roman"/>
                <w:b w:val="0"/>
                <w:bCs/>
                <w:caps w:val="0"/>
                <w:color w:val="auto"/>
                <w:sz w:val="24"/>
                <w:szCs w:val="24"/>
                <w:highlight w:val="none"/>
                <w:vertAlign w:val="superscript"/>
                <w:lang w:val="en-US" w:eastAsia="zh-CN"/>
              </w:rPr>
              <w:t>2</w:t>
            </w:r>
            <w:r>
              <w:rPr>
                <w:rFonts w:hint="default" w:ascii="Times New Roman" w:hAnsi="Times New Roman" w:eastAsia="宋体" w:cs="Times New Roman"/>
                <w:b w:val="0"/>
                <w:bCs/>
                <w:caps w:val="0"/>
                <w:color w:val="auto"/>
                <w:sz w:val="24"/>
                <w:szCs w:val="24"/>
                <w:highlight w:val="none"/>
                <w:lang w:val="en-US" w:eastAsia="zh-CN"/>
              </w:rPr>
              <w:t>）</w:t>
            </w:r>
            <w:r>
              <w:rPr>
                <w:rFonts w:hint="eastAsia" w:ascii="Times New Roman" w:hAnsi="Times New Roman" w:eastAsia="宋体" w:cs="Times New Roman"/>
                <w:b w:val="0"/>
                <w:bCs/>
                <w:caps w:val="0"/>
                <w:color w:val="auto"/>
                <w:sz w:val="24"/>
                <w:szCs w:val="24"/>
                <w:highlight w:val="none"/>
                <w:lang w:val="en-US" w:eastAsia="zh-CN"/>
              </w:rPr>
              <w:t>；</w:t>
            </w:r>
          </w:p>
          <w:p w14:paraId="303F58AF">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default" w:ascii="Times New Roman" w:hAnsi="Times New Roman" w:eastAsia="宋体" w:cs="Times New Roman"/>
                <w:b w:val="0"/>
                <w:bCs/>
                <w:caps w:val="0"/>
                <w:color w:val="auto"/>
                <w:sz w:val="24"/>
                <w:szCs w:val="24"/>
                <w:highlight w:val="none"/>
                <w:lang w:val="en-US" w:eastAsia="zh-CN"/>
              </w:rPr>
            </w:pPr>
            <w:r>
              <w:rPr>
                <w:rFonts w:hint="eastAsia" w:ascii="Times New Roman" w:hAnsi="Times New Roman" w:eastAsia="宋体" w:cs="Times New Roman"/>
                <w:b w:val="0"/>
                <w:bCs/>
                <w:caps w:val="0"/>
                <w:color w:val="auto"/>
                <w:sz w:val="24"/>
                <w:szCs w:val="24"/>
                <w:highlight w:val="none"/>
                <w:lang w:val="en-US" w:eastAsia="zh-CN"/>
              </w:rPr>
              <w:t>P——设计重现期，年，取2年；</w:t>
            </w:r>
          </w:p>
          <w:p w14:paraId="2F84BAD5">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default" w:ascii="Times New Roman" w:hAnsi="Times New Roman" w:eastAsia="宋体" w:cs="Times New Roman"/>
                <w:b w:val="0"/>
                <w:bCs/>
                <w:caps w:val="0"/>
                <w:color w:val="auto"/>
                <w:sz w:val="24"/>
                <w:szCs w:val="24"/>
                <w:highlight w:val="none"/>
                <w:lang w:val="en-US" w:eastAsia="zh-CN"/>
              </w:rPr>
            </w:pPr>
            <w:r>
              <w:rPr>
                <w:rFonts w:hint="default" w:ascii="Times New Roman" w:hAnsi="Times New Roman" w:eastAsia="宋体" w:cs="Times New Roman"/>
                <w:b w:val="0"/>
                <w:bCs/>
                <w:caps w:val="0"/>
                <w:color w:val="auto"/>
                <w:sz w:val="24"/>
                <w:szCs w:val="24"/>
                <w:highlight w:val="none"/>
                <w:lang w:val="en-US" w:eastAsia="zh-CN"/>
              </w:rPr>
              <w:t>t ——降雨历时</w:t>
            </w:r>
            <w:r>
              <w:rPr>
                <w:rFonts w:hint="eastAsia" w:ascii="Times New Roman" w:hAnsi="Times New Roman" w:eastAsia="宋体" w:cs="Times New Roman"/>
                <w:b w:val="0"/>
                <w:bCs/>
                <w:caps w:val="0"/>
                <w:color w:val="auto"/>
                <w:sz w:val="24"/>
                <w:szCs w:val="24"/>
                <w:highlight w:val="none"/>
                <w:lang w:val="en-US" w:eastAsia="zh-CN"/>
              </w:rPr>
              <w:t>，min，取15</w:t>
            </w:r>
            <w:r>
              <w:rPr>
                <w:rFonts w:hint="default" w:ascii="Times New Roman" w:hAnsi="Times New Roman" w:eastAsia="宋体" w:cs="Times New Roman"/>
                <w:b w:val="0"/>
                <w:bCs/>
                <w:caps w:val="0"/>
                <w:color w:val="auto"/>
                <w:sz w:val="24"/>
                <w:szCs w:val="24"/>
                <w:highlight w:val="none"/>
                <w:lang w:val="en-US" w:eastAsia="zh-CN"/>
              </w:rPr>
              <w:t>min；</w:t>
            </w:r>
          </w:p>
          <w:p w14:paraId="43BB4E2A">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default" w:ascii="Times New Roman" w:hAnsi="Times New Roman" w:eastAsia="宋体" w:cs="Times New Roman"/>
                <w:b w:val="0"/>
                <w:bCs/>
                <w:caps w:val="0"/>
                <w:color w:val="auto"/>
                <w:sz w:val="24"/>
                <w:szCs w:val="24"/>
                <w:highlight w:val="none"/>
                <w:lang w:val="en-US" w:eastAsia="zh-CN"/>
              </w:rPr>
            </w:pPr>
            <w:r>
              <w:rPr>
                <w:rFonts w:hint="eastAsia" w:ascii="Times New Roman" w:hAnsi="Times New Roman" w:eastAsia="宋体" w:cs="Times New Roman"/>
                <w:b w:val="0"/>
                <w:bCs/>
                <w:caps w:val="0"/>
                <w:color w:val="auto"/>
                <w:sz w:val="24"/>
                <w:szCs w:val="24"/>
                <w:highlight w:val="none"/>
                <w:lang w:val="en-US" w:eastAsia="zh-CN"/>
              </w:rPr>
              <w:t>对应的设计调蓄容积，采用容积法按下列公式计算：</w:t>
            </w:r>
          </w:p>
          <w:p w14:paraId="52C43754">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default" w:ascii="Times New Roman" w:hAnsi="Times New Roman" w:eastAsia="宋体" w:cs="Times New Roman"/>
                <w:b w:val="0"/>
                <w:bCs/>
                <w:caps w:val="0"/>
                <w:color w:val="auto"/>
                <w:sz w:val="24"/>
                <w:szCs w:val="24"/>
                <w:highlight w:val="none"/>
                <w:lang w:val="en-US" w:eastAsia="zh-CN"/>
              </w:rPr>
            </w:pPr>
            <w:r>
              <w:rPr>
                <w:rFonts w:hint="default" w:ascii="Times New Roman" w:hAnsi="Times New Roman" w:eastAsia="宋体" w:cs="Times New Roman"/>
                <w:b w:val="0"/>
                <w:bCs/>
                <w:caps w:val="0"/>
                <w:color w:val="auto"/>
                <w:sz w:val="24"/>
                <w:szCs w:val="24"/>
                <w:highlight w:val="none"/>
                <w:lang w:val="en-US" w:eastAsia="zh-CN"/>
              </w:rPr>
              <w:t>W=10</w:t>
            </w:r>
            <w:r>
              <w:rPr>
                <w:rFonts w:hint="default" w:ascii="Times New Roman" w:hAnsi="Times New Roman" w:eastAsia="宋体" w:cs="Times New Roman"/>
                <w:b w:val="0"/>
                <w:bCs/>
                <w:i/>
                <w:iCs/>
                <w:caps w:val="0"/>
                <w:color w:val="auto"/>
                <w:sz w:val="24"/>
                <w:szCs w:val="24"/>
                <w:highlight w:val="none"/>
                <w:lang w:val="en-US" w:eastAsia="zh-CN"/>
              </w:rPr>
              <w:t>Ψ</w:t>
            </w:r>
            <w:r>
              <w:rPr>
                <w:rFonts w:hint="default" w:ascii="Times New Roman" w:hAnsi="Times New Roman" w:eastAsia="宋体" w:cs="Times New Roman"/>
                <w:b w:val="0"/>
                <w:bCs/>
                <w:i/>
                <w:iCs/>
                <w:caps w:val="0"/>
                <w:color w:val="auto"/>
                <w:sz w:val="24"/>
                <w:szCs w:val="24"/>
                <w:highlight w:val="none"/>
                <w:vertAlign w:val="subscript"/>
                <w:lang w:val="en-US" w:eastAsia="zh-CN"/>
              </w:rPr>
              <w:t xml:space="preserve"> z</w:t>
            </w:r>
            <w:r>
              <w:rPr>
                <w:rFonts w:hint="default" w:ascii="Times New Roman" w:hAnsi="Times New Roman" w:eastAsia="宋体" w:cs="Times New Roman"/>
                <w:b w:val="0"/>
                <w:bCs/>
                <w:i/>
                <w:iCs/>
                <w:caps w:val="0"/>
                <w:color w:val="auto"/>
                <w:sz w:val="24"/>
                <w:szCs w:val="24"/>
                <w:highlight w:val="none"/>
                <w:lang w:val="en-US" w:eastAsia="zh-CN"/>
              </w:rPr>
              <w:t>hF</w:t>
            </w:r>
          </w:p>
          <w:p w14:paraId="221D72E1">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default" w:ascii="Times New Roman" w:hAnsi="Times New Roman" w:eastAsia="宋体" w:cs="Times New Roman"/>
                <w:b w:val="0"/>
                <w:bCs/>
                <w:i/>
                <w:iCs/>
                <w:caps w:val="0"/>
                <w:color w:val="auto"/>
                <w:sz w:val="24"/>
                <w:szCs w:val="24"/>
                <w:highlight w:val="none"/>
                <w:lang w:val="en-US" w:eastAsia="zh-CN"/>
              </w:rPr>
            </w:pPr>
            <w:r>
              <w:rPr>
                <w:rFonts w:hint="default" w:ascii="Times New Roman" w:hAnsi="Times New Roman" w:eastAsia="宋体" w:cs="Times New Roman"/>
                <w:b w:val="0"/>
                <w:bCs/>
                <w:i/>
                <w:iCs/>
                <w:caps w:val="0"/>
                <w:color w:val="auto"/>
                <w:sz w:val="24"/>
                <w:szCs w:val="24"/>
                <w:highlight w:val="none"/>
                <w:lang w:val="en-US" w:eastAsia="zh-CN"/>
              </w:rPr>
              <w:t xml:space="preserve">Ψ </w:t>
            </w:r>
            <w:r>
              <w:rPr>
                <w:rFonts w:hint="default" w:ascii="Times New Roman" w:hAnsi="Times New Roman" w:eastAsia="宋体" w:cs="Times New Roman"/>
                <w:b w:val="0"/>
                <w:bCs/>
                <w:i/>
                <w:iCs/>
                <w:caps w:val="0"/>
                <w:color w:val="auto"/>
                <w:sz w:val="24"/>
                <w:szCs w:val="24"/>
                <w:highlight w:val="none"/>
                <w:vertAlign w:val="subscript"/>
                <w:lang w:val="en-US" w:eastAsia="zh-CN"/>
              </w:rPr>
              <w:t>z</w:t>
            </w:r>
            <w:r>
              <w:rPr>
                <w:rFonts w:hint="default" w:ascii="Times New Roman" w:hAnsi="Times New Roman" w:eastAsia="宋体" w:cs="Times New Roman"/>
                <w:b w:val="0"/>
                <w:bCs/>
                <w:caps w:val="0"/>
                <w:color w:val="auto"/>
                <w:sz w:val="24"/>
                <w:szCs w:val="24"/>
                <w:highlight w:val="none"/>
                <w:lang w:val="en-US" w:eastAsia="zh-CN"/>
              </w:rPr>
              <w:t>= ∑</w:t>
            </w:r>
            <w:r>
              <w:rPr>
                <w:rFonts w:hint="default" w:ascii="Times New Roman" w:hAnsi="Times New Roman" w:eastAsia="宋体" w:cs="Times New Roman"/>
                <w:b w:val="0"/>
                <w:bCs/>
                <w:i/>
                <w:iCs/>
                <w:caps w:val="0"/>
                <w:color w:val="auto"/>
                <w:sz w:val="24"/>
                <w:szCs w:val="24"/>
                <w:highlight w:val="none"/>
                <w:lang w:val="en-US" w:eastAsia="zh-CN"/>
              </w:rPr>
              <w:t xml:space="preserve">F </w:t>
            </w:r>
            <w:r>
              <w:rPr>
                <w:rFonts w:hint="default" w:ascii="Times New Roman" w:hAnsi="Times New Roman" w:eastAsia="宋体" w:cs="Times New Roman"/>
                <w:b w:val="0"/>
                <w:bCs/>
                <w:i/>
                <w:iCs/>
                <w:caps w:val="0"/>
                <w:color w:val="auto"/>
                <w:sz w:val="24"/>
                <w:szCs w:val="24"/>
                <w:highlight w:val="none"/>
                <w:vertAlign w:val="subscript"/>
                <w:lang w:val="en-US" w:eastAsia="zh-CN"/>
              </w:rPr>
              <w:t>i</w:t>
            </w:r>
            <w:r>
              <w:rPr>
                <w:rFonts w:hint="default" w:ascii="Times New Roman" w:hAnsi="Times New Roman" w:eastAsia="宋体" w:cs="Times New Roman"/>
                <w:b w:val="0"/>
                <w:bCs/>
                <w:i/>
                <w:iCs/>
                <w:caps w:val="0"/>
                <w:color w:val="auto"/>
                <w:sz w:val="24"/>
                <w:szCs w:val="24"/>
                <w:highlight w:val="none"/>
                <w:lang w:val="en-US" w:eastAsia="zh-CN"/>
              </w:rPr>
              <w:t>Ψ</w:t>
            </w:r>
            <w:r>
              <w:rPr>
                <w:rFonts w:hint="eastAsia" w:ascii="Times New Roman" w:hAnsi="Times New Roman" w:eastAsia="宋体" w:cs="Times New Roman"/>
                <w:b w:val="0"/>
                <w:bCs/>
                <w:i/>
                <w:iCs/>
                <w:caps w:val="0"/>
                <w:color w:val="auto"/>
                <w:sz w:val="24"/>
                <w:szCs w:val="24"/>
                <w:highlight w:val="none"/>
                <w:lang w:val="en-US" w:eastAsia="zh-CN"/>
              </w:rPr>
              <w:t xml:space="preserve"> </w:t>
            </w:r>
            <w:r>
              <w:rPr>
                <w:rFonts w:hint="default" w:ascii="Times New Roman" w:hAnsi="Times New Roman" w:eastAsia="宋体" w:cs="Times New Roman"/>
                <w:b w:val="0"/>
                <w:bCs/>
                <w:i/>
                <w:iCs/>
                <w:caps w:val="0"/>
                <w:color w:val="auto"/>
                <w:sz w:val="24"/>
                <w:szCs w:val="24"/>
                <w:highlight w:val="none"/>
                <w:vertAlign w:val="subscript"/>
                <w:lang w:val="en-US" w:eastAsia="zh-CN"/>
              </w:rPr>
              <w:t>i</w:t>
            </w:r>
            <w:r>
              <w:rPr>
                <w:rFonts w:hint="eastAsia" w:ascii="Times New Roman" w:hAnsi="Times New Roman" w:eastAsia="宋体" w:cs="Times New Roman"/>
                <w:b w:val="0"/>
                <w:bCs/>
                <w:i/>
                <w:iCs/>
                <w:caps w:val="0"/>
                <w:color w:val="auto"/>
                <w:sz w:val="24"/>
                <w:szCs w:val="24"/>
                <w:highlight w:val="none"/>
                <w:vertAlign w:val="subscript"/>
                <w:lang w:val="en-US" w:eastAsia="zh-CN"/>
              </w:rPr>
              <w:t xml:space="preserve"> </w:t>
            </w:r>
            <w:r>
              <w:rPr>
                <w:rFonts w:hint="eastAsia" w:ascii="Times New Roman" w:hAnsi="Times New Roman" w:eastAsia="宋体" w:cs="Times New Roman"/>
                <w:b w:val="0"/>
                <w:bCs/>
                <w:i/>
                <w:iCs/>
                <w:caps w:val="0"/>
                <w:color w:val="auto"/>
                <w:sz w:val="24"/>
                <w:szCs w:val="24"/>
                <w:highlight w:val="none"/>
                <w:vertAlign w:val="baseline"/>
                <w:lang w:val="en-US" w:eastAsia="zh-CN"/>
              </w:rPr>
              <w:t>/F</w:t>
            </w:r>
          </w:p>
          <w:p w14:paraId="6867BC4D">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default" w:ascii="Times New Roman" w:hAnsi="Times New Roman" w:eastAsia="宋体" w:cs="Times New Roman"/>
                <w:b w:val="0"/>
                <w:bCs/>
                <w:caps w:val="0"/>
                <w:color w:val="auto"/>
                <w:sz w:val="24"/>
                <w:szCs w:val="24"/>
                <w:highlight w:val="none"/>
                <w:lang w:val="en-US" w:eastAsia="zh-CN"/>
              </w:rPr>
            </w:pPr>
            <w:r>
              <w:rPr>
                <w:rFonts w:hint="eastAsia" w:ascii="Times New Roman" w:hAnsi="Times New Roman" w:eastAsia="宋体" w:cs="Times New Roman"/>
                <w:b w:val="0"/>
                <w:bCs/>
                <w:caps w:val="0"/>
                <w:color w:val="auto"/>
                <w:sz w:val="24"/>
                <w:szCs w:val="24"/>
                <w:highlight w:val="none"/>
                <w:lang w:val="en-US" w:eastAsia="zh-CN"/>
              </w:rPr>
              <w:t>式中：</w:t>
            </w:r>
          </w:p>
          <w:p w14:paraId="1BE22434">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default" w:ascii="Times New Roman" w:hAnsi="Times New Roman" w:eastAsia="宋体" w:cs="Times New Roman"/>
                <w:b w:val="0"/>
                <w:bCs/>
                <w:caps w:val="0"/>
                <w:color w:val="auto"/>
                <w:sz w:val="24"/>
                <w:szCs w:val="24"/>
                <w:highlight w:val="none"/>
                <w:lang w:val="en-US" w:eastAsia="zh-CN"/>
              </w:rPr>
            </w:pPr>
            <w:r>
              <w:rPr>
                <w:rFonts w:hint="default" w:ascii="Times New Roman" w:hAnsi="Times New Roman" w:eastAsia="宋体" w:cs="Times New Roman"/>
                <w:b w:val="0"/>
                <w:bCs/>
                <w:caps w:val="0"/>
                <w:color w:val="auto"/>
                <w:sz w:val="24"/>
                <w:szCs w:val="24"/>
                <w:highlight w:val="none"/>
                <w:lang w:val="en-US" w:eastAsia="zh-CN"/>
              </w:rPr>
              <w:t>W</w:t>
            </w:r>
            <w:r>
              <w:rPr>
                <w:rFonts w:hint="eastAsia" w:ascii="Times New Roman" w:hAnsi="Times New Roman" w:eastAsia="宋体" w:cs="Times New Roman"/>
                <w:b w:val="0"/>
                <w:bCs/>
                <w:caps w:val="0"/>
                <w:color w:val="auto"/>
                <w:sz w:val="24"/>
                <w:szCs w:val="24"/>
                <w:highlight w:val="none"/>
                <w:lang w:val="en-US" w:eastAsia="zh-CN"/>
              </w:rPr>
              <w:t xml:space="preserve"> </w:t>
            </w:r>
            <w:r>
              <w:rPr>
                <w:rFonts w:hint="default" w:ascii="Times New Roman" w:hAnsi="Times New Roman" w:eastAsia="宋体" w:cs="Times New Roman"/>
                <w:b w:val="0"/>
                <w:bCs/>
                <w:caps w:val="0"/>
                <w:color w:val="auto"/>
                <w:sz w:val="24"/>
                <w:szCs w:val="24"/>
                <w:highlight w:val="none"/>
                <w:lang w:val="en-US" w:eastAsia="zh-CN"/>
              </w:rPr>
              <w:t>—— 设计调蓄容积（m</w:t>
            </w:r>
            <w:r>
              <w:rPr>
                <w:rFonts w:hint="default" w:ascii="Times New Roman" w:hAnsi="Times New Roman" w:eastAsia="宋体" w:cs="Times New Roman"/>
                <w:b w:val="0"/>
                <w:bCs/>
                <w:caps w:val="0"/>
                <w:color w:val="auto"/>
                <w:sz w:val="24"/>
                <w:szCs w:val="24"/>
                <w:highlight w:val="none"/>
                <w:vertAlign w:val="superscript"/>
                <w:lang w:val="en-US" w:eastAsia="zh-CN"/>
              </w:rPr>
              <w:t>3</w:t>
            </w:r>
            <w:r>
              <w:rPr>
                <w:rFonts w:hint="default" w:ascii="Times New Roman" w:hAnsi="Times New Roman" w:eastAsia="宋体" w:cs="Times New Roman"/>
                <w:b w:val="0"/>
                <w:bCs/>
                <w:caps w:val="0"/>
                <w:color w:val="auto"/>
                <w:sz w:val="24"/>
                <w:szCs w:val="24"/>
                <w:highlight w:val="none"/>
                <w:lang w:val="en-US" w:eastAsia="zh-CN"/>
              </w:rPr>
              <w:t>）</w:t>
            </w:r>
          </w:p>
          <w:p w14:paraId="7D9C3870">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default" w:ascii="Times New Roman" w:hAnsi="Times New Roman" w:eastAsia="宋体" w:cs="Times New Roman"/>
                <w:b w:val="0"/>
                <w:bCs/>
                <w:caps w:val="0"/>
                <w:color w:val="auto"/>
                <w:sz w:val="24"/>
                <w:szCs w:val="24"/>
                <w:highlight w:val="none"/>
                <w:lang w:val="en-US" w:eastAsia="zh-CN"/>
              </w:rPr>
            </w:pPr>
            <w:r>
              <w:rPr>
                <w:rFonts w:hint="default" w:ascii="Times New Roman" w:hAnsi="Times New Roman" w:eastAsia="宋体" w:cs="Times New Roman"/>
                <w:b w:val="0"/>
                <w:bCs/>
                <w:caps w:val="0"/>
                <w:color w:val="auto"/>
                <w:sz w:val="24"/>
                <w:szCs w:val="24"/>
                <w:highlight w:val="none"/>
                <w:lang w:val="en-US" w:eastAsia="zh-CN"/>
              </w:rPr>
              <w:t>Ψ</w:t>
            </w:r>
            <w:r>
              <w:rPr>
                <w:rFonts w:hint="default" w:ascii="Times New Roman" w:hAnsi="Times New Roman" w:eastAsia="宋体" w:cs="Times New Roman"/>
                <w:b w:val="0"/>
                <w:bCs/>
                <w:caps w:val="0"/>
                <w:color w:val="auto"/>
                <w:sz w:val="24"/>
                <w:szCs w:val="24"/>
                <w:highlight w:val="none"/>
                <w:vertAlign w:val="subscript"/>
                <w:lang w:val="en-US" w:eastAsia="zh-CN"/>
              </w:rPr>
              <w:t>z</w:t>
            </w:r>
            <w:r>
              <w:rPr>
                <w:rFonts w:hint="eastAsia" w:ascii="Times New Roman" w:hAnsi="Times New Roman" w:eastAsia="宋体" w:cs="Times New Roman"/>
                <w:b w:val="0"/>
                <w:bCs/>
                <w:caps w:val="0"/>
                <w:color w:val="auto"/>
                <w:sz w:val="24"/>
                <w:szCs w:val="24"/>
                <w:highlight w:val="none"/>
                <w:lang w:val="en-US" w:eastAsia="zh-CN"/>
              </w:rPr>
              <w:t xml:space="preserve"> </w:t>
            </w:r>
            <w:r>
              <w:rPr>
                <w:rFonts w:hint="default" w:ascii="Times New Roman" w:hAnsi="Times New Roman" w:eastAsia="宋体" w:cs="Times New Roman"/>
                <w:b w:val="0"/>
                <w:bCs/>
                <w:caps w:val="0"/>
                <w:color w:val="auto"/>
                <w:sz w:val="24"/>
                <w:szCs w:val="24"/>
                <w:highlight w:val="none"/>
                <w:lang w:val="en-US" w:eastAsia="zh-CN"/>
              </w:rPr>
              <w:t>—— 综合径流系数；</w:t>
            </w:r>
          </w:p>
          <w:p w14:paraId="1951CCB1">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default" w:ascii="Times New Roman" w:hAnsi="Times New Roman" w:eastAsia="宋体" w:cs="Times New Roman"/>
                <w:b w:val="0"/>
                <w:bCs/>
                <w:caps w:val="0"/>
                <w:color w:val="auto"/>
                <w:sz w:val="24"/>
                <w:szCs w:val="24"/>
                <w:highlight w:val="none"/>
                <w:lang w:val="en-US" w:eastAsia="zh-CN"/>
              </w:rPr>
            </w:pPr>
            <w:r>
              <w:rPr>
                <w:rFonts w:hint="eastAsia" w:ascii="Times New Roman" w:hAnsi="Times New Roman" w:eastAsia="宋体" w:cs="Times New Roman"/>
                <w:b w:val="0"/>
                <w:bCs/>
                <w:color w:val="auto"/>
                <w:sz w:val="24"/>
                <w:szCs w:val="24"/>
                <w:highlight w:val="none"/>
                <w:lang w:val="en-US" w:eastAsia="zh-CN"/>
              </w:rPr>
              <w:t xml:space="preserve">h </w:t>
            </w:r>
            <w:r>
              <w:rPr>
                <w:rFonts w:hint="default" w:ascii="Times New Roman" w:hAnsi="Times New Roman" w:eastAsia="宋体" w:cs="Times New Roman"/>
                <w:b w:val="0"/>
                <w:bCs/>
                <w:caps w:val="0"/>
                <w:color w:val="auto"/>
                <w:sz w:val="24"/>
                <w:szCs w:val="24"/>
                <w:highlight w:val="none"/>
                <w:lang w:val="en-US" w:eastAsia="zh-CN"/>
              </w:rPr>
              <w:t>—— 设计降雨量，可按照附录 A 根据年径流总量控制率要求选取（mm）；</w:t>
            </w:r>
          </w:p>
          <w:p w14:paraId="4364F529">
            <w:pPr>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Times New Roman"/>
                <w:b w:val="0"/>
                <w:bCs/>
                <w:caps w:val="0"/>
                <w:color w:val="auto"/>
                <w:sz w:val="24"/>
                <w:szCs w:val="24"/>
                <w:highlight w:val="none"/>
                <w:lang w:val="en-US" w:eastAsia="zh-CN"/>
              </w:rPr>
            </w:pPr>
            <w:r>
              <w:rPr>
                <w:rFonts w:hint="default" w:ascii="Times New Roman" w:hAnsi="Times New Roman" w:eastAsia="宋体" w:cs="Times New Roman"/>
                <w:b w:val="0"/>
                <w:bCs/>
                <w:caps w:val="0"/>
                <w:color w:val="auto"/>
                <w:sz w:val="24"/>
                <w:szCs w:val="24"/>
                <w:highlight w:val="none"/>
                <w:lang w:val="en-US" w:eastAsia="zh-CN"/>
              </w:rPr>
              <w:t>F</w:t>
            </w:r>
            <w:r>
              <w:rPr>
                <w:rFonts w:hint="eastAsia" w:cs="Times New Roman"/>
                <w:b w:val="0"/>
                <w:bCs/>
                <w:caps w:val="0"/>
                <w:color w:val="auto"/>
                <w:sz w:val="24"/>
                <w:szCs w:val="24"/>
                <w:highlight w:val="none"/>
                <w:lang w:val="en-US" w:eastAsia="zh-CN"/>
              </w:rPr>
              <w:t xml:space="preserve"> </w:t>
            </w:r>
            <w:r>
              <w:rPr>
                <w:rFonts w:hint="default" w:ascii="Times New Roman" w:hAnsi="Times New Roman" w:eastAsia="宋体" w:cs="Times New Roman"/>
                <w:b w:val="0"/>
                <w:bCs/>
                <w:caps w:val="0"/>
                <w:color w:val="auto"/>
                <w:sz w:val="24"/>
                <w:szCs w:val="24"/>
                <w:highlight w:val="none"/>
                <w:lang w:val="en-US" w:eastAsia="zh-CN"/>
              </w:rPr>
              <w:t>—— 汇水面积（hm</w:t>
            </w:r>
            <w:r>
              <w:rPr>
                <w:rFonts w:hint="default" w:ascii="Times New Roman" w:hAnsi="Times New Roman" w:eastAsia="宋体" w:cs="Times New Roman"/>
                <w:b w:val="0"/>
                <w:bCs/>
                <w:caps w:val="0"/>
                <w:color w:val="auto"/>
                <w:sz w:val="24"/>
                <w:szCs w:val="24"/>
                <w:highlight w:val="none"/>
                <w:vertAlign w:val="superscript"/>
                <w:lang w:val="en-US" w:eastAsia="zh-CN"/>
              </w:rPr>
              <w:t>2</w:t>
            </w:r>
            <w:r>
              <w:rPr>
                <w:rFonts w:hint="default" w:ascii="Times New Roman" w:hAnsi="Times New Roman" w:eastAsia="宋体" w:cs="Times New Roman"/>
                <w:b w:val="0"/>
                <w:bCs/>
                <w:caps w:val="0"/>
                <w:color w:val="auto"/>
                <w:sz w:val="24"/>
                <w:szCs w:val="24"/>
                <w:highlight w:val="none"/>
                <w:lang w:val="en-US" w:eastAsia="zh-CN"/>
              </w:rPr>
              <w:t>）；</w:t>
            </w:r>
          </w:p>
          <w:p w14:paraId="2D601FA7">
            <w:pPr>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Times New Roman"/>
                <w:b w:val="0"/>
                <w:bCs/>
                <w:caps w:val="0"/>
                <w:color w:val="auto"/>
                <w:sz w:val="24"/>
                <w:szCs w:val="24"/>
                <w:highlight w:val="none"/>
                <w:lang w:val="en-US" w:eastAsia="zh-CN"/>
              </w:rPr>
            </w:pPr>
            <w:r>
              <w:rPr>
                <w:rFonts w:hint="default" w:ascii="Times New Roman" w:hAnsi="Times New Roman" w:eastAsia="宋体" w:cs="Times New Roman"/>
                <w:b w:val="0"/>
                <w:bCs/>
                <w:caps w:val="0"/>
                <w:color w:val="auto"/>
                <w:sz w:val="24"/>
                <w:szCs w:val="24"/>
                <w:highlight w:val="none"/>
                <w:lang w:val="en-US" w:eastAsia="zh-CN"/>
              </w:rPr>
              <w:t>F</w:t>
            </w:r>
            <w:r>
              <w:rPr>
                <w:rFonts w:hint="default" w:ascii="Times New Roman" w:hAnsi="Times New Roman" w:eastAsia="宋体" w:cs="Times New Roman"/>
                <w:b w:val="0"/>
                <w:bCs/>
                <w:caps w:val="0"/>
                <w:color w:val="auto"/>
                <w:sz w:val="24"/>
                <w:szCs w:val="24"/>
                <w:highlight w:val="none"/>
                <w:vertAlign w:val="subscript"/>
                <w:lang w:val="en-US" w:eastAsia="zh-CN"/>
              </w:rPr>
              <w:t>i</w:t>
            </w:r>
            <w:r>
              <w:rPr>
                <w:rFonts w:hint="eastAsia" w:cs="Times New Roman"/>
                <w:b w:val="0"/>
                <w:bCs/>
                <w:caps w:val="0"/>
                <w:color w:val="auto"/>
                <w:sz w:val="24"/>
                <w:szCs w:val="24"/>
                <w:highlight w:val="none"/>
                <w:lang w:val="en-US" w:eastAsia="zh-CN"/>
              </w:rPr>
              <w:t xml:space="preserve"> </w:t>
            </w:r>
            <w:r>
              <w:rPr>
                <w:rFonts w:hint="default" w:ascii="Times New Roman" w:hAnsi="Times New Roman" w:eastAsia="宋体" w:cs="Times New Roman"/>
                <w:b w:val="0"/>
                <w:bCs/>
                <w:caps w:val="0"/>
                <w:color w:val="auto"/>
                <w:sz w:val="24"/>
                <w:szCs w:val="24"/>
                <w:highlight w:val="none"/>
                <w:lang w:val="en-US" w:eastAsia="zh-CN"/>
              </w:rPr>
              <w:t>—— 汇水区内第 i 类下垫面的面积（hm</w:t>
            </w:r>
            <w:r>
              <w:rPr>
                <w:rFonts w:hint="default" w:ascii="Times New Roman" w:hAnsi="Times New Roman" w:eastAsia="宋体" w:cs="Times New Roman"/>
                <w:b w:val="0"/>
                <w:bCs/>
                <w:caps w:val="0"/>
                <w:color w:val="auto"/>
                <w:sz w:val="24"/>
                <w:szCs w:val="24"/>
                <w:highlight w:val="none"/>
                <w:vertAlign w:val="superscript"/>
                <w:lang w:val="en-US" w:eastAsia="zh-CN"/>
              </w:rPr>
              <w:t>2</w:t>
            </w:r>
            <w:r>
              <w:rPr>
                <w:rFonts w:hint="default" w:ascii="Times New Roman" w:hAnsi="Times New Roman" w:eastAsia="宋体" w:cs="Times New Roman"/>
                <w:b w:val="0"/>
                <w:bCs/>
                <w:caps w:val="0"/>
                <w:color w:val="auto"/>
                <w:sz w:val="24"/>
                <w:szCs w:val="24"/>
                <w:highlight w:val="none"/>
                <w:lang w:val="en-US" w:eastAsia="zh-CN"/>
              </w:rPr>
              <w:t>）</w:t>
            </w:r>
            <w:r>
              <w:rPr>
                <w:rFonts w:hint="eastAsia" w:cs="Times New Roman"/>
                <w:b w:val="0"/>
                <w:bCs/>
                <w:caps w:val="0"/>
                <w:color w:val="auto"/>
                <w:sz w:val="24"/>
                <w:szCs w:val="24"/>
                <w:highlight w:val="none"/>
                <w:lang w:val="en-US" w:eastAsia="zh-CN"/>
              </w:rPr>
              <w:t>;</w:t>
            </w:r>
          </w:p>
          <w:p w14:paraId="0F7678DB">
            <w:pPr>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Times New Roman"/>
                <w:b w:val="0"/>
                <w:bCs/>
                <w:caps w:val="0"/>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Ψ</w:t>
            </w:r>
            <w:r>
              <w:rPr>
                <w:rFonts w:hint="default" w:ascii="Times New Roman" w:hAnsi="Times New Roman" w:eastAsia="宋体" w:cs="Times New Roman"/>
                <w:b w:val="0"/>
                <w:bCs/>
                <w:caps w:val="0"/>
                <w:color w:val="auto"/>
                <w:sz w:val="24"/>
                <w:szCs w:val="24"/>
                <w:highlight w:val="none"/>
                <w:vertAlign w:val="subscript"/>
                <w:lang w:val="en-US" w:eastAsia="zh-CN"/>
              </w:rPr>
              <w:t>i</w:t>
            </w:r>
            <w:r>
              <w:rPr>
                <w:rFonts w:hint="eastAsia" w:cs="Times New Roman"/>
                <w:b w:val="0"/>
                <w:bCs/>
                <w:caps w:val="0"/>
                <w:color w:val="auto"/>
                <w:sz w:val="24"/>
                <w:szCs w:val="24"/>
                <w:highlight w:val="none"/>
                <w:lang w:val="en-US" w:eastAsia="zh-CN"/>
              </w:rPr>
              <w:t xml:space="preserve"> </w:t>
            </w:r>
            <w:r>
              <w:rPr>
                <w:rFonts w:hint="default" w:ascii="Times New Roman" w:hAnsi="Times New Roman" w:eastAsia="宋体" w:cs="Times New Roman"/>
                <w:b w:val="0"/>
                <w:bCs/>
                <w:caps w:val="0"/>
                <w:color w:val="auto"/>
                <w:sz w:val="24"/>
                <w:szCs w:val="24"/>
                <w:highlight w:val="none"/>
                <w:lang w:val="en-US" w:eastAsia="zh-CN"/>
              </w:rPr>
              <w:t>——</w:t>
            </w:r>
            <w:r>
              <w:rPr>
                <w:rFonts w:hint="eastAsia" w:cs="Times New Roman"/>
                <w:b w:val="0"/>
                <w:bCs/>
                <w:caps w:val="0"/>
                <w:color w:val="auto"/>
                <w:sz w:val="24"/>
                <w:szCs w:val="24"/>
                <w:highlight w:val="none"/>
                <w:lang w:val="en-US" w:eastAsia="zh-CN"/>
              </w:rPr>
              <w:t xml:space="preserve"> </w:t>
            </w:r>
            <w:r>
              <w:rPr>
                <w:rFonts w:hint="default" w:ascii="Times New Roman" w:hAnsi="Times New Roman" w:eastAsia="宋体" w:cs="Times New Roman"/>
                <w:b w:val="0"/>
                <w:bCs/>
                <w:caps w:val="0"/>
                <w:color w:val="auto"/>
                <w:sz w:val="24"/>
                <w:szCs w:val="24"/>
                <w:highlight w:val="none"/>
                <w:lang w:val="en-US" w:eastAsia="zh-CN"/>
              </w:rPr>
              <w:t>第 i 类下垫面的径流系数，宜按表 D.0.1-1 取值。</w:t>
            </w:r>
          </w:p>
          <w:p w14:paraId="603052F9">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default" w:ascii="Times New Roman" w:hAnsi="Times New Roman" w:eastAsia="宋体" w:cs="Times New Roman"/>
                <w:b w:val="0"/>
                <w:bCs/>
                <w:caps w:val="0"/>
                <w:color w:val="auto"/>
                <w:sz w:val="24"/>
                <w:szCs w:val="24"/>
                <w:highlight w:val="none"/>
                <w:lang w:val="en-US" w:eastAsia="zh-CN"/>
              </w:rPr>
            </w:pPr>
            <w:r>
              <w:rPr>
                <w:rFonts w:hint="default" w:ascii="Times New Roman" w:hAnsi="Times New Roman" w:eastAsia="宋体" w:cs="Times New Roman"/>
                <w:b w:val="0"/>
                <w:bCs/>
                <w:caps w:val="0"/>
                <w:color w:val="auto"/>
                <w:sz w:val="24"/>
                <w:szCs w:val="24"/>
                <w:highlight w:val="none"/>
                <w:lang w:val="en-US" w:eastAsia="zh-CN"/>
              </w:rPr>
              <w:t>根据</w:t>
            </w:r>
            <w:r>
              <w:rPr>
                <w:rFonts w:hint="eastAsia" w:ascii="Times New Roman" w:hAnsi="Times New Roman" w:eastAsia="宋体" w:cs="Times New Roman"/>
                <w:b w:val="0"/>
                <w:bCs/>
                <w:caps w:val="0"/>
                <w:color w:val="auto"/>
                <w:sz w:val="24"/>
                <w:szCs w:val="24"/>
                <w:highlight w:val="none"/>
                <w:lang w:val="en-US" w:eastAsia="zh-CN"/>
              </w:rPr>
              <w:t>《山西省工程建设地方标准 海绵城市建设技术标准》（DBJ04/T 344-2025）</w:t>
            </w:r>
            <w:r>
              <w:rPr>
                <w:rFonts w:hint="default" w:ascii="Times New Roman" w:hAnsi="Times New Roman" w:eastAsia="宋体" w:cs="Times New Roman"/>
                <w:b w:val="0"/>
                <w:bCs/>
                <w:caps w:val="0"/>
                <w:color w:val="auto"/>
                <w:sz w:val="24"/>
                <w:szCs w:val="24"/>
                <w:highlight w:val="none"/>
                <w:lang w:val="en-US" w:eastAsia="zh-CN"/>
              </w:rPr>
              <w:t>计算得q=</w:t>
            </w:r>
            <w:r>
              <w:rPr>
                <w:rFonts w:hint="eastAsia" w:ascii="Times New Roman" w:hAnsi="Times New Roman" w:eastAsia="宋体" w:cs="Times New Roman"/>
                <w:b w:val="0"/>
                <w:bCs/>
                <w:caps w:val="0"/>
                <w:color w:val="auto"/>
                <w:sz w:val="24"/>
                <w:szCs w:val="24"/>
                <w:highlight w:val="none"/>
                <w:lang w:val="en-US" w:eastAsia="zh-CN"/>
              </w:rPr>
              <w:t>208.6</w:t>
            </w:r>
            <w:r>
              <w:rPr>
                <w:rFonts w:hint="default" w:ascii="Times New Roman" w:hAnsi="Times New Roman" w:eastAsia="宋体" w:cs="Times New Roman"/>
                <w:b w:val="0"/>
                <w:bCs/>
                <w:caps w:val="0"/>
                <w:color w:val="auto"/>
                <w:sz w:val="24"/>
                <w:szCs w:val="24"/>
                <w:highlight w:val="none"/>
                <w:lang w:val="en-US" w:eastAsia="zh-CN"/>
              </w:rPr>
              <w:t>L/</w:t>
            </w:r>
            <w:r>
              <w:rPr>
                <w:rFonts w:hint="eastAsia" w:ascii="Times New Roman" w:hAnsi="Times New Roman" w:eastAsia="宋体" w:cs="Times New Roman"/>
                <w:b w:val="0"/>
                <w:bCs/>
                <w:caps w:val="0"/>
                <w:color w:val="auto"/>
                <w:sz w:val="24"/>
                <w:szCs w:val="24"/>
                <w:highlight w:val="none"/>
                <w:lang w:val="en-US" w:eastAsia="zh-CN"/>
              </w:rPr>
              <w:t>S</w:t>
            </w:r>
            <w:r>
              <w:rPr>
                <w:rFonts w:hint="default" w:ascii="Times New Roman" w:hAnsi="Times New Roman" w:eastAsia="宋体" w:cs="Times New Roman"/>
                <w:b w:val="0"/>
                <w:bCs/>
                <w:caps w:val="0"/>
                <w:color w:val="auto"/>
                <w:sz w:val="24"/>
                <w:szCs w:val="24"/>
                <w:highlight w:val="none"/>
                <w:lang w:val="en-US" w:eastAsia="zh-CN"/>
              </w:rPr>
              <w:t>·hm</w:t>
            </w:r>
            <w:r>
              <w:rPr>
                <w:rFonts w:hint="default" w:ascii="Times New Roman" w:hAnsi="Times New Roman" w:eastAsia="宋体" w:cs="Times New Roman"/>
                <w:b w:val="0"/>
                <w:bCs/>
                <w:caps w:val="0"/>
                <w:color w:val="auto"/>
                <w:sz w:val="24"/>
                <w:szCs w:val="24"/>
                <w:highlight w:val="none"/>
                <w:vertAlign w:val="superscript"/>
                <w:lang w:val="en-US" w:eastAsia="zh-CN"/>
              </w:rPr>
              <w:t>2</w:t>
            </w:r>
            <w:r>
              <w:rPr>
                <w:rFonts w:hint="default" w:ascii="Times New Roman" w:hAnsi="Times New Roman" w:eastAsia="宋体" w:cs="Times New Roman"/>
                <w:b w:val="0"/>
                <w:bCs/>
                <w:caps w:val="0"/>
                <w:color w:val="auto"/>
                <w:sz w:val="24"/>
                <w:szCs w:val="24"/>
                <w:highlight w:val="none"/>
                <w:lang w:val="en-US" w:eastAsia="zh-CN"/>
              </w:rPr>
              <w:t>，</w:t>
            </w:r>
            <w:r>
              <w:rPr>
                <w:rFonts w:hint="eastAsia" w:ascii="Times New Roman" w:hAnsi="Times New Roman" w:eastAsia="宋体" w:cs="Times New Roman"/>
                <w:b w:val="0"/>
                <w:bCs/>
                <w:caps w:val="0"/>
                <w:color w:val="auto"/>
                <w:sz w:val="24"/>
                <w:szCs w:val="24"/>
                <w:highlight w:val="none"/>
                <w:lang w:val="en-US" w:eastAsia="zh-CN"/>
              </w:rPr>
              <w:t>15</w:t>
            </w:r>
            <w:r>
              <w:rPr>
                <w:rFonts w:hint="default" w:ascii="Times New Roman" w:hAnsi="Times New Roman" w:eastAsia="宋体" w:cs="Times New Roman"/>
                <w:b w:val="0"/>
                <w:bCs/>
                <w:caps w:val="0"/>
                <w:color w:val="auto"/>
                <w:sz w:val="24"/>
                <w:szCs w:val="24"/>
                <w:highlight w:val="none"/>
                <w:lang w:val="en-US" w:eastAsia="zh-CN"/>
              </w:rPr>
              <w:t>min初期雨水约</w:t>
            </w:r>
            <w:r>
              <w:rPr>
                <w:rFonts w:hint="eastAsia" w:ascii="Times New Roman" w:hAnsi="Times New Roman" w:eastAsia="宋体" w:cs="Times New Roman"/>
                <w:b w:val="0"/>
                <w:bCs/>
                <w:caps w:val="0"/>
                <w:color w:val="auto"/>
                <w:sz w:val="24"/>
                <w:szCs w:val="24"/>
                <w:highlight w:val="none"/>
                <w:lang w:val="en-US" w:eastAsia="zh-CN"/>
              </w:rPr>
              <w:t>为260</w:t>
            </w:r>
            <w:r>
              <w:rPr>
                <w:rFonts w:hint="default" w:ascii="Times New Roman" w:hAnsi="Times New Roman" w:eastAsia="宋体" w:cs="Times New Roman"/>
                <w:b w:val="0"/>
                <w:bCs/>
                <w:caps w:val="0"/>
                <w:color w:val="auto"/>
                <w:sz w:val="24"/>
                <w:szCs w:val="24"/>
                <w:highlight w:val="none"/>
                <w:lang w:val="en-US" w:eastAsia="zh-CN"/>
              </w:rPr>
              <w:t>m</w:t>
            </w:r>
            <w:r>
              <w:rPr>
                <w:rFonts w:hint="default" w:ascii="Times New Roman" w:hAnsi="Times New Roman" w:eastAsia="宋体" w:cs="Times New Roman"/>
                <w:b w:val="0"/>
                <w:bCs/>
                <w:caps w:val="0"/>
                <w:color w:val="auto"/>
                <w:sz w:val="24"/>
                <w:szCs w:val="24"/>
                <w:highlight w:val="none"/>
                <w:vertAlign w:val="superscript"/>
                <w:lang w:val="en-US" w:eastAsia="zh-CN"/>
              </w:rPr>
              <w:t>3</w:t>
            </w:r>
            <w:r>
              <w:rPr>
                <w:rFonts w:hint="default" w:ascii="Times New Roman" w:hAnsi="Times New Roman" w:eastAsia="宋体" w:cs="Times New Roman"/>
                <w:b w:val="0"/>
                <w:bCs/>
                <w:caps w:val="0"/>
                <w:color w:val="auto"/>
                <w:sz w:val="24"/>
                <w:szCs w:val="24"/>
                <w:highlight w:val="none"/>
                <w:lang w:val="en-US" w:eastAsia="zh-CN"/>
              </w:rPr>
              <w:t>。</w:t>
            </w:r>
          </w:p>
          <w:p w14:paraId="35E2C865">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ind w:firstLine="480" w:firstLineChars="200"/>
              <w:jc w:val="both"/>
              <w:textAlignment w:val="auto"/>
              <w:rPr>
                <w:rFonts w:hint="default"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val="0"/>
                <w:bCs/>
                <w:caps w:val="0"/>
                <w:color w:val="auto"/>
                <w:sz w:val="24"/>
                <w:szCs w:val="24"/>
                <w:highlight w:val="none"/>
                <w:lang w:val="en-US" w:eastAsia="zh-CN"/>
              </w:rPr>
              <w:t>本项目拟在厂区西南角设置1</w:t>
            </w:r>
            <w:r>
              <w:rPr>
                <w:rFonts w:hint="default" w:ascii="Times New Roman" w:hAnsi="Times New Roman" w:eastAsia="宋体" w:cs="Times New Roman"/>
                <w:b w:val="0"/>
                <w:bCs/>
                <w:caps w:val="0"/>
                <w:color w:val="auto"/>
                <w:sz w:val="24"/>
                <w:szCs w:val="24"/>
                <w:highlight w:val="none"/>
                <w:lang w:val="en-US" w:eastAsia="zh-CN"/>
              </w:rPr>
              <w:t>座</w:t>
            </w:r>
            <w:r>
              <w:rPr>
                <w:rFonts w:hint="eastAsia" w:ascii="Times New Roman" w:hAnsi="Times New Roman" w:eastAsia="宋体" w:cs="Times New Roman"/>
                <w:b w:val="0"/>
                <w:bCs/>
                <w:caps w:val="0"/>
                <w:color w:val="auto"/>
                <w:sz w:val="24"/>
                <w:szCs w:val="24"/>
                <w:highlight w:val="none"/>
                <w:lang w:val="en-US" w:eastAsia="zh-CN"/>
              </w:rPr>
              <w:t>260m</w:t>
            </w:r>
            <w:r>
              <w:rPr>
                <w:rFonts w:hint="eastAsia" w:ascii="Times New Roman" w:hAnsi="Times New Roman" w:eastAsia="宋体" w:cs="Times New Roman"/>
                <w:b w:val="0"/>
                <w:bCs/>
                <w:caps w:val="0"/>
                <w:color w:val="auto"/>
                <w:sz w:val="24"/>
                <w:szCs w:val="24"/>
                <w:highlight w:val="none"/>
                <w:vertAlign w:val="superscript"/>
                <w:lang w:val="en-US" w:eastAsia="zh-CN"/>
              </w:rPr>
              <w:t>3</w:t>
            </w:r>
            <w:r>
              <w:rPr>
                <w:rFonts w:hint="eastAsia" w:ascii="Times New Roman" w:hAnsi="Times New Roman" w:eastAsia="宋体" w:cs="Times New Roman"/>
                <w:b w:val="0"/>
                <w:bCs/>
                <w:caps w:val="0"/>
                <w:color w:val="auto"/>
                <w:sz w:val="24"/>
                <w:szCs w:val="24"/>
                <w:highlight w:val="none"/>
                <w:lang w:val="en-US" w:eastAsia="zh-CN"/>
              </w:rPr>
              <w:t>的初期雨水收集池，本项目将初期雨水收集池设置在厂区地势最低处，可依托地形实现厂区雨水重力自流汇入，满足环境风险防控要求。雨水收集后用于搅拌及厂区道路、硬化地面洒水。</w:t>
            </w:r>
          </w:p>
          <w:p w14:paraId="259AE622">
            <w:pPr>
              <w:pStyle w:val="12"/>
              <w:pageBreakBefore w:val="0"/>
              <w:widowControl w:val="0"/>
              <w:numPr>
                <w:ilvl w:val="2"/>
                <w:numId w:val="0"/>
              </w:numPr>
              <w:kinsoku/>
              <w:wordWrap/>
              <w:overflowPunct/>
              <w:topLinePunct w:val="0"/>
              <w:autoSpaceDE/>
              <w:autoSpaceDN/>
              <w:bidi w:val="0"/>
              <w:adjustRightInd/>
              <w:snapToGrid/>
              <w:spacing w:beforeLines="0" w:afterLines="0" w:line="360" w:lineRule="auto"/>
              <w:ind w:left="0" w:leftChars="0" w:firstLine="480" w:firstLineChars="200"/>
              <w:jc w:val="both"/>
              <w:textAlignment w:val="auto"/>
              <w:rPr>
                <w:rFonts w:hint="default" w:ascii="Times New Roman" w:hAnsi="Times New Roman" w:eastAsia="宋体" w:cs="Times New Roman"/>
                <w:b w:val="0"/>
                <w:bCs w:val="0"/>
                <w:color w:val="auto"/>
                <w:kern w:val="2"/>
                <w:sz w:val="24"/>
                <w:szCs w:val="24"/>
                <w:lang w:val="en-US" w:eastAsia="zh-CN" w:bidi="ar-SA"/>
              </w:rPr>
            </w:pPr>
            <w:r>
              <w:rPr>
                <w:rFonts w:hint="eastAsia" w:cs="Times New Roman"/>
                <w:b w:val="0"/>
                <w:bCs w:val="0"/>
                <w:color w:val="auto"/>
                <w:kern w:val="2"/>
                <w:sz w:val="24"/>
                <w:szCs w:val="24"/>
                <w:lang w:val="en-US" w:eastAsia="zh-CN" w:bidi="ar-SA"/>
              </w:rPr>
              <w:t>4、排入壶关县第二污水处理厂的可行性分析</w:t>
            </w:r>
          </w:p>
          <w:p w14:paraId="26B3490D">
            <w:pPr>
              <w:rPr>
                <w:rFonts w:hint="default" w:ascii="Times New Roman" w:hAnsi="Times New Roman" w:eastAsia="宋体" w:cs="Times New Roman"/>
                <w:b/>
                <w:bCs/>
                <w:color w:val="auto"/>
                <w:kern w:val="2"/>
                <w:sz w:val="24"/>
                <w:szCs w:val="24"/>
                <w:lang w:val="en-US" w:eastAsia="zh-CN" w:bidi="ar-SA"/>
              </w:rPr>
            </w:pPr>
            <w:r>
              <w:rPr>
                <w:rFonts w:hint="default"/>
                <w:color w:val="auto"/>
                <w:highlight w:val="none"/>
                <w:lang w:val="en-US" w:eastAsia="zh-CN"/>
              </w:rPr>
              <w:t>壶关县第二污水处理厂设计处理规模7500m</w:t>
            </w:r>
            <w:r>
              <w:rPr>
                <w:rFonts w:hint="eastAsia"/>
                <w:color w:val="auto"/>
                <w:highlight w:val="none"/>
                <w:vertAlign w:val="superscript"/>
                <w:lang w:val="en-US" w:eastAsia="zh-CN"/>
              </w:rPr>
              <w:t>3</w:t>
            </w:r>
            <w:r>
              <w:rPr>
                <w:rFonts w:hint="default"/>
                <w:color w:val="auto"/>
                <w:highlight w:val="none"/>
                <w:lang w:val="en-US" w:eastAsia="zh-CN"/>
              </w:rPr>
              <w:t>/d，当前实际处理量5000m</w:t>
            </w:r>
            <w:r>
              <w:rPr>
                <w:rFonts w:hint="eastAsia"/>
                <w:color w:val="auto"/>
                <w:highlight w:val="none"/>
                <w:vertAlign w:val="superscript"/>
                <w:lang w:val="en-US" w:eastAsia="zh-CN"/>
              </w:rPr>
              <w:t>3</w:t>
            </w:r>
            <w:r>
              <w:rPr>
                <w:rFonts w:hint="default"/>
                <w:color w:val="auto"/>
                <w:highlight w:val="none"/>
                <w:lang w:val="en-US" w:eastAsia="zh-CN"/>
              </w:rPr>
              <w:t>/d</w:t>
            </w:r>
            <w:r>
              <w:rPr>
                <w:rFonts w:hint="eastAsia"/>
                <w:color w:val="auto"/>
                <w:highlight w:val="none"/>
                <w:lang w:val="en-US" w:eastAsia="zh-CN"/>
              </w:rPr>
              <w:t>，</w:t>
            </w:r>
            <w:r>
              <w:rPr>
                <w:rFonts w:hint="default"/>
                <w:color w:val="auto"/>
                <w:highlight w:val="none"/>
                <w:lang w:val="en-US" w:eastAsia="zh-CN"/>
              </w:rPr>
              <w:t>采用“格栅+调节池+A</w:t>
            </w:r>
            <w:r>
              <w:rPr>
                <w:rFonts w:hint="eastAsia"/>
                <w:color w:val="auto"/>
                <w:highlight w:val="none"/>
                <w:vertAlign w:val="superscript"/>
                <w:lang w:val="en-US" w:eastAsia="zh-CN"/>
              </w:rPr>
              <w:t>2</w:t>
            </w:r>
            <w:r>
              <w:rPr>
                <w:rFonts w:hint="default"/>
                <w:color w:val="auto"/>
                <w:highlight w:val="none"/>
                <w:lang w:val="en-US" w:eastAsia="zh-CN"/>
              </w:rPr>
              <w:t>/O+A/O+MBR膜+消毒”成熟工艺，出水可稳定达到《山西省污水综合排放标准》（DB14/1928-2019）地表水Ⅴ类（COD、氨氮、总磷）及《城镇污水处理厂污染物排放标准》（GB18918-2002）一级A标准要求。本项目废水排放量</w:t>
            </w:r>
            <w:r>
              <w:rPr>
                <w:rFonts w:hint="eastAsia"/>
                <w:color w:val="auto"/>
                <w:highlight w:val="none"/>
                <w:lang w:val="en-US" w:eastAsia="zh-CN"/>
              </w:rPr>
              <w:t>1.68</w:t>
            </w:r>
            <w:r>
              <w:rPr>
                <w:rFonts w:hint="default"/>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vertAlign w:val="baseline"/>
                <w:lang w:val="en-US" w:eastAsia="zh-CN"/>
              </w:rPr>
              <w:t>/d</w:t>
            </w:r>
            <w:r>
              <w:rPr>
                <w:rFonts w:hint="default"/>
                <w:color w:val="auto"/>
                <w:highlight w:val="none"/>
                <w:lang w:val="en-US" w:eastAsia="zh-CN"/>
              </w:rPr>
              <w:t>，占污水处理厂</w:t>
            </w:r>
            <w:r>
              <w:rPr>
                <w:rFonts w:hint="eastAsia"/>
                <w:color w:val="auto"/>
                <w:highlight w:val="none"/>
                <w:lang w:val="en-US" w:eastAsia="zh-CN"/>
              </w:rPr>
              <w:t>剩余</w:t>
            </w:r>
            <w:r>
              <w:rPr>
                <w:rFonts w:hint="default"/>
                <w:color w:val="auto"/>
                <w:highlight w:val="none"/>
                <w:lang w:val="en-US" w:eastAsia="zh-CN"/>
              </w:rPr>
              <w:t>规模的</w:t>
            </w:r>
            <w:r>
              <w:rPr>
                <w:rFonts w:hint="eastAsia"/>
                <w:color w:val="auto"/>
                <w:highlight w:val="none"/>
                <w:lang w:val="en-US" w:eastAsia="zh-CN"/>
              </w:rPr>
              <w:t>0.067</w:t>
            </w:r>
            <w:r>
              <w:rPr>
                <w:rFonts w:hint="default"/>
                <w:color w:val="auto"/>
                <w:highlight w:val="none"/>
                <w:lang w:val="en-US" w:eastAsia="zh-CN"/>
              </w:rPr>
              <w:t>%，接纳余量充足；区域污水管网已覆盖项目选址，废水可顺利接入</w:t>
            </w:r>
            <w:r>
              <w:rPr>
                <w:rFonts w:hint="eastAsia"/>
                <w:color w:val="auto"/>
                <w:highlight w:val="none"/>
                <w:lang w:val="en-US" w:eastAsia="zh-CN"/>
              </w:rPr>
              <w:t>市政污水管网</w:t>
            </w:r>
            <w:r>
              <w:rPr>
                <w:rFonts w:hint="default"/>
                <w:color w:val="auto"/>
                <w:highlight w:val="none"/>
                <w:lang w:val="en-US" w:eastAsia="zh-CN"/>
              </w:rPr>
              <w:t>，污水排放可行。</w:t>
            </w:r>
          </w:p>
          <w:p w14:paraId="23A1E198">
            <w:pPr>
              <w:pStyle w:val="12"/>
              <w:pageBreakBefore w:val="0"/>
              <w:widowControl w:val="0"/>
              <w:numPr>
                <w:ilvl w:val="2"/>
                <w:numId w:val="0"/>
              </w:numPr>
              <w:kinsoku/>
              <w:wordWrap/>
              <w:overflowPunct/>
              <w:topLinePunct w:val="0"/>
              <w:autoSpaceDE/>
              <w:autoSpaceDN/>
              <w:bidi w:val="0"/>
              <w:adjustRightInd/>
              <w:snapToGrid/>
              <w:spacing w:beforeLines="0" w:afterLines="0" w:line="360" w:lineRule="auto"/>
              <w:ind w:left="0" w:leftChars="0" w:firstLine="482" w:firstLineChars="200"/>
              <w:jc w:val="both"/>
              <w:textAlignment w:val="auto"/>
              <w:rPr>
                <w:rFonts w:hint="eastAsia"/>
                <w:color w:val="auto"/>
                <w:highlight w:val="none"/>
                <w:lang w:eastAsia="zh-CN"/>
              </w:rPr>
            </w:pPr>
            <w:r>
              <w:rPr>
                <w:rFonts w:hint="default" w:ascii="Times New Roman" w:hAnsi="Times New Roman" w:eastAsia="宋体" w:cs="Times New Roman"/>
                <w:b/>
                <w:bCs/>
                <w:color w:val="auto"/>
                <w:kern w:val="2"/>
                <w:sz w:val="24"/>
                <w:szCs w:val="24"/>
                <w:lang w:val="en-US" w:eastAsia="zh-CN" w:bidi="ar-SA"/>
              </w:rPr>
              <w:t>2.7.2</w:t>
            </w:r>
            <w:r>
              <w:rPr>
                <w:rFonts w:hint="eastAsia"/>
                <w:color w:val="auto"/>
                <w:highlight w:val="none"/>
                <w:lang w:eastAsia="zh-CN"/>
              </w:rPr>
              <w:t>供</w:t>
            </w:r>
            <w:bookmarkEnd w:id="22"/>
            <w:r>
              <w:rPr>
                <w:rFonts w:hint="eastAsia"/>
                <w:color w:val="auto"/>
                <w:highlight w:val="none"/>
                <w:lang w:val="en-US" w:eastAsia="zh-CN"/>
              </w:rPr>
              <w:t>暖</w:t>
            </w:r>
          </w:p>
          <w:p w14:paraId="29D80280">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highlight w:val="none"/>
                <w:lang w:val="en-US" w:eastAsia="zh-CN"/>
              </w:rPr>
            </w:pPr>
            <w:r>
              <w:rPr>
                <w:rFonts w:hint="eastAsia"/>
                <w:color w:val="auto"/>
                <w:highlight w:val="none"/>
                <w:lang w:val="en-US" w:eastAsia="zh-CN"/>
              </w:rPr>
              <w:t>本项目生产区不进行供暖，生活区采用空气能进行供暖。</w:t>
            </w:r>
          </w:p>
          <w:p w14:paraId="7C92AB5E">
            <w:pPr>
              <w:pStyle w:val="12"/>
              <w:pageBreakBefore w:val="0"/>
              <w:widowControl w:val="0"/>
              <w:numPr>
                <w:ilvl w:val="2"/>
                <w:numId w:val="0"/>
              </w:numPr>
              <w:kinsoku/>
              <w:wordWrap/>
              <w:overflowPunct/>
              <w:topLinePunct w:val="0"/>
              <w:autoSpaceDE/>
              <w:autoSpaceDN/>
              <w:bidi w:val="0"/>
              <w:adjustRightInd/>
              <w:snapToGrid/>
              <w:spacing w:beforeLines="0" w:afterLines="0" w:line="360" w:lineRule="auto"/>
              <w:ind w:left="0" w:leftChars="0" w:firstLine="482" w:firstLineChars="200"/>
              <w:jc w:val="both"/>
              <w:textAlignment w:val="auto"/>
              <w:rPr>
                <w:rFonts w:hint="eastAsia"/>
                <w:color w:val="auto"/>
                <w:highlight w:val="none"/>
                <w:lang w:val="en-US" w:eastAsia="zh-CN"/>
              </w:rPr>
            </w:pPr>
            <w:r>
              <w:rPr>
                <w:rFonts w:hint="default" w:ascii="Times New Roman" w:hAnsi="Times New Roman" w:eastAsia="宋体" w:cs="Times New Roman"/>
                <w:b/>
                <w:bCs/>
                <w:color w:val="auto"/>
                <w:kern w:val="2"/>
                <w:sz w:val="24"/>
                <w:szCs w:val="24"/>
                <w:lang w:val="en-US" w:eastAsia="zh-CN" w:bidi="ar-SA"/>
              </w:rPr>
              <w:t>2.7.3</w:t>
            </w:r>
            <w:r>
              <w:rPr>
                <w:rFonts w:hint="eastAsia"/>
                <w:color w:val="auto"/>
                <w:highlight w:val="none"/>
                <w:lang w:val="en-US" w:eastAsia="zh-CN"/>
              </w:rPr>
              <w:t>供电</w:t>
            </w:r>
          </w:p>
          <w:p w14:paraId="5F8B567E">
            <w:pPr>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olor w:val="auto"/>
                <w:highlight w:val="none"/>
                <w:lang w:val="en-US" w:eastAsia="zh-CN"/>
              </w:rPr>
            </w:pPr>
            <w:r>
              <w:rPr>
                <w:rFonts w:hint="default"/>
                <w:color w:val="auto"/>
                <w:highlight w:val="none"/>
                <w:lang w:val="en-US" w:eastAsia="zh-CN"/>
              </w:rPr>
              <w:t>由市政电网接入</w:t>
            </w:r>
            <w:r>
              <w:rPr>
                <w:rFonts w:hint="eastAsia"/>
                <w:color w:val="auto"/>
                <w:highlight w:val="none"/>
                <w:lang w:val="en-US" w:eastAsia="zh-CN"/>
              </w:rPr>
              <w:t>。</w:t>
            </w:r>
          </w:p>
        </w:tc>
      </w:tr>
      <w:tr w14:paraId="3EF22E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91" w:hRule="atLeast"/>
          <w:jc w:val="center"/>
        </w:trPr>
        <w:tc>
          <w:tcPr>
            <w:tcW w:w="382" w:type="dxa"/>
            <w:vAlign w:val="center"/>
          </w:tcPr>
          <w:p w14:paraId="25AF103A">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eastAsia="zh-CN"/>
              </w:rPr>
            </w:pPr>
            <w:r>
              <w:rPr>
                <w:rFonts w:hint="eastAsia"/>
                <w:color w:val="auto"/>
                <w:highlight w:val="none"/>
                <w:lang w:eastAsia="zh-CN"/>
              </w:rPr>
              <w:t>工艺流程和产排污环节</w:t>
            </w:r>
          </w:p>
        </w:tc>
        <w:tc>
          <w:tcPr>
            <w:tcW w:w="9128" w:type="dxa"/>
            <w:vAlign w:val="center"/>
          </w:tcPr>
          <w:p w14:paraId="1966E4F1">
            <w:pPr>
              <w:pStyle w:val="11"/>
              <w:keepNext w:val="0"/>
              <w:keepLines w:val="0"/>
              <w:pageBreakBefore w:val="0"/>
              <w:widowControl w:val="0"/>
              <w:numPr>
                <w:ilvl w:val="1"/>
                <w:numId w:val="0"/>
              </w:numPr>
              <w:kinsoku/>
              <w:wordWrap/>
              <w:overflowPunct/>
              <w:topLinePunct w:val="0"/>
              <w:autoSpaceDE/>
              <w:autoSpaceDN/>
              <w:bidi w:val="0"/>
              <w:adjustRightInd/>
              <w:snapToGrid/>
              <w:ind w:firstLine="482" w:firstLineChars="200"/>
              <w:textAlignment w:val="auto"/>
              <w:rPr>
                <w:rFonts w:hint="default"/>
                <w:color w:val="auto"/>
                <w:highlight w:val="none"/>
                <w:lang w:val="en-US" w:eastAsia="zh-CN"/>
              </w:rPr>
            </w:pPr>
            <w:bookmarkStart w:id="23" w:name="_Ref6845"/>
            <w:r>
              <w:rPr>
                <w:rFonts w:hint="default" w:ascii="Times New Roman" w:hAnsi="Times New Roman" w:eastAsia="宋体" w:cs="宋体"/>
                <w:b/>
                <w:bCs/>
                <w:color w:val="auto"/>
                <w:kern w:val="2"/>
                <w:sz w:val="24"/>
                <w:szCs w:val="24"/>
                <w:lang w:val="en-US" w:eastAsia="zh-CN" w:bidi="ar-SA"/>
              </w:rPr>
              <w:t>2.8</w:t>
            </w:r>
            <w:r>
              <w:rPr>
                <w:rFonts w:hint="default"/>
                <w:color w:val="auto"/>
                <w:highlight w:val="none"/>
                <w:lang w:val="en-US" w:eastAsia="zh-CN"/>
              </w:rPr>
              <w:t>生产工艺流程和产排污环节</w:t>
            </w:r>
            <w:bookmarkEnd w:id="23"/>
          </w:p>
          <w:p w14:paraId="7B72CC4B">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color w:val="auto"/>
                <w:lang w:val="en-US" w:eastAsia="zh-CN"/>
              </w:rPr>
            </w:pPr>
            <w:bookmarkStart w:id="24" w:name="_Ref18844"/>
            <w:r>
              <w:rPr>
                <w:rFonts w:hint="default" w:ascii="Times New Roman" w:hAnsi="Times New Roman" w:eastAsia="宋体" w:cs="宋体"/>
                <w:b/>
                <w:bCs/>
                <w:color w:val="auto"/>
                <w:kern w:val="2"/>
                <w:sz w:val="24"/>
                <w:szCs w:val="24"/>
                <w:lang w:val="en-US" w:eastAsia="zh-CN" w:bidi="ar-SA"/>
              </w:rPr>
              <w:t>1、</w:t>
            </w:r>
            <w:r>
              <w:rPr>
                <w:rFonts w:hint="eastAsia"/>
                <w:b/>
                <w:bCs/>
                <w:color w:val="auto"/>
                <w:highlight w:val="none"/>
                <w:lang w:val="en-US" w:eastAsia="zh-CN"/>
              </w:rPr>
              <w:t>工艺流程简述</w:t>
            </w:r>
            <w:bookmarkEnd w:id="24"/>
          </w:p>
          <w:p w14:paraId="04D8B2C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（1）水洗砂</w:t>
            </w:r>
          </w:p>
          <w:p w14:paraId="7727767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项目外购石子，由汽车运至密闭原料库，密闭储存于原料库，等待进行下一步加工。</w:t>
            </w:r>
          </w:p>
          <w:p w14:paraId="668D6DA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上料时采用铲车将石子铲入上料口，经底部密闭皮带输送机输送至洗砂生产线，采用双螺旋洗砂机、轮式洗砂机串联水洗工艺，洗砂机水洗作业产生的含细砂溢流废水统一汇入配套细砂回收装置，经渣浆泵加压输送至水力旋流器进行离心分级浓缩，重质细砂经旋流器底流口排出至配套振动脱水单元脱水回收，回收细砂全部并入成品砂物料系统；清洗后的砂石进入脱水筛进一步脱水后，由全封闭输送机送成品堆场（脱水后水洗砂含水率为10%-15%），经晾干后用于水稳料、湿拌砂浆、装配式房、预制构件使用，剩余部分外售，晾干后水洗砂的含水率为5%，</w:t>
            </w:r>
            <w:r>
              <w:rPr>
                <w:rFonts w:ascii="宋体" w:hAnsi="宋体" w:eastAsia="宋体" w:cs="宋体"/>
                <w:color w:val="auto"/>
                <w:sz w:val="24"/>
                <w:szCs w:val="24"/>
              </w:rPr>
              <w:t>水洗砂成品堆放区产生的</w:t>
            </w:r>
            <w:r>
              <w:rPr>
                <w:rFonts w:hint="eastAsia" w:ascii="宋体" w:hAnsi="宋体" w:eastAsia="宋体" w:cs="宋体"/>
                <w:color w:val="auto"/>
                <w:sz w:val="24"/>
                <w:szCs w:val="24"/>
                <w:lang w:val="en-US" w:eastAsia="zh-CN"/>
              </w:rPr>
              <w:t>淋控水</w:t>
            </w:r>
            <w:r>
              <w:rPr>
                <w:rFonts w:ascii="宋体" w:hAnsi="宋体" w:eastAsia="宋体" w:cs="宋体"/>
                <w:color w:val="auto"/>
                <w:sz w:val="24"/>
                <w:szCs w:val="24"/>
              </w:rPr>
              <w:t>，经沿堆场设置的防渗导流沟渠收集，自流进入</w:t>
            </w:r>
            <w:r>
              <w:rPr>
                <w:rFonts w:hint="eastAsia" w:ascii="宋体" w:hAnsi="宋体" w:eastAsia="宋体" w:cs="宋体"/>
                <w:color w:val="auto"/>
                <w:sz w:val="24"/>
                <w:szCs w:val="24"/>
                <w:lang w:val="en-US" w:eastAsia="zh-CN"/>
              </w:rPr>
              <w:t>集水罐</w:t>
            </w:r>
            <w:r>
              <w:rPr>
                <w:rFonts w:ascii="宋体" w:hAnsi="宋体" w:eastAsia="宋体" w:cs="宋体"/>
                <w:color w:val="auto"/>
                <w:sz w:val="24"/>
                <w:szCs w:val="24"/>
              </w:rPr>
              <w:t>处理回用</w:t>
            </w:r>
            <w:r>
              <w:rPr>
                <w:rFonts w:hint="eastAsia"/>
                <w:color w:val="auto"/>
                <w:highlight w:val="none"/>
                <w:lang w:val="en-US" w:eastAsia="zh-CN"/>
              </w:rPr>
              <w:t>。</w:t>
            </w:r>
          </w:p>
          <w:p w14:paraId="59F9141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color w:val="auto"/>
                <w:highlight w:val="none"/>
                <w:lang w:val="en-US" w:eastAsia="zh-CN"/>
              </w:rPr>
            </w:pPr>
            <w:r>
              <w:rPr>
                <w:rFonts w:hint="eastAsia"/>
                <w:color w:val="auto"/>
                <w:highlight w:val="none"/>
                <w:lang w:val="en-US" w:eastAsia="zh-CN"/>
              </w:rPr>
              <w:t>洗砂废水经集水罐沉淀处理后，上清液泵入清水罐回用于洗砂机洗砂，污泥泵入污泥罐，经隔膜厢式板框压滤机压滤后废水回用于洗砂机洗砂。压滤后的泥饼不进行贮存，立即运至壶关县鑫融建材有限公司用于生产。</w:t>
            </w:r>
          </w:p>
          <w:p w14:paraId="695423B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（2）水稳料</w:t>
            </w:r>
          </w:p>
          <w:p w14:paraId="45FCA1E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项目外购石子，由汽车运至密闭原料库；上料时由铲车运至上料口，下方设置有配料秤对骨料按照配比称量，通过密闭皮带输送机送至搅拌机。</w:t>
            </w:r>
          </w:p>
          <w:p w14:paraId="4C03C00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水洗砂上料时由铲车运至上料口，下方设置有配料秤对骨料按照配比称量，通过密闭皮带输送机送至搅拌机。</w:t>
            </w:r>
          </w:p>
          <w:p w14:paraId="2D583B9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外购粉料（水泥）由密闭罐车运至厂区后，气力输送至密闭料仓储存；上料时，料仓下方蝶阀开启，水泥计量后由输送机送至搅拌机内。配料水计量后管道输送至搅拌机内。</w:t>
            </w:r>
          </w:p>
          <w:p w14:paraId="3EE870E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水稳料生产线搅拌机置于封闭车间内，计量后的石子、水泥、水洗砂、水进入搅拌机内混合搅拌成水稳混合料，混合搅拌好的水稳料通过密闭皮带输送至成品区，根据订单由车辆运至建筑工地。</w:t>
            </w:r>
          </w:p>
          <w:p w14:paraId="40D9087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（3）湿拌砂浆</w:t>
            </w:r>
          </w:p>
          <w:p w14:paraId="0E55142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本项目水洗砂生产线产生的水洗砂由铲车运至上料口，上料口下方设置有配料秤对骨料按照配比称量，之后由密闭皮带输送机送至搅拌机。</w:t>
            </w:r>
          </w:p>
          <w:p w14:paraId="6441606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外购粉料（水泥、粉煤灰）由密闭罐车运至厂区后，通过气力输送至密闭料仓暂存；上料时，料仓下方蝶阀开启，水泥、粉煤灰计量后由输送机送至搅拌机内。添加剂用量较少，通过人工进行投料，配料水计量后管道输送至搅拌机内。</w:t>
            </w:r>
          </w:p>
          <w:p w14:paraId="23762FD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湿拌砂浆生产线搅拌机置于封闭车间内，计量后的水洗砂、水泥、粉煤灰、水进入搅拌机内混合搅拌成湿拌砂浆，搅拌系统下料的湿拌砂浆直接装入罐车外运，不存储。</w:t>
            </w:r>
          </w:p>
          <w:p w14:paraId="2D854CC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（4）装配式房、预制构件</w:t>
            </w:r>
          </w:p>
          <w:p w14:paraId="72D1BB8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生产前首先对模具内侧进行清扫，以去除模具内侧残存的混凝土渣；人工在模具内侧刷一层脱模剂。脱模剂起到隔离模具与混凝土的作用，使混凝土构件易拆模并减少构件表面气泡及表面缺陷的产生，使构件表面光滑平整。</w:t>
            </w:r>
          </w:p>
          <w:p w14:paraId="526EE58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外购钢筋汽车运输进厂，根据生产需求经剪切、折弯、绑扎后加工成预埋件（钢筋笼、钢筋网等），此过程会产生钢筋边角料及焊接烟尘、噪声。</w:t>
            </w:r>
          </w:p>
          <w:p w14:paraId="6048676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将加工好的钢筋笼、钢筋网按要求安装在模具内相应位置。</w:t>
            </w:r>
          </w:p>
          <w:p w14:paraId="4C1AF89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外购石子等由车辆运输进厂，在密闭原料库内堆放。进料时，利用铲车将石子、水洗砂等送入上料口中，称重计量后的砂石物料通过密闭皮带输送进入搅拌机。卸料及进料过程中均有粉尘产生。</w:t>
            </w:r>
          </w:p>
          <w:p w14:paraId="2861052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水泥、粉煤灰均由密闭罐车运输进厂，经气泵打入料仓。料仓底部设有计量装置，粉料经定量称重后，通过输送机送入搅拌机中。</w:t>
            </w:r>
          </w:p>
          <w:p w14:paraId="61BB009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搅拌用水采用压力供水，暂存于水计量罐内，经管道定量输送至搅拌机。</w:t>
            </w:r>
          </w:p>
          <w:p w14:paraId="41A0F18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按比例调配好的各种物料根据不同方式输送至搅拌机，经混合搅拌制得混凝土。</w:t>
            </w:r>
          </w:p>
          <w:p w14:paraId="503AA9A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在装配式房内将混凝土定量浇筑至模具内，混凝土浇筑成型后，对其表面进行抹光作业，使其表面光滑，多余的混凝土返回循环使用。</w:t>
            </w:r>
          </w:p>
          <w:p w14:paraId="49DBCD5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混凝土构件脱模后，表面覆盖土工布、保温棉被、草帘，专人定时洒水保持长期湿润；放于装配式房（预制构件浇筑车间）常温静置养护，依靠自然温湿度硬化。经检验合格存放于成品区。预制构件采用脱模后的模具返回模具组装工序循环使用。</w:t>
            </w:r>
          </w:p>
          <w:p w14:paraId="53D6831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p>
          <w:p w14:paraId="766A6A02">
            <w:pPr>
              <w:pStyle w:val="34"/>
              <w:keepNext w:val="0"/>
              <w:keepLines w:val="0"/>
              <w:pageBreakBefore w:val="0"/>
              <w:widowControl/>
              <w:kinsoku/>
              <w:wordWrap/>
              <w:overflowPunct/>
              <w:topLinePunct w:val="0"/>
              <w:autoSpaceDE/>
              <w:autoSpaceDN/>
              <w:bidi w:val="0"/>
              <w:adjustRightInd/>
              <w:snapToGrid/>
              <w:jc w:val="center"/>
              <w:textAlignment w:val="auto"/>
              <w:rPr>
                <w:rFonts w:hint="eastAsia"/>
                <w:color w:val="auto"/>
                <w:highlight w:val="none"/>
                <w:lang w:val="en-US" w:eastAsia="zh-CN"/>
              </w:rPr>
            </w:pPr>
            <w:r>
              <w:rPr>
                <w:rFonts w:hint="eastAsia"/>
                <w:color w:val="auto"/>
                <w:highlight w:val="none"/>
                <w:lang w:val="en-US" w:eastAsia="zh-CN"/>
              </w:rPr>
              <w:drawing>
                <wp:inline distT="0" distB="0" distL="114300" distR="114300">
                  <wp:extent cx="4820920" cy="4500245"/>
                  <wp:effectExtent l="0" t="0" r="17780" b="14605"/>
                  <wp:docPr id="130" name="图片 130" descr="水洗砂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水洗砂_01"/>
                          <pic:cNvPicPr>
                            <a:picLocks noChangeAspect="1"/>
                          </pic:cNvPicPr>
                        </pic:nvPicPr>
                        <pic:blipFill>
                          <a:blip r:embed="rId14"/>
                          <a:stretch>
                            <a:fillRect/>
                          </a:stretch>
                        </pic:blipFill>
                        <pic:spPr>
                          <a:xfrm>
                            <a:off x="0" y="0"/>
                            <a:ext cx="4820920" cy="4500245"/>
                          </a:xfrm>
                          <a:prstGeom prst="rect">
                            <a:avLst/>
                          </a:prstGeom>
                        </pic:spPr>
                      </pic:pic>
                    </a:graphicData>
                  </a:graphic>
                </wp:inline>
              </w:drawing>
            </w:r>
          </w:p>
          <w:p w14:paraId="0C8AD237">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eastAsia"/>
                <w:color w:val="auto"/>
                <w:highlight w:val="none"/>
                <w:lang w:val="en-US" w:eastAsia="zh-CN"/>
              </w:rPr>
            </w:pPr>
            <w:r>
              <w:rPr>
                <w:rFonts w:hint="eastAsia"/>
                <w:color w:val="auto"/>
                <w:highlight w:val="none"/>
                <w:lang w:val="en-US" w:eastAsia="zh-CN"/>
              </w:rPr>
              <w:t>水洗砂工艺流程</w:t>
            </w:r>
            <w:r>
              <w:rPr>
                <w:rFonts w:hint="default"/>
                <w:color w:val="auto"/>
                <w:highlight w:val="none"/>
                <w:lang w:val="en-US" w:eastAsia="zh-CN"/>
              </w:rPr>
              <w:t>及产污节点图</w:t>
            </w:r>
          </w:p>
          <w:p w14:paraId="164DEDE1">
            <w:pPr>
              <w:ind w:left="0" w:leftChars="0" w:firstLine="0" w:firstLineChars="0"/>
              <w:jc w:val="center"/>
              <w:rPr>
                <w:rFonts w:hint="default"/>
                <w:color w:val="auto"/>
                <w:lang w:val="en-US" w:eastAsia="zh-CN"/>
              </w:rPr>
            </w:pPr>
            <w:r>
              <w:rPr>
                <w:rFonts w:hint="default"/>
                <w:color w:val="auto"/>
                <w:lang w:val="en-US" w:eastAsia="zh-CN"/>
              </w:rPr>
              <w:drawing>
                <wp:inline distT="0" distB="0" distL="114300" distR="114300">
                  <wp:extent cx="4720590" cy="3312160"/>
                  <wp:effectExtent l="0" t="0" r="3810" b="2540"/>
                  <wp:docPr id="57" name="图片 57" descr="水稳料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水稳料_01"/>
                          <pic:cNvPicPr>
                            <a:picLocks noChangeAspect="1"/>
                          </pic:cNvPicPr>
                        </pic:nvPicPr>
                        <pic:blipFill>
                          <a:blip r:embed="rId15"/>
                          <a:stretch>
                            <a:fillRect/>
                          </a:stretch>
                        </pic:blipFill>
                        <pic:spPr>
                          <a:xfrm>
                            <a:off x="0" y="0"/>
                            <a:ext cx="4720590" cy="3312160"/>
                          </a:xfrm>
                          <a:prstGeom prst="rect">
                            <a:avLst/>
                          </a:prstGeom>
                        </pic:spPr>
                      </pic:pic>
                    </a:graphicData>
                  </a:graphic>
                </wp:inline>
              </w:drawing>
            </w:r>
          </w:p>
          <w:p w14:paraId="48DA4C67">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eastAsia"/>
                <w:color w:val="auto"/>
                <w:highlight w:val="none"/>
                <w:lang w:val="en-US" w:eastAsia="zh-CN"/>
              </w:rPr>
            </w:pPr>
            <w:r>
              <w:rPr>
                <w:rFonts w:hint="eastAsia"/>
                <w:color w:val="auto"/>
                <w:highlight w:val="none"/>
                <w:lang w:val="en-US" w:eastAsia="zh-CN"/>
              </w:rPr>
              <w:t>水稳料工艺流程</w:t>
            </w:r>
            <w:r>
              <w:rPr>
                <w:rFonts w:hint="default"/>
                <w:color w:val="auto"/>
                <w:highlight w:val="none"/>
                <w:lang w:val="en-US" w:eastAsia="zh-CN"/>
              </w:rPr>
              <w:t>及产污节点图</w:t>
            </w:r>
          </w:p>
          <w:p w14:paraId="6ECF406E">
            <w:pPr>
              <w:pStyle w:val="20"/>
              <w:bidi w:val="0"/>
              <w:ind w:left="0" w:leftChars="0" w:firstLine="0" w:firstLineChars="0"/>
              <w:jc w:val="center"/>
              <w:rPr>
                <w:rFonts w:hint="eastAsia"/>
                <w:color w:val="auto"/>
                <w:highlight w:val="none"/>
                <w:lang w:val="en-US" w:eastAsia="zh-CN"/>
              </w:rPr>
            </w:pPr>
            <w:r>
              <w:rPr>
                <w:rFonts w:hint="eastAsia"/>
                <w:color w:val="auto"/>
                <w:highlight w:val="none"/>
                <w:lang w:val="en-US" w:eastAsia="zh-CN"/>
              </w:rPr>
              <w:drawing>
                <wp:inline distT="0" distB="0" distL="114300" distR="114300">
                  <wp:extent cx="5709920" cy="3330575"/>
                  <wp:effectExtent l="0" t="0" r="5080" b="3175"/>
                  <wp:docPr id="125" name="图片 125" descr="湿拌砂浆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湿拌砂浆_01"/>
                          <pic:cNvPicPr>
                            <a:picLocks noChangeAspect="1"/>
                          </pic:cNvPicPr>
                        </pic:nvPicPr>
                        <pic:blipFill>
                          <a:blip r:embed="rId16"/>
                          <a:stretch>
                            <a:fillRect/>
                          </a:stretch>
                        </pic:blipFill>
                        <pic:spPr>
                          <a:xfrm>
                            <a:off x="0" y="0"/>
                            <a:ext cx="5709920" cy="3330575"/>
                          </a:xfrm>
                          <a:prstGeom prst="rect">
                            <a:avLst/>
                          </a:prstGeom>
                        </pic:spPr>
                      </pic:pic>
                    </a:graphicData>
                  </a:graphic>
                </wp:inline>
              </w:drawing>
            </w:r>
          </w:p>
          <w:p w14:paraId="442254D9">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eastAsia"/>
                <w:color w:val="auto"/>
                <w:highlight w:val="none"/>
                <w:lang w:val="en-US" w:eastAsia="zh-CN"/>
              </w:rPr>
            </w:pPr>
            <w:r>
              <w:rPr>
                <w:rFonts w:hint="eastAsia"/>
                <w:color w:val="auto"/>
                <w:highlight w:val="none"/>
                <w:lang w:val="en-US" w:eastAsia="zh-CN"/>
              </w:rPr>
              <w:t>湿拌砂浆工艺流程</w:t>
            </w:r>
            <w:r>
              <w:rPr>
                <w:rFonts w:hint="default"/>
                <w:color w:val="auto"/>
                <w:highlight w:val="none"/>
                <w:lang w:val="en-US" w:eastAsia="zh-CN"/>
              </w:rPr>
              <w:t>及产污节点图</w:t>
            </w:r>
          </w:p>
          <w:p w14:paraId="3B5932B9">
            <w:pPr>
              <w:pStyle w:val="20"/>
              <w:bidi w:val="0"/>
              <w:ind w:left="0" w:leftChars="0" w:firstLine="0" w:firstLineChars="0"/>
              <w:jc w:val="center"/>
              <w:rPr>
                <w:rFonts w:hint="eastAsia"/>
                <w:color w:val="auto"/>
                <w:highlight w:val="none"/>
                <w:lang w:val="en-US" w:eastAsia="zh-CN"/>
              </w:rPr>
            </w:pPr>
            <w:r>
              <w:rPr>
                <w:rFonts w:hint="eastAsia"/>
                <w:color w:val="auto"/>
                <w:highlight w:val="none"/>
                <w:lang w:val="en-US" w:eastAsia="zh-CN"/>
              </w:rPr>
              <w:drawing>
                <wp:inline distT="0" distB="0" distL="114300" distR="114300">
                  <wp:extent cx="5575300" cy="4093210"/>
                  <wp:effectExtent l="0" t="0" r="6350" b="2540"/>
                  <wp:docPr id="58" name="图片 58" descr="预制构件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预制构件_01"/>
                          <pic:cNvPicPr>
                            <a:picLocks noChangeAspect="1"/>
                          </pic:cNvPicPr>
                        </pic:nvPicPr>
                        <pic:blipFill>
                          <a:blip r:embed="rId17"/>
                          <a:stretch>
                            <a:fillRect/>
                          </a:stretch>
                        </pic:blipFill>
                        <pic:spPr>
                          <a:xfrm>
                            <a:off x="0" y="0"/>
                            <a:ext cx="5575300" cy="4093210"/>
                          </a:xfrm>
                          <a:prstGeom prst="rect">
                            <a:avLst/>
                          </a:prstGeom>
                        </pic:spPr>
                      </pic:pic>
                    </a:graphicData>
                  </a:graphic>
                </wp:inline>
              </w:drawing>
            </w:r>
          </w:p>
          <w:p w14:paraId="6F846919">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eastAsia"/>
                <w:color w:val="auto"/>
                <w:highlight w:val="none"/>
                <w:lang w:val="en-US" w:eastAsia="zh-CN"/>
              </w:rPr>
            </w:pPr>
            <w:r>
              <w:rPr>
                <w:rFonts w:hint="eastAsia"/>
                <w:color w:val="auto"/>
                <w:highlight w:val="none"/>
                <w:lang w:val="en-US" w:eastAsia="zh-CN"/>
              </w:rPr>
              <w:t>预制构件工艺流程</w:t>
            </w:r>
            <w:r>
              <w:rPr>
                <w:rFonts w:hint="default"/>
                <w:color w:val="auto"/>
                <w:highlight w:val="none"/>
                <w:lang w:val="en-US" w:eastAsia="zh-CN"/>
              </w:rPr>
              <w:t>及产污节点图</w:t>
            </w:r>
          </w:p>
          <w:p w14:paraId="3F93CB82">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eastAsia"/>
                <w:color w:val="auto"/>
                <w:highlight w:val="none"/>
                <w:lang w:val="en-US" w:eastAsia="zh-CN"/>
              </w:rPr>
            </w:pPr>
            <w:r>
              <w:rPr>
                <w:rFonts w:hint="eastAsia"/>
                <w:color w:val="auto"/>
                <w:highlight w:val="none"/>
                <w:lang w:val="en-US" w:eastAsia="zh-CN"/>
              </w:rPr>
              <w:t>图2.8-1  运营期</w:t>
            </w:r>
            <w:r>
              <w:rPr>
                <w:rFonts w:hint="default"/>
                <w:color w:val="auto"/>
                <w:highlight w:val="none"/>
                <w:lang w:val="en-US" w:eastAsia="zh-CN"/>
              </w:rPr>
              <w:t>工艺流程及产污节点图</w:t>
            </w:r>
          </w:p>
          <w:p w14:paraId="3BDB87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b/>
                <w:bCs/>
                <w:color w:val="auto"/>
                <w:highlight w:val="none"/>
                <w:lang w:val="en-US" w:eastAsia="zh-CN"/>
              </w:rPr>
            </w:pPr>
            <w:bookmarkStart w:id="25" w:name="_Ref16283"/>
            <w:r>
              <w:rPr>
                <w:rFonts w:hint="default" w:ascii="Times New Roman" w:hAnsi="Times New Roman" w:eastAsia="宋体" w:cs="宋体"/>
                <w:b/>
                <w:bCs/>
                <w:color w:val="auto"/>
                <w:kern w:val="2"/>
                <w:sz w:val="24"/>
                <w:szCs w:val="24"/>
                <w:lang w:val="en-US" w:eastAsia="zh-CN" w:bidi="ar-SA"/>
              </w:rPr>
              <w:t>2、</w:t>
            </w:r>
            <w:r>
              <w:rPr>
                <w:rFonts w:hint="default"/>
                <w:b/>
                <w:bCs/>
                <w:color w:val="auto"/>
                <w:highlight w:val="none"/>
                <w:lang w:val="en-US" w:eastAsia="zh-CN"/>
              </w:rPr>
              <w:t>运营期环境影响因素分析</w:t>
            </w:r>
            <w:bookmarkEnd w:id="25"/>
          </w:p>
          <w:p w14:paraId="5C8A30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highlight w:val="none"/>
                <w:lang w:val="en-US" w:eastAsia="zh-CN"/>
              </w:rPr>
            </w:pPr>
            <w:r>
              <w:rPr>
                <w:rFonts w:hint="eastAsia"/>
                <w:color w:val="auto"/>
                <w:highlight w:val="none"/>
                <w:lang w:val="en-US" w:eastAsia="zh-CN"/>
              </w:rPr>
              <w:t>本项目运营期主要污染工序见</w:t>
            </w:r>
            <w:r>
              <w:rPr>
                <w:rFonts w:hint="eastAsia"/>
                <w:color w:val="auto"/>
                <w:highlight w:val="none"/>
                <w:lang w:val="en-US" w:eastAsia="zh-CN"/>
              </w:rPr>
              <w:fldChar w:fldCharType="begin"/>
            </w:r>
            <w:r>
              <w:rPr>
                <w:color w:val="auto"/>
              </w:rPr>
              <w:instrText xml:space="preserve"> REF _Ref1588 \h  \* MERGEFORMAT</w:instrText>
            </w:r>
            <w:r>
              <w:rPr>
                <w:rFonts w:hint="eastAsia"/>
                <w:color w:val="auto"/>
                <w:highlight w:val="none"/>
                <w:lang w:val="en-US" w:eastAsia="zh-CN"/>
              </w:rPr>
              <w:fldChar w:fldCharType="separate"/>
            </w:r>
            <w:r>
              <w:rPr>
                <w:color w:val="auto"/>
                <w:highlight w:val="none"/>
              </w:rPr>
              <w:t>表</w:t>
            </w:r>
            <w:r>
              <w:rPr>
                <w:color w:val="auto"/>
                <w:highlight w:val="none"/>
              </w:rPr>
              <w:fldChar w:fldCharType="begin"/>
            </w:r>
            <w:r>
              <w:rPr>
                <w:color w:val="auto"/>
                <w:highlight w:val="none"/>
              </w:rPr>
              <w:instrText xml:space="preserve"> STYLEREF 2 \s </w:instrText>
            </w:r>
            <w:r>
              <w:rPr>
                <w:color w:val="auto"/>
                <w:highlight w:val="none"/>
              </w:rPr>
              <w:fldChar w:fldCharType="separate"/>
            </w:r>
            <w:r>
              <w:rPr>
                <w:color w:val="auto"/>
                <w:highlight w:val="none"/>
              </w:rPr>
              <w:t>2.8</w:t>
            </w:r>
            <w:r>
              <w:rPr>
                <w:color w:val="auto"/>
                <w:highlight w:val="none"/>
              </w:rPr>
              <w:fldChar w:fldCharType="end"/>
            </w:r>
            <w:r>
              <w:rPr>
                <w:rFonts w:hint="eastAsia"/>
                <w:color w:val="auto"/>
                <w:highlight w:val="none"/>
                <w:lang w:eastAsia="zh-CN"/>
              </w:rPr>
              <w:t>-</w:t>
            </w:r>
            <w:r>
              <w:rPr>
                <w:color w:val="auto"/>
                <w:highlight w:val="none"/>
              </w:rPr>
              <w:t>1</w:t>
            </w:r>
            <w:r>
              <w:rPr>
                <w:rFonts w:hint="eastAsia"/>
                <w:color w:val="auto"/>
                <w:highlight w:val="none"/>
                <w:lang w:val="en-US" w:eastAsia="zh-CN"/>
              </w:rPr>
              <w:fldChar w:fldCharType="end"/>
            </w:r>
            <w:r>
              <w:rPr>
                <w:rFonts w:hint="eastAsia"/>
                <w:color w:val="auto"/>
                <w:highlight w:val="none"/>
                <w:lang w:val="en-US" w:eastAsia="zh-CN"/>
              </w:rPr>
              <w:t>。</w:t>
            </w:r>
            <w:bookmarkStart w:id="26" w:name="_Ref1588"/>
          </w:p>
          <w:p w14:paraId="0BE7F343">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eastAsia"/>
                <w:color w:val="auto"/>
                <w:highlight w:val="none"/>
                <w:lang w:val="en-US" w:eastAsia="zh-CN"/>
              </w:rPr>
            </w:pPr>
            <w:r>
              <w:rPr>
                <w:color w:val="auto"/>
                <w:highlight w:val="none"/>
              </w:rPr>
              <w:t>表</w:t>
            </w:r>
            <w:r>
              <w:rPr>
                <w:color w:val="auto"/>
                <w:highlight w:val="none"/>
              </w:rPr>
              <w:fldChar w:fldCharType="begin"/>
            </w:r>
            <w:r>
              <w:rPr>
                <w:color w:val="auto"/>
                <w:highlight w:val="none"/>
              </w:rPr>
              <w:instrText xml:space="preserve"> STYLEREF 2 \s </w:instrText>
            </w:r>
            <w:r>
              <w:rPr>
                <w:color w:val="auto"/>
                <w:highlight w:val="none"/>
              </w:rPr>
              <w:fldChar w:fldCharType="separate"/>
            </w:r>
            <w:r>
              <w:rPr>
                <w:color w:val="auto"/>
                <w:highlight w:val="none"/>
              </w:rPr>
              <w:t>2.8</w:t>
            </w:r>
            <w:r>
              <w:rPr>
                <w:color w:val="auto"/>
                <w:highlight w:val="none"/>
              </w:rPr>
              <w:fldChar w:fldCharType="end"/>
            </w:r>
            <w:r>
              <w:rPr>
                <w:rFonts w:hint="eastAsia"/>
                <w:color w:val="auto"/>
                <w:highlight w:val="none"/>
                <w:lang w:eastAsia="zh-CN"/>
              </w:rPr>
              <w:t>-</w:t>
            </w:r>
            <w:r>
              <w:rPr>
                <w:color w:val="auto"/>
                <w:highlight w:val="none"/>
              </w:rPr>
              <w:fldChar w:fldCharType="begin"/>
            </w:r>
            <w:r>
              <w:rPr>
                <w:color w:val="auto"/>
                <w:highlight w:val="none"/>
              </w:rPr>
              <w:instrText xml:space="preserve"> SEQ 表 \* ARABIC \s 2 </w:instrText>
            </w:r>
            <w:r>
              <w:rPr>
                <w:color w:val="auto"/>
                <w:highlight w:val="none"/>
              </w:rPr>
              <w:fldChar w:fldCharType="separate"/>
            </w:r>
            <w:r>
              <w:rPr>
                <w:color w:val="auto"/>
                <w:highlight w:val="none"/>
              </w:rPr>
              <w:t>1</w:t>
            </w:r>
            <w:r>
              <w:rPr>
                <w:color w:val="auto"/>
                <w:highlight w:val="none"/>
              </w:rPr>
              <w:fldChar w:fldCharType="end"/>
            </w:r>
            <w:bookmarkEnd w:id="26"/>
            <w:r>
              <w:rPr>
                <w:rFonts w:hint="eastAsia"/>
                <w:color w:val="auto"/>
                <w:highlight w:val="none"/>
                <w:lang w:val="en-US" w:eastAsia="zh-CN"/>
              </w:rPr>
              <w:t xml:space="preserve">  运营期主要产污环节及产污情况</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2426"/>
              <w:gridCol w:w="2600"/>
              <w:gridCol w:w="2749"/>
            </w:tblGrid>
            <w:tr w14:paraId="7AB2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Align w:val="center"/>
                </w:tcPr>
                <w:p w14:paraId="69B65737">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项目</w:t>
                  </w:r>
                </w:p>
              </w:tc>
              <w:tc>
                <w:tcPr>
                  <w:tcW w:w="2426" w:type="dxa"/>
                  <w:vAlign w:val="center"/>
                </w:tcPr>
                <w:p w14:paraId="70E5EA6F">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产污环节</w:t>
                  </w:r>
                </w:p>
              </w:tc>
              <w:tc>
                <w:tcPr>
                  <w:tcW w:w="2600" w:type="dxa"/>
                  <w:vAlign w:val="center"/>
                </w:tcPr>
                <w:p w14:paraId="54C9631C">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污染物名称</w:t>
                  </w:r>
                </w:p>
              </w:tc>
              <w:tc>
                <w:tcPr>
                  <w:tcW w:w="2749" w:type="dxa"/>
                  <w:vAlign w:val="center"/>
                </w:tcPr>
                <w:p w14:paraId="5D18FA64">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主要污染因子</w:t>
                  </w:r>
                </w:p>
              </w:tc>
            </w:tr>
            <w:tr w14:paraId="3931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restart"/>
                  <w:vAlign w:val="center"/>
                </w:tcPr>
                <w:p w14:paraId="4780080D">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废气</w:t>
                  </w:r>
                </w:p>
              </w:tc>
              <w:tc>
                <w:tcPr>
                  <w:tcW w:w="7775" w:type="dxa"/>
                  <w:gridSpan w:val="3"/>
                  <w:vAlign w:val="center"/>
                </w:tcPr>
                <w:p w14:paraId="1551B4AD">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水洗砂生产线</w:t>
                  </w:r>
                </w:p>
              </w:tc>
            </w:tr>
            <w:tr w14:paraId="533FA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68E6EC12">
                  <w:pPr>
                    <w:pStyle w:val="34"/>
                    <w:bidi w:val="0"/>
                    <w:jc w:val="center"/>
                    <w:rPr>
                      <w:rFonts w:hint="default" w:ascii="Times New Roman" w:hAnsi="Times New Roman" w:eastAsia="宋体"/>
                      <w:color w:val="auto"/>
                      <w:sz w:val="21"/>
                      <w:highlight w:val="none"/>
                      <w:lang w:val="en-US" w:eastAsia="zh-CN"/>
                    </w:rPr>
                  </w:pPr>
                </w:p>
              </w:tc>
              <w:tc>
                <w:tcPr>
                  <w:tcW w:w="2426" w:type="dxa"/>
                  <w:vAlign w:val="center"/>
                </w:tcPr>
                <w:p w14:paraId="2FC7107B">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运输</w:t>
                  </w:r>
                </w:p>
              </w:tc>
              <w:tc>
                <w:tcPr>
                  <w:tcW w:w="2600" w:type="dxa"/>
                  <w:vAlign w:val="center"/>
                </w:tcPr>
                <w:p w14:paraId="25852B5E">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2749" w:type="dxa"/>
                  <w:shd w:val="clear" w:color="auto" w:fill="auto"/>
                  <w:vAlign w:val="center"/>
                </w:tcPr>
                <w:p w14:paraId="56D94B7A">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颗粒物</w:t>
                  </w:r>
                </w:p>
              </w:tc>
            </w:tr>
            <w:tr w14:paraId="402D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3C0C0C93">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7BC7EA5A">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原料装卸</w:t>
                  </w:r>
                </w:p>
              </w:tc>
              <w:tc>
                <w:tcPr>
                  <w:tcW w:w="2600" w:type="dxa"/>
                  <w:vAlign w:val="center"/>
                </w:tcPr>
                <w:p w14:paraId="5430BB37">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2749" w:type="dxa"/>
                  <w:shd w:val="clear" w:color="auto" w:fill="auto"/>
                  <w:vAlign w:val="center"/>
                </w:tcPr>
                <w:p w14:paraId="2B323DA2">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颗粒物</w:t>
                  </w:r>
                </w:p>
              </w:tc>
            </w:tr>
            <w:tr w14:paraId="5760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138501E0">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06A480B0">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上料</w:t>
                  </w:r>
                </w:p>
              </w:tc>
              <w:tc>
                <w:tcPr>
                  <w:tcW w:w="2600" w:type="dxa"/>
                  <w:vAlign w:val="center"/>
                </w:tcPr>
                <w:p w14:paraId="502A8DA8">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2749" w:type="dxa"/>
                  <w:shd w:val="clear" w:color="auto" w:fill="auto"/>
                  <w:vAlign w:val="center"/>
                </w:tcPr>
                <w:p w14:paraId="0D2DE3E6">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r>
            <w:tr w14:paraId="5F0A3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0DAA9BAE">
                  <w:pPr>
                    <w:pStyle w:val="34"/>
                    <w:bidi w:val="0"/>
                    <w:jc w:val="center"/>
                    <w:rPr>
                      <w:rFonts w:hint="eastAsia" w:ascii="Times New Roman" w:hAnsi="Times New Roman" w:eastAsia="宋体"/>
                      <w:color w:val="auto"/>
                      <w:sz w:val="21"/>
                      <w:highlight w:val="none"/>
                      <w:lang w:val="en-US" w:eastAsia="zh-CN"/>
                    </w:rPr>
                  </w:pPr>
                </w:p>
              </w:tc>
              <w:tc>
                <w:tcPr>
                  <w:tcW w:w="7775" w:type="dxa"/>
                  <w:gridSpan w:val="3"/>
                  <w:vAlign w:val="center"/>
                </w:tcPr>
                <w:p w14:paraId="1267A544">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水稳料生产线</w:t>
                  </w:r>
                </w:p>
              </w:tc>
            </w:tr>
            <w:tr w14:paraId="3813B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32726280">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74BCC310">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运输</w:t>
                  </w:r>
                </w:p>
              </w:tc>
              <w:tc>
                <w:tcPr>
                  <w:tcW w:w="2600" w:type="dxa"/>
                  <w:vAlign w:val="center"/>
                </w:tcPr>
                <w:p w14:paraId="38C86BD0">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2749" w:type="dxa"/>
                  <w:shd w:val="clear" w:color="auto" w:fill="auto"/>
                  <w:vAlign w:val="center"/>
                </w:tcPr>
                <w:p w14:paraId="4F1D249C">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r>
            <w:tr w14:paraId="4AB5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3611732F">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6063E04E">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原料装卸</w:t>
                  </w:r>
                </w:p>
              </w:tc>
              <w:tc>
                <w:tcPr>
                  <w:tcW w:w="2600" w:type="dxa"/>
                  <w:vAlign w:val="center"/>
                </w:tcPr>
                <w:p w14:paraId="239BAFAD">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2749" w:type="dxa"/>
                  <w:shd w:val="clear" w:color="auto" w:fill="auto"/>
                  <w:vAlign w:val="center"/>
                </w:tcPr>
                <w:p w14:paraId="1D2ED78A">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r>
            <w:tr w14:paraId="382E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05D81A99">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572153CF">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上料、搅拌机进料</w:t>
                  </w:r>
                </w:p>
              </w:tc>
              <w:tc>
                <w:tcPr>
                  <w:tcW w:w="2600" w:type="dxa"/>
                  <w:vAlign w:val="center"/>
                </w:tcPr>
                <w:p w14:paraId="663BEFE2">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2749" w:type="dxa"/>
                  <w:shd w:val="clear" w:color="auto" w:fill="auto"/>
                  <w:vAlign w:val="center"/>
                </w:tcPr>
                <w:p w14:paraId="42B3F3EC">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r>
            <w:tr w14:paraId="7882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49C0C951">
                  <w:pPr>
                    <w:pStyle w:val="34"/>
                    <w:bidi w:val="0"/>
                    <w:jc w:val="center"/>
                    <w:rPr>
                      <w:rFonts w:hint="eastAsia" w:ascii="Times New Roman" w:hAnsi="Times New Roman" w:eastAsia="宋体"/>
                      <w:color w:val="auto"/>
                      <w:sz w:val="21"/>
                      <w:highlight w:val="none"/>
                      <w:lang w:val="en-US" w:eastAsia="zh-CN"/>
                    </w:rPr>
                  </w:pPr>
                </w:p>
              </w:tc>
              <w:tc>
                <w:tcPr>
                  <w:tcW w:w="7775" w:type="dxa"/>
                  <w:gridSpan w:val="3"/>
                  <w:vAlign w:val="center"/>
                </w:tcPr>
                <w:p w14:paraId="1C723479">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湿拌砂浆生产线</w:t>
                  </w:r>
                </w:p>
              </w:tc>
            </w:tr>
            <w:tr w14:paraId="549F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5C6B7750">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22D32680">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运输</w:t>
                  </w:r>
                </w:p>
              </w:tc>
              <w:tc>
                <w:tcPr>
                  <w:tcW w:w="2600" w:type="dxa"/>
                  <w:vAlign w:val="center"/>
                </w:tcPr>
                <w:p w14:paraId="3F5525C0">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2749" w:type="dxa"/>
                  <w:shd w:val="clear" w:color="auto" w:fill="auto"/>
                  <w:vAlign w:val="center"/>
                </w:tcPr>
                <w:p w14:paraId="119161D1">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r>
            <w:tr w14:paraId="1CE7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40318A9E">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49DAB63A">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上料、搅拌机进料</w:t>
                  </w:r>
                </w:p>
              </w:tc>
              <w:tc>
                <w:tcPr>
                  <w:tcW w:w="2600" w:type="dxa"/>
                  <w:vAlign w:val="center"/>
                </w:tcPr>
                <w:p w14:paraId="277C9B91">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2749" w:type="dxa"/>
                  <w:shd w:val="clear" w:color="auto" w:fill="auto"/>
                  <w:vAlign w:val="center"/>
                </w:tcPr>
                <w:p w14:paraId="1F544327">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r>
            <w:tr w14:paraId="28E9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11D49263">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514AE43A">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水泥料仓</w:t>
                  </w:r>
                </w:p>
              </w:tc>
              <w:tc>
                <w:tcPr>
                  <w:tcW w:w="2600" w:type="dxa"/>
                  <w:vAlign w:val="center"/>
                </w:tcPr>
                <w:p w14:paraId="00855E04">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2749" w:type="dxa"/>
                  <w:shd w:val="clear" w:color="auto" w:fill="auto"/>
                  <w:vAlign w:val="center"/>
                </w:tcPr>
                <w:p w14:paraId="7AD080C7">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r>
            <w:tr w14:paraId="2643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3ACFAF7B">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732330CD">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粉煤灰料仓</w:t>
                  </w:r>
                </w:p>
              </w:tc>
              <w:tc>
                <w:tcPr>
                  <w:tcW w:w="2600" w:type="dxa"/>
                  <w:vAlign w:val="center"/>
                </w:tcPr>
                <w:p w14:paraId="77E0BBB8">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2749" w:type="dxa"/>
                  <w:shd w:val="clear" w:color="auto" w:fill="auto"/>
                  <w:vAlign w:val="center"/>
                </w:tcPr>
                <w:p w14:paraId="3000F724">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r>
            <w:tr w14:paraId="5680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0419D517">
                  <w:pPr>
                    <w:pStyle w:val="34"/>
                    <w:bidi w:val="0"/>
                    <w:jc w:val="center"/>
                    <w:rPr>
                      <w:rFonts w:hint="eastAsia" w:ascii="Times New Roman" w:hAnsi="Times New Roman" w:eastAsia="宋体"/>
                      <w:color w:val="auto"/>
                      <w:sz w:val="21"/>
                      <w:highlight w:val="none"/>
                      <w:lang w:val="en-US" w:eastAsia="zh-CN"/>
                    </w:rPr>
                  </w:pPr>
                </w:p>
              </w:tc>
              <w:tc>
                <w:tcPr>
                  <w:tcW w:w="7775" w:type="dxa"/>
                  <w:gridSpan w:val="3"/>
                  <w:vAlign w:val="center"/>
                </w:tcPr>
                <w:p w14:paraId="7F097C92">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预制构件生产线</w:t>
                  </w:r>
                </w:p>
              </w:tc>
            </w:tr>
            <w:tr w14:paraId="7565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56153241">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16766D9B">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运输</w:t>
                  </w:r>
                </w:p>
              </w:tc>
              <w:tc>
                <w:tcPr>
                  <w:tcW w:w="2600" w:type="dxa"/>
                  <w:vAlign w:val="center"/>
                </w:tcPr>
                <w:p w14:paraId="679847CA">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2749" w:type="dxa"/>
                  <w:shd w:val="clear" w:color="auto" w:fill="auto"/>
                  <w:vAlign w:val="center"/>
                </w:tcPr>
                <w:p w14:paraId="5879DA4B">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r>
            <w:tr w14:paraId="70E8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480E4632">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4B0C14CE">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原料装卸</w:t>
                  </w:r>
                </w:p>
              </w:tc>
              <w:tc>
                <w:tcPr>
                  <w:tcW w:w="2600" w:type="dxa"/>
                  <w:vAlign w:val="center"/>
                </w:tcPr>
                <w:p w14:paraId="35909B6F">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2749" w:type="dxa"/>
                  <w:shd w:val="clear" w:color="auto" w:fill="auto"/>
                  <w:vAlign w:val="center"/>
                </w:tcPr>
                <w:p w14:paraId="01121E92">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r>
            <w:tr w14:paraId="679E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612161A0">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29CDD874">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上料、搅拌机进料</w:t>
                  </w:r>
                  <w:r>
                    <w:rPr>
                      <w:rFonts w:hint="eastAsia"/>
                      <w:color w:val="auto"/>
                      <w:sz w:val="21"/>
                      <w:highlight w:val="none"/>
                      <w:lang w:val="en-US" w:eastAsia="zh-CN"/>
                    </w:rPr>
                    <w:t>、焊接</w:t>
                  </w:r>
                </w:p>
              </w:tc>
              <w:tc>
                <w:tcPr>
                  <w:tcW w:w="2600" w:type="dxa"/>
                  <w:vAlign w:val="center"/>
                </w:tcPr>
                <w:p w14:paraId="5C83AC61">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2749" w:type="dxa"/>
                  <w:shd w:val="clear" w:color="auto" w:fill="auto"/>
                  <w:vAlign w:val="center"/>
                </w:tcPr>
                <w:p w14:paraId="57A71C82">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r>
            <w:tr w14:paraId="40A0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488DCB91">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0869C66A">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水泥料仓</w:t>
                  </w:r>
                </w:p>
              </w:tc>
              <w:tc>
                <w:tcPr>
                  <w:tcW w:w="2600" w:type="dxa"/>
                  <w:vAlign w:val="center"/>
                </w:tcPr>
                <w:p w14:paraId="17EC934F">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2749" w:type="dxa"/>
                  <w:shd w:val="clear" w:color="auto" w:fill="auto"/>
                  <w:vAlign w:val="center"/>
                </w:tcPr>
                <w:p w14:paraId="063E86B4">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r>
            <w:tr w14:paraId="52DC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673637B1">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6EAC0A7B">
                  <w:pPr>
                    <w:pStyle w:val="34"/>
                    <w:bidi w:val="0"/>
                    <w:ind w:firstLine="0" w:firstLineChars="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粉煤灰料仓</w:t>
                  </w:r>
                </w:p>
              </w:tc>
              <w:tc>
                <w:tcPr>
                  <w:tcW w:w="2600" w:type="dxa"/>
                  <w:vAlign w:val="center"/>
                </w:tcPr>
                <w:p w14:paraId="6992AA62">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2749" w:type="dxa"/>
                  <w:shd w:val="clear" w:color="auto" w:fill="auto"/>
                  <w:vAlign w:val="center"/>
                </w:tcPr>
                <w:p w14:paraId="1BF3B59E">
                  <w:pPr>
                    <w:pStyle w:val="34"/>
                    <w:bidi w:val="0"/>
                    <w:ind w:firstLine="0" w:firstLineChars="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r>
            <w:tr w14:paraId="2DE0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restart"/>
                  <w:vAlign w:val="center"/>
                </w:tcPr>
                <w:p w14:paraId="3646E60C">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废水</w:t>
                  </w:r>
                </w:p>
              </w:tc>
              <w:tc>
                <w:tcPr>
                  <w:tcW w:w="2426" w:type="dxa"/>
                  <w:vAlign w:val="center"/>
                </w:tcPr>
                <w:p w14:paraId="1E7F0B3D">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生活污水</w:t>
                  </w:r>
                </w:p>
              </w:tc>
              <w:tc>
                <w:tcPr>
                  <w:tcW w:w="2600" w:type="dxa"/>
                  <w:vAlign w:val="center"/>
                </w:tcPr>
                <w:p w14:paraId="0C526CB6">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生活污水</w:t>
                  </w:r>
                </w:p>
              </w:tc>
              <w:tc>
                <w:tcPr>
                  <w:tcW w:w="2749" w:type="dxa"/>
                  <w:vAlign w:val="center"/>
                </w:tcPr>
                <w:p w14:paraId="4C8F0FF7">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BOD</w:t>
                  </w:r>
                  <w:r>
                    <w:rPr>
                      <w:rFonts w:hint="eastAsia" w:ascii="Times New Roman" w:hAnsi="Times New Roman" w:eastAsia="宋体"/>
                      <w:color w:val="auto"/>
                      <w:sz w:val="21"/>
                      <w:highlight w:val="none"/>
                      <w:vertAlign w:val="subscript"/>
                      <w:lang w:val="en-US" w:eastAsia="zh-CN"/>
                    </w:rPr>
                    <w:t>5</w:t>
                  </w:r>
                  <w:r>
                    <w:rPr>
                      <w:rFonts w:hint="eastAsia" w:ascii="Times New Roman" w:hAnsi="Times New Roman" w:eastAsia="宋体"/>
                      <w:color w:val="auto"/>
                      <w:sz w:val="21"/>
                      <w:highlight w:val="none"/>
                      <w:lang w:val="en-US" w:eastAsia="zh-CN"/>
                    </w:rPr>
                    <w:t>、COD、氨氮、SS</w:t>
                  </w:r>
                </w:p>
              </w:tc>
            </w:tr>
            <w:tr w14:paraId="71EB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6E8681E3">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6576EC16">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洗砂废水</w:t>
                  </w:r>
                </w:p>
              </w:tc>
              <w:tc>
                <w:tcPr>
                  <w:tcW w:w="2600" w:type="dxa"/>
                  <w:vAlign w:val="center"/>
                </w:tcPr>
                <w:p w14:paraId="204D705F">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洗砂废水</w:t>
                  </w:r>
                </w:p>
              </w:tc>
              <w:tc>
                <w:tcPr>
                  <w:tcW w:w="2749" w:type="dxa"/>
                  <w:vAlign w:val="center"/>
                </w:tcPr>
                <w:p w14:paraId="459D7F09">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SS</w:t>
                  </w:r>
                </w:p>
              </w:tc>
            </w:tr>
            <w:tr w14:paraId="4759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1E47D0B5">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7B138886">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搅拌机清洗废水</w:t>
                  </w:r>
                </w:p>
              </w:tc>
              <w:tc>
                <w:tcPr>
                  <w:tcW w:w="2600" w:type="dxa"/>
                  <w:vAlign w:val="center"/>
                </w:tcPr>
                <w:p w14:paraId="10068008">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搅拌机清洗废水</w:t>
                  </w:r>
                </w:p>
              </w:tc>
              <w:tc>
                <w:tcPr>
                  <w:tcW w:w="2749" w:type="dxa"/>
                  <w:vAlign w:val="center"/>
                </w:tcPr>
                <w:p w14:paraId="20BA4870">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COD、SS</w:t>
                  </w:r>
                </w:p>
              </w:tc>
            </w:tr>
            <w:tr w14:paraId="0AF9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77CFD8FD">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3EF398D2">
                  <w:pPr>
                    <w:pStyle w:val="34"/>
                    <w:bidi w:val="0"/>
                    <w:jc w:val="center"/>
                    <w:rPr>
                      <w:rFonts w:hint="eastAsia" w:ascii="Times New Roman" w:hAnsi="Times New Roman" w:eastAsia="宋体"/>
                      <w:color w:val="auto"/>
                      <w:sz w:val="21"/>
                      <w:highlight w:val="none"/>
                      <w:lang w:val="en-US" w:eastAsia="zh-CN"/>
                    </w:rPr>
                  </w:pPr>
                  <w:r>
                    <w:rPr>
                      <w:rFonts w:hint="eastAsia"/>
                      <w:color w:val="auto"/>
                      <w:sz w:val="21"/>
                      <w:highlight w:val="none"/>
                      <w:lang w:val="en-US" w:eastAsia="zh-CN"/>
                    </w:rPr>
                    <w:t>车辆冲洗</w:t>
                  </w:r>
                  <w:r>
                    <w:rPr>
                      <w:rFonts w:hint="eastAsia" w:ascii="Times New Roman" w:hAnsi="Times New Roman" w:eastAsia="宋体"/>
                      <w:color w:val="auto"/>
                      <w:sz w:val="21"/>
                      <w:highlight w:val="none"/>
                      <w:lang w:val="en-US" w:eastAsia="zh-CN"/>
                    </w:rPr>
                    <w:t>废水</w:t>
                  </w:r>
                </w:p>
              </w:tc>
              <w:tc>
                <w:tcPr>
                  <w:tcW w:w="2600" w:type="dxa"/>
                  <w:vAlign w:val="center"/>
                </w:tcPr>
                <w:p w14:paraId="1A4183D8">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洗车废水</w:t>
                  </w:r>
                </w:p>
              </w:tc>
              <w:tc>
                <w:tcPr>
                  <w:tcW w:w="2749" w:type="dxa"/>
                  <w:vAlign w:val="center"/>
                </w:tcPr>
                <w:p w14:paraId="07E55FDE">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SS</w:t>
                  </w:r>
                </w:p>
              </w:tc>
            </w:tr>
            <w:tr w14:paraId="6F02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148D0C37">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3F611256">
                  <w:pPr>
                    <w:pStyle w:val="34"/>
                    <w:bidi w:val="0"/>
                    <w:jc w:val="center"/>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车辆罐体冲洗废水</w:t>
                  </w:r>
                </w:p>
              </w:tc>
              <w:tc>
                <w:tcPr>
                  <w:tcW w:w="2600" w:type="dxa"/>
                  <w:vAlign w:val="center"/>
                </w:tcPr>
                <w:p w14:paraId="0C5E13EB">
                  <w:pPr>
                    <w:pStyle w:val="34"/>
                    <w:bidi w:val="0"/>
                    <w:jc w:val="center"/>
                    <w:rPr>
                      <w:rFonts w:hint="eastAsia" w:ascii="Times New Roman" w:hAnsi="Times New Roman" w:eastAsia="宋体"/>
                      <w:color w:val="auto"/>
                      <w:sz w:val="21"/>
                      <w:highlight w:val="none"/>
                      <w:lang w:val="en-US" w:eastAsia="zh-CN"/>
                    </w:rPr>
                  </w:pPr>
                  <w:r>
                    <w:rPr>
                      <w:rFonts w:hint="eastAsia"/>
                      <w:color w:val="auto"/>
                      <w:sz w:val="21"/>
                      <w:highlight w:val="none"/>
                      <w:lang w:val="en-US" w:eastAsia="zh-CN"/>
                    </w:rPr>
                    <w:t>车辆罐体冲洗废水</w:t>
                  </w:r>
                </w:p>
              </w:tc>
              <w:tc>
                <w:tcPr>
                  <w:tcW w:w="2749" w:type="dxa"/>
                  <w:vAlign w:val="center"/>
                </w:tcPr>
                <w:p w14:paraId="2A697F75">
                  <w:pPr>
                    <w:pStyle w:val="34"/>
                    <w:bidi w:val="0"/>
                    <w:jc w:val="center"/>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SS</w:t>
                  </w:r>
                </w:p>
              </w:tc>
            </w:tr>
            <w:tr w14:paraId="5C79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Align w:val="center"/>
                </w:tcPr>
                <w:p w14:paraId="762231EA">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噪声</w:t>
                  </w:r>
                </w:p>
              </w:tc>
              <w:tc>
                <w:tcPr>
                  <w:tcW w:w="2426" w:type="dxa"/>
                  <w:vAlign w:val="center"/>
                </w:tcPr>
                <w:p w14:paraId="5EDA71B3">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设备噪声</w:t>
                  </w:r>
                </w:p>
              </w:tc>
              <w:tc>
                <w:tcPr>
                  <w:tcW w:w="2600" w:type="dxa"/>
                  <w:vAlign w:val="center"/>
                </w:tcPr>
                <w:p w14:paraId="6850CF50">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噪声</w:t>
                  </w:r>
                </w:p>
              </w:tc>
              <w:tc>
                <w:tcPr>
                  <w:tcW w:w="2749" w:type="dxa"/>
                  <w:vAlign w:val="center"/>
                </w:tcPr>
                <w:p w14:paraId="772C34BF">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i/>
                      <w:iCs/>
                      <w:color w:val="auto"/>
                      <w:sz w:val="21"/>
                      <w:highlight w:val="none"/>
                      <w:lang w:val="en-US" w:eastAsia="zh-CN"/>
                    </w:rPr>
                    <w:t>Leq</w:t>
                  </w:r>
                </w:p>
              </w:tc>
            </w:tr>
            <w:tr w14:paraId="5204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restart"/>
                  <w:vAlign w:val="center"/>
                </w:tcPr>
                <w:p w14:paraId="229828C9">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固废</w:t>
                  </w:r>
                </w:p>
              </w:tc>
              <w:tc>
                <w:tcPr>
                  <w:tcW w:w="2426" w:type="dxa"/>
                  <w:vAlign w:val="center"/>
                </w:tcPr>
                <w:p w14:paraId="1FDC08BB">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员工生活</w:t>
                  </w:r>
                </w:p>
              </w:tc>
              <w:tc>
                <w:tcPr>
                  <w:tcW w:w="2600" w:type="dxa"/>
                  <w:vAlign w:val="center"/>
                </w:tcPr>
                <w:p w14:paraId="77620FE9">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生活垃圾</w:t>
                  </w:r>
                </w:p>
              </w:tc>
              <w:tc>
                <w:tcPr>
                  <w:tcW w:w="2749" w:type="dxa"/>
                  <w:vAlign w:val="center"/>
                </w:tcPr>
                <w:p w14:paraId="0F74047F">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一般固废</w:t>
                  </w:r>
                </w:p>
              </w:tc>
            </w:tr>
            <w:tr w14:paraId="7CB2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4B231105">
                  <w:pPr>
                    <w:pStyle w:val="34"/>
                    <w:bidi w:val="0"/>
                    <w:jc w:val="center"/>
                    <w:rPr>
                      <w:rFonts w:hint="eastAsia" w:ascii="Times New Roman" w:hAnsi="Times New Roman" w:eastAsia="宋体"/>
                      <w:color w:val="auto"/>
                      <w:sz w:val="21"/>
                      <w:highlight w:val="none"/>
                      <w:lang w:val="en-US" w:eastAsia="zh-CN"/>
                    </w:rPr>
                  </w:pPr>
                </w:p>
              </w:tc>
              <w:tc>
                <w:tcPr>
                  <w:tcW w:w="2426" w:type="dxa"/>
                  <w:shd w:val="clear" w:color="auto" w:fill="auto"/>
                  <w:vAlign w:val="center"/>
                </w:tcPr>
                <w:p w14:paraId="57D98539">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布袋除尘器</w:t>
                  </w:r>
                </w:p>
              </w:tc>
              <w:tc>
                <w:tcPr>
                  <w:tcW w:w="2600" w:type="dxa"/>
                  <w:shd w:val="clear" w:color="auto" w:fill="auto"/>
                  <w:vAlign w:val="center"/>
                </w:tcPr>
                <w:p w14:paraId="4DA7503B">
                  <w:pPr>
                    <w:pStyle w:val="34"/>
                    <w:bidi w:val="0"/>
                    <w:ind w:firstLine="0" w:firstLineChars="0"/>
                    <w:jc w:val="center"/>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除尘灰</w:t>
                  </w:r>
                </w:p>
              </w:tc>
              <w:tc>
                <w:tcPr>
                  <w:tcW w:w="2749" w:type="dxa"/>
                  <w:shd w:val="clear" w:color="auto" w:fill="auto"/>
                  <w:vAlign w:val="center"/>
                </w:tcPr>
                <w:p w14:paraId="3A314128">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一般固废</w:t>
                  </w:r>
                </w:p>
              </w:tc>
            </w:tr>
            <w:tr w14:paraId="783B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1F18E576">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317801A4">
                  <w:pPr>
                    <w:pStyle w:val="34"/>
                    <w:bidi w:val="0"/>
                    <w:jc w:val="center"/>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隔膜厢式板框压滤机</w:t>
                  </w:r>
                </w:p>
              </w:tc>
              <w:tc>
                <w:tcPr>
                  <w:tcW w:w="2600" w:type="dxa"/>
                  <w:vAlign w:val="center"/>
                </w:tcPr>
                <w:p w14:paraId="2864C325">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泥饼</w:t>
                  </w:r>
                </w:p>
              </w:tc>
              <w:tc>
                <w:tcPr>
                  <w:tcW w:w="2749" w:type="dxa"/>
                  <w:vAlign w:val="center"/>
                </w:tcPr>
                <w:p w14:paraId="5D95EEC6">
                  <w:pPr>
                    <w:pStyle w:val="34"/>
                    <w:bidi w:val="0"/>
                    <w:jc w:val="center"/>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一般固废</w:t>
                  </w:r>
                </w:p>
              </w:tc>
            </w:tr>
            <w:tr w14:paraId="0EEA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3F383BE5">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52110FFC">
                  <w:pPr>
                    <w:pStyle w:val="34"/>
                    <w:bidi w:val="0"/>
                    <w:jc w:val="center"/>
                    <w:rPr>
                      <w:rFonts w:hint="default"/>
                      <w:color w:val="auto"/>
                      <w:sz w:val="21"/>
                      <w:highlight w:val="none"/>
                      <w:lang w:val="en-US" w:eastAsia="zh-CN"/>
                    </w:rPr>
                  </w:pPr>
                  <w:r>
                    <w:rPr>
                      <w:rFonts w:hint="eastAsia"/>
                      <w:color w:val="auto"/>
                      <w:sz w:val="21"/>
                      <w:highlight w:val="none"/>
                      <w:lang w:val="en-US" w:eastAsia="zh-CN"/>
                    </w:rPr>
                    <w:t>焊接</w:t>
                  </w:r>
                </w:p>
              </w:tc>
              <w:tc>
                <w:tcPr>
                  <w:tcW w:w="2600" w:type="dxa"/>
                  <w:vAlign w:val="center"/>
                </w:tcPr>
                <w:p w14:paraId="12579EE8">
                  <w:pPr>
                    <w:pStyle w:val="34"/>
                    <w:bidi w:val="0"/>
                    <w:jc w:val="center"/>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废边角料</w:t>
                  </w:r>
                </w:p>
              </w:tc>
              <w:tc>
                <w:tcPr>
                  <w:tcW w:w="2749" w:type="dxa"/>
                  <w:vAlign w:val="center"/>
                </w:tcPr>
                <w:p w14:paraId="0D929255">
                  <w:pPr>
                    <w:pStyle w:val="34"/>
                    <w:bidi w:val="0"/>
                    <w:jc w:val="center"/>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一般固废</w:t>
                  </w:r>
                </w:p>
              </w:tc>
            </w:tr>
            <w:tr w14:paraId="3B6A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15AC2D4E">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487A9E47">
                  <w:pPr>
                    <w:pStyle w:val="34"/>
                    <w:bidi w:val="0"/>
                    <w:jc w:val="center"/>
                    <w:rPr>
                      <w:rFonts w:hint="default"/>
                      <w:color w:val="auto"/>
                      <w:sz w:val="21"/>
                      <w:highlight w:val="none"/>
                      <w:lang w:val="en-US" w:eastAsia="zh-CN"/>
                    </w:rPr>
                  </w:pPr>
                  <w:r>
                    <w:rPr>
                      <w:rFonts w:hint="eastAsia"/>
                      <w:color w:val="auto"/>
                      <w:sz w:val="21"/>
                      <w:highlight w:val="none"/>
                      <w:lang w:val="en-US" w:eastAsia="zh-CN"/>
                    </w:rPr>
                    <w:t>生产过程</w:t>
                  </w:r>
                </w:p>
              </w:tc>
              <w:tc>
                <w:tcPr>
                  <w:tcW w:w="2600" w:type="dxa"/>
                  <w:vAlign w:val="center"/>
                </w:tcPr>
                <w:p w14:paraId="0CDB5E75">
                  <w:pPr>
                    <w:pStyle w:val="34"/>
                    <w:bidi w:val="0"/>
                    <w:jc w:val="center"/>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残次品</w:t>
                  </w:r>
                </w:p>
              </w:tc>
              <w:tc>
                <w:tcPr>
                  <w:tcW w:w="2749" w:type="dxa"/>
                  <w:vAlign w:val="center"/>
                </w:tcPr>
                <w:p w14:paraId="48267A8B">
                  <w:pPr>
                    <w:pStyle w:val="34"/>
                    <w:bidi w:val="0"/>
                    <w:jc w:val="center"/>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一般固废</w:t>
                  </w:r>
                </w:p>
              </w:tc>
            </w:tr>
            <w:tr w14:paraId="7C56D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3D087CB5">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221A53EF">
                  <w:pPr>
                    <w:pStyle w:val="34"/>
                    <w:bidi w:val="0"/>
                    <w:jc w:val="center"/>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设备维护保养</w:t>
                  </w:r>
                </w:p>
              </w:tc>
              <w:tc>
                <w:tcPr>
                  <w:tcW w:w="2600" w:type="dxa"/>
                  <w:shd w:val="clear" w:color="auto" w:fill="auto"/>
                  <w:vAlign w:val="center"/>
                </w:tcPr>
                <w:p w14:paraId="626B62B2">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废润滑油</w:t>
                  </w:r>
                </w:p>
              </w:tc>
              <w:tc>
                <w:tcPr>
                  <w:tcW w:w="2749" w:type="dxa"/>
                  <w:vAlign w:val="center"/>
                </w:tcPr>
                <w:p w14:paraId="03B60EE4">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危险废物</w:t>
                  </w:r>
                </w:p>
              </w:tc>
            </w:tr>
            <w:tr w14:paraId="0466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8" w:type="dxa"/>
                  <w:vMerge w:val="continue"/>
                  <w:vAlign w:val="center"/>
                </w:tcPr>
                <w:p w14:paraId="246E9AC5">
                  <w:pPr>
                    <w:pStyle w:val="34"/>
                    <w:bidi w:val="0"/>
                    <w:jc w:val="center"/>
                    <w:rPr>
                      <w:rFonts w:hint="eastAsia" w:ascii="Times New Roman" w:hAnsi="Times New Roman" w:eastAsia="宋体"/>
                      <w:color w:val="auto"/>
                      <w:sz w:val="21"/>
                      <w:highlight w:val="none"/>
                      <w:lang w:val="en-US" w:eastAsia="zh-CN"/>
                    </w:rPr>
                  </w:pPr>
                </w:p>
              </w:tc>
              <w:tc>
                <w:tcPr>
                  <w:tcW w:w="2426" w:type="dxa"/>
                  <w:vAlign w:val="center"/>
                </w:tcPr>
                <w:p w14:paraId="57818F9A">
                  <w:pPr>
                    <w:pStyle w:val="34"/>
                    <w:bidi w:val="0"/>
                    <w:jc w:val="center"/>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设备维护保养</w:t>
                  </w:r>
                </w:p>
              </w:tc>
              <w:tc>
                <w:tcPr>
                  <w:tcW w:w="2600" w:type="dxa"/>
                  <w:shd w:val="clear" w:color="auto" w:fill="auto"/>
                  <w:vAlign w:val="center"/>
                </w:tcPr>
                <w:p w14:paraId="6D981B7A">
                  <w:pPr>
                    <w:pStyle w:val="34"/>
                    <w:bidi w:val="0"/>
                    <w:ind w:firstLine="0" w:firstLineChars="0"/>
                    <w:jc w:val="center"/>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废油桶</w:t>
                  </w:r>
                </w:p>
              </w:tc>
              <w:tc>
                <w:tcPr>
                  <w:tcW w:w="2749" w:type="dxa"/>
                  <w:vAlign w:val="center"/>
                </w:tcPr>
                <w:p w14:paraId="77A38626">
                  <w:pPr>
                    <w:pStyle w:val="34"/>
                    <w:bidi w:val="0"/>
                    <w:jc w:val="center"/>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危险废物</w:t>
                  </w:r>
                </w:p>
              </w:tc>
            </w:tr>
          </w:tbl>
          <w:p w14:paraId="6625533C">
            <w:pPr>
              <w:bidi w:val="0"/>
              <w:ind w:left="0" w:leftChars="0" w:firstLine="0" w:firstLineChars="0"/>
              <w:rPr>
                <w:rFonts w:hint="default"/>
                <w:color w:val="auto"/>
                <w:highlight w:val="none"/>
                <w:lang w:val="en-US" w:eastAsia="zh-CN"/>
              </w:rPr>
            </w:pPr>
          </w:p>
        </w:tc>
      </w:tr>
      <w:tr w14:paraId="15F2B4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983" w:hRule="atLeast"/>
          <w:jc w:val="center"/>
        </w:trPr>
        <w:tc>
          <w:tcPr>
            <w:tcW w:w="382" w:type="dxa"/>
            <w:vAlign w:val="center"/>
          </w:tcPr>
          <w:p w14:paraId="614A6E80">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eastAsia="zh-CN"/>
              </w:rPr>
            </w:pPr>
            <w:r>
              <w:rPr>
                <w:rFonts w:hint="eastAsia"/>
                <w:color w:val="auto"/>
                <w:highlight w:val="none"/>
                <w:lang w:eastAsia="zh-CN"/>
              </w:rPr>
              <w:t>与项目有关的原有环境污染问题</w:t>
            </w:r>
          </w:p>
        </w:tc>
        <w:tc>
          <w:tcPr>
            <w:tcW w:w="9128" w:type="dxa"/>
            <w:vAlign w:val="center"/>
          </w:tcPr>
          <w:p w14:paraId="2EFACF25">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宋体"/>
                <w:color w:val="auto"/>
                <w:sz w:val="24"/>
                <w:szCs w:val="24"/>
                <w:lang w:val="en-US" w:eastAsia="zh-CN"/>
              </w:rPr>
            </w:pPr>
            <w:r>
              <w:rPr>
                <w:rFonts w:hint="eastAsia" w:ascii="Times New Roman" w:hAnsi="Times New Roman" w:eastAsia="宋体" w:cs="宋体"/>
                <w:color w:val="auto"/>
                <w:kern w:val="2"/>
                <w:sz w:val="24"/>
                <w:szCs w:val="24"/>
                <w:lang w:val="en-US" w:eastAsia="zh-CN" w:bidi="ar-SA"/>
              </w:rPr>
              <w:t>一、</w:t>
            </w:r>
            <w:r>
              <w:rPr>
                <w:rFonts w:hint="eastAsia" w:cs="宋体"/>
                <w:color w:val="auto"/>
                <w:sz w:val="24"/>
                <w:szCs w:val="24"/>
                <w:lang w:val="en-US" w:eastAsia="zh-CN"/>
              </w:rPr>
              <w:t>企业租用场地现状</w:t>
            </w:r>
          </w:p>
          <w:p w14:paraId="446F5081">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1、工程概况</w:t>
            </w:r>
            <w:r>
              <w:rPr>
                <w:rFonts w:hint="eastAsia" w:cs="宋体"/>
                <w:color w:val="auto"/>
                <w:kern w:val="2"/>
                <w:sz w:val="24"/>
                <w:szCs w:val="24"/>
                <w:lang w:val="en-US" w:eastAsia="zh-CN" w:bidi="ar-SA"/>
              </w:rPr>
              <w:t>：经现场调查，本项目租赁场地原为三铁公司和常盛铁厂，其中三铁公司所在地块历史主要从事铁矿石冶炼生产，本项目租用原三铁公司的原料堆放场地，其平面布置见附件4；常盛铁厂所在地块历史主要从事炼铁生产，本项目租用原常盛铁厂的原料堆放场地，其平面布置见附件4。目前上述两个地块原有建构筑物均已全部拆除，生产原料、废渣及各类遗留物料已完成全面清运清理。本项目于2026</w:t>
            </w:r>
            <w:r>
              <w:rPr>
                <w:rFonts w:hint="eastAsia" w:cs="宋体"/>
                <w:color w:val="auto"/>
                <w:kern w:val="2"/>
                <w:sz w:val="24"/>
                <w:szCs w:val="24"/>
                <w:highlight w:val="none"/>
                <w:lang w:val="en-US" w:eastAsia="zh-CN" w:bidi="ar-SA"/>
              </w:rPr>
              <w:t>年5月11日对场地内土壤进行了现状监测，根据监测结果，各监测因子均满足</w:t>
            </w:r>
            <w:r>
              <w:rPr>
                <w:rFonts w:hint="default" w:cs="Times New Roman"/>
                <w:color w:val="auto"/>
                <w:spacing w:val="-1"/>
                <w:kern w:val="2"/>
                <w:sz w:val="24"/>
                <w:szCs w:val="24"/>
                <w:lang w:val="en-US" w:eastAsia="zh-CN" w:bidi="ar-SA"/>
              </w:rPr>
              <w:t>《土壤环境质量建设用地土壤污染风险管控标准（试行）》（GB36600-2018）</w:t>
            </w:r>
            <w:r>
              <w:rPr>
                <w:rFonts w:hint="eastAsia" w:cs="Times New Roman"/>
                <w:color w:val="auto"/>
                <w:spacing w:val="-1"/>
                <w:kern w:val="2"/>
                <w:sz w:val="24"/>
                <w:szCs w:val="24"/>
                <w:lang w:val="en-US" w:eastAsia="zh-CN" w:bidi="ar-SA"/>
              </w:rPr>
              <w:t>表1第</w:t>
            </w:r>
            <w:r>
              <w:rPr>
                <w:rFonts w:hint="default" w:cs="Times New Roman"/>
                <w:color w:val="auto"/>
                <w:spacing w:val="-1"/>
                <w:kern w:val="2"/>
                <w:sz w:val="24"/>
                <w:szCs w:val="24"/>
                <w:lang w:val="en-US" w:eastAsia="zh-CN" w:bidi="ar-SA"/>
              </w:rPr>
              <w:t>二类建设用地风险筛选值标准</w:t>
            </w:r>
            <w:r>
              <w:rPr>
                <w:rFonts w:hint="eastAsia" w:cs="Times New Roman"/>
                <w:color w:val="auto"/>
                <w:spacing w:val="-1"/>
                <w:kern w:val="2"/>
                <w:sz w:val="24"/>
                <w:szCs w:val="24"/>
                <w:lang w:val="en-US" w:eastAsia="zh-CN" w:bidi="ar-SA"/>
              </w:rPr>
              <w:t>限值</w:t>
            </w:r>
            <w:r>
              <w:rPr>
                <w:rFonts w:hint="eastAsia" w:cs="宋体"/>
                <w:color w:val="auto"/>
                <w:kern w:val="2"/>
                <w:sz w:val="24"/>
                <w:szCs w:val="24"/>
                <w:highlight w:val="none"/>
                <w:lang w:val="en-US" w:eastAsia="zh-CN" w:bidi="ar-SA"/>
              </w:rPr>
              <w:t>，</w:t>
            </w:r>
            <w:r>
              <w:rPr>
                <w:rFonts w:hint="eastAsia" w:cs="宋体"/>
                <w:color w:val="auto"/>
                <w:kern w:val="2"/>
                <w:sz w:val="24"/>
                <w:szCs w:val="24"/>
                <w:lang w:val="en-US" w:eastAsia="zh-CN" w:bidi="ar-SA"/>
              </w:rPr>
              <w:t>场地无明显环境污染遗留问题，不存在与本项目建设相关的原有环境污染问题。</w:t>
            </w:r>
          </w:p>
          <w:p w14:paraId="578FB571">
            <w:pPr>
              <w:pStyle w:val="13"/>
              <w:pageBreakBefore w:val="0"/>
              <w:widowControl w:val="0"/>
              <w:numPr>
                <w:ilvl w:val="3"/>
                <w:numId w:val="0"/>
              </w:numPr>
              <w:kinsoku/>
              <w:wordWrap/>
              <w:overflowPunct/>
              <w:topLinePunct w:val="0"/>
              <w:autoSpaceDE/>
              <w:autoSpaceDN/>
              <w:bidi w:val="0"/>
              <w:adjustRightInd/>
              <w:snapToGrid/>
              <w:spacing w:before="0" w:beforeLines="0" w:after="0" w:afterLines="0" w:line="360" w:lineRule="auto"/>
              <w:ind w:leftChars="0" w:firstLine="480" w:firstLineChars="200"/>
              <w:textAlignment w:val="auto"/>
              <w:rPr>
                <w:rFonts w:hint="default"/>
                <w:color w:val="auto"/>
                <w:lang w:val="en-US" w:eastAsia="zh-CN"/>
              </w:rPr>
            </w:pPr>
            <w:r>
              <w:rPr>
                <w:rFonts w:hint="eastAsia" w:ascii="Times New Roman" w:hAnsi="Times New Roman" w:eastAsia="宋体" w:cs="宋体"/>
                <w:b w:val="0"/>
                <w:color w:val="auto"/>
                <w:kern w:val="2"/>
                <w:sz w:val="24"/>
                <w:szCs w:val="24"/>
                <w:lang w:val="en-US" w:eastAsia="zh-CN" w:bidi="ar-SA"/>
              </w:rPr>
              <w:t>2、目前实际运行情况：根据调查，原三铁公司、原常盛铁厂于2008年停产，项目停产至今已达18年，场地内原有建设内容已全部拆除，无现存生产装置，生产活动无利用场地内现有建构筑物的情况。</w:t>
            </w:r>
          </w:p>
        </w:tc>
      </w:tr>
    </w:tbl>
    <w:p w14:paraId="4B62AC9B">
      <w:pPr>
        <w:rPr>
          <w:rFonts w:hint="eastAsia"/>
          <w:color w:val="auto"/>
          <w:highlight w:val="none"/>
          <w:lang w:eastAsia="zh-CN"/>
        </w:rPr>
      </w:pPr>
      <w:r>
        <w:rPr>
          <w:rFonts w:hint="eastAsia"/>
          <w:color w:val="auto"/>
          <w:highlight w:val="none"/>
          <w:lang w:eastAsia="zh-CN"/>
        </w:rPr>
        <w:br w:type="page"/>
      </w:r>
    </w:p>
    <w:p w14:paraId="4CA07220">
      <w:pPr>
        <w:pStyle w:val="9"/>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color w:val="auto"/>
          <w:highlight w:val="none"/>
          <w:lang w:eastAsia="zh-CN"/>
        </w:rPr>
      </w:pPr>
      <w:bookmarkStart w:id="27" w:name="_Toc5935"/>
      <w:r>
        <w:rPr>
          <w:rFonts w:hint="default" w:ascii="黑体" w:hAnsi="黑体" w:eastAsia="黑体" w:cs="黑体"/>
          <w:color w:val="auto"/>
          <w:kern w:val="2"/>
          <w:sz w:val="2"/>
          <w:szCs w:val="2"/>
          <w:lang w:val="en-US" w:eastAsia="zh-CN" w:bidi="ar-SA"/>
        </w:rPr>
        <w:t>3</w:t>
      </w:r>
      <w:r>
        <w:rPr>
          <w:rFonts w:hint="eastAsia"/>
          <w:color w:val="auto"/>
          <w:highlight w:val="none"/>
          <w:lang w:val="en-US" w:eastAsia="zh-CN"/>
        </w:rPr>
        <w:t>三、</w:t>
      </w:r>
      <w:r>
        <w:rPr>
          <w:rFonts w:hint="eastAsia"/>
          <w:color w:val="auto"/>
          <w:highlight w:val="none"/>
          <w:lang w:eastAsia="zh-CN"/>
        </w:rPr>
        <w:t>区域环境质量现状、环境保护目标及评价标准</w:t>
      </w:r>
      <w:bookmarkEnd w:id="27"/>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61"/>
        <w:gridCol w:w="8827"/>
      </w:tblGrid>
      <w:tr w14:paraId="09C5DB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1" w:type="dxa"/>
            <w:vAlign w:val="center"/>
          </w:tcPr>
          <w:p w14:paraId="29B5C2D6">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eastAsia="zh-CN"/>
              </w:rPr>
            </w:pPr>
            <w:r>
              <w:rPr>
                <w:rFonts w:hint="eastAsia"/>
                <w:color w:val="auto"/>
                <w:highlight w:val="none"/>
                <w:lang w:eastAsia="zh-CN"/>
              </w:rPr>
              <w:t>区域环境质量现状</w:t>
            </w:r>
          </w:p>
        </w:tc>
        <w:tc>
          <w:tcPr>
            <w:tcW w:w="8827" w:type="dxa"/>
            <w:vAlign w:val="center"/>
          </w:tcPr>
          <w:p w14:paraId="2EE9330C">
            <w:pPr>
              <w:keepNext w:val="0"/>
              <w:keepLines w:val="0"/>
              <w:pageBreakBefore w:val="0"/>
              <w:widowControl w:val="0"/>
              <w:kinsoku/>
              <w:wordWrap/>
              <w:overflowPunct/>
              <w:topLinePunct w:val="0"/>
              <w:autoSpaceDE/>
              <w:autoSpaceDN/>
              <w:bidi w:val="0"/>
              <w:adjustRightInd/>
              <w:snapToGrid/>
              <w:ind w:left="0" w:leftChars="0" w:firstLine="476" w:firstLineChars="200"/>
              <w:textAlignment w:val="auto"/>
              <w:rPr>
                <w:rFonts w:hint="default" w:cs="Times New Roman"/>
                <w:color w:val="auto"/>
                <w:spacing w:val="-1"/>
                <w:kern w:val="2"/>
                <w:sz w:val="24"/>
                <w:szCs w:val="24"/>
                <w:lang w:val="en-US" w:eastAsia="zh-CN" w:bidi="ar-SA"/>
              </w:rPr>
            </w:pPr>
          </w:p>
          <w:p w14:paraId="0A980C5A">
            <w:pPr>
              <w:pStyle w:val="2"/>
              <w:rPr>
                <w:rFonts w:hint="default" w:cs="Times New Roman"/>
                <w:color w:val="auto"/>
                <w:spacing w:val="-1"/>
                <w:kern w:val="2"/>
                <w:sz w:val="24"/>
                <w:szCs w:val="24"/>
                <w:lang w:val="en-US" w:eastAsia="zh-CN" w:bidi="ar-SA"/>
              </w:rPr>
            </w:pPr>
          </w:p>
          <w:p w14:paraId="737950C9">
            <w:pPr>
              <w:pStyle w:val="4"/>
              <w:rPr>
                <w:rFonts w:hint="default" w:cs="Times New Roman"/>
                <w:color w:val="auto"/>
                <w:spacing w:val="-1"/>
                <w:kern w:val="2"/>
                <w:sz w:val="24"/>
                <w:szCs w:val="24"/>
                <w:lang w:val="en-US" w:eastAsia="zh-CN" w:bidi="ar-SA"/>
              </w:rPr>
            </w:pPr>
          </w:p>
          <w:p w14:paraId="747F62C1">
            <w:pPr>
              <w:rPr>
                <w:rFonts w:hint="default" w:cs="Times New Roman"/>
                <w:color w:val="auto"/>
                <w:spacing w:val="-1"/>
                <w:kern w:val="2"/>
                <w:sz w:val="24"/>
                <w:szCs w:val="24"/>
                <w:lang w:val="en-US" w:eastAsia="zh-CN" w:bidi="ar-SA"/>
              </w:rPr>
            </w:pPr>
          </w:p>
          <w:p w14:paraId="66894183">
            <w:pPr>
              <w:pStyle w:val="2"/>
              <w:rPr>
                <w:rFonts w:hint="default" w:cs="Times New Roman"/>
                <w:color w:val="auto"/>
                <w:spacing w:val="-1"/>
                <w:kern w:val="2"/>
                <w:sz w:val="24"/>
                <w:szCs w:val="24"/>
                <w:lang w:val="en-US" w:eastAsia="zh-CN" w:bidi="ar-SA"/>
              </w:rPr>
            </w:pPr>
          </w:p>
          <w:p w14:paraId="25FF41C2">
            <w:pPr>
              <w:pStyle w:val="4"/>
              <w:rPr>
                <w:rFonts w:hint="default" w:cs="Times New Roman"/>
                <w:color w:val="auto"/>
                <w:spacing w:val="-1"/>
                <w:kern w:val="2"/>
                <w:sz w:val="24"/>
                <w:szCs w:val="24"/>
                <w:lang w:val="en-US" w:eastAsia="zh-CN" w:bidi="ar-SA"/>
              </w:rPr>
            </w:pPr>
          </w:p>
          <w:p w14:paraId="7E6C6C72">
            <w:pPr>
              <w:rPr>
                <w:rFonts w:hint="default" w:cs="Times New Roman"/>
                <w:color w:val="auto"/>
                <w:spacing w:val="-1"/>
                <w:kern w:val="2"/>
                <w:sz w:val="24"/>
                <w:szCs w:val="24"/>
                <w:lang w:val="en-US" w:eastAsia="zh-CN" w:bidi="ar-SA"/>
              </w:rPr>
            </w:pPr>
          </w:p>
          <w:p w14:paraId="7972AC38">
            <w:pPr>
              <w:pStyle w:val="2"/>
              <w:rPr>
                <w:rFonts w:hint="default" w:cs="Times New Roman"/>
                <w:color w:val="auto"/>
                <w:spacing w:val="-1"/>
                <w:kern w:val="2"/>
                <w:sz w:val="24"/>
                <w:szCs w:val="24"/>
                <w:lang w:val="en-US" w:eastAsia="zh-CN" w:bidi="ar-SA"/>
              </w:rPr>
            </w:pPr>
          </w:p>
          <w:p w14:paraId="5BF909A7">
            <w:pPr>
              <w:pStyle w:val="4"/>
              <w:rPr>
                <w:rFonts w:hint="default" w:cs="Times New Roman"/>
                <w:color w:val="auto"/>
                <w:spacing w:val="-1"/>
                <w:kern w:val="2"/>
                <w:sz w:val="24"/>
                <w:szCs w:val="24"/>
                <w:lang w:val="en-US" w:eastAsia="zh-CN" w:bidi="ar-SA"/>
              </w:rPr>
            </w:pPr>
          </w:p>
          <w:p w14:paraId="52DD26BC">
            <w:pPr>
              <w:rPr>
                <w:rFonts w:hint="default" w:cs="Times New Roman"/>
                <w:color w:val="auto"/>
                <w:spacing w:val="-1"/>
                <w:kern w:val="2"/>
                <w:sz w:val="24"/>
                <w:szCs w:val="24"/>
                <w:lang w:val="en-US" w:eastAsia="zh-CN" w:bidi="ar-SA"/>
              </w:rPr>
            </w:pPr>
          </w:p>
          <w:p w14:paraId="51C20496">
            <w:pPr>
              <w:pStyle w:val="2"/>
              <w:rPr>
                <w:rFonts w:hint="default" w:cs="Times New Roman"/>
                <w:color w:val="auto"/>
                <w:spacing w:val="-1"/>
                <w:kern w:val="2"/>
                <w:sz w:val="24"/>
                <w:szCs w:val="24"/>
                <w:lang w:val="en-US" w:eastAsia="zh-CN" w:bidi="ar-SA"/>
              </w:rPr>
            </w:pPr>
          </w:p>
          <w:p w14:paraId="2EE09B59">
            <w:pPr>
              <w:pStyle w:val="4"/>
              <w:rPr>
                <w:rFonts w:hint="default" w:ascii="Times New Roman" w:hAnsi="Times New Roman" w:eastAsia="宋体" w:cs="宋体"/>
                <w:b w:val="0"/>
                <w:bCs/>
                <w:color w:val="auto"/>
                <w:kern w:val="2"/>
                <w:sz w:val="24"/>
                <w:szCs w:val="24"/>
                <w:highlight w:val="none"/>
                <w:lang w:val="en-US" w:eastAsia="zh-CN" w:bidi="ar-SA"/>
              </w:rPr>
            </w:pPr>
            <w:r>
              <w:rPr>
                <w:rFonts w:hint="eastAsia" w:ascii="Times New Roman" w:hAnsi="Times New Roman" w:eastAsia="宋体" w:cs="宋体"/>
                <w:b w:val="0"/>
                <w:bCs/>
                <w:color w:val="auto"/>
                <w:kern w:val="2"/>
                <w:sz w:val="24"/>
                <w:szCs w:val="24"/>
                <w:highlight w:val="none"/>
                <w:lang w:val="en-US" w:eastAsia="zh-CN" w:bidi="ar-SA"/>
              </w:rPr>
              <w:t>略</w:t>
            </w:r>
          </w:p>
          <w:p w14:paraId="1EED8513">
            <w:pPr>
              <w:rPr>
                <w:rFonts w:hint="default" w:cs="Times New Roman"/>
                <w:color w:val="auto"/>
                <w:spacing w:val="-1"/>
                <w:kern w:val="2"/>
                <w:sz w:val="24"/>
                <w:szCs w:val="24"/>
                <w:lang w:val="en-US" w:eastAsia="zh-CN" w:bidi="ar-SA"/>
              </w:rPr>
            </w:pPr>
          </w:p>
          <w:p w14:paraId="42E80560">
            <w:pPr>
              <w:pStyle w:val="2"/>
              <w:rPr>
                <w:rFonts w:hint="default" w:cs="Times New Roman"/>
                <w:color w:val="auto"/>
                <w:spacing w:val="-1"/>
                <w:kern w:val="2"/>
                <w:sz w:val="24"/>
                <w:szCs w:val="24"/>
                <w:lang w:val="en-US" w:eastAsia="zh-CN" w:bidi="ar-SA"/>
              </w:rPr>
            </w:pPr>
          </w:p>
          <w:p w14:paraId="459CC80D">
            <w:pPr>
              <w:pStyle w:val="4"/>
              <w:rPr>
                <w:rFonts w:hint="default" w:cs="Times New Roman"/>
                <w:color w:val="auto"/>
                <w:spacing w:val="-1"/>
                <w:kern w:val="2"/>
                <w:sz w:val="24"/>
                <w:szCs w:val="24"/>
                <w:lang w:val="en-US" w:eastAsia="zh-CN" w:bidi="ar-SA"/>
              </w:rPr>
            </w:pPr>
          </w:p>
          <w:p w14:paraId="3219EBE3">
            <w:pPr>
              <w:rPr>
                <w:rFonts w:hint="default" w:cs="Times New Roman"/>
                <w:color w:val="auto"/>
                <w:spacing w:val="-1"/>
                <w:kern w:val="2"/>
                <w:sz w:val="24"/>
                <w:szCs w:val="24"/>
                <w:lang w:val="en-US" w:eastAsia="zh-CN" w:bidi="ar-SA"/>
              </w:rPr>
            </w:pPr>
          </w:p>
          <w:p w14:paraId="498F941A">
            <w:pPr>
              <w:pStyle w:val="2"/>
              <w:rPr>
                <w:rFonts w:hint="default" w:cs="Times New Roman"/>
                <w:color w:val="auto"/>
                <w:spacing w:val="-1"/>
                <w:kern w:val="2"/>
                <w:sz w:val="24"/>
                <w:szCs w:val="24"/>
                <w:lang w:val="en-US" w:eastAsia="zh-CN" w:bidi="ar-SA"/>
              </w:rPr>
            </w:pPr>
          </w:p>
          <w:p w14:paraId="7F070B02">
            <w:pPr>
              <w:pStyle w:val="4"/>
              <w:rPr>
                <w:rFonts w:hint="default" w:cs="Times New Roman"/>
                <w:color w:val="auto"/>
                <w:spacing w:val="-1"/>
                <w:kern w:val="2"/>
                <w:sz w:val="24"/>
                <w:szCs w:val="24"/>
                <w:lang w:val="en-US" w:eastAsia="zh-CN" w:bidi="ar-SA"/>
              </w:rPr>
            </w:pPr>
          </w:p>
          <w:p w14:paraId="5E7DE935">
            <w:pPr>
              <w:rPr>
                <w:rFonts w:hint="default" w:cs="Times New Roman"/>
                <w:color w:val="auto"/>
                <w:spacing w:val="-1"/>
                <w:kern w:val="2"/>
                <w:sz w:val="24"/>
                <w:szCs w:val="24"/>
                <w:lang w:val="en-US" w:eastAsia="zh-CN" w:bidi="ar-SA"/>
              </w:rPr>
            </w:pPr>
          </w:p>
          <w:p w14:paraId="556F94D9">
            <w:pPr>
              <w:pStyle w:val="2"/>
              <w:rPr>
                <w:rFonts w:hint="default" w:cs="Times New Roman"/>
                <w:color w:val="auto"/>
                <w:spacing w:val="-1"/>
                <w:kern w:val="2"/>
                <w:sz w:val="24"/>
                <w:szCs w:val="24"/>
                <w:lang w:val="en-US" w:eastAsia="zh-CN" w:bidi="ar-SA"/>
              </w:rPr>
            </w:pPr>
          </w:p>
          <w:p w14:paraId="0E345CF2">
            <w:pPr>
              <w:pStyle w:val="4"/>
              <w:rPr>
                <w:rFonts w:hint="default" w:cs="Times New Roman"/>
                <w:color w:val="auto"/>
                <w:spacing w:val="-1"/>
                <w:kern w:val="2"/>
                <w:sz w:val="24"/>
                <w:szCs w:val="24"/>
                <w:lang w:val="en-US" w:eastAsia="zh-CN" w:bidi="ar-SA"/>
              </w:rPr>
            </w:pPr>
          </w:p>
          <w:p w14:paraId="62011AED">
            <w:pPr>
              <w:rPr>
                <w:rFonts w:hint="default" w:cs="Times New Roman"/>
                <w:color w:val="auto"/>
                <w:spacing w:val="-1"/>
                <w:kern w:val="2"/>
                <w:sz w:val="24"/>
                <w:szCs w:val="24"/>
                <w:lang w:val="en-US" w:eastAsia="zh-CN" w:bidi="ar-SA"/>
              </w:rPr>
            </w:pPr>
          </w:p>
          <w:p w14:paraId="0C4640D9">
            <w:pPr>
              <w:pStyle w:val="2"/>
              <w:rPr>
                <w:rFonts w:hint="default" w:cs="Times New Roman"/>
                <w:color w:val="auto"/>
                <w:spacing w:val="-1"/>
                <w:kern w:val="2"/>
                <w:sz w:val="24"/>
                <w:szCs w:val="24"/>
                <w:lang w:val="en-US" w:eastAsia="zh-CN" w:bidi="ar-SA"/>
              </w:rPr>
            </w:pPr>
          </w:p>
          <w:p w14:paraId="7B8ED3A7">
            <w:pPr>
              <w:pStyle w:val="4"/>
              <w:rPr>
                <w:rFonts w:hint="default" w:cs="Times New Roman"/>
                <w:color w:val="auto"/>
                <w:spacing w:val="-1"/>
                <w:kern w:val="2"/>
                <w:sz w:val="24"/>
                <w:szCs w:val="24"/>
                <w:lang w:val="en-US" w:eastAsia="zh-CN" w:bidi="ar-SA"/>
              </w:rPr>
            </w:pPr>
          </w:p>
          <w:p w14:paraId="798848F5">
            <w:pPr>
              <w:rPr>
                <w:rFonts w:hint="default" w:cs="Times New Roman"/>
                <w:color w:val="auto"/>
                <w:spacing w:val="-1"/>
                <w:kern w:val="2"/>
                <w:sz w:val="24"/>
                <w:szCs w:val="24"/>
                <w:lang w:val="en-US" w:eastAsia="zh-CN" w:bidi="ar-SA"/>
              </w:rPr>
            </w:pPr>
          </w:p>
          <w:p w14:paraId="628D0C4F">
            <w:pPr>
              <w:pStyle w:val="2"/>
              <w:rPr>
                <w:rFonts w:hint="default" w:cs="Times New Roman"/>
                <w:color w:val="auto"/>
                <w:spacing w:val="-1"/>
                <w:kern w:val="2"/>
                <w:sz w:val="24"/>
                <w:szCs w:val="24"/>
                <w:lang w:val="en-US" w:eastAsia="zh-CN" w:bidi="ar-SA"/>
              </w:rPr>
            </w:pPr>
          </w:p>
          <w:p w14:paraId="76407A56">
            <w:pPr>
              <w:pStyle w:val="4"/>
              <w:rPr>
                <w:rFonts w:hint="default" w:cs="Times New Roman"/>
                <w:color w:val="auto"/>
                <w:spacing w:val="-1"/>
                <w:kern w:val="2"/>
                <w:sz w:val="24"/>
                <w:szCs w:val="24"/>
                <w:lang w:val="en-US" w:eastAsia="zh-CN" w:bidi="ar-SA"/>
              </w:rPr>
            </w:pPr>
          </w:p>
          <w:p w14:paraId="0F301053">
            <w:pPr>
              <w:rPr>
                <w:rFonts w:hint="default" w:cs="Times New Roman"/>
                <w:color w:val="auto"/>
                <w:spacing w:val="-1"/>
                <w:kern w:val="2"/>
                <w:sz w:val="24"/>
                <w:szCs w:val="24"/>
                <w:lang w:val="en-US" w:eastAsia="zh-CN" w:bidi="ar-SA"/>
              </w:rPr>
            </w:pPr>
          </w:p>
          <w:p w14:paraId="3E4007E5">
            <w:pPr>
              <w:pStyle w:val="2"/>
              <w:rPr>
                <w:rFonts w:hint="default" w:cs="Times New Roman"/>
                <w:color w:val="auto"/>
                <w:spacing w:val="-1"/>
                <w:kern w:val="2"/>
                <w:sz w:val="24"/>
                <w:szCs w:val="24"/>
                <w:lang w:val="en-US" w:eastAsia="zh-CN" w:bidi="ar-SA"/>
              </w:rPr>
            </w:pPr>
          </w:p>
          <w:p w14:paraId="65C939B5">
            <w:pPr>
              <w:pStyle w:val="4"/>
              <w:rPr>
                <w:rFonts w:hint="default" w:cs="Times New Roman"/>
                <w:color w:val="auto"/>
                <w:spacing w:val="-1"/>
                <w:kern w:val="2"/>
                <w:sz w:val="24"/>
                <w:szCs w:val="24"/>
                <w:lang w:val="en-US" w:eastAsia="zh-CN" w:bidi="ar-SA"/>
              </w:rPr>
            </w:pPr>
          </w:p>
          <w:p w14:paraId="057DC64B">
            <w:pPr>
              <w:rPr>
                <w:rFonts w:hint="default" w:cs="Times New Roman"/>
                <w:color w:val="auto"/>
                <w:spacing w:val="-1"/>
                <w:kern w:val="2"/>
                <w:sz w:val="24"/>
                <w:szCs w:val="24"/>
                <w:lang w:val="en-US" w:eastAsia="zh-CN" w:bidi="ar-SA"/>
              </w:rPr>
            </w:pPr>
          </w:p>
          <w:p w14:paraId="42408F5A">
            <w:pPr>
              <w:pStyle w:val="2"/>
              <w:rPr>
                <w:rFonts w:hint="default" w:cs="Times New Roman"/>
                <w:color w:val="auto"/>
                <w:spacing w:val="-1"/>
                <w:kern w:val="2"/>
                <w:sz w:val="24"/>
                <w:szCs w:val="24"/>
                <w:lang w:val="en-US" w:eastAsia="zh-CN" w:bidi="ar-SA"/>
              </w:rPr>
            </w:pPr>
          </w:p>
          <w:p w14:paraId="55021041">
            <w:pPr>
              <w:pStyle w:val="4"/>
              <w:rPr>
                <w:rFonts w:hint="default" w:cs="Times New Roman"/>
                <w:color w:val="auto"/>
                <w:spacing w:val="-1"/>
                <w:kern w:val="2"/>
                <w:sz w:val="24"/>
                <w:szCs w:val="24"/>
                <w:lang w:val="en-US" w:eastAsia="zh-CN" w:bidi="ar-SA"/>
              </w:rPr>
            </w:pPr>
          </w:p>
          <w:p w14:paraId="4B8C63C8">
            <w:pPr>
              <w:rPr>
                <w:rFonts w:hint="default" w:cs="Times New Roman"/>
                <w:color w:val="auto"/>
                <w:spacing w:val="-1"/>
                <w:kern w:val="2"/>
                <w:sz w:val="24"/>
                <w:szCs w:val="24"/>
                <w:lang w:val="en-US" w:eastAsia="zh-CN" w:bidi="ar-SA"/>
              </w:rPr>
            </w:pPr>
          </w:p>
          <w:p w14:paraId="7F1841B0">
            <w:pPr>
              <w:pStyle w:val="2"/>
              <w:rPr>
                <w:rFonts w:hint="default" w:cs="Times New Roman"/>
                <w:color w:val="auto"/>
                <w:spacing w:val="-1"/>
                <w:kern w:val="2"/>
                <w:sz w:val="24"/>
                <w:szCs w:val="24"/>
                <w:lang w:val="en-US" w:eastAsia="zh-CN" w:bidi="ar-SA"/>
              </w:rPr>
            </w:pPr>
          </w:p>
          <w:p w14:paraId="6FD9F3E9">
            <w:pPr>
              <w:pStyle w:val="4"/>
              <w:rPr>
                <w:rFonts w:hint="default" w:cs="Times New Roman"/>
                <w:color w:val="auto"/>
                <w:spacing w:val="-1"/>
                <w:kern w:val="2"/>
                <w:sz w:val="24"/>
                <w:szCs w:val="24"/>
                <w:lang w:val="en-US" w:eastAsia="zh-CN" w:bidi="ar-SA"/>
              </w:rPr>
            </w:pPr>
          </w:p>
          <w:p w14:paraId="73CBE4AE">
            <w:pPr>
              <w:rPr>
                <w:rFonts w:hint="default" w:cs="Times New Roman"/>
                <w:color w:val="auto"/>
                <w:spacing w:val="-1"/>
                <w:kern w:val="2"/>
                <w:sz w:val="24"/>
                <w:szCs w:val="24"/>
                <w:lang w:val="en-US" w:eastAsia="zh-CN" w:bidi="ar-SA"/>
              </w:rPr>
            </w:pPr>
          </w:p>
          <w:p w14:paraId="4DD86294">
            <w:pPr>
              <w:pStyle w:val="2"/>
              <w:rPr>
                <w:rFonts w:hint="default" w:cs="Times New Roman"/>
                <w:color w:val="auto"/>
                <w:spacing w:val="-1"/>
                <w:kern w:val="2"/>
                <w:sz w:val="24"/>
                <w:szCs w:val="24"/>
                <w:lang w:val="en-US" w:eastAsia="zh-CN" w:bidi="ar-SA"/>
              </w:rPr>
            </w:pPr>
          </w:p>
          <w:p w14:paraId="28C50DF3">
            <w:pPr>
              <w:pStyle w:val="4"/>
              <w:rPr>
                <w:rFonts w:hint="default" w:cs="Times New Roman"/>
                <w:color w:val="auto"/>
                <w:spacing w:val="-1"/>
                <w:kern w:val="2"/>
                <w:sz w:val="24"/>
                <w:szCs w:val="24"/>
                <w:lang w:val="en-US" w:eastAsia="zh-CN" w:bidi="ar-SA"/>
              </w:rPr>
            </w:pPr>
          </w:p>
          <w:p w14:paraId="4C07CF64">
            <w:pPr>
              <w:rPr>
                <w:rFonts w:hint="default" w:cs="Times New Roman"/>
                <w:color w:val="auto"/>
                <w:spacing w:val="-1"/>
                <w:kern w:val="2"/>
                <w:sz w:val="24"/>
                <w:szCs w:val="24"/>
                <w:lang w:val="en-US" w:eastAsia="zh-CN" w:bidi="ar-SA"/>
              </w:rPr>
            </w:pPr>
          </w:p>
          <w:p w14:paraId="1820B3B9">
            <w:pPr>
              <w:pStyle w:val="2"/>
              <w:rPr>
                <w:rFonts w:hint="default" w:cs="Times New Roman"/>
                <w:color w:val="auto"/>
                <w:spacing w:val="-1"/>
                <w:kern w:val="2"/>
                <w:sz w:val="24"/>
                <w:szCs w:val="24"/>
                <w:lang w:val="en-US" w:eastAsia="zh-CN" w:bidi="ar-SA"/>
              </w:rPr>
            </w:pPr>
          </w:p>
          <w:p w14:paraId="317421B4">
            <w:pPr>
              <w:pStyle w:val="4"/>
              <w:rPr>
                <w:rFonts w:hint="default" w:cs="Times New Roman"/>
                <w:color w:val="auto"/>
                <w:spacing w:val="-1"/>
                <w:kern w:val="2"/>
                <w:sz w:val="24"/>
                <w:szCs w:val="24"/>
                <w:lang w:val="en-US" w:eastAsia="zh-CN" w:bidi="ar-SA"/>
              </w:rPr>
            </w:pPr>
          </w:p>
          <w:p w14:paraId="45B93956">
            <w:pPr>
              <w:rPr>
                <w:rFonts w:hint="default" w:cs="Times New Roman"/>
                <w:color w:val="auto"/>
                <w:spacing w:val="-1"/>
                <w:kern w:val="2"/>
                <w:sz w:val="24"/>
                <w:szCs w:val="24"/>
                <w:lang w:val="en-US" w:eastAsia="zh-CN" w:bidi="ar-SA"/>
              </w:rPr>
            </w:pPr>
          </w:p>
          <w:p w14:paraId="5EB8E9E4">
            <w:pPr>
              <w:pStyle w:val="2"/>
              <w:rPr>
                <w:rFonts w:hint="default" w:cs="Times New Roman"/>
                <w:color w:val="auto"/>
                <w:spacing w:val="-1"/>
                <w:kern w:val="2"/>
                <w:sz w:val="24"/>
                <w:szCs w:val="24"/>
                <w:lang w:val="en-US" w:eastAsia="zh-CN" w:bidi="ar-SA"/>
              </w:rPr>
            </w:pPr>
          </w:p>
          <w:p w14:paraId="572AEA50">
            <w:pPr>
              <w:pStyle w:val="4"/>
              <w:rPr>
                <w:rFonts w:hint="default" w:cs="Times New Roman"/>
                <w:color w:val="auto"/>
                <w:spacing w:val="-1"/>
                <w:kern w:val="2"/>
                <w:sz w:val="24"/>
                <w:szCs w:val="24"/>
                <w:lang w:val="en-US" w:eastAsia="zh-CN" w:bidi="ar-SA"/>
              </w:rPr>
            </w:pPr>
          </w:p>
          <w:p w14:paraId="12AA6165">
            <w:pPr>
              <w:rPr>
                <w:rFonts w:hint="default" w:cs="Times New Roman"/>
                <w:color w:val="auto"/>
                <w:spacing w:val="-1"/>
                <w:kern w:val="2"/>
                <w:sz w:val="24"/>
                <w:szCs w:val="24"/>
                <w:lang w:val="en-US" w:eastAsia="zh-CN" w:bidi="ar-SA"/>
              </w:rPr>
            </w:pPr>
          </w:p>
          <w:p w14:paraId="73B1EC29">
            <w:pPr>
              <w:pStyle w:val="2"/>
              <w:rPr>
                <w:rFonts w:hint="default" w:cs="Times New Roman"/>
                <w:color w:val="auto"/>
                <w:spacing w:val="-1"/>
                <w:kern w:val="2"/>
                <w:sz w:val="24"/>
                <w:szCs w:val="24"/>
                <w:lang w:val="en-US" w:eastAsia="zh-CN" w:bidi="ar-SA"/>
              </w:rPr>
            </w:pPr>
          </w:p>
          <w:p w14:paraId="7117EB72">
            <w:pPr>
              <w:pStyle w:val="4"/>
              <w:rPr>
                <w:rFonts w:hint="default" w:cs="Times New Roman"/>
                <w:color w:val="auto"/>
                <w:spacing w:val="-1"/>
                <w:kern w:val="2"/>
                <w:sz w:val="24"/>
                <w:szCs w:val="24"/>
                <w:lang w:val="en-US" w:eastAsia="zh-CN" w:bidi="ar-SA"/>
              </w:rPr>
            </w:pPr>
          </w:p>
          <w:p w14:paraId="7A13F7DD">
            <w:pPr>
              <w:rPr>
                <w:rFonts w:hint="default" w:cs="Times New Roman"/>
                <w:color w:val="auto"/>
                <w:spacing w:val="-1"/>
                <w:kern w:val="2"/>
                <w:sz w:val="24"/>
                <w:szCs w:val="24"/>
                <w:lang w:val="en-US" w:eastAsia="zh-CN" w:bidi="ar-SA"/>
              </w:rPr>
            </w:pPr>
          </w:p>
          <w:p w14:paraId="64D2F7E9">
            <w:pPr>
              <w:pStyle w:val="2"/>
              <w:rPr>
                <w:rFonts w:hint="default" w:cs="Times New Roman"/>
                <w:color w:val="auto"/>
                <w:spacing w:val="-1"/>
                <w:kern w:val="2"/>
                <w:sz w:val="24"/>
                <w:szCs w:val="24"/>
                <w:lang w:val="en-US" w:eastAsia="zh-CN" w:bidi="ar-SA"/>
              </w:rPr>
            </w:pPr>
          </w:p>
          <w:p w14:paraId="7659C0ED">
            <w:pPr>
              <w:pStyle w:val="4"/>
              <w:rPr>
                <w:rFonts w:hint="default" w:cs="Times New Roman"/>
                <w:color w:val="auto"/>
                <w:spacing w:val="-1"/>
                <w:kern w:val="2"/>
                <w:sz w:val="24"/>
                <w:szCs w:val="24"/>
                <w:lang w:val="en-US" w:eastAsia="zh-CN" w:bidi="ar-SA"/>
              </w:rPr>
            </w:pPr>
          </w:p>
          <w:p w14:paraId="16E1AAF1">
            <w:pPr>
              <w:rPr>
                <w:rFonts w:hint="default" w:cs="Times New Roman"/>
                <w:color w:val="auto"/>
                <w:spacing w:val="-1"/>
                <w:kern w:val="2"/>
                <w:sz w:val="24"/>
                <w:szCs w:val="24"/>
                <w:lang w:val="en-US" w:eastAsia="zh-CN" w:bidi="ar-SA"/>
              </w:rPr>
            </w:pPr>
          </w:p>
          <w:p w14:paraId="6FA07291">
            <w:pPr>
              <w:pStyle w:val="2"/>
              <w:rPr>
                <w:rFonts w:hint="default" w:cs="Times New Roman"/>
                <w:color w:val="auto"/>
                <w:spacing w:val="-1"/>
                <w:kern w:val="2"/>
                <w:sz w:val="24"/>
                <w:szCs w:val="24"/>
                <w:lang w:val="en-US" w:eastAsia="zh-CN" w:bidi="ar-SA"/>
              </w:rPr>
            </w:pPr>
          </w:p>
          <w:p w14:paraId="4527B063">
            <w:pPr>
              <w:pStyle w:val="4"/>
              <w:rPr>
                <w:rFonts w:hint="default" w:cs="Times New Roman"/>
                <w:color w:val="auto"/>
                <w:spacing w:val="-1"/>
                <w:kern w:val="2"/>
                <w:sz w:val="24"/>
                <w:szCs w:val="24"/>
                <w:lang w:val="en-US" w:eastAsia="zh-CN" w:bidi="ar-SA"/>
              </w:rPr>
            </w:pPr>
          </w:p>
          <w:p w14:paraId="7C8F5444">
            <w:pPr>
              <w:rPr>
                <w:rFonts w:hint="default" w:cs="Times New Roman"/>
                <w:color w:val="auto"/>
                <w:spacing w:val="-1"/>
                <w:kern w:val="2"/>
                <w:sz w:val="24"/>
                <w:szCs w:val="24"/>
                <w:lang w:val="en-US" w:eastAsia="zh-CN" w:bidi="ar-SA"/>
              </w:rPr>
            </w:pPr>
          </w:p>
          <w:p w14:paraId="681CC440">
            <w:pPr>
              <w:pStyle w:val="2"/>
              <w:rPr>
                <w:rFonts w:hint="default" w:cs="Times New Roman"/>
                <w:color w:val="auto"/>
                <w:spacing w:val="-1"/>
                <w:kern w:val="2"/>
                <w:sz w:val="24"/>
                <w:szCs w:val="24"/>
                <w:lang w:val="en-US" w:eastAsia="zh-CN" w:bidi="ar-SA"/>
              </w:rPr>
            </w:pPr>
          </w:p>
          <w:p w14:paraId="3A334865">
            <w:pPr>
              <w:pStyle w:val="4"/>
              <w:rPr>
                <w:rFonts w:hint="default" w:cs="Times New Roman"/>
                <w:color w:val="auto"/>
                <w:spacing w:val="-1"/>
                <w:kern w:val="2"/>
                <w:sz w:val="24"/>
                <w:szCs w:val="24"/>
                <w:lang w:val="en-US" w:eastAsia="zh-CN" w:bidi="ar-SA"/>
              </w:rPr>
            </w:pPr>
          </w:p>
          <w:p w14:paraId="54FFF4E2">
            <w:pPr>
              <w:rPr>
                <w:rFonts w:hint="default" w:cs="Times New Roman"/>
                <w:color w:val="auto"/>
                <w:spacing w:val="-1"/>
                <w:kern w:val="2"/>
                <w:sz w:val="24"/>
                <w:szCs w:val="24"/>
                <w:lang w:val="en-US" w:eastAsia="zh-CN" w:bidi="ar-SA"/>
              </w:rPr>
            </w:pPr>
          </w:p>
          <w:p w14:paraId="506F57CF">
            <w:pPr>
              <w:pStyle w:val="2"/>
              <w:rPr>
                <w:rFonts w:hint="default" w:cs="Times New Roman"/>
                <w:color w:val="auto"/>
                <w:spacing w:val="-1"/>
                <w:kern w:val="2"/>
                <w:sz w:val="24"/>
                <w:szCs w:val="24"/>
                <w:lang w:val="en-US" w:eastAsia="zh-CN" w:bidi="ar-SA"/>
              </w:rPr>
            </w:pPr>
          </w:p>
          <w:p w14:paraId="1F00E86E">
            <w:pPr>
              <w:pStyle w:val="4"/>
              <w:rPr>
                <w:rFonts w:hint="default" w:cs="Times New Roman"/>
                <w:color w:val="auto"/>
                <w:spacing w:val="-1"/>
                <w:kern w:val="2"/>
                <w:sz w:val="24"/>
                <w:szCs w:val="24"/>
                <w:lang w:val="en-US" w:eastAsia="zh-CN" w:bidi="ar-SA"/>
              </w:rPr>
            </w:pPr>
          </w:p>
          <w:p w14:paraId="35380B2E">
            <w:pPr>
              <w:rPr>
                <w:rFonts w:hint="default" w:cs="Times New Roman"/>
                <w:color w:val="auto"/>
                <w:spacing w:val="-1"/>
                <w:kern w:val="2"/>
                <w:sz w:val="24"/>
                <w:szCs w:val="24"/>
                <w:lang w:val="en-US" w:eastAsia="zh-CN" w:bidi="ar-SA"/>
              </w:rPr>
            </w:pPr>
          </w:p>
          <w:p w14:paraId="3C8810DA">
            <w:pPr>
              <w:pStyle w:val="2"/>
              <w:rPr>
                <w:rFonts w:hint="default" w:cs="Times New Roman"/>
                <w:color w:val="auto"/>
                <w:spacing w:val="-1"/>
                <w:kern w:val="2"/>
                <w:sz w:val="24"/>
                <w:szCs w:val="24"/>
                <w:lang w:val="en-US" w:eastAsia="zh-CN" w:bidi="ar-SA"/>
              </w:rPr>
            </w:pPr>
          </w:p>
          <w:p w14:paraId="61D11813">
            <w:pPr>
              <w:pStyle w:val="4"/>
              <w:rPr>
                <w:rFonts w:hint="default" w:cs="Times New Roman"/>
                <w:color w:val="auto"/>
                <w:spacing w:val="-1"/>
                <w:kern w:val="2"/>
                <w:sz w:val="24"/>
                <w:szCs w:val="24"/>
                <w:lang w:val="en-US" w:eastAsia="zh-CN" w:bidi="ar-SA"/>
              </w:rPr>
            </w:pPr>
          </w:p>
          <w:p w14:paraId="76A5A695">
            <w:pPr>
              <w:rPr>
                <w:rFonts w:hint="default" w:cs="Times New Roman"/>
                <w:color w:val="auto"/>
                <w:spacing w:val="-1"/>
                <w:kern w:val="2"/>
                <w:sz w:val="24"/>
                <w:szCs w:val="24"/>
                <w:lang w:val="en-US" w:eastAsia="zh-CN" w:bidi="ar-SA"/>
              </w:rPr>
            </w:pPr>
          </w:p>
          <w:p w14:paraId="7E9A8E0B">
            <w:pPr>
              <w:pStyle w:val="2"/>
              <w:rPr>
                <w:rFonts w:hint="default" w:cs="Times New Roman"/>
                <w:color w:val="auto"/>
                <w:spacing w:val="-1"/>
                <w:kern w:val="2"/>
                <w:sz w:val="24"/>
                <w:szCs w:val="24"/>
                <w:lang w:val="en-US" w:eastAsia="zh-CN" w:bidi="ar-SA"/>
              </w:rPr>
            </w:pPr>
          </w:p>
          <w:p w14:paraId="3564BC85">
            <w:pPr>
              <w:pStyle w:val="4"/>
              <w:ind w:left="0" w:leftChars="0" w:firstLine="0" w:firstLineChars="0"/>
              <w:jc w:val="both"/>
              <w:rPr>
                <w:rFonts w:hint="default"/>
                <w:lang w:val="en-US" w:eastAsia="zh-CN"/>
              </w:rPr>
            </w:pPr>
          </w:p>
          <w:p w14:paraId="6F197B4A">
            <w:pPr>
              <w:rPr>
                <w:rFonts w:hint="default"/>
                <w:lang w:val="en-US" w:eastAsia="zh-CN"/>
              </w:rPr>
            </w:pPr>
          </w:p>
          <w:p w14:paraId="4081F5DA">
            <w:pPr>
              <w:pStyle w:val="2"/>
              <w:rPr>
                <w:rFonts w:hint="default"/>
                <w:lang w:val="en-US" w:eastAsia="zh-CN"/>
              </w:rPr>
            </w:pPr>
          </w:p>
          <w:p w14:paraId="4F1D7506">
            <w:pPr>
              <w:pStyle w:val="4"/>
              <w:rPr>
                <w:rFonts w:hint="default"/>
                <w:lang w:val="en-US" w:eastAsia="zh-CN"/>
              </w:rPr>
            </w:pPr>
          </w:p>
          <w:p w14:paraId="3B9D62A4">
            <w:pPr>
              <w:rPr>
                <w:rFonts w:hint="default"/>
                <w:lang w:val="en-US" w:eastAsia="zh-CN"/>
              </w:rPr>
            </w:pPr>
          </w:p>
          <w:p w14:paraId="23129C7B">
            <w:pPr>
              <w:pStyle w:val="2"/>
              <w:rPr>
                <w:rFonts w:hint="default"/>
                <w:lang w:val="en-US" w:eastAsia="zh-CN"/>
              </w:rPr>
            </w:pPr>
          </w:p>
          <w:p w14:paraId="3227EB24">
            <w:pPr>
              <w:pStyle w:val="4"/>
              <w:rPr>
                <w:rFonts w:hint="default"/>
                <w:lang w:val="en-US" w:eastAsia="zh-CN"/>
              </w:rPr>
            </w:pPr>
          </w:p>
          <w:p w14:paraId="0DFF4198">
            <w:pPr>
              <w:rPr>
                <w:rFonts w:hint="default"/>
                <w:lang w:val="en-US" w:eastAsia="zh-CN"/>
              </w:rPr>
            </w:pPr>
          </w:p>
          <w:p w14:paraId="60E6785A">
            <w:pPr>
              <w:pStyle w:val="2"/>
              <w:rPr>
                <w:rFonts w:hint="default"/>
                <w:lang w:val="en-US" w:eastAsia="zh-CN"/>
              </w:rPr>
            </w:pPr>
          </w:p>
          <w:p w14:paraId="7BD47DA9">
            <w:pPr>
              <w:pStyle w:val="4"/>
              <w:rPr>
                <w:rFonts w:hint="default"/>
                <w:lang w:val="en-US" w:eastAsia="zh-CN"/>
              </w:rPr>
            </w:pPr>
          </w:p>
          <w:p w14:paraId="41DCB35F">
            <w:pPr>
              <w:rPr>
                <w:rFonts w:hint="default"/>
                <w:lang w:val="en-US" w:eastAsia="zh-CN"/>
              </w:rPr>
            </w:pPr>
          </w:p>
          <w:p w14:paraId="45F34454">
            <w:pPr>
              <w:pStyle w:val="2"/>
              <w:rPr>
                <w:rFonts w:hint="default"/>
                <w:lang w:val="en-US" w:eastAsia="zh-CN"/>
              </w:rPr>
            </w:pPr>
          </w:p>
          <w:p w14:paraId="409ABD25">
            <w:pPr>
              <w:pStyle w:val="4"/>
              <w:rPr>
                <w:rFonts w:hint="default"/>
                <w:lang w:val="en-US" w:eastAsia="zh-CN"/>
              </w:rPr>
            </w:pPr>
          </w:p>
          <w:p w14:paraId="5C6E49B9">
            <w:pPr>
              <w:rPr>
                <w:rFonts w:hint="default"/>
                <w:lang w:val="en-US" w:eastAsia="zh-CN"/>
              </w:rPr>
            </w:pPr>
          </w:p>
          <w:p w14:paraId="1C3BE81D">
            <w:pPr>
              <w:pStyle w:val="2"/>
              <w:rPr>
                <w:rFonts w:hint="default"/>
                <w:lang w:val="en-US" w:eastAsia="zh-CN"/>
              </w:rPr>
            </w:pPr>
          </w:p>
          <w:p w14:paraId="54706604">
            <w:pPr>
              <w:pStyle w:val="4"/>
              <w:rPr>
                <w:rFonts w:hint="default"/>
                <w:lang w:val="en-US" w:eastAsia="zh-CN"/>
              </w:rPr>
            </w:pPr>
          </w:p>
          <w:p w14:paraId="5E08F649">
            <w:pPr>
              <w:rPr>
                <w:rFonts w:hint="default"/>
                <w:lang w:val="en-US" w:eastAsia="zh-CN"/>
              </w:rPr>
            </w:pPr>
          </w:p>
          <w:p w14:paraId="7B6EA929">
            <w:pPr>
              <w:pStyle w:val="2"/>
              <w:rPr>
                <w:rFonts w:hint="default"/>
                <w:lang w:val="en-US" w:eastAsia="zh-CN"/>
              </w:rPr>
            </w:pPr>
          </w:p>
          <w:p w14:paraId="4E5DDEEF">
            <w:pPr>
              <w:pStyle w:val="4"/>
              <w:rPr>
                <w:rFonts w:hint="default"/>
                <w:lang w:val="en-US" w:eastAsia="zh-CN"/>
              </w:rPr>
            </w:pPr>
          </w:p>
          <w:p w14:paraId="3C893359">
            <w:pPr>
              <w:rPr>
                <w:rFonts w:hint="default"/>
                <w:lang w:val="en-US" w:eastAsia="zh-CN"/>
              </w:rPr>
            </w:pPr>
          </w:p>
          <w:p w14:paraId="2B48AFB9">
            <w:pPr>
              <w:pStyle w:val="2"/>
              <w:rPr>
                <w:rFonts w:hint="default"/>
                <w:lang w:val="en-US" w:eastAsia="zh-CN"/>
              </w:rPr>
            </w:pPr>
          </w:p>
          <w:p w14:paraId="7BA7A2BB">
            <w:pPr>
              <w:pStyle w:val="4"/>
              <w:rPr>
                <w:rFonts w:hint="default"/>
                <w:lang w:val="en-US" w:eastAsia="zh-CN"/>
              </w:rPr>
            </w:pPr>
          </w:p>
          <w:p w14:paraId="3EC81A13">
            <w:pPr>
              <w:rPr>
                <w:rFonts w:hint="default"/>
                <w:lang w:val="en-US" w:eastAsia="zh-CN"/>
              </w:rPr>
            </w:pPr>
          </w:p>
          <w:p w14:paraId="2467090B">
            <w:pPr>
              <w:pStyle w:val="2"/>
              <w:rPr>
                <w:rFonts w:hint="default"/>
                <w:lang w:val="en-US" w:eastAsia="zh-CN"/>
              </w:rPr>
            </w:pPr>
          </w:p>
          <w:p w14:paraId="5CEF9C3C">
            <w:pPr>
              <w:rPr>
                <w:rFonts w:hint="default"/>
                <w:lang w:val="en-US" w:eastAsia="zh-CN"/>
              </w:rPr>
            </w:pPr>
          </w:p>
        </w:tc>
      </w:tr>
      <w:tr w14:paraId="2309B1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1" w:type="dxa"/>
            <w:vAlign w:val="center"/>
          </w:tcPr>
          <w:p w14:paraId="1113AE58">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eastAsia="zh-CN"/>
              </w:rPr>
            </w:pPr>
            <w:r>
              <w:rPr>
                <w:rFonts w:hint="eastAsia"/>
                <w:color w:val="auto"/>
                <w:highlight w:val="none"/>
                <w:lang w:eastAsia="zh-CN"/>
              </w:rPr>
              <w:t>环境保护目标</w:t>
            </w:r>
          </w:p>
        </w:tc>
        <w:tc>
          <w:tcPr>
            <w:tcW w:w="8827" w:type="dxa"/>
            <w:vAlign w:val="center"/>
          </w:tcPr>
          <w:p w14:paraId="6F36AEE6">
            <w:pPr>
              <w:pStyle w:val="11"/>
              <w:keepNext w:val="0"/>
              <w:keepLines w:val="0"/>
              <w:pageBreakBefore w:val="0"/>
              <w:widowControl w:val="0"/>
              <w:numPr>
                <w:ilvl w:val="1"/>
                <w:numId w:val="0"/>
              </w:numPr>
              <w:kinsoku/>
              <w:wordWrap/>
              <w:overflowPunct/>
              <w:topLinePunct w:val="0"/>
              <w:autoSpaceDE/>
              <w:autoSpaceDN/>
              <w:bidi w:val="0"/>
              <w:adjustRightInd/>
              <w:snapToGrid/>
              <w:ind w:firstLine="482" w:firstLineChars="200"/>
              <w:textAlignment w:val="auto"/>
              <w:rPr>
                <w:rFonts w:hint="eastAsia"/>
                <w:color w:val="auto"/>
                <w:highlight w:val="none"/>
                <w:lang w:val="en-US" w:eastAsia="zh-CN"/>
              </w:rPr>
            </w:pPr>
            <w:r>
              <w:rPr>
                <w:rFonts w:hint="default" w:ascii="Times New Roman" w:hAnsi="Times New Roman" w:eastAsia="宋体" w:cs="宋体"/>
                <w:b/>
                <w:bCs/>
                <w:color w:val="auto"/>
                <w:kern w:val="2"/>
                <w:sz w:val="24"/>
                <w:szCs w:val="24"/>
                <w:lang w:val="en-US" w:eastAsia="zh-CN" w:bidi="ar-SA"/>
              </w:rPr>
              <w:t>3.</w:t>
            </w:r>
            <w:r>
              <w:rPr>
                <w:rFonts w:hint="eastAsia" w:cs="宋体"/>
                <w:b/>
                <w:bCs/>
                <w:color w:val="auto"/>
                <w:kern w:val="2"/>
                <w:sz w:val="24"/>
                <w:szCs w:val="24"/>
                <w:lang w:val="en-US" w:eastAsia="zh-CN" w:bidi="ar-SA"/>
              </w:rPr>
              <w:t>5</w:t>
            </w:r>
            <w:r>
              <w:rPr>
                <w:rFonts w:hint="eastAsia"/>
                <w:color w:val="auto"/>
                <w:highlight w:val="none"/>
                <w:lang w:val="en-US" w:eastAsia="zh-CN"/>
              </w:rPr>
              <w:t>环境保护目标</w:t>
            </w:r>
          </w:p>
          <w:p w14:paraId="1374DD4E">
            <w:pPr>
              <w:keepNext w:val="0"/>
              <w:keepLines w:val="0"/>
              <w:pageBreakBefore w:val="0"/>
              <w:widowControl w:val="0"/>
              <w:kinsoku/>
              <w:wordWrap/>
              <w:overflowPunct/>
              <w:topLinePunct w:val="0"/>
              <w:autoSpaceDE/>
              <w:autoSpaceDN/>
              <w:bidi w:val="0"/>
              <w:adjustRightInd/>
              <w:snapToGrid/>
              <w:ind w:firstLine="480" w:firstLineChars="200"/>
              <w:textAlignment w:val="auto"/>
              <w:rPr>
                <w:color w:val="auto"/>
                <w:highlight w:val="none"/>
              </w:rPr>
            </w:pPr>
            <w:r>
              <w:rPr>
                <w:rFonts w:hint="eastAsia"/>
                <w:color w:val="auto"/>
                <w:highlight w:val="none"/>
                <w:lang w:val="en-US" w:eastAsia="zh-CN"/>
              </w:rPr>
              <w:t>本项目环境空气</w:t>
            </w:r>
            <w:r>
              <w:rPr>
                <w:rFonts w:hint="eastAsia"/>
                <w:color w:val="auto"/>
                <w:highlight w:val="none"/>
                <w:lang w:eastAsia="zh-CN"/>
              </w:rPr>
              <w:t>保护目标见</w:t>
            </w:r>
            <w:r>
              <w:rPr>
                <w:rFonts w:hint="eastAsia"/>
                <w:color w:val="auto"/>
                <w:highlight w:val="none"/>
                <w:lang w:val="en-US" w:eastAsia="zh-CN"/>
              </w:rPr>
              <w:t>表3.5-1</w:t>
            </w:r>
            <w:r>
              <w:rPr>
                <w:rFonts w:hint="eastAsia"/>
                <w:color w:val="auto"/>
                <w:highlight w:val="none"/>
                <w:lang w:eastAsia="zh-CN"/>
              </w:rPr>
              <w:t>。</w:t>
            </w:r>
            <w:bookmarkStart w:id="28" w:name="_Ref1401"/>
          </w:p>
          <w:p w14:paraId="7A548CC9">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eastAsia"/>
                <w:color w:val="auto"/>
                <w:highlight w:val="none"/>
                <w:lang w:eastAsia="zh-CN"/>
              </w:rPr>
            </w:pPr>
            <w:r>
              <w:rPr>
                <w:color w:val="auto"/>
                <w:highlight w:val="none"/>
              </w:rPr>
              <w:t>表</w:t>
            </w:r>
            <w:bookmarkEnd w:id="28"/>
            <w:r>
              <w:rPr>
                <w:rFonts w:hint="eastAsia"/>
                <w:color w:val="auto"/>
                <w:highlight w:val="none"/>
                <w:lang w:val="en-US" w:eastAsia="zh-CN"/>
              </w:rPr>
              <w:t xml:space="preserve">3.5-1 </w:t>
            </w:r>
            <w:r>
              <w:rPr>
                <w:rFonts w:hint="eastAsia"/>
                <w:color w:val="auto"/>
                <w:highlight w:val="none"/>
              </w:rPr>
              <w:t>环境空气保护目标表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56"/>
              <w:gridCol w:w="606"/>
              <w:gridCol w:w="635"/>
              <w:gridCol w:w="1453"/>
              <w:gridCol w:w="1327"/>
              <w:gridCol w:w="647"/>
              <w:gridCol w:w="992"/>
              <w:gridCol w:w="784"/>
              <w:gridCol w:w="624"/>
              <w:gridCol w:w="777"/>
            </w:tblGrid>
            <w:tr w14:paraId="5FAD3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56" w:type="dxa"/>
                  <w:vMerge w:val="restart"/>
                  <w:vAlign w:val="center"/>
                </w:tcPr>
                <w:p w14:paraId="51585447">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因素</w:t>
                  </w:r>
                </w:p>
                <w:p w14:paraId="41182FAC">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类别</w:t>
                  </w:r>
                </w:p>
              </w:tc>
              <w:tc>
                <w:tcPr>
                  <w:tcW w:w="1241" w:type="dxa"/>
                  <w:gridSpan w:val="2"/>
                  <w:vMerge w:val="restart"/>
                  <w:vAlign w:val="center"/>
                </w:tcPr>
                <w:p w14:paraId="3E900A6F">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保护目标</w:t>
                  </w:r>
                </w:p>
                <w:p w14:paraId="09EB187F">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名称</w:t>
                  </w:r>
                </w:p>
              </w:tc>
              <w:tc>
                <w:tcPr>
                  <w:tcW w:w="2780" w:type="dxa"/>
                  <w:gridSpan w:val="2"/>
                  <w:vAlign w:val="center"/>
                </w:tcPr>
                <w:p w14:paraId="356EFB31">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坐标</w:t>
                  </w:r>
                </w:p>
              </w:tc>
              <w:tc>
                <w:tcPr>
                  <w:tcW w:w="647" w:type="dxa"/>
                  <w:vMerge w:val="restart"/>
                  <w:vAlign w:val="center"/>
                </w:tcPr>
                <w:p w14:paraId="6DFE4AD8">
                  <w:pPr>
                    <w:pStyle w:val="34"/>
                    <w:bidi w:val="0"/>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eastAsia="zh-CN"/>
                    </w:rPr>
                    <w:t>保护</w:t>
                  </w:r>
                </w:p>
                <w:p w14:paraId="0AD28A04">
                  <w:pPr>
                    <w:pStyle w:val="34"/>
                    <w:bidi w:val="0"/>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eastAsia="zh-CN"/>
                    </w:rPr>
                    <w:t>对象</w:t>
                  </w:r>
                </w:p>
              </w:tc>
              <w:tc>
                <w:tcPr>
                  <w:tcW w:w="992" w:type="dxa"/>
                  <w:vMerge w:val="restart"/>
                  <w:vAlign w:val="center"/>
                </w:tcPr>
                <w:p w14:paraId="161F5600">
                  <w:pPr>
                    <w:pStyle w:val="34"/>
                    <w:bidi w:val="0"/>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eastAsia="zh-CN"/>
                    </w:rPr>
                    <w:t>保护内容</w:t>
                  </w:r>
                </w:p>
              </w:tc>
              <w:tc>
                <w:tcPr>
                  <w:tcW w:w="784" w:type="dxa"/>
                  <w:vMerge w:val="restart"/>
                  <w:vAlign w:val="center"/>
                </w:tcPr>
                <w:p w14:paraId="3653D8C8">
                  <w:pPr>
                    <w:pStyle w:val="34"/>
                    <w:bidi w:val="0"/>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eastAsia="zh-CN"/>
                    </w:rPr>
                    <w:t>环境</w:t>
                  </w:r>
                </w:p>
                <w:p w14:paraId="26D31BBA">
                  <w:pPr>
                    <w:pStyle w:val="34"/>
                    <w:bidi w:val="0"/>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eastAsia="zh-CN"/>
                    </w:rPr>
                    <w:t>功能区</w:t>
                  </w:r>
                </w:p>
              </w:tc>
              <w:tc>
                <w:tcPr>
                  <w:tcW w:w="624" w:type="dxa"/>
                  <w:vMerge w:val="restart"/>
                  <w:vAlign w:val="center"/>
                </w:tcPr>
                <w:p w14:paraId="1769C2D4">
                  <w:pPr>
                    <w:pStyle w:val="34"/>
                    <w:bidi w:val="0"/>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eastAsia="zh-CN"/>
                    </w:rPr>
                    <w:t>相对方位</w:t>
                  </w:r>
                </w:p>
              </w:tc>
              <w:tc>
                <w:tcPr>
                  <w:tcW w:w="777" w:type="dxa"/>
                  <w:vMerge w:val="restart"/>
                  <w:vAlign w:val="center"/>
                </w:tcPr>
                <w:p w14:paraId="3FF2D261">
                  <w:pPr>
                    <w:pStyle w:val="34"/>
                    <w:bidi w:val="0"/>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eastAsia="zh-CN"/>
                    </w:rPr>
                    <w:t>相对厂界距离/m</w:t>
                  </w:r>
                </w:p>
              </w:tc>
            </w:tr>
            <w:tr w14:paraId="7445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56" w:type="dxa"/>
                  <w:vMerge w:val="continue"/>
                  <w:vAlign w:val="center"/>
                </w:tcPr>
                <w:p w14:paraId="690253CB">
                  <w:pPr>
                    <w:pStyle w:val="34"/>
                    <w:bidi w:val="0"/>
                    <w:rPr>
                      <w:rFonts w:hint="eastAsia" w:ascii="Times New Roman" w:hAnsi="Times New Roman" w:eastAsia="宋体"/>
                      <w:color w:val="auto"/>
                      <w:sz w:val="21"/>
                      <w:highlight w:val="none"/>
                      <w:lang w:val="en-US" w:eastAsia="zh-CN"/>
                    </w:rPr>
                  </w:pPr>
                </w:p>
              </w:tc>
              <w:tc>
                <w:tcPr>
                  <w:tcW w:w="1241" w:type="dxa"/>
                  <w:gridSpan w:val="2"/>
                  <w:vMerge w:val="continue"/>
                  <w:vAlign w:val="center"/>
                </w:tcPr>
                <w:p w14:paraId="48CADDB1">
                  <w:pPr>
                    <w:pStyle w:val="34"/>
                    <w:bidi w:val="0"/>
                    <w:rPr>
                      <w:rFonts w:hint="eastAsia" w:ascii="Times New Roman" w:hAnsi="Times New Roman" w:eastAsia="宋体"/>
                      <w:color w:val="auto"/>
                      <w:sz w:val="21"/>
                      <w:highlight w:val="none"/>
                      <w:lang w:val="en-US" w:eastAsia="zh-CN"/>
                    </w:rPr>
                  </w:pPr>
                </w:p>
              </w:tc>
              <w:tc>
                <w:tcPr>
                  <w:tcW w:w="1453" w:type="dxa"/>
                  <w:vAlign w:val="center"/>
                </w:tcPr>
                <w:p w14:paraId="3AA0B790">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东经</w:t>
                  </w:r>
                </w:p>
              </w:tc>
              <w:tc>
                <w:tcPr>
                  <w:tcW w:w="1327" w:type="dxa"/>
                  <w:vAlign w:val="center"/>
                </w:tcPr>
                <w:p w14:paraId="0A23E794">
                  <w:pPr>
                    <w:pStyle w:val="34"/>
                    <w:bidi w:val="0"/>
                    <w:ind w:firstLine="0" w:firstLineChars="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北纬</w:t>
                  </w:r>
                </w:p>
              </w:tc>
              <w:tc>
                <w:tcPr>
                  <w:tcW w:w="647" w:type="dxa"/>
                  <w:vMerge w:val="continue"/>
                  <w:vAlign w:val="center"/>
                </w:tcPr>
                <w:p w14:paraId="1077A7DF">
                  <w:pPr>
                    <w:pStyle w:val="34"/>
                    <w:bidi w:val="0"/>
                    <w:rPr>
                      <w:rFonts w:hint="eastAsia" w:ascii="Times New Roman" w:hAnsi="Times New Roman" w:eastAsia="宋体"/>
                      <w:color w:val="auto"/>
                      <w:sz w:val="21"/>
                      <w:highlight w:val="none"/>
                      <w:lang w:eastAsia="zh-CN"/>
                    </w:rPr>
                  </w:pPr>
                </w:p>
              </w:tc>
              <w:tc>
                <w:tcPr>
                  <w:tcW w:w="992" w:type="dxa"/>
                  <w:vMerge w:val="continue"/>
                  <w:vAlign w:val="center"/>
                </w:tcPr>
                <w:p w14:paraId="3F1940CB">
                  <w:pPr>
                    <w:pStyle w:val="34"/>
                    <w:bidi w:val="0"/>
                    <w:rPr>
                      <w:rFonts w:hint="eastAsia" w:ascii="Times New Roman" w:hAnsi="Times New Roman" w:eastAsia="宋体"/>
                      <w:color w:val="auto"/>
                      <w:sz w:val="21"/>
                      <w:highlight w:val="none"/>
                      <w:lang w:eastAsia="zh-CN"/>
                    </w:rPr>
                  </w:pPr>
                </w:p>
              </w:tc>
              <w:tc>
                <w:tcPr>
                  <w:tcW w:w="784" w:type="dxa"/>
                  <w:vMerge w:val="continue"/>
                  <w:vAlign w:val="center"/>
                </w:tcPr>
                <w:p w14:paraId="7692021F">
                  <w:pPr>
                    <w:pStyle w:val="34"/>
                    <w:bidi w:val="0"/>
                    <w:rPr>
                      <w:rFonts w:hint="eastAsia" w:ascii="Times New Roman" w:hAnsi="Times New Roman" w:eastAsia="宋体"/>
                      <w:color w:val="auto"/>
                      <w:sz w:val="21"/>
                      <w:highlight w:val="none"/>
                      <w:lang w:eastAsia="zh-CN"/>
                    </w:rPr>
                  </w:pPr>
                </w:p>
              </w:tc>
              <w:tc>
                <w:tcPr>
                  <w:tcW w:w="624" w:type="dxa"/>
                  <w:vMerge w:val="continue"/>
                  <w:vAlign w:val="center"/>
                </w:tcPr>
                <w:p w14:paraId="0342AEED">
                  <w:pPr>
                    <w:pStyle w:val="34"/>
                    <w:bidi w:val="0"/>
                    <w:rPr>
                      <w:rFonts w:hint="eastAsia" w:ascii="Times New Roman" w:hAnsi="Times New Roman" w:eastAsia="宋体"/>
                      <w:color w:val="auto"/>
                      <w:sz w:val="21"/>
                      <w:highlight w:val="none"/>
                      <w:lang w:eastAsia="zh-CN"/>
                    </w:rPr>
                  </w:pPr>
                </w:p>
              </w:tc>
              <w:tc>
                <w:tcPr>
                  <w:tcW w:w="777" w:type="dxa"/>
                  <w:vMerge w:val="continue"/>
                  <w:vAlign w:val="center"/>
                </w:tcPr>
                <w:p w14:paraId="0B7F3BE7">
                  <w:pPr>
                    <w:pStyle w:val="34"/>
                    <w:bidi w:val="0"/>
                    <w:rPr>
                      <w:rFonts w:hint="eastAsia" w:ascii="Times New Roman" w:hAnsi="Times New Roman" w:eastAsia="宋体"/>
                      <w:color w:val="auto"/>
                      <w:sz w:val="21"/>
                      <w:highlight w:val="none"/>
                      <w:lang w:eastAsia="zh-CN"/>
                    </w:rPr>
                  </w:pPr>
                </w:p>
              </w:tc>
            </w:tr>
            <w:tr w14:paraId="1B23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56" w:type="dxa"/>
                  <w:vMerge w:val="restart"/>
                  <w:vAlign w:val="center"/>
                </w:tcPr>
                <w:p w14:paraId="60D9DCC0">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大气环境</w:t>
                  </w:r>
                </w:p>
              </w:tc>
              <w:tc>
                <w:tcPr>
                  <w:tcW w:w="606" w:type="dxa"/>
                  <w:vMerge w:val="restart"/>
                  <w:vAlign w:val="center"/>
                </w:tcPr>
                <w:p w14:paraId="4C7CE92A">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厂址</w:t>
                  </w:r>
                </w:p>
              </w:tc>
              <w:tc>
                <w:tcPr>
                  <w:tcW w:w="635" w:type="dxa"/>
                  <w:vAlign w:val="center"/>
                </w:tcPr>
                <w:p w14:paraId="143AAF6A">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常平村</w:t>
                  </w:r>
                </w:p>
              </w:tc>
              <w:tc>
                <w:tcPr>
                  <w:tcW w:w="1453" w:type="dxa"/>
                  <w:vAlign w:val="center"/>
                </w:tcPr>
                <w:p w14:paraId="38BF9481">
                  <w:pPr>
                    <w:pStyle w:val="34"/>
                    <w:bidi w:val="0"/>
                    <w:ind w:firstLine="0" w:firstLineChars="0"/>
                    <w:rPr>
                      <w:rFonts w:hint="eastAsia" w:ascii="Times New Roman" w:hAnsi="Times New Roman" w:eastAsia="宋体"/>
                      <w:color w:val="auto"/>
                      <w:sz w:val="21"/>
                      <w:highlight w:val="none"/>
                      <w:lang w:val="en-US" w:eastAsia="zh-CN"/>
                    </w:rPr>
                  </w:pPr>
                </w:p>
              </w:tc>
              <w:tc>
                <w:tcPr>
                  <w:tcW w:w="1327" w:type="dxa"/>
                  <w:vAlign w:val="center"/>
                </w:tcPr>
                <w:p w14:paraId="38E8B9C7">
                  <w:pPr>
                    <w:pStyle w:val="34"/>
                    <w:bidi w:val="0"/>
                    <w:ind w:firstLine="0" w:firstLineChars="0"/>
                    <w:rPr>
                      <w:rFonts w:hint="eastAsia" w:ascii="Times New Roman" w:hAnsi="Times New Roman" w:eastAsia="宋体"/>
                      <w:color w:val="auto"/>
                      <w:sz w:val="21"/>
                      <w:highlight w:val="none"/>
                      <w:lang w:val="en-US" w:eastAsia="zh-CN"/>
                    </w:rPr>
                  </w:pPr>
                </w:p>
              </w:tc>
              <w:tc>
                <w:tcPr>
                  <w:tcW w:w="647" w:type="dxa"/>
                  <w:vAlign w:val="center"/>
                </w:tcPr>
                <w:p w14:paraId="4E4294F6">
                  <w:pPr>
                    <w:pStyle w:val="34"/>
                    <w:bidi w:val="0"/>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val="en-US" w:eastAsia="zh-CN"/>
                    </w:rPr>
                    <w:t>居民</w:t>
                  </w:r>
                </w:p>
              </w:tc>
              <w:tc>
                <w:tcPr>
                  <w:tcW w:w="992" w:type="dxa"/>
                  <w:vAlign w:val="center"/>
                </w:tcPr>
                <w:p w14:paraId="237F79CE">
                  <w:pPr>
                    <w:pStyle w:val="34"/>
                    <w:bidi w:val="0"/>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2268人</w:t>
                  </w:r>
                </w:p>
              </w:tc>
              <w:tc>
                <w:tcPr>
                  <w:tcW w:w="784" w:type="dxa"/>
                  <w:vAlign w:val="center"/>
                </w:tcPr>
                <w:p w14:paraId="23659F31">
                  <w:pPr>
                    <w:pStyle w:val="34"/>
                    <w:bidi w:val="0"/>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二类</w:t>
                  </w:r>
                  <w:r>
                    <w:rPr>
                      <w:rFonts w:hint="eastAsia" w:ascii="Times New Roman" w:hAnsi="Times New Roman" w:eastAsia="宋体"/>
                      <w:color w:val="auto"/>
                      <w:sz w:val="21"/>
                      <w:highlight w:val="none"/>
                      <w:lang w:eastAsia="zh-CN"/>
                    </w:rPr>
                    <w:t>区</w:t>
                  </w:r>
                </w:p>
              </w:tc>
              <w:tc>
                <w:tcPr>
                  <w:tcW w:w="624" w:type="dxa"/>
                  <w:vAlign w:val="center"/>
                </w:tcPr>
                <w:p w14:paraId="411A1CC4">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N</w:t>
                  </w:r>
                </w:p>
              </w:tc>
              <w:tc>
                <w:tcPr>
                  <w:tcW w:w="777" w:type="dxa"/>
                  <w:vAlign w:val="center"/>
                </w:tcPr>
                <w:p w14:paraId="070E1843">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45</w:t>
                  </w:r>
                </w:p>
              </w:tc>
            </w:tr>
            <w:tr w14:paraId="7D20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56" w:type="dxa"/>
                  <w:vMerge w:val="continue"/>
                  <w:vAlign w:val="center"/>
                </w:tcPr>
                <w:p w14:paraId="4EE3569A">
                  <w:pPr>
                    <w:pStyle w:val="34"/>
                    <w:bidi w:val="0"/>
                    <w:rPr>
                      <w:rFonts w:hint="eastAsia" w:ascii="Times New Roman" w:hAnsi="Times New Roman" w:eastAsia="宋体"/>
                      <w:color w:val="auto"/>
                      <w:sz w:val="21"/>
                      <w:highlight w:val="none"/>
                      <w:lang w:val="en-US" w:eastAsia="zh-CN"/>
                    </w:rPr>
                  </w:pPr>
                </w:p>
              </w:tc>
              <w:tc>
                <w:tcPr>
                  <w:tcW w:w="606" w:type="dxa"/>
                  <w:vMerge w:val="continue"/>
                  <w:vAlign w:val="center"/>
                </w:tcPr>
                <w:p w14:paraId="59E420AF">
                  <w:pPr>
                    <w:pStyle w:val="34"/>
                    <w:bidi w:val="0"/>
                    <w:rPr>
                      <w:rFonts w:hint="default" w:ascii="Times New Roman" w:hAnsi="Times New Roman" w:eastAsia="宋体"/>
                      <w:color w:val="auto"/>
                      <w:sz w:val="21"/>
                      <w:highlight w:val="none"/>
                      <w:lang w:val="en-US" w:eastAsia="zh-CN"/>
                    </w:rPr>
                  </w:pPr>
                </w:p>
              </w:tc>
              <w:tc>
                <w:tcPr>
                  <w:tcW w:w="635" w:type="dxa"/>
                  <w:vAlign w:val="center"/>
                </w:tcPr>
                <w:p w14:paraId="3DAC10A9">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小逢上村</w:t>
                  </w:r>
                </w:p>
              </w:tc>
              <w:tc>
                <w:tcPr>
                  <w:tcW w:w="1453" w:type="dxa"/>
                  <w:shd w:val="clear" w:color="auto" w:fill="auto"/>
                  <w:vAlign w:val="center"/>
                </w:tcPr>
                <w:p w14:paraId="29A785BB">
                  <w:pPr>
                    <w:pStyle w:val="34"/>
                    <w:bidi w:val="0"/>
                    <w:ind w:firstLine="0" w:firstLineChars="0"/>
                    <w:rPr>
                      <w:rFonts w:hint="default" w:ascii="Times New Roman" w:hAnsi="Times New Roman" w:eastAsia="宋体" w:cs="Times New Roman"/>
                      <w:color w:val="auto"/>
                      <w:kern w:val="2"/>
                      <w:sz w:val="21"/>
                      <w:szCs w:val="21"/>
                      <w:highlight w:val="none"/>
                      <w:lang w:val="en-US" w:eastAsia="zh-CN" w:bidi="ar"/>
                    </w:rPr>
                  </w:pPr>
                </w:p>
              </w:tc>
              <w:tc>
                <w:tcPr>
                  <w:tcW w:w="1327" w:type="dxa"/>
                  <w:shd w:val="clear" w:color="auto" w:fill="auto"/>
                  <w:vAlign w:val="center"/>
                </w:tcPr>
                <w:p w14:paraId="65F4E553">
                  <w:pPr>
                    <w:pStyle w:val="34"/>
                    <w:bidi w:val="0"/>
                    <w:ind w:firstLine="0" w:firstLineChars="0"/>
                    <w:rPr>
                      <w:rFonts w:hint="default" w:ascii="Times New Roman" w:hAnsi="Times New Roman" w:eastAsia="宋体" w:cs="Times New Roman"/>
                      <w:color w:val="auto"/>
                      <w:kern w:val="2"/>
                      <w:sz w:val="21"/>
                      <w:szCs w:val="21"/>
                      <w:highlight w:val="none"/>
                      <w:lang w:val="en-US" w:eastAsia="zh-CN" w:bidi="ar"/>
                    </w:rPr>
                  </w:pPr>
                </w:p>
              </w:tc>
              <w:tc>
                <w:tcPr>
                  <w:tcW w:w="647" w:type="dxa"/>
                  <w:vAlign w:val="center"/>
                </w:tcPr>
                <w:p w14:paraId="3584D4AA">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居</w:t>
                  </w:r>
                  <w:r>
                    <w:rPr>
                      <w:rFonts w:hint="eastAsia" w:ascii="Times New Roman" w:hAnsi="Times New Roman" w:eastAsia="宋体"/>
                      <w:color w:val="auto"/>
                      <w:sz w:val="21"/>
                      <w:highlight w:val="none"/>
                      <w:lang w:val="en-US" w:eastAsia="zh-CN"/>
                    </w:rPr>
                    <w:t>民</w:t>
                  </w:r>
                </w:p>
              </w:tc>
              <w:tc>
                <w:tcPr>
                  <w:tcW w:w="992" w:type="dxa"/>
                  <w:shd w:val="clear" w:color="auto" w:fill="auto"/>
                  <w:vAlign w:val="center"/>
                </w:tcPr>
                <w:p w14:paraId="5A7E6685">
                  <w:pPr>
                    <w:pStyle w:val="34"/>
                    <w:bidi w:val="0"/>
                    <w:ind w:firstLine="0" w:firstLineChars="0"/>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265人</w:t>
                  </w:r>
                </w:p>
              </w:tc>
              <w:tc>
                <w:tcPr>
                  <w:tcW w:w="784" w:type="dxa"/>
                  <w:shd w:val="clear" w:color="auto" w:fill="auto"/>
                  <w:vAlign w:val="center"/>
                </w:tcPr>
                <w:p w14:paraId="1E47163A">
                  <w:pPr>
                    <w:pStyle w:val="34"/>
                    <w:bidi w:val="0"/>
                    <w:ind w:firstLine="0" w:firstLineChars="0"/>
                    <w:rPr>
                      <w:rFonts w:hint="eastAsia"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二类</w:t>
                  </w:r>
                  <w:r>
                    <w:rPr>
                      <w:rFonts w:hint="eastAsia" w:ascii="Times New Roman" w:hAnsi="Times New Roman" w:eastAsia="宋体"/>
                      <w:color w:val="auto"/>
                      <w:sz w:val="21"/>
                      <w:highlight w:val="none"/>
                      <w:lang w:eastAsia="zh-CN"/>
                    </w:rPr>
                    <w:t>区</w:t>
                  </w:r>
                </w:p>
              </w:tc>
              <w:tc>
                <w:tcPr>
                  <w:tcW w:w="624" w:type="dxa"/>
                  <w:shd w:val="clear" w:color="auto" w:fill="auto"/>
                  <w:vAlign w:val="center"/>
                </w:tcPr>
                <w:p w14:paraId="7FBED915">
                  <w:pPr>
                    <w:pStyle w:val="34"/>
                    <w:bidi w:val="0"/>
                    <w:ind w:firstLine="0" w:firstLineChars="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S</w:t>
                  </w:r>
                </w:p>
              </w:tc>
              <w:tc>
                <w:tcPr>
                  <w:tcW w:w="777" w:type="dxa"/>
                  <w:vAlign w:val="center"/>
                </w:tcPr>
                <w:p w14:paraId="0F5002BF">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102</w:t>
                  </w:r>
                </w:p>
              </w:tc>
            </w:tr>
            <w:tr w14:paraId="7305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56" w:type="dxa"/>
                  <w:vMerge w:val="continue"/>
                  <w:vAlign w:val="center"/>
                </w:tcPr>
                <w:p w14:paraId="52375B69">
                  <w:pPr>
                    <w:pStyle w:val="34"/>
                    <w:bidi w:val="0"/>
                    <w:rPr>
                      <w:rFonts w:hint="eastAsia" w:ascii="Times New Roman" w:hAnsi="Times New Roman" w:eastAsia="宋体"/>
                      <w:color w:val="auto"/>
                      <w:sz w:val="21"/>
                      <w:highlight w:val="none"/>
                      <w:lang w:val="en-US" w:eastAsia="zh-CN"/>
                    </w:rPr>
                  </w:pPr>
                </w:p>
              </w:tc>
              <w:tc>
                <w:tcPr>
                  <w:tcW w:w="606" w:type="dxa"/>
                  <w:vMerge w:val="continue"/>
                  <w:vAlign w:val="center"/>
                </w:tcPr>
                <w:p w14:paraId="3C49BA5C">
                  <w:pPr>
                    <w:pStyle w:val="34"/>
                    <w:bidi w:val="0"/>
                    <w:rPr>
                      <w:rFonts w:hint="default" w:ascii="Times New Roman" w:hAnsi="Times New Roman" w:eastAsia="宋体"/>
                      <w:color w:val="auto"/>
                      <w:sz w:val="21"/>
                      <w:highlight w:val="none"/>
                      <w:lang w:val="en-US" w:eastAsia="zh-CN"/>
                    </w:rPr>
                  </w:pPr>
                </w:p>
              </w:tc>
              <w:tc>
                <w:tcPr>
                  <w:tcW w:w="635" w:type="dxa"/>
                  <w:vAlign w:val="center"/>
                </w:tcPr>
                <w:p w14:paraId="7F79E7C1">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王章村</w:t>
                  </w:r>
                </w:p>
              </w:tc>
              <w:tc>
                <w:tcPr>
                  <w:tcW w:w="1453" w:type="dxa"/>
                  <w:shd w:val="clear" w:color="auto" w:fill="auto"/>
                  <w:vAlign w:val="center"/>
                </w:tcPr>
                <w:p w14:paraId="200EDD02">
                  <w:pPr>
                    <w:pStyle w:val="34"/>
                    <w:bidi w:val="0"/>
                    <w:ind w:firstLine="0" w:firstLineChars="0"/>
                    <w:rPr>
                      <w:rFonts w:hint="default" w:ascii="Times New Roman" w:hAnsi="Times New Roman" w:eastAsia="宋体" w:cs="Times New Roman"/>
                      <w:color w:val="auto"/>
                      <w:kern w:val="2"/>
                      <w:sz w:val="21"/>
                      <w:szCs w:val="21"/>
                      <w:highlight w:val="none"/>
                      <w:lang w:val="en-US" w:eastAsia="zh-CN" w:bidi="ar"/>
                    </w:rPr>
                  </w:pPr>
                </w:p>
              </w:tc>
              <w:tc>
                <w:tcPr>
                  <w:tcW w:w="1327" w:type="dxa"/>
                  <w:shd w:val="clear" w:color="auto" w:fill="auto"/>
                  <w:vAlign w:val="center"/>
                </w:tcPr>
                <w:p w14:paraId="479DB7B4">
                  <w:pPr>
                    <w:pStyle w:val="34"/>
                    <w:bidi w:val="0"/>
                    <w:ind w:firstLine="0" w:firstLineChars="0"/>
                    <w:rPr>
                      <w:rFonts w:hint="default" w:ascii="Times New Roman" w:hAnsi="Times New Roman" w:eastAsia="宋体" w:cs="Times New Roman"/>
                      <w:color w:val="auto"/>
                      <w:kern w:val="2"/>
                      <w:sz w:val="21"/>
                      <w:szCs w:val="21"/>
                      <w:highlight w:val="none"/>
                      <w:lang w:val="en-US" w:eastAsia="zh-CN" w:bidi="ar"/>
                    </w:rPr>
                  </w:pPr>
                </w:p>
              </w:tc>
              <w:tc>
                <w:tcPr>
                  <w:tcW w:w="647" w:type="dxa"/>
                  <w:shd w:val="clear" w:color="auto" w:fill="auto"/>
                  <w:vAlign w:val="center"/>
                </w:tcPr>
                <w:p w14:paraId="4C3C00FC">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color w:val="auto"/>
                      <w:sz w:val="21"/>
                      <w:highlight w:val="none"/>
                      <w:lang w:val="en-US" w:eastAsia="zh-CN"/>
                    </w:rPr>
                    <w:t>居</w:t>
                  </w:r>
                  <w:r>
                    <w:rPr>
                      <w:rFonts w:hint="eastAsia" w:ascii="Times New Roman" w:hAnsi="Times New Roman" w:eastAsia="宋体"/>
                      <w:color w:val="auto"/>
                      <w:sz w:val="21"/>
                      <w:highlight w:val="none"/>
                      <w:lang w:val="en-US" w:eastAsia="zh-CN"/>
                    </w:rPr>
                    <w:t>民</w:t>
                  </w:r>
                </w:p>
              </w:tc>
              <w:tc>
                <w:tcPr>
                  <w:tcW w:w="992" w:type="dxa"/>
                  <w:shd w:val="clear" w:color="auto" w:fill="auto"/>
                  <w:vAlign w:val="center"/>
                </w:tcPr>
                <w:p w14:paraId="5E6D956B">
                  <w:pPr>
                    <w:pStyle w:val="34"/>
                    <w:bidi w:val="0"/>
                    <w:ind w:firstLine="0" w:firstLineChars="0"/>
                    <w:rPr>
                      <w:rFonts w:hint="eastAsia" w:ascii="Times New Roman" w:hAnsi="Times New Roman" w:eastAsia="宋体" w:cs="Times New Roman"/>
                      <w:color w:val="auto"/>
                      <w:kern w:val="2"/>
                      <w:sz w:val="21"/>
                      <w:szCs w:val="21"/>
                      <w:highlight w:val="none"/>
                      <w:lang w:val="en-US" w:eastAsia="zh-CN" w:bidi="ar"/>
                    </w:rPr>
                  </w:pPr>
                  <w:r>
                    <w:rPr>
                      <w:rFonts w:hint="eastAsia" w:ascii="Times New Roman" w:hAnsi="Times New Roman" w:cs="Times New Roman"/>
                      <w:color w:val="auto"/>
                      <w:sz w:val="21"/>
                      <w:highlight w:val="none"/>
                      <w:lang w:val="en-US" w:eastAsia="zh-CN"/>
                    </w:rPr>
                    <w:t>1231</w:t>
                  </w:r>
                  <w:r>
                    <w:rPr>
                      <w:rFonts w:hint="eastAsia" w:ascii="Times New Roman" w:hAnsi="Times New Roman" w:eastAsia="宋体" w:cs="Times New Roman"/>
                      <w:color w:val="auto"/>
                      <w:sz w:val="21"/>
                      <w:highlight w:val="none"/>
                      <w:lang w:val="en-US" w:eastAsia="zh-CN"/>
                    </w:rPr>
                    <w:t>人</w:t>
                  </w:r>
                </w:p>
              </w:tc>
              <w:tc>
                <w:tcPr>
                  <w:tcW w:w="784" w:type="dxa"/>
                  <w:shd w:val="clear" w:color="auto" w:fill="auto"/>
                  <w:vAlign w:val="center"/>
                </w:tcPr>
                <w:p w14:paraId="19F826D4">
                  <w:pPr>
                    <w:pStyle w:val="34"/>
                    <w:bidi w:val="0"/>
                    <w:ind w:firstLine="0" w:firstLineChars="0"/>
                    <w:rPr>
                      <w:rFonts w:hint="eastAsia" w:ascii="Times New Roman" w:hAnsi="Times New Roman" w:eastAsia="宋体" w:cs="Times New Roman"/>
                      <w:color w:val="auto"/>
                      <w:kern w:val="2"/>
                      <w:sz w:val="21"/>
                      <w:szCs w:val="21"/>
                      <w:highlight w:val="none"/>
                      <w:lang w:val="en-US" w:eastAsia="zh-CN" w:bidi="ar"/>
                    </w:rPr>
                  </w:pPr>
                  <w:r>
                    <w:rPr>
                      <w:rFonts w:hint="eastAsia" w:ascii="Times New Roman" w:hAnsi="Times New Roman" w:eastAsia="宋体" w:cs="Times New Roman"/>
                      <w:color w:val="auto"/>
                      <w:sz w:val="21"/>
                      <w:highlight w:val="none"/>
                      <w:lang w:val="en-US" w:eastAsia="zh-CN"/>
                    </w:rPr>
                    <w:t>二类</w:t>
                  </w:r>
                  <w:r>
                    <w:rPr>
                      <w:rFonts w:hint="eastAsia" w:ascii="Times New Roman" w:hAnsi="Times New Roman" w:eastAsia="宋体"/>
                      <w:color w:val="auto"/>
                      <w:sz w:val="21"/>
                      <w:highlight w:val="none"/>
                      <w:lang w:eastAsia="zh-CN"/>
                    </w:rPr>
                    <w:t>区</w:t>
                  </w:r>
                </w:p>
              </w:tc>
              <w:tc>
                <w:tcPr>
                  <w:tcW w:w="624" w:type="dxa"/>
                  <w:shd w:val="clear" w:color="auto" w:fill="auto"/>
                  <w:vAlign w:val="center"/>
                </w:tcPr>
                <w:p w14:paraId="2B9644DC">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cs="宋体"/>
                      <w:color w:val="auto"/>
                      <w:kern w:val="2"/>
                      <w:sz w:val="21"/>
                      <w:szCs w:val="21"/>
                      <w:highlight w:val="none"/>
                      <w:lang w:val="en-US" w:eastAsia="zh-CN" w:bidi="ar"/>
                    </w:rPr>
                    <w:t>N</w:t>
                  </w:r>
                </w:p>
              </w:tc>
              <w:tc>
                <w:tcPr>
                  <w:tcW w:w="777" w:type="dxa"/>
                  <w:shd w:val="clear" w:color="auto" w:fill="auto"/>
                  <w:vAlign w:val="center"/>
                </w:tcPr>
                <w:p w14:paraId="1642AFF3">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cs="宋体"/>
                      <w:color w:val="auto"/>
                      <w:kern w:val="2"/>
                      <w:sz w:val="21"/>
                      <w:szCs w:val="21"/>
                      <w:highlight w:val="none"/>
                      <w:lang w:val="en-US" w:eastAsia="zh-CN" w:bidi="ar"/>
                    </w:rPr>
                    <w:t>460</w:t>
                  </w:r>
                </w:p>
              </w:tc>
            </w:tr>
            <w:tr w14:paraId="6072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56" w:type="dxa"/>
                  <w:vMerge w:val="continue"/>
                  <w:vAlign w:val="center"/>
                </w:tcPr>
                <w:p w14:paraId="06061565">
                  <w:pPr>
                    <w:pStyle w:val="34"/>
                    <w:bidi w:val="0"/>
                    <w:rPr>
                      <w:rFonts w:hint="eastAsia" w:ascii="Times New Roman" w:hAnsi="Times New Roman" w:eastAsia="宋体"/>
                      <w:color w:val="auto"/>
                      <w:sz w:val="21"/>
                      <w:highlight w:val="none"/>
                      <w:lang w:val="en-US" w:eastAsia="zh-CN"/>
                    </w:rPr>
                  </w:pPr>
                </w:p>
              </w:tc>
              <w:tc>
                <w:tcPr>
                  <w:tcW w:w="1241" w:type="dxa"/>
                  <w:gridSpan w:val="2"/>
                  <w:vMerge w:val="restart"/>
                  <w:vAlign w:val="center"/>
                </w:tcPr>
                <w:p w14:paraId="3A26938A">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保护目标</w:t>
                  </w:r>
                </w:p>
              </w:tc>
              <w:tc>
                <w:tcPr>
                  <w:tcW w:w="2780" w:type="dxa"/>
                  <w:gridSpan w:val="2"/>
                  <w:shd w:val="clear" w:color="auto" w:fill="auto"/>
                  <w:vAlign w:val="center"/>
                </w:tcPr>
                <w:p w14:paraId="1DFA20CE">
                  <w:pPr>
                    <w:pStyle w:val="34"/>
                    <w:bidi w:val="0"/>
                    <w:ind w:firstLine="0" w:firstLineChars="0"/>
                    <w:rPr>
                      <w:rFonts w:hint="default" w:ascii="Times New Roman" w:hAnsi="Times New Roman" w:eastAsia="宋体" w:cs="Times New Roman"/>
                      <w:color w:val="auto"/>
                      <w:sz w:val="21"/>
                      <w:highlight w:val="none"/>
                      <w:lang w:val="en-US" w:eastAsia="zh-CN"/>
                    </w:rPr>
                  </w:pPr>
                  <w:r>
                    <w:rPr>
                      <w:rFonts w:hint="eastAsia" w:cs="Times New Roman"/>
                      <w:color w:val="auto"/>
                      <w:sz w:val="21"/>
                      <w:highlight w:val="none"/>
                      <w:lang w:val="en-US" w:eastAsia="zh-CN"/>
                    </w:rPr>
                    <w:t>坐标</w:t>
                  </w:r>
                </w:p>
              </w:tc>
              <w:tc>
                <w:tcPr>
                  <w:tcW w:w="647" w:type="dxa"/>
                  <w:vMerge w:val="restart"/>
                  <w:shd w:val="clear" w:color="auto" w:fill="auto"/>
                  <w:vAlign w:val="center"/>
                </w:tcPr>
                <w:p w14:paraId="3A4218F1">
                  <w:pPr>
                    <w:pStyle w:val="34"/>
                    <w:bidi w:val="0"/>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eastAsia="zh-CN"/>
                    </w:rPr>
                    <w:t>保护</w:t>
                  </w:r>
                </w:p>
                <w:p w14:paraId="37762976">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eastAsia="zh-CN"/>
                    </w:rPr>
                    <w:t>对象</w:t>
                  </w:r>
                </w:p>
              </w:tc>
              <w:tc>
                <w:tcPr>
                  <w:tcW w:w="992" w:type="dxa"/>
                  <w:vMerge w:val="restart"/>
                  <w:shd w:val="clear" w:color="auto" w:fill="auto"/>
                  <w:vAlign w:val="center"/>
                </w:tcPr>
                <w:p w14:paraId="1D03D5D2">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eastAsia="zh-CN"/>
                    </w:rPr>
                    <w:t>保护内容</w:t>
                  </w:r>
                </w:p>
              </w:tc>
              <w:tc>
                <w:tcPr>
                  <w:tcW w:w="784" w:type="dxa"/>
                  <w:vMerge w:val="restart"/>
                  <w:shd w:val="clear" w:color="auto" w:fill="auto"/>
                  <w:vAlign w:val="center"/>
                </w:tcPr>
                <w:p w14:paraId="0A1D4CCF">
                  <w:pPr>
                    <w:pStyle w:val="34"/>
                    <w:bidi w:val="0"/>
                    <w:ind w:firstLine="0" w:firstLineChars="0"/>
                    <w:rPr>
                      <w:rFonts w:hint="default" w:ascii="Times New Roman" w:hAnsi="Times New Roman" w:eastAsia="宋体" w:cs="Times New Roman"/>
                      <w:color w:val="auto"/>
                      <w:sz w:val="21"/>
                      <w:highlight w:val="none"/>
                      <w:lang w:val="en-US" w:eastAsia="zh-CN"/>
                    </w:rPr>
                  </w:pPr>
                  <w:r>
                    <w:rPr>
                      <w:rFonts w:hint="eastAsia" w:cs="Times New Roman"/>
                      <w:color w:val="auto"/>
                      <w:sz w:val="21"/>
                      <w:highlight w:val="none"/>
                      <w:lang w:val="en-US" w:eastAsia="zh-CN"/>
                    </w:rPr>
                    <w:t>环境功能区</w:t>
                  </w:r>
                </w:p>
              </w:tc>
              <w:tc>
                <w:tcPr>
                  <w:tcW w:w="624" w:type="dxa"/>
                  <w:vMerge w:val="restart"/>
                  <w:shd w:val="clear" w:color="auto" w:fill="auto"/>
                  <w:vAlign w:val="center"/>
                </w:tcPr>
                <w:p w14:paraId="546054C1">
                  <w:pPr>
                    <w:pStyle w:val="34"/>
                    <w:bidi w:val="0"/>
                    <w:ind w:firstLine="0" w:firstLineChars="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相对距离/m</w:t>
                  </w:r>
                </w:p>
              </w:tc>
              <w:tc>
                <w:tcPr>
                  <w:tcW w:w="777" w:type="dxa"/>
                  <w:vMerge w:val="restart"/>
                  <w:vAlign w:val="center"/>
                </w:tcPr>
                <w:p w14:paraId="4A2563C8">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备注</w:t>
                  </w:r>
                </w:p>
              </w:tc>
            </w:tr>
            <w:tr w14:paraId="1BAA8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56" w:type="dxa"/>
                  <w:vMerge w:val="continue"/>
                  <w:vAlign w:val="center"/>
                </w:tcPr>
                <w:p w14:paraId="3EEF6CF4">
                  <w:pPr>
                    <w:pStyle w:val="34"/>
                    <w:bidi w:val="0"/>
                    <w:rPr>
                      <w:rFonts w:hint="eastAsia" w:ascii="Times New Roman" w:hAnsi="Times New Roman" w:eastAsia="宋体"/>
                      <w:color w:val="auto"/>
                      <w:sz w:val="21"/>
                      <w:highlight w:val="none"/>
                      <w:lang w:val="en-US" w:eastAsia="zh-CN"/>
                    </w:rPr>
                  </w:pPr>
                </w:p>
              </w:tc>
              <w:tc>
                <w:tcPr>
                  <w:tcW w:w="1241" w:type="dxa"/>
                  <w:gridSpan w:val="2"/>
                  <w:vMerge w:val="continue"/>
                  <w:vAlign w:val="center"/>
                </w:tcPr>
                <w:p w14:paraId="6734446C">
                  <w:pPr>
                    <w:pStyle w:val="34"/>
                    <w:bidi w:val="0"/>
                    <w:rPr>
                      <w:rFonts w:hint="eastAsia" w:ascii="Times New Roman" w:hAnsi="Times New Roman" w:eastAsia="宋体"/>
                      <w:color w:val="auto"/>
                      <w:sz w:val="21"/>
                      <w:highlight w:val="none"/>
                      <w:lang w:val="en-US" w:eastAsia="zh-CN"/>
                    </w:rPr>
                  </w:pPr>
                </w:p>
              </w:tc>
              <w:tc>
                <w:tcPr>
                  <w:tcW w:w="1453" w:type="dxa"/>
                  <w:shd w:val="clear" w:color="auto" w:fill="auto"/>
                  <w:vAlign w:val="center"/>
                </w:tcPr>
                <w:p w14:paraId="2EE76C81">
                  <w:pPr>
                    <w:pStyle w:val="34"/>
                    <w:bidi w:val="0"/>
                    <w:ind w:firstLine="0" w:firstLineChars="0"/>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olor w:val="auto"/>
                      <w:sz w:val="21"/>
                      <w:highlight w:val="none"/>
                      <w:lang w:val="en-US" w:eastAsia="zh-CN"/>
                    </w:rPr>
                    <w:t>东经</w:t>
                  </w:r>
                </w:p>
              </w:tc>
              <w:tc>
                <w:tcPr>
                  <w:tcW w:w="1327" w:type="dxa"/>
                  <w:shd w:val="clear" w:color="auto" w:fill="auto"/>
                  <w:vAlign w:val="center"/>
                </w:tcPr>
                <w:p w14:paraId="03209744">
                  <w:pPr>
                    <w:pStyle w:val="34"/>
                    <w:bidi w:val="0"/>
                    <w:ind w:firstLine="0" w:firstLineChars="0"/>
                    <w:rPr>
                      <w:rFonts w:hint="default" w:ascii="Times New Roman" w:hAnsi="Times New Roman" w:eastAsia="宋体" w:cs="Times New Roman"/>
                      <w:color w:val="auto"/>
                      <w:sz w:val="21"/>
                      <w:highlight w:val="none"/>
                      <w:lang w:val="en-US" w:eastAsia="zh-CN"/>
                    </w:rPr>
                  </w:pPr>
                  <w:r>
                    <w:rPr>
                      <w:rFonts w:hint="eastAsia"/>
                      <w:color w:val="auto"/>
                      <w:sz w:val="21"/>
                      <w:highlight w:val="none"/>
                      <w:lang w:val="en-US" w:eastAsia="zh-CN"/>
                    </w:rPr>
                    <w:t>北纬</w:t>
                  </w:r>
                </w:p>
              </w:tc>
              <w:tc>
                <w:tcPr>
                  <w:tcW w:w="647" w:type="dxa"/>
                  <w:vMerge w:val="continue"/>
                  <w:vAlign w:val="center"/>
                </w:tcPr>
                <w:p w14:paraId="3BAB0E51">
                  <w:pPr>
                    <w:pStyle w:val="34"/>
                    <w:bidi w:val="0"/>
                    <w:rPr>
                      <w:rFonts w:hint="eastAsia" w:ascii="Times New Roman" w:hAnsi="Times New Roman" w:eastAsia="宋体"/>
                      <w:color w:val="auto"/>
                      <w:sz w:val="21"/>
                      <w:highlight w:val="none"/>
                      <w:lang w:val="en-US" w:eastAsia="zh-CN"/>
                    </w:rPr>
                  </w:pPr>
                </w:p>
              </w:tc>
              <w:tc>
                <w:tcPr>
                  <w:tcW w:w="992" w:type="dxa"/>
                  <w:vMerge w:val="continue"/>
                  <w:shd w:val="clear" w:color="auto" w:fill="auto"/>
                  <w:vAlign w:val="center"/>
                </w:tcPr>
                <w:p w14:paraId="50C1D5EC">
                  <w:pPr>
                    <w:pStyle w:val="34"/>
                    <w:bidi w:val="0"/>
                    <w:ind w:firstLine="0" w:firstLineChars="0"/>
                    <w:rPr>
                      <w:rFonts w:hint="eastAsia" w:ascii="Times New Roman" w:hAnsi="Times New Roman" w:eastAsia="宋体" w:cs="Times New Roman"/>
                      <w:color w:val="auto"/>
                      <w:sz w:val="21"/>
                      <w:highlight w:val="none"/>
                      <w:lang w:val="en-US" w:eastAsia="zh-CN"/>
                    </w:rPr>
                  </w:pPr>
                </w:p>
              </w:tc>
              <w:tc>
                <w:tcPr>
                  <w:tcW w:w="784" w:type="dxa"/>
                  <w:vMerge w:val="continue"/>
                  <w:shd w:val="clear" w:color="auto" w:fill="auto"/>
                  <w:vAlign w:val="center"/>
                </w:tcPr>
                <w:p w14:paraId="4D330F69">
                  <w:pPr>
                    <w:pStyle w:val="34"/>
                    <w:bidi w:val="0"/>
                    <w:ind w:firstLine="0" w:firstLineChars="0"/>
                    <w:rPr>
                      <w:rFonts w:hint="eastAsia" w:ascii="Times New Roman" w:hAnsi="Times New Roman" w:eastAsia="宋体" w:cs="Times New Roman"/>
                      <w:color w:val="auto"/>
                      <w:sz w:val="21"/>
                      <w:highlight w:val="none"/>
                      <w:lang w:val="en-US" w:eastAsia="zh-CN"/>
                    </w:rPr>
                  </w:pPr>
                </w:p>
              </w:tc>
              <w:tc>
                <w:tcPr>
                  <w:tcW w:w="624" w:type="dxa"/>
                  <w:vMerge w:val="continue"/>
                  <w:shd w:val="clear" w:color="auto" w:fill="auto"/>
                  <w:vAlign w:val="center"/>
                </w:tcPr>
                <w:p w14:paraId="34CD7EA5">
                  <w:pPr>
                    <w:pStyle w:val="34"/>
                    <w:bidi w:val="0"/>
                    <w:ind w:firstLine="0" w:firstLineChars="0"/>
                    <w:rPr>
                      <w:rFonts w:hint="eastAsia" w:ascii="Times New Roman" w:hAnsi="Times New Roman" w:eastAsia="宋体"/>
                      <w:color w:val="auto"/>
                      <w:sz w:val="21"/>
                      <w:highlight w:val="none"/>
                      <w:lang w:val="en-US" w:eastAsia="zh-CN"/>
                    </w:rPr>
                  </w:pPr>
                </w:p>
              </w:tc>
              <w:tc>
                <w:tcPr>
                  <w:tcW w:w="777" w:type="dxa"/>
                  <w:vMerge w:val="continue"/>
                  <w:vAlign w:val="center"/>
                </w:tcPr>
                <w:p w14:paraId="042168BC">
                  <w:pPr>
                    <w:pStyle w:val="34"/>
                    <w:bidi w:val="0"/>
                    <w:rPr>
                      <w:rFonts w:hint="eastAsia" w:ascii="Times New Roman" w:hAnsi="Times New Roman" w:eastAsia="宋体"/>
                      <w:color w:val="auto"/>
                      <w:sz w:val="21"/>
                      <w:highlight w:val="none"/>
                      <w:lang w:val="en-US" w:eastAsia="zh-CN"/>
                    </w:rPr>
                  </w:pPr>
                </w:p>
              </w:tc>
            </w:tr>
            <w:tr w14:paraId="4CB0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56" w:type="dxa"/>
                  <w:vMerge w:val="continue"/>
                  <w:vAlign w:val="center"/>
                </w:tcPr>
                <w:p w14:paraId="79193282">
                  <w:pPr>
                    <w:pStyle w:val="34"/>
                    <w:bidi w:val="0"/>
                    <w:rPr>
                      <w:rFonts w:hint="eastAsia" w:ascii="Times New Roman" w:hAnsi="Times New Roman" w:eastAsia="宋体"/>
                      <w:color w:val="auto"/>
                      <w:sz w:val="21"/>
                      <w:highlight w:val="none"/>
                      <w:lang w:val="en-US" w:eastAsia="zh-CN"/>
                    </w:rPr>
                  </w:pPr>
                </w:p>
              </w:tc>
              <w:tc>
                <w:tcPr>
                  <w:tcW w:w="606" w:type="dxa"/>
                  <w:vMerge w:val="restart"/>
                  <w:vAlign w:val="center"/>
                </w:tcPr>
                <w:p w14:paraId="7A35A49D">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运输沿线保护目标</w:t>
                  </w:r>
                </w:p>
              </w:tc>
              <w:tc>
                <w:tcPr>
                  <w:tcW w:w="635" w:type="dxa"/>
                  <w:vAlign w:val="center"/>
                </w:tcPr>
                <w:p w14:paraId="7FF1652F">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庄头村</w:t>
                  </w:r>
                </w:p>
              </w:tc>
              <w:tc>
                <w:tcPr>
                  <w:tcW w:w="1453" w:type="dxa"/>
                  <w:shd w:val="clear" w:color="auto" w:fill="auto"/>
                  <w:vAlign w:val="center"/>
                </w:tcPr>
                <w:p w14:paraId="2BC901A2">
                  <w:pPr>
                    <w:pStyle w:val="34"/>
                    <w:bidi w:val="0"/>
                    <w:ind w:firstLine="0" w:firstLineChars="0"/>
                    <w:rPr>
                      <w:rFonts w:hint="default" w:ascii="Times New Roman" w:hAnsi="Times New Roman" w:eastAsia="宋体" w:cs="Times New Roman"/>
                      <w:color w:val="auto"/>
                      <w:sz w:val="21"/>
                      <w:highlight w:val="none"/>
                      <w:lang w:val="en-US" w:eastAsia="zh-CN"/>
                    </w:rPr>
                  </w:pPr>
                </w:p>
              </w:tc>
              <w:tc>
                <w:tcPr>
                  <w:tcW w:w="1327" w:type="dxa"/>
                  <w:shd w:val="clear" w:color="auto" w:fill="auto"/>
                  <w:vAlign w:val="center"/>
                </w:tcPr>
                <w:p w14:paraId="1AAAD5E1">
                  <w:pPr>
                    <w:pStyle w:val="34"/>
                    <w:bidi w:val="0"/>
                    <w:ind w:firstLine="0" w:firstLineChars="0"/>
                    <w:rPr>
                      <w:rFonts w:hint="default" w:ascii="Times New Roman" w:hAnsi="Times New Roman" w:eastAsia="宋体" w:cs="Times New Roman"/>
                      <w:color w:val="auto"/>
                      <w:sz w:val="21"/>
                      <w:highlight w:val="none"/>
                      <w:lang w:val="en-US" w:eastAsia="zh-CN"/>
                    </w:rPr>
                  </w:pPr>
                </w:p>
              </w:tc>
              <w:tc>
                <w:tcPr>
                  <w:tcW w:w="647" w:type="dxa"/>
                  <w:vAlign w:val="center"/>
                </w:tcPr>
                <w:p w14:paraId="3DD8CDEE">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居民</w:t>
                  </w:r>
                </w:p>
              </w:tc>
              <w:tc>
                <w:tcPr>
                  <w:tcW w:w="992" w:type="dxa"/>
                  <w:shd w:val="clear" w:color="auto" w:fill="auto"/>
                  <w:vAlign w:val="center"/>
                </w:tcPr>
                <w:p w14:paraId="3BB42E41">
                  <w:pPr>
                    <w:pStyle w:val="34"/>
                    <w:bidi w:val="0"/>
                    <w:ind w:firstLine="0" w:firstLineChars="0"/>
                    <w:rPr>
                      <w:rFonts w:hint="default" w:ascii="Times New Roman" w:hAnsi="Times New Roman" w:eastAsia="宋体" w:cs="Times New Roman"/>
                      <w:color w:val="auto"/>
                      <w:sz w:val="21"/>
                      <w:highlight w:val="none"/>
                      <w:lang w:val="en-US" w:eastAsia="zh-CN"/>
                    </w:rPr>
                  </w:pPr>
                  <w:r>
                    <w:rPr>
                      <w:rFonts w:hint="eastAsia" w:cs="Times New Roman"/>
                      <w:color w:val="auto"/>
                      <w:sz w:val="21"/>
                      <w:highlight w:val="none"/>
                      <w:lang w:val="en-US" w:eastAsia="zh-CN"/>
                    </w:rPr>
                    <w:t>1945人</w:t>
                  </w:r>
                </w:p>
              </w:tc>
              <w:tc>
                <w:tcPr>
                  <w:tcW w:w="784" w:type="dxa"/>
                  <w:shd w:val="clear" w:color="auto" w:fill="auto"/>
                  <w:vAlign w:val="center"/>
                </w:tcPr>
                <w:p w14:paraId="515B88EA">
                  <w:pPr>
                    <w:pStyle w:val="34"/>
                    <w:bidi w:val="0"/>
                    <w:ind w:firstLine="0" w:firstLineChars="0"/>
                    <w:rPr>
                      <w:rFonts w:hint="default" w:ascii="Times New Roman" w:hAnsi="Times New Roman" w:eastAsia="宋体" w:cs="Times New Roman"/>
                      <w:color w:val="auto"/>
                      <w:sz w:val="21"/>
                      <w:highlight w:val="none"/>
                      <w:lang w:val="en-US" w:eastAsia="zh-CN"/>
                    </w:rPr>
                  </w:pPr>
                  <w:r>
                    <w:rPr>
                      <w:rFonts w:hint="eastAsia" w:cs="Times New Roman"/>
                      <w:color w:val="auto"/>
                      <w:sz w:val="21"/>
                      <w:highlight w:val="none"/>
                      <w:lang w:val="en-US" w:eastAsia="zh-CN"/>
                    </w:rPr>
                    <w:t>二类区</w:t>
                  </w:r>
                </w:p>
              </w:tc>
              <w:tc>
                <w:tcPr>
                  <w:tcW w:w="624" w:type="dxa"/>
                  <w:shd w:val="clear" w:color="auto" w:fill="auto"/>
                  <w:vAlign w:val="center"/>
                </w:tcPr>
                <w:p w14:paraId="531C029B">
                  <w:pPr>
                    <w:pStyle w:val="34"/>
                    <w:bidi w:val="0"/>
                    <w:ind w:firstLine="0" w:firstLineChars="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152</w:t>
                  </w:r>
                </w:p>
              </w:tc>
              <w:tc>
                <w:tcPr>
                  <w:tcW w:w="777" w:type="dxa"/>
                  <w:vMerge w:val="restart"/>
                  <w:vAlign w:val="center"/>
                </w:tcPr>
                <w:p w14:paraId="4424E2C1">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相对运输道路边界线距离</w:t>
                  </w:r>
                </w:p>
              </w:tc>
            </w:tr>
            <w:tr w14:paraId="30E5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56" w:type="dxa"/>
                  <w:vMerge w:val="continue"/>
                  <w:vAlign w:val="center"/>
                </w:tcPr>
                <w:p w14:paraId="1BCC24B6">
                  <w:pPr>
                    <w:pStyle w:val="34"/>
                    <w:bidi w:val="0"/>
                    <w:rPr>
                      <w:rFonts w:hint="eastAsia" w:ascii="Times New Roman" w:hAnsi="Times New Roman" w:eastAsia="宋体"/>
                      <w:color w:val="auto"/>
                      <w:sz w:val="21"/>
                      <w:highlight w:val="none"/>
                      <w:lang w:val="en-US" w:eastAsia="zh-CN"/>
                    </w:rPr>
                  </w:pPr>
                </w:p>
              </w:tc>
              <w:tc>
                <w:tcPr>
                  <w:tcW w:w="606" w:type="dxa"/>
                  <w:vMerge w:val="continue"/>
                  <w:vAlign w:val="center"/>
                </w:tcPr>
                <w:p w14:paraId="472AC073">
                  <w:pPr>
                    <w:pStyle w:val="34"/>
                    <w:bidi w:val="0"/>
                    <w:rPr>
                      <w:rFonts w:hint="eastAsia"/>
                      <w:color w:val="auto"/>
                      <w:sz w:val="21"/>
                      <w:highlight w:val="none"/>
                      <w:lang w:val="en-US" w:eastAsia="zh-CN"/>
                    </w:rPr>
                  </w:pPr>
                </w:p>
              </w:tc>
              <w:tc>
                <w:tcPr>
                  <w:tcW w:w="635" w:type="dxa"/>
                  <w:shd w:val="clear" w:color="auto" w:fill="auto"/>
                  <w:vAlign w:val="center"/>
                </w:tcPr>
                <w:p w14:paraId="28264C0A">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常平村</w:t>
                  </w:r>
                </w:p>
              </w:tc>
              <w:tc>
                <w:tcPr>
                  <w:tcW w:w="1453" w:type="dxa"/>
                  <w:shd w:val="clear" w:color="auto" w:fill="auto"/>
                  <w:vAlign w:val="center"/>
                </w:tcPr>
                <w:p w14:paraId="66580AB7">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p>
              </w:tc>
              <w:tc>
                <w:tcPr>
                  <w:tcW w:w="1327" w:type="dxa"/>
                  <w:shd w:val="clear" w:color="auto" w:fill="auto"/>
                  <w:vAlign w:val="center"/>
                </w:tcPr>
                <w:p w14:paraId="1284B410">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p>
              </w:tc>
              <w:tc>
                <w:tcPr>
                  <w:tcW w:w="647" w:type="dxa"/>
                  <w:vAlign w:val="center"/>
                </w:tcPr>
                <w:p w14:paraId="07D7F180">
                  <w:pPr>
                    <w:pStyle w:val="34"/>
                    <w:bidi w:val="0"/>
                    <w:rPr>
                      <w:rFonts w:hint="eastAsia"/>
                      <w:color w:val="auto"/>
                      <w:sz w:val="21"/>
                      <w:highlight w:val="none"/>
                      <w:lang w:val="en-US" w:eastAsia="zh-CN"/>
                    </w:rPr>
                  </w:pPr>
                  <w:r>
                    <w:rPr>
                      <w:rFonts w:hint="eastAsia"/>
                      <w:color w:val="auto"/>
                      <w:sz w:val="21"/>
                      <w:highlight w:val="none"/>
                      <w:lang w:val="en-US" w:eastAsia="zh-CN"/>
                    </w:rPr>
                    <w:t>居民</w:t>
                  </w:r>
                </w:p>
              </w:tc>
              <w:tc>
                <w:tcPr>
                  <w:tcW w:w="992" w:type="dxa"/>
                  <w:shd w:val="clear" w:color="auto" w:fill="auto"/>
                  <w:vAlign w:val="center"/>
                </w:tcPr>
                <w:p w14:paraId="63D47454">
                  <w:pPr>
                    <w:pStyle w:val="34"/>
                    <w:bidi w:val="0"/>
                    <w:ind w:firstLine="0" w:firstLineChars="0"/>
                    <w:rPr>
                      <w:rFonts w:hint="eastAsia"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2268人</w:t>
                  </w:r>
                </w:p>
              </w:tc>
              <w:tc>
                <w:tcPr>
                  <w:tcW w:w="784" w:type="dxa"/>
                  <w:shd w:val="clear" w:color="auto" w:fill="auto"/>
                  <w:vAlign w:val="center"/>
                </w:tcPr>
                <w:p w14:paraId="2C0EB3E1">
                  <w:pPr>
                    <w:pStyle w:val="34"/>
                    <w:bidi w:val="0"/>
                    <w:ind w:firstLine="0" w:firstLineChars="0"/>
                    <w:rPr>
                      <w:rFonts w:hint="eastAsia"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二类</w:t>
                  </w:r>
                  <w:r>
                    <w:rPr>
                      <w:rFonts w:hint="eastAsia" w:ascii="Times New Roman" w:hAnsi="Times New Roman" w:eastAsia="宋体"/>
                      <w:color w:val="auto"/>
                      <w:sz w:val="21"/>
                      <w:highlight w:val="none"/>
                      <w:lang w:eastAsia="zh-CN"/>
                    </w:rPr>
                    <w:t>区</w:t>
                  </w:r>
                </w:p>
              </w:tc>
              <w:tc>
                <w:tcPr>
                  <w:tcW w:w="624" w:type="dxa"/>
                  <w:shd w:val="clear" w:color="auto" w:fill="auto"/>
                  <w:vAlign w:val="center"/>
                </w:tcPr>
                <w:p w14:paraId="4AC54053">
                  <w:pPr>
                    <w:pStyle w:val="34"/>
                    <w:bidi w:val="0"/>
                    <w:ind w:firstLine="0" w:firstLineChars="0"/>
                    <w:rPr>
                      <w:rFonts w:hint="default"/>
                      <w:color w:val="auto"/>
                      <w:sz w:val="21"/>
                      <w:highlight w:val="none"/>
                      <w:lang w:val="en-US" w:eastAsia="zh-CN"/>
                    </w:rPr>
                  </w:pPr>
                  <w:r>
                    <w:rPr>
                      <w:rFonts w:hint="eastAsia"/>
                      <w:color w:val="auto"/>
                      <w:sz w:val="21"/>
                      <w:highlight w:val="none"/>
                      <w:lang w:val="en-US" w:eastAsia="zh-CN"/>
                    </w:rPr>
                    <w:t>10</w:t>
                  </w:r>
                </w:p>
              </w:tc>
              <w:tc>
                <w:tcPr>
                  <w:tcW w:w="777" w:type="dxa"/>
                  <w:vMerge w:val="continue"/>
                  <w:vAlign w:val="center"/>
                </w:tcPr>
                <w:p w14:paraId="6FADDBCB">
                  <w:pPr>
                    <w:pStyle w:val="34"/>
                    <w:bidi w:val="0"/>
                    <w:rPr>
                      <w:rFonts w:hint="eastAsia"/>
                      <w:color w:val="auto"/>
                      <w:sz w:val="21"/>
                      <w:highlight w:val="none"/>
                      <w:lang w:val="en-US" w:eastAsia="zh-CN"/>
                    </w:rPr>
                  </w:pPr>
                </w:p>
              </w:tc>
            </w:tr>
            <w:tr w14:paraId="7A65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56" w:type="dxa"/>
                  <w:vMerge w:val="restart"/>
                  <w:vAlign w:val="center"/>
                </w:tcPr>
                <w:p w14:paraId="54871A83">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声环境</w:t>
                  </w:r>
                </w:p>
              </w:tc>
              <w:tc>
                <w:tcPr>
                  <w:tcW w:w="1241" w:type="dxa"/>
                  <w:gridSpan w:val="2"/>
                  <w:vAlign w:val="center"/>
                </w:tcPr>
                <w:p w14:paraId="776778A8">
                  <w:pPr>
                    <w:pStyle w:val="34"/>
                    <w:bidi w:val="0"/>
                    <w:ind w:firstLine="0" w:firstLineChars="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常平村</w:t>
                  </w:r>
                </w:p>
              </w:tc>
              <w:tc>
                <w:tcPr>
                  <w:tcW w:w="1453" w:type="dxa"/>
                  <w:vAlign w:val="center"/>
                </w:tcPr>
                <w:p w14:paraId="4CD6201E">
                  <w:pPr>
                    <w:pStyle w:val="34"/>
                    <w:bidi w:val="0"/>
                    <w:ind w:firstLine="0" w:firstLineChars="0"/>
                    <w:rPr>
                      <w:rFonts w:hint="eastAsia" w:ascii="Times New Roman" w:hAnsi="Times New Roman" w:eastAsia="宋体"/>
                      <w:color w:val="auto"/>
                      <w:sz w:val="21"/>
                      <w:highlight w:val="none"/>
                      <w:lang w:val="en-US" w:eastAsia="zh-CN"/>
                    </w:rPr>
                  </w:pPr>
                </w:p>
              </w:tc>
              <w:tc>
                <w:tcPr>
                  <w:tcW w:w="1327" w:type="dxa"/>
                  <w:vAlign w:val="center"/>
                </w:tcPr>
                <w:p w14:paraId="38F036D6">
                  <w:pPr>
                    <w:pStyle w:val="34"/>
                    <w:bidi w:val="0"/>
                    <w:ind w:firstLine="0" w:firstLineChars="0"/>
                    <w:rPr>
                      <w:rFonts w:hint="eastAsia" w:ascii="Times New Roman" w:hAnsi="Times New Roman" w:eastAsia="宋体"/>
                      <w:color w:val="auto"/>
                      <w:sz w:val="21"/>
                      <w:highlight w:val="none"/>
                      <w:lang w:val="en-US" w:eastAsia="zh-CN"/>
                    </w:rPr>
                  </w:pPr>
                </w:p>
              </w:tc>
              <w:tc>
                <w:tcPr>
                  <w:tcW w:w="647" w:type="dxa"/>
                  <w:vAlign w:val="center"/>
                </w:tcPr>
                <w:p w14:paraId="5A0E0990">
                  <w:pPr>
                    <w:pStyle w:val="34"/>
                    <w:bidi w:val="0"/>
                    <w:ind w:firstLine="0" w:firstLineChars="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居民</w:t>
                  </w:r>
                </w:p>
              </w:tc>
              <w:tc>
                <w:tcPr>
                  <w:tcW w:w="992" w:type="dxa"/>
                  <w:vAlign w:val="center"/>
                </w:tcPr>
                <w:p w14:paraId="0A83D4B0">
                  <w:pPr>
                    <w:pStyle w:val="34"/>
                    <w:bidi w:val="0"/>
                    <w:ind w:firstLine="0" w:firstLineChars="0"/>
                    <w:rPr>
                      <w:rFonts w:hint="eastAsia" w:ascii="Times New Roman" w:hAnsi="Times New Roman" w:eastAsia="宋体"/>
                      <w:color w:val="auto"/>
                      <w:sz w:val="21"/>
                      <w:highlight w:val="none"/>
                      <w:lang w:val="en-US" w:eastAsia="zh-CN"/>
                    </w:rPr>
                  </w:pPr>
                  <w:r>
                    <w:rPr>
                      <w:rFonts w:hint="eastAsia" w:ascii="Times New Roman" w:hAnsi="Times New Roman" w:eastAsia="宋体" w:cs="Times New Roman"/>
                      <w:color w:val="auto"/>
                      <w:sz w:val="21"/>
                      <w:highlight w:val="none"/>
                      <w:lang w:val="en-US" w:eastAsia="zh-CN"/>
                    </w:rPr>
                    <w:t>/</w:t>
                  </w:r>
                </w:p>
              </w:tc>
              <w:tc>
                <w:tcPr>
                  <w:tcW w:w="784" w:type="dxa"/>
                  <w:vAlign w:val="center"/>
                </w:tcPr>
                <w:p w14:paraId="580E34FD">
                  <w:pPr>
                    <w:pStyle w:val="34"/>
                    <w:bidi w:val="0"/>
                    <w:ind w:firstLine="0" w:firstLineChars="0"/>
                    <w:rPr>
                      <w:rFonts w:hint="eastAsia" w:ascii="Times New Roman" w:hAnsi="Times New Roman" w:eastAsia="宋体"/>
                      <w:color w:val="auto"/>
                      <w:sz w:val="21"/>
                      <w:highlight w:val="none"/>
                      <w:lang w:val="en-US" w:eastAsia="zh-CN"/>
                    </w:rPr>
                  </w:pPr>
                  <w:r>
                    <w:rPr>
                      <w:rFonts w:hint="eastAsia" w:cs="Times New Roman"/>
                      <w:color w:val="auto"/>
                      <w:sz w:val="21"/>
                      <w:highlight w:val="none"/>
                      <w:lang w:val="en-US" w:eastAsia="zh-CN"/>
                    </w:rPr>
                    <w:t>二</w:t>
                  </w:r>
                  <w:r>
                    <w:rPr>
                      <w:rFonts w:hint="eastAsia" w:ascii="Times New Roman" w:hAnsi="Times New Roman" w:eastAsia="宋体" w:cs="Times New Roman"/>
                      <w:color w:val="auto"/>
                      <w:sz w:val="21"/>
                      <w:highlight w:val="none"/>
                      <w:lang w:val="en-US" w:eastAsia="zh-CN"/>
                    </w:rPr>
                    <w:t>类</w:t>
                  </w:r>
                  <w:r>
                    <w:rPr>
                      <w:rFonts w:hint="eastAsia" w:ascii="Times New Roman" w:hAnsi="Times New Roman" w:eastAsia="宋体"/>
                      <w:color w:val="auto"/>
                      <w:sz w:val="21"/>
                      <w:highlight w:val="none"/>
                      <w:lang w:eastAsia="zh-CN"/>
                    </w:rPr>
                    <w:t>区</w:t>
                  </w:r>
                </w:p>
              </w:tc>
              <w:tc>
                <w:tcPr>
                  <w:tcW w:w="624" w:type="dxa"/>
                  <w:vAlign w:val="center"/>
                </w:tcPr>
                <w:p w14:paraId="5091C3C8">
                  <w:pPr>
                    <w:pStyle w:val="34"/>
                    <w:bidi w:val="0"/>
                    <w:ind w:firstLine="0" w:firstLineChars="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N</w:t>
                  </w:r>
                </w:p>
              </w:tc>
              <w:tc>
                <w:tcPr>
                  <w:tcW w:w="777" w:type="dxa"/>
                  <w:vAlign w:val="center"/>
                </w:tcPr>
                <w:p w14:paraId="7A4ABE48">
                  <w:pPr>
                    <w:pStyle w:val="34"/>
                    <w:bidi w:val="0"/>
                    <w:ind w:firstLine="0" w:firstLineChars="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45</w:t>
                  </w:r>
                </w:p>
              </w:tc>
            </w:tr>
            <w:tr w14:paraId="06B1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56" w:type="dxa"/>
                  <w:vMerge w:val="continue"/>
                  <w:vAlign w:val="center"/>
                </w:tcPr>
                <w:p w14:paraId="70929007">
                  <w:pPr>
                    <w:pStyle w:val="34"/>
                    <w:bidi w:val="0"/>
                    <w:rPr>
                      <w:rFonts w:hint="eastAsia" w:ascii="Times New Roman" w:hAnsi="Times New Roman" w:eastAsia="宋体"/>
                      <w:color w:val="auto"/>
                      <w:sz w:val="21"/>
                      <w:highlight w:val="none"/>
                      <w:lang w:val="en-US" w:eastAsia="zh-CN"/>
                    </w:rPr>
                  </w:pPr>
                </w:p>
              </w:tc>
              <w:tc>
                <w:tcPr>
                  <w:tcW w:w="1241" w:type="dxa"/>
                  <w:gridSpan w:val="2"/>
                  <w:vMerge w:val="restart"/>
                  <w:vAlign w:val="center"/>
                </w:tcPr>
                <w:p w14:paraId="2D7EEC69">
                  <w:pPr>
                    <w:pStyle w:val="34"/>
                    <w:bidi w:val="0"/>
                    <w:ind w:firstLine="0" w:firstLineChars="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运输沿线保护目标</w:t>
                  </w:r>
                </w:p>
              </w:tc>
              <w:tc>
                <w:tcPr>
                  <w:tcW w:w="3427" w:type="dxa"/>
                  <w:gridSpan w:val="3"/>
                  <w:vAlign w:val="center"/>
                </w:tcPr>
                <w:p w14:paraId="4EF94844">
                  <w:pPr>
                    <w:pStyle w:val="34"/>
                    <w:bidi w:val="0"/>
                    <w:ind w:firstLine="0" w:firstLineChars="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常平村</w:t>
                  </w:r>
                </w:p>
              </w:tc>
              <w:tc>
                <w:tcPr>
                  <w:tcW w:w="2400" w:type="dxa"/>
                  <w:gridSpan w:val="3"/>
                  <w:vAlign w:val="center"/>
                </w:tcPr>
                <w:p w14:paraId="50251992">
                  <w:pPr>
                    <w:pStyle w:val="34"/>
                    <w:bidi w:val="0"/>
                    <w:ind w:firstLine="0" w:firstLineChars="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《声环境质量标准》（GB3096-2008）2类标准</w:t>
                  </w:r>
                </w:p>
              </w:tc>
              <w:tc>
                <w:tcPr>
                  <w:tcW w:w="777" w:type="dxa"/>
                  <w:vAlign w:val="center"/>
                </w:tcPr>
                <w:p w14:paraId="4A159D81">
                  <w:pPr>
                    <w:pStyle w:val="34"/>
                    <w:bidi w:val="0"/>
                    <w:ind w:firstLine="0" w:firstLineChars="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w:t>
                  </w:r>
                </w:p>
              </w:tc>
            </w:tr>
            <w:tr w14:paraId="3085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56" w:type="dxa"/>
                  <w:vMerge w:val="continue"/>
                  <w:vAlign w:val="center"/>
                </w:tcPr>
                <w:p w14:paraId="7510E91A">
                  <w:pPr>
                    <w:pStyle w:val="34"/>
                    <w:bidi w:val="0"/>
                    <w:rPr>
                      <w:rFonts w:hint="eastAsia" w:ascii="Times New Roman" w:hAnsi="Times New Roman" w:eastAsia="宋体"/>
                      <w:color w:val="auto"/>
                      <w:sz w:val="21"/>
                      <w:highlight w:val="none"/>
                      <w:lang w:val="en-US" w:eastAsia="zh-CN"/>
                    </w:rPr>
                  </w:pPr>
                </w:p>
              </w:tc>
              <w:tc>
                <w:tcPr>
                  <w:tcW w:w="1241" w:type="dxa"/>
                  <w:gridSpan w:val="2"/>
                  <w:vMerge w:val="continue"/>
                  <w:vAlign w:val="center"/>
                </w:tcPr>
                <w:p w14:paraId="4C5C38F0">
                  <w:pPr>
                    <w:pStyle w:val="34"/>
                    <w:bidi w:val="0"/>
                    <w:ind w:firstLine="0" w:firstLineChars="0"/>
                    <w:rPr>
                      <w:rFonts w:hint="eastAsia"/>
                      <w:color w:val="auto"/>
                      <w:sz w:val="21"/>
                      <w:highlight w:val="none"/>
                      <w:lang w:val="en-US" w:eastAsia="zh-CN"/>
                    </w:rPr>
                  </w:pPr>
                </w:p>
              </w:tc>
              <w:tc>
                <w:tcPr>
                  <w:tcW w:w="3427" w:type="dxa"/>
                  <w:gridSpan w:val="3"/>
                  <w:vAlign w:val="center"/>
                </w:tcPr>
                <w:p w14:paraId="3B11DACE">
                  <w:pPr>
                    <w:pStyle w:val="34"/>
                    <w:bidi w:val="0"/>
                    <w:ind w:firstLine="0" w:firstLineChars="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庄头村</w:t>
                  </w:r>
                </w:p>
              </w:tc>
              <w:tc>
                <w:tcPr>
                  <w:tcW w:w="2400" w:type="dxa"/>
                  <w:gridSpan w:val="3"/>
                  <w:vAlign w:val="center"/>
                </w:tcPr>
                <w:p w14:paraId="55C6D19F">
                  <w:pPr>
                    <w:pStyle w:val="34"/>
                    <w:bidi w:val="0"/>
                    <w:ind w:firstLine="0" w:firstLineChars="0"/>
                    <w:rPr>
                      <w:rFonts w:hint="eastAsia" w:ascii="Times New Roman" w:hAnsi="Times New Roman" w:eastAsia="宋体"/>
                      <w:color w:val="auto"/>
                      <w:sz w:val="21"/>
                      <w:highlight w:val="none"/>
                      <w:lang w:val="en-US" w:eastAsia="zh-CN"/>
                    </w:rPr>
                  </w:pPr>
                  <w:r>
                    <w:rPr>
                      <w:rFonts w:hint="eastAsia"/>
                      <w:color w:val="auto"/>
                      <w:sz w:val="21"/>
                      <w:highlight w:val="none"/>
                      <w:lang w:val="en-US" w:eastAsia="zh-CN"/>
                    </w:rPr>
                    <w:t>《声环境质量标准》（GB3096-2008）2类标准</w:t>
                  </w:r>
                </w:p>
              </w:tc>
              <w:tc>
                <w:tcPr>
                  <w:tcW w:w="777" w:type="dxa"/>
                  <w:vAlign w:val="center"/>
                </w:tcPr>
                <w:p w14:paraId="5FB23BE6">
                  <w:pPr>
                    <w:pStyle w:val="34"/>
                    <w:bidi w:val="0"/>
                    <w:ind w:firstLine="0" w:firstLineChars="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w:t>
                  </w:r>
                </w:p>
              </w:tc>
            </w:tr>
            <w:tr w14:paraId="76B3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56" w:type="dxa"/>
                  <w:vAlign w:val="center"/>
                </w:tcPr>
                <w:p w14:paraId="46C42D92">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地表水</w:t>
                  </w:r>
                </w:p>
              </w:tc>
              <w:tc>
                <w:tcPr>
                  <w:tcW w:w="1241" w:type="dxa"/>
                  <w:gridSpan w:val="2"/>
                  <w:vAlign w:val="center"/>
                </w:tcPr>
                <w:p w14:paraId="721023A2">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石子河</w:t>
                  </w:r>
                </w:p>
              </w:tc>
              <w:tc>
                <w:tcPr>
                  <w:tcW w:w="1453" w:type="dxa"/>
                  <w:vAlign w:val="center"/>
                </w:tcPr>
                <w:p w14:paraId="1CF0406A">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w:t>
                  </w:r>
                </w:p>
              </w:tc>
              <w:tc>
                <w:tcPr>
                  <w:tcW w:w="1327" w:type="dxa"/>
                  <w:vAlign w:val="center"/>
                </w:tcPr>
                <w:p w14:paraId="298236DA">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w:t>
                  </w:r>
                </w:p>
              </w:tc>
              <w:tc>
                <w:tcPr>
                  <w:tcW w:w="647" w:type="dxa"/>
                  <w:vAlign w:val="center"/>
                </w:tcPr>
                <w:p w14:paraId="167ED3FB">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w:t>
                  </w:r>
                </w:p>
              </w:tc>
              <w:tc>
                <w:tcPr>
                  <w:tcW w:w="992" w:type="dxa"/>
                  <w:vAlign w:val="center"/>
                </w:tcPr>
                <w:p w14:paraId="242021C0">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水质</w:t>
                  </w:r>
                </w:p>
              </w:tc>
              <w:tc>
                <w:tcPr>
                  <w:tcW w:w="784" w:type="dxa"/>
                  <w:vAlign w:val="center"/>
                </w:tcPr>
                <w:p w14:paraId="36A98DEE">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w:t>
                  </w:r>
                </w:p>
              </w:tc>
              <w:tc>
                <w:tcPr>
                  <w:tcW w:w="624" w:type="dxa"/>
                  <w:vAlign w:val="center"/>
                </w:tcPr>
                <w:p w14:paraId="5801C7DA">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S</w:t>
                  </w:r>
                </w:p>
              </w:tc>
              <w:tc>
                <w:tcPr>
                  <w:tcW w:w="777" w:type="dxa"/>
                  <w:vAlign w:val="center"/>
                </w:tcPr>
                <w:p w14:paraId="357AD359">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500</w:t>
                  </w:r>
                </w:p>
              </w:tc>
            </w:tr>
            <w:tr w14:paraId="766A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56" w:type="dxa"/>
                  <w:vAlign w:val="center"/>
                </w:tcPr>
                <w:p w14:paraId="4B27CF10">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地下水</w:t>
                  </w:r>
                </w:p>
              </w:tc>
              <w:tc>
                <w:tcPr>
                  <w:tcW w:w="7845" w:type="dxa"/>
                  <w:gridSpan w:val="9"/>
                  <w:vAlign w:val="center"/>
                </w:tcPr>
                <w:p w14:paraId="6218DA68">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本项目厂界外500米范围内无地下水集中式饮用水水源和热水、矿泉水、温泉等特殊地下水资源。</w:t>
                  </w:r>
                </w:p>
              </w:tc>
            </w:tr>
            <w:tr w14:paraId="295FD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756" w:type="dxa"/>
                  <w:vAlign w:val="center"/>
                </w:tcPr>
                <w:p w14:paraId="2454A114">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生态</w:t>
                  </w:r>
                </w:p>
              </w:tc>
              <w:tc>
                <w:tcPr>
                  <w:tcW w:w="7845" w:type="dxa"/>
                  <w:gridSpan w:val="9"/>
                  <w:vAlign w:val="center"/>
                </w:tcPr>
                <w:p w14:paraId="260D5322">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项目周边农田及自然植被。</w:t>
                  </w:r>
                </w:p>
              </w:tc>
            </w:tr>
          </w:tbl>
          <w:p w14:paraId="2F5F4259">
            <w:pPr>
              <w:pStyle w:val="11"/>
              <w:keepNext w:val="0"/>
              <w:keepLines w:val="0"/>
              <w:pageBreakBefore w:val="0"/>
              <w:widowControl w:val="0"/>
              <w:numPr>
                <w:ilvl w:val="1"/>
                <w:numId w:val="0"/>
              </w:numPr>
              <w:kinsoku/>
              <w:wordWrap/>
              <w:overflowPunct/>
              <w:topLinePunct w:val="0"/>
              <w:autoSpaceDE/>
              <w:autoSpaceDN/>
              <w:bidi w:val="0"/>
              <w:adjustRightInd/>
              <w:snapToGrid/>
              <w:ind w:firstLine="482" w:firstLineChars="200"/>
              <w:textAlignment w:val="auto"/>
              <w:rPr>
                <w:rFonts w:hint="default" w:ascii="Times New Roman" w:hAnsi="Times New Roman" w:eastAsia="宋体" w:cs="宋体"/>
                <w:b/>
                <w:bCs/>
                <w:color w:val="auto"/>
                <w:kern w:val="2"/>
                <w:sz w:val="24"/>
                <w:szCs w:val="24"/>
                <w:lang w:val="en-US" w:eastAsia="zh-CN" w:bidi="ar-SA"/>
              </w:rPr>
            </w:pPr>
            <w:r>
              <w:rPr>
                <w:rFonts w:hint="eastAsia"/>
                <w:color w:val="auto"/>
                <w:highlight w:val="none"/>
                <w:lang w:val="en-US" w:eastAsia="zh-CN"/>
              </w:rPr>
              <w:t xml:space="preserve"> </w:t>
            </w:r>
          </w:p>
          <w:p w14:paraId="0A17E6F4">
            <w:pPr>
              <w:pStyle w:val="11"/>
              <w:keepNext w:val="0"/>
              <w:keepLines w:val="0"/>
              <w:pageBreakBefore w:val="0"/>
              <w:widowControl w:val="0"/>
              <w:numPr>
                <w:ilvl w:val="1"/>
                <w:numId w:val="0"/>
              </w:numPr>
              <w:kinsoku/>
              <w:wordWrap/>
              <w:overflowPunct/>
              <w:topLinePunct w:val="0"/>
              <w:autoSpaceDE/>
              <w:autoSpaceDN/>
              <w:bidi w:val="0"/>
              <w:adjustRightInd/>
              <w:snapToGrid/>
              <w:ind w:firstLine="482" w:firstLineChars="200"/>
              <w:textAlignment w:val="auto"/>
              <w:rPr>
                <w:rFonts w:hint="default" w:ascii="Times New Roman" w:hAnsi="Times New Roman" w:eastAsia="宋体" w:cs="宋体"/>
                <w:b/>
                <w:bCs/>
                <w:color w:val="auto"/>
                <w:kern w:val="2"/>
                <w:sz w:val="24"/>
                <w:szCs w:val="24"/>
                <w:lang w:val="en-US" w:eastAsia="zh-CN" w:bidi="ar-SA"/>
              </w:rPr>
            </w:pPr>
          </w:p>
          <w:p w14:paraId="239800E0">
            <w:pPr>
              <w:pStyle w:val="34"/>
              <w:keepNext w:val="0"/>
              <w:keepLines w:val="0"/>
              <w:pageBreakBefore w:val="0"/>
              <w:widowControl/>
              <w:kinsoku/>
              <w:wordWrap/>
              <w:overflowPunct/>
              <w:topLinePunct w:val="0"/>
              <w:autoSpaceDE/>
              <w:autoSpaceDN/>
              <w:bidi w:val="0"/>
              <w:adjustRightInd/>
              <w:snapToGrid/>
              <w:spacing w:line="160" w:lineRule="exact"/>
              <w:textAlignment w:val="auto"/>
              <w:rPr>
                <w:rFonts w:hint="default"/>
                <w:color w:val="auto"/>
                <w:highlight w:val="none"/>
                <w:lang w:val="en-US" w:eastAsia="zh-CN"/>
              </w:rPr>
            </w:pPr>
          </w:p>
        </w:tc>
      </w:tr>
      <w:tr w14:paraId="70B2AD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461" w:type="dxa"/>
            <w:vAlign w:val="center"/>
          </w:tcPr>
          <w:p w14:paraId="55052725">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eastAsia="zh-CN"/>
              </w:rPr>
            </w:pPr>
            <w:r>
              <w:rPr>
                <w:rFonts w:hint="eastAsia"/>
                <w:color w:val="auto"/>
                <w:highlight w:val="none"/>
                <w:lang w:eastAsia="zh-CN"/>
              </w:rPr>
              <w:t>污染物排放控制标准</w:t>
            </w:r>
          </w:p>
        </w:tc>
        <w:tc>
          <w:tcPr>
            <w:tcW w:w="8827" w:type="dxa"/>
            <w:vAlign w:val="center"/>
          </w:tcPr>
          <w:p w14:paraId="412F3DD6">
            <w:pPr>
              <w:pStyle w:val="11"/>
              <w:keepNext w:val="0"/>
              <w:keepLines w:val="0"/>
              <w:pageBreakBefore w:val="0"/>
              <w:widowControl w:val="0"/>
              <w:numPr>
                <w:ilvl w:val="1"/>
                <w:numId w:val="0"/>
              </w:numPr>
              <w:kinsoku/>
              <w:wordWrap/>
              <w:overflowPunct/>
              <w:topLinePunct w:val="0"/>
              <w:autoSpaceDE/>
              <w:autoSpaceDN/>
              <w:bidi w:val="0"/>
              <w:adjustRightInd/>
              <w:snapToGrid/>
              <w:ind w:firstLine="482" w:firstLineChars="200"/>
              <w:textAlignment w:val="auto"/>
              <w:rPr>
                <w:rFonts w:hint="eastAsia"/>
                <w:color w:val="auto"/>
                <w:highlight w:val="none"/>
                <w:lang w:eastAsia="zh-CN"/>
              </w:rPr>
            </w:pPr>
            <w:r>
              <w:rPr>
                <w:rFonts w:hint="default" w:ascii="Times New Roman" w:hAnsi="Times New Roman" w:eastAsia="宋体" w:cs="宋体"/>
                <w:b/>
                <w:bCs/>
                <w:color w:val="auto"/>
                <w:kern w:val="2"/>
                <w:sz w:val="24"/>
                <w:szCs w:val="24"/>
                <w:lang w:val="en-US" w:eastAsia="zh-CN" w:bidi="ar-SA"/>
              </w:rPr>
              <w:t>3.</w:t>
            </w:r>
            <w:r>
              <w:rPr>
                <w:rFonts w:hint="eastAsia" w:cs="宋体"/>
                <w:b/>
                <w:bCs/>
                <w:color w:val="auto"/>
                <w:kern w:val="2"/>
                <w:sz w:val="24"/>
                <w:szCs w:val="24"/>
                <w:lang w:val="en-US" w:eastAsia="zh-CN" w:bidi="ar-SA"/>
              </w:rPr>
              <w:t>6</w:t>
            </w:r>
            <w:r>
              <w:rPr>
                <w:rFonts w:hint="eastAsia"/>
                <w:color w:val="auto"/>
                <w:highlight w:val="none"/>
                <w:lang w:eastAsia="zh-CN"/>
              </w:rPr>
              <w:t>废气</w:t>
            </w:r>
          </w:p>
          <w:p w14:paraId="04F40CB4">
            <w:pPr>
              <w:keepNext w:val="0"/>
              <w:keepLines w:val="0"/>
              <w:pageBreakBefore w:val="0"/>
              <w:widowControl w:val="0"/>
              <w:numPr>
                <w:ilvl w:val="0"/>
                <w:numId w:val="6"/>
              </w:numPr>
              <w:kinsoku/>
              <w:wordWrap/>
              <w:overflowPunct/>
              <w:topLinePunct w:val="0"/>
              <w:autoSpaceDE/>
              <w:autoSpaceDN/>
              <w:bidi w:val="0"/>
              <w:adjustRightInd/>
              <w:snapToGrid/>
              <w:ind w:firstLine="480" w:firstLineChars="200"/>
              <w:textAlignment w:val="auto"/>
              <w:rPr>
                <w:rFonts w:hint="eastAsia"/>
                <w:color w:val="auto"/>
                <w:highlight w:val="none"/>
                <w:lang w:eastAsia="zh-CN"/>
              </w:rPr>
            </w:pPr>
            <w:r>
              <w:rPr>
                <w:rFonts w:hint="eastAsia"/>
                <w:color w:val="auto"/>
                <w:highlight w:val="none"/>
                <w:lang w:eastAsia="zh-CN"/>
              </w:rPr>
              <w:t>施工期</w:t>
            </w:r>
          </w:p>
          <w:p w14:paraId="7587D0C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eastAsia="zh-CN"/>
              </w:rPr>
            </w:pPr>
            <w:r>
              <w:rPr>
                <w:rFonts w:hint="eastAsia"/>
                <w:color w:val="auto"/>
                <w:highlight w:val="none"/>
                <w:lang w:eastAsia="zh-CN"/>
              </w:rPr>
              <w:t>项目施工期颗粒物无组织排放执行《大气污染物综合排放标准》（GB16297-1996）表2中无组织排放监控浓度限值。具体数值见</w:t>
            </w:r>
            <w:r>
              <w:rPr>
                <w:rFonts w:hint="eastAsia"/>
                <w:color w:val="auto"/>
                <w:highlight w:val="none"/>
                <w:lang w:val="en-US" w:eastAsia="zh-CN"/>
              </w:rPr>
              <w:t>表3.6-1</w:t>
            </w:r>
            <w:r>
              <w:rPr>
                <w:rFonts w:hint="eastAsia"/>
                <w:color w:val="auto"/>
                <w:highlight w:val="none"/>
                <w:lang w:eastAsia="zh-CN"/>
              </w:rPr>
              <w:t>。</w:t>
            </w:r>
          </w:p>
          <w:p w14:paraId="4678C80D">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eastAsia"/>
                <w:color w:val="auto"/>
                <w:highlight w:val="none"/>
                <w:lang w:eastAsia="zh-CN"/>
              </w:rPr>
            </w:pPr>
            <w:bookmarkStart w:id="29" w:name="_Ref1258"/>
            <w:r>
              <w:rPr>
                <w:color w:val="auto"/>
                <w:highlight w:val="none"/>
              </w:rPr>
              <w:t>表</w:t>
            </w:r>
            <w:bookmarkEnd w:id="29"/>
            <w:r>
              <w:rPr>
                <w:rFonts w:hint="eastAsia"/>
                <w:color w:val="auto"/>
                <w:highlight w:val="none"/>
                <w:lang w:val="en-US" w:eastAsia="zh-CN"/>
              </w:rPr>
              <w:t xml:space="preserve">3.6-1  </w:t>
            </w:r>
            <w:r>
              <w:rPr>
                <w:rFonts w:hint="eastAsia"/>
                <w:color w:val="auto"/>
                <w:highlight w:val="none"/>
                <w:lang w:eastAsia="zh-CN"/>
              </w:rPr>
              <w:t>《大气污染物综合排放标准》（GB16297-1996）</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2"/>
              <w:gridCol w:w="3411"/>
              <w:gridCol w:w="2878"/>
            </w:tblGrid>
            <w:tr w14:paraId="49E4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6" w:type="dxa"/>
                  <w:noWrap w:val="0"/>
                  <w:vAlign w:val="center"/>
                </w:tcPr>
                <w:p w14:paraId="37DD379B">
                  <w:pPr>
                    <w:pStyle w:val="34"/>
                    <w:bidi w:val="0"/>
                    <w:rPr>
                      <w:rFonts w:ascii="Times New Roman" w:hAnsi="Times New Roman" w:eastAsia="宋体"/>
                      <w:color w:val="auto"/>
                      <w:sz w:val="21"/>
                      <w:highlight w:val="none"/>
                    </w:rPr>
                  </w:pPr>
                  <w:r>
                    <w:rPr>
                      <w:rFonts w:ascii="Times New Roman" w:hAnsi="Times New Roman" w:eastAsia="宋体"/>
                      <w:color w:val="auto"/>
                      <w:sz w:val="21"/>
                      <w:highlight w:val="none"/>
                    </w:rPr>
                    <w:t>污染物</w:t>
                  </w:r>
                </w:p>
              </w:tc>
              <w:tc>
                <w:tcPr>
                  <w:tcW w:w="6083" w:type="dxa"/>
                  <w:gridSpan w:val="2"/>
                  <w:noWrap w:val="0"/>
                  <w:vAlign w:val="center"/>
                </w:tcPr>
                <w:p w14:paraId="4530A604">
                  <w:pPr>
                    <w:pStyle w:val="34"/>
                    <w:bidi w:val="0"/>
                    <w:rPr>
                      <w:rFonts w:ascii="Times New Roman" w:hAnsi="Times New Roman" w:eastAsia="宋体"/>
                      <w:color w:val="auto"/>
                      <w:sz w:val="21"/>
                      <w:highlight w:val="none"/>
                    </w:rPr>
                  </w:pPr>
                  <w:r>
                    <w:rPr>
                      <w:rFonts w:ascii="Times New Roman" w:hAnsi="Times New Roman" w:eastAsia="宋体"/>
                      <w:color w:val="auto"/>
                      <w:sz w:val="21"/>
                      <w:highlight w:val="none"/>
                    </w:rPr>
                    <w:t>无组织排放监控浓度限值</w:t>
                  </w:r>
                </w:p>
              </w:tc>
            </w:tr>
            <w:tr w14:paraId="4983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6" w:type="dxa"/>
                  <w:vMerge w:val="restart"/>
                  <w:noWrap w:val="0"/>
                  <w:vAlign w:val="center"/>
                </w:tcPr>
                <w:p w14:paraId="71A97BA7">
                  <w:pPr>
                    <w:pStyle w:val="34"/>
                    <w:bidi w:val="0"/>
                    <w:rPr>
                      <w:rFonts w:ascii="Times New Roman" w:hAnsi="Times New Roman" w:eastAsia="宋体"/>
                      <w:color w:val="auto"/>
                      <w:sz w:val="21"/>
                      <w:highlight w:val="none"/>
                    </w:rPr>
                  </w:pPr>
                  <w:r>
                    <w:rPr>
                      <w:rFonts w:ascii="Times New Roman" w:hAnsi="Times New Roman" w:eastAsia="宋体"/>
                      <w:color w:val="auto"/>
                      <w:sz w:val="21"/>
                      <w:highlight w:val="none"/>
                    </w:rPr>
                    <w:t>颗粒物</w:t>
                  </w:r>
                </w:p>
              </w:tc>
              <w:tc>
                <w:tcPr>
                  <w:tcW w:w="3299" w:type="dxa"/>
                  <w:noWrap w:val="0"/>
                  <w:vAlign w:val="center"/>
                </w:tcPr>
                <w:p w14:paraId="4EE1AF5F">
                  <w:pPr>
                    <w:pStyle w:val="34"/>
                    <w:bidi w:val="0"/>
                    <w:rPr>
                      <w:rFonts w:ascii="Times New Roman" w:hAnsi="Times New Roman" w:eastAsia="宋体"/>
                      <w:color w:val="auto"/>
                      <w:sz w:val="21"/>
                      <w:highlight w:val="none"/>
                    </w:rPr>
                  </w:pPr>
                  <w:r>
                    <w:rPr>
                      <w:rFonts w:ascii="Times New Roman" w:hAnsi="Times New Roman" w:eastAsia="宋体"/>
                      <w:color w:val="auto"/>
                      <w:sz w:val="21"/>
                      <w:highlight w:val="none"/>
                    </w:rPr>
                    <w:t>监控点</w:t>
                  </w:r>
                </w:p>
              </w:tc>
              <w:tc>
                <w:tcPr>
                  <w:tcW w:w="2784" w:type="dxa"/>
                  <w:noWrap w:val="0"/>
                  <w:vAlign w:val="center"/>
                </w:tcPr>
                <w:p w14:paraId="23F58060">
                  <w:pPr>
                    <w:pStyle w:val="34"/>
                    <w:bidi w:val="0"/>
                    <w:rPr>
                      <w:rFonts w:hint="eastAsia" w:ascii="Times New Roman" w:hAnsi="Times New Roman" w:eastAsia="宋体"/>
                      <w:color w:val="auto"/>
                      <w:sz w:val="21"/>
                      <w:highlight w:val="none"/>
                      <w:lang w:eastAsia="zh-CN"/>
                    </w:rPr>
                  </w:pPr>
                  <w:r>
                    <w:rPr>
                      <w:rFonts w:ascii="Times New Roman" w:hAnsi="Times New Roman" w:eastAsia="宋体"/>
                      <w:color w:val="auto"/>
                      <w:sz w:val="21"/>
                      <w:highlight w:val="none"/>
                    </w:rPr>
                    <w:t>浓度</w:t>
                  </w:r>
                  <w:r>
                    <w:rPr>
                      <w:rFonts w:hint="eastAsia" w:ascii="Times New Roman" w:hAnsi="Times New Roman" w:eastAsia="宋体"/>
                      <w:color w:val="auto"/>
                      <w:sz w:val="21"/>
                      <w:highlight w:val="none"/>
                      <w:lang w:eastAsia="zh-CN"/>
                    </w:rPr>
                    <w:t>（</w:t>
                  </w:r>
                  <w:r>
                    <w:rPr>
                      <w:rFonts w:ascii="Times New Roman" w:hAnsi="Times New Roman" w:eastAsia="宋体"/>
                      <w:color w:val="auto"/>
                      <w:sz w:val="21"/>
                      <w:highlight w:val="none"/>
                    </w:rPr>
                    <w:t>mg/m</w:t>
                  </w:r>
                  <w:r>
                    <w:rPr>
                      <w:rFonts w:ascii="Times New Roman" w:hAnsi="Times New Roman" w:eastAsia="宋体"/>
                      <w:color w:val="auto"/>
                      <w:sz w:val="21"/>
                      <w:highlight w:val="none"/>
                      <w:vertAlign w:val="superscript"/>
                    </w:rPr>
                    <w:t>3</w:t>
                  </w:r>
                  <w:r>
                    <w:rPr>
                      <w:rFonts w:hint="eastAsia" w:ascii="Times New Roman" w:hAnsi="Times New Roman" w:eastAsia="宋体"/>
                      <w:color w:val="auto"/>
                      <w:sz w:val="21"/>
                      <w:highlight w:val="none"/>
                      <w:lang w:eastAsia="zh-CN"/>
                    </w:rPr>
                    <w:t>）</w:t>
                  </w:r>
                </w:p>
              </w:tc>
            </w:tr>
            <w:tr w14:paraId="51D9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36" w:type="dxa"/>
                  <w:vMerge w:val="continue"/>
                  <w:noWrap w:val="0"/>
                  <w:vAlign w:val="center"/>
                </w:tcPr>
                <w:p w14:paraId="67C89321">
                  <w:pPr>
                    <w:pStyle w:val="34"/>
                    <w:bidi w:val="0"/>
                    <w:rPr>
                      <w:rFonts w:ascii="Times New Roman" w:hAnsi="Times New Roman" w:eastAsia="宋体"/>
                      <w:color w:val="auto"/>
                      <w:sz w:val="21"/>
                      <w:highlight w:val="none"/>
                    </w:rPr>
                  </w:pPr>
                </w:p>
              </w:tc>
              <w:tc>
                <w:tcPr>
                  <w:tcW w:w="3299" w:type="dxa"/>
                  <w:noWrap w:val="0"/>
                  <w:vAlign w:val="center"/>
                </w:tcPr>
                <w:p w14:paraId="6F9EB1F2">
                  <w:pPr>
                    <w:pStyle w:val="34"/>
                    <w:bidi w:val="0"/>
                    <w:rPr>
                      <w:rFonts w:ascii="Times New Roman" w:hAnsi="Times New Roman" w:eastAsia="宋体"/>
                      <w:color w:val="auto"/>
                      <w:sz w:val="21"/>
                      <w:highlight w:val="none"/>
                    </w:rPr>
                  </w:pPr>
                  <w:r>
                    <w:rPr>
                      <w:rFonts w:ascii="Times New Roman" w:hAnsi="Times New Roman" w:eastAsia="宋体"/>
                      <w:color w:val="auto"/>
                      <w:sz w:val="21"/>
                      <w:highlight w:val="none"/>
                    </w:rPr>
                    <w:t>周界外浓度最高点</w:t>
                  </w:r>
                </w:p>
              </w:tc>
              <w:tc>
                <w:tcPr>
                  <w:tcW w:w="2784" w:type="dxa"/>
                  <w:noWrap w:val="0"/>
                  <w:vAlign w:val="center"/>
                </w:tcPr>
                <w:p w14:paraId="61B87831">
                  <w:pPr>
                    <w:pStyle w:val="34"/>
                    <w:bidi w:val="0"/>
                    <w:rPr>
                      <w:rFonts w:ascii="Times New Roman" w:hAnsi="Times New Roman" w:eastAsia="宋体"/>
                      <w:color w:val="auto"/>
                      <w:sz w:val="21"/>
                      <w:highlight w:val="none"/>
                    </w:rPr>
                  </w:pPr>
                  <w:r>
                    <w:rPr>
                      <w:rFonts w:ascii="Times New Roman" w:hAnsi="Times New Roman" w:eastAsia="宋体"/>
                      <w:color w:val="auto"/>
                      <w:sz w:val="21"/>
                      <w:highlight w:val="none"/>
                    </w:rPr>
                    <w:t>1.0</w:t>
                  </w:r>
                </w:p>
              </w:tc>
            </w:tr>
          </w:tbl>
          <w:p w14:paraId="7EDAC6F5">
            <w:pPr>
              <w:keepNext w:val="0"/>
              <w:keepLines w:val="0"/>
              <w:pageBreakBefore w:val="0"/>
              <w:widowControl w:val="0"/>
              <w:numPr>
                <w:ilvl w:val="0"/>
                <w:numId w:val="6"/>
              </w:numPr>
              <w:kinsoku/>
              <w:wordWrap/>
              <w:overflowPunct/>
              <w:topLinePunct w:val="0"/>
              <w:autoSpaceDE/>
              <w:autoSpaceDN/>
              <w:bidi w:val="0"/>
              <w:adjustRightInd/>
              <w:snapToGrid/>
              <w:textAlignment w:val="auto"/>
              <w:rPr>
                <w:rFonts w:hint="eastAsia"/>
                <w:color w:val="auto"/>
                <w:highlight w:val="none"/>
                <w:lang w:eastAsia="zh-CN"/>
              </w:rPr>
            </w:pPr>
            <w:r>
              <w:rPr>
                <w:rFonts w:hint="eastAsia"/>
                <w:color w:val="auto"/>
                <w:highlight w:val="none"/>
                <w:lang w:eastAsia="zh-CN"/>
              </w:rPr>
              <w:t>运营期</w:t>
            </w:r>
          </w:p>
          <w:p w14:paraId="217F68DB">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eastAsia="zh-CN"/>
              </w:rPr>
            </w:pPr>
            <w:r>
              <w:rPr>
                <w:rFonts w:hint="eastAsia"/>
                <w:color w:val="auto"/>
                <w:highlight w:val="none"/>
                <w:lang w:eastAsia="zh-CN"/>
              </w:rPr>
              <w:t>项目</w:t>
            </w:r>
            <w:r>
              <w:rPr>
                <w:rFonts w:hint="eastAsia"/>
                <w:color w:val="auto"/>
                <w:highlight w:val="none"/>
                <w:lang w:val="en-US" w:eastAsia="zh-CN"/>
              </w:rPr>
              <w:t>水洗砂、水稳料、湿拌砂浆、预制构件生产线</w:t>
            </w:r>
            <w:r>
              <w:rPr>
                <w:rFonts w:hint="eastAsia"/>
                <w:color w:val="auto"/>
                <w:highlight w:val="none"/>
                <w:lang w:eastAsia="zh-CN"/>
              </w:rPr>
              <w:t>运营期产生的废气主要</w:t>
            </w:r>
            <w:r>
              <w:rPr>
                <w:rFonts w:hint="eastAsia"/>
                <w:color w:val="auto"/>
                <w:highlight w:val="none"/>
                <w:lang w:val="en-US" w:eastAsia="zh-CN"/>
              </w:rPr>
              <w:t>为</w:t>
            </w:r>
            <w:r>
              <w:rPr>
                <w:rFonts w:hint="eastAsia"/>
                <w:color w:val="auto"/>
                <w:highlight w:val="none"/>
                <w:lang w:eastAsia="zh-CN"/>
              </w:rPr>
              <w:t>颗粒物，</w:t>
            </w:r>
            <w:r>
              <w:rPr>
                <w:rFonts w:hint="eastAsia"/>
                <w:color w:val="auto"/>
                <w:highlight w:val="none"/>
                <w:lang w:val="en-US" w:eastAsia="zh-CN"/>
              </w:rPr>
              <w:t>本项目水洗砂生产线有组织</w:t>
            </w:r>
            <w:r>
              <w:rPr>
                <w:rFonts w:hint="eastAsia"/>
                <w:color w:val="auto"/>
                <w:highlight w:val="none"/>
                <w:lang w:eastAsia="zh-CN"/>
              </w:rPr>
              <w:t>颗粒物执行《大气污染物综合排放标准》（GB16297-1996）</w:t>
            </w:r>
            <w:r>
              <w:rPr>
                <w:rFonts w:hint="eastAsia"/>
                <w:color w:val="auto"/>
                <w:highlight w:val="none"/>
                <w:lang w:val="en-US" w:eastAsia="zh-CN"/>
              </w:rPr>
              <w:t>限值要求</w:t>
            </w:r>
            <w:r>
              <w:rPr>
                <w:rFonts w:hint="eastAsia"/>
                <w:color w:val="auto"/>
                <w:highlight w:val="none"/>
                <w:lang w:eastAsia="zh-CN"/>
              </w:rPr>
              <w:t>，</w:t>
            </w:r>
            <w:r>
              <w:rPr>
                <w:rFonts w:hint="eastAsia"/>
                <w:color w:val="auto"/>
                <w:highlight w:val="none"/>
                <w:lang w:val="en-US" w:eastAsia="zh-CN"/>
              </w:rPr>
              <w:t>水稳料、湿拌砂浆、预制构件生产线有组织颗粒物执行</w:t>
            </w:r>
            <w:r>
              <w:rPr>
                <w:rFonts w:hint="eastAsia"/>
                <w:color w:val="auto"/>
                <w:highlight w:val="none"/>
                <w:lang w:eastAsia="zh-CN"/>
              </w:rPr>
              <w:t>《</w:t>
            </w:r>
            <w:r>
              <w:rPr>
                <w:rFonts w:hint="eastAsia"/>
                <w:color w:val="auto"/>
                <w:highlight w:val="none"/>
                <w:lang w:val="en-US" w:eastAsia="zh-CN"/>
              </w:rPr>
              <w:t>水泥工业大气污染物排放标准</w:t>
            </w:r>
            <w:r>
              <w:rPr>
                <w:rFonts w:hint="eastAsia"/>
                <w:color w:val="auto"/>
                <w:highlight w:val="none"/>
                <w:lang w:eastAsia="zh-CN"/>
              </w:rPr>
              <w:t>》（DB14/3176-2024）</w:t>
            </w:r>
            <w:r>
              <w:rPr>
                <w:rFonts w:hint="eastAsia"/>
                <w:color w:val="auto"/>
                <w:highlight w:val="none"/>
                <w:lang w:val="en-US" w:eastAsia="zh-CN"/>
              </w:rPr>
              <w:t>限值要求</w:t>
            </w:r>
            <w:r>
              <w:rPr>
                <w:rFonts w:hint="eastAsia"/>
                <w:color w:val="auto"/>
                <w:highlight w:val="none"/>
                <w:lang w:eastAsia="zh-CN"/>
              </w:rPr>
              <w:t>，</w:t>
            </w:r>
            <w:r>
              <w:rPr>
                <w:rFonts w:hint="eastAsia"/>
                <w:color w:val="auto"/>
                <w:highlight w:val="none"/>
                <w:lang w:val="en-US" w:eastAsia="zh-CN"/>
              </w:rPr>
              <w:t>因所有生产线在同一厂区内，有组织颗粒物要求从严执行</w:t>
            </w:r>
            <w:r>
              <w:rPr>
                <w:rFonts w:hint="eastAsia"/>
                <w:color w:val="auto"/>
                <w:highlight w:val="none"/>
                <w:lang w:eastAsia="zh-CN"/>
              </w:rPr>
              <w:t>《</w:t>
            </w:r>
            <w:r>
              <w:rPr>
                <w:rFonts w:hint="eastAsia"/>
                <w:color w:val="auto"/>
                <w:highlight w:val="none"/>
                <w:lang w:val="en-US" w:eastAsia="zh-CN"/>
              </w:rPr>
              <w:t>水泥工业大气污染物排放标准</w:t>
            </w:r>
            <w:r>
              <w:rPr>
                <w:rFonts w:hint="eastAsia"/>
                <w:color w:val="auto"/>
                <w:highlight w:val="none"/>
                <w:lang w:eastAsia="zh-CN"/>
              </w:rPr>
              <w:t>》（DB14/3176-2024）</w:t>
            </w:r>
            <w:r>
              <w:rPr>
                <w:rFonts w:hint="eastAsia"/>
                <w:color w:val="auto"/>
                <w:highlight w:val="none"/>
                <w:lang w:val="en-US" w:eastAsia="zh-CN"/>
              </w:rPr>
              <w:t>限值要求</w:t>
            </w:r>
            <w:r>
              <w:rPr>
                <w:rFonts w:hint="eastAsia"/>
                <w:color w:val="auto"/>
                <w:highlight w:val="none"/>
                <w:lang w:eastAsia="zh-CN"/>
              </w:rPr>
              <w:t>；</w:t>
            </w:r>
            <w:r>
              <w:rPr>
                <w:rFonts w:hint="eastAsia"/>
                <w:color w:val="auto"/>
                <w:highlight w:val="none"/>
                <w:lang w:val="en-US" w:eastAsia="zh-CN"/>
              </w:rPr>
              <w:t>厂界无组织颗粒物执行《大气污染物综合排放标准》（GB16297-1996）无组织排放监控浓度限值，厂内无组织颗粒物执行《水泥工业大气污染物排放标准》（DB14/3176-2024）表二限值要求，具体数值见表3.6-2</w:t>
            </w:r>
            <w:r>
              <w:rPr>
                <w:rFonts w:hint="eastAsia"/>
                <w:color w:val="auto"/>
                <w:highlight w:val="none"/>
                <w:lang w:eastAsia="zh-CN"/>
              </w:rPr>
              <w:t>。</w:t>
            </w:r>
          </w:p>
          <w:p w14:paraId="2FED6C38">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default" w:eastAsia="宋体"/>
                <w:color w:val="auto"/>
                <w:highlight w:val="none"/>
                <w:lang w:val="en-US" w:eastAsia="zh-CN"/>
              </w:rPr>
            </w:pPr>
            <w:bookmarkStart w:id="30" w:name="_Ref1294"/>
            <w:r>
              <w:rPr>
                <w:color w:val="auto"/>
                <w:highlight w:val="none"/>
              </w:rPr>
              <w:t>表</w:t>
            </w:r>
            <w:bookmarkEnd w:id="30"/>
            <w:r>
              <w:rPr>
                <w:rFonts w:hint="eastAsia"/>
                <w:color w:val="auto"/>
                <w:highlight w:val="none"/>
                <w:lang w:val="en-US" w:eastAsia="zh-CN"/>
              </w:rPr>
              <w:t>3.6-2  颗粒物排放标准</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1"/>
              <w:gridCol w:w="1414"/>
              <w:gridCol w:w="2101"/>
              <w:gridCol w:w="1060"/>
              <w:gridCol w:w="2885"/>
            </w:tblGrid>
            <w:tr w14:paraId="56410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3" w:type="pct"/>
                  <w:vMerge w:val="restart"/>
                  <w:noWrap w:val="0"/>
                  <w:vAlign w:val="center"/>
                </w:tcPr>
                <w:p w14:paraId="43D562B1">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污染物</w:t>
                  </w:r>
                </w:p>
              </w:tc>
              <w:tc>
                <w:tcPr>
                  <w:tcW w:w="821" w:type="pct"/>
                  <w:vMerge w:val="restart"/>
                  <w:shd w:val="clear" w:color="auto" w:fill="auto"/>
                  <w:noWrap w:val="0"/>
                  <w:vAlign w:val="center"/>
                </w:tcPr>
                <w:p w14:paraId="67117D7B">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default" w:ascii="Times New Roman" w:hAnsi="Times New Roman" w:eastAsia="宋体"/>
                      <w:color w:val="auto"/>
                      <w:sz w:val="21"/>
                      <w:highlight w:val="none"/>
                    </w:rPr>
                    <w:t>最高允许排放浓度</w:t>
                  </w:r>
                </w:p>
              </w:tc>
              <w:tc>
                <w:tcPr>
                  <w:tcW w:w="1837" w:type="pct"/>
                  <w:gridSpan w:val="2"/>
                  <w:shd w:val="clear" w:color="auto" w:fill="auto"/>
                  <w:noWrap w:val="0"/>
                  <w:vAlign w:val="center"/>
                </w:tcPr>
                <w:p w14:paraId="3D6A9802">
                  <w:pPr>
                    <w:pStyle w:val="34"/>
                    <w:bidi w:val="0"/>
                    <w:rPr>
                      <w:rFonts w:hint="eastAsia" w:ascii="Times New Roman" w:hAnsi="Times New Roman" w:eastAsia="宋体"/>
                      <w:color w:val="auto"/>
                      <w:sz w:val="21"/>
                      <w:highlight w:val="none"/>
                      <w:lang w:val="en-US" w:eastAsia="zh-CN"/>
                    </w:rPr>
                  </w:pPr>
                  <w:r>
                    <w:rPr>
                      <w:rFonts w:hint="default" w:ascii="Times New Roman" w:hAnsi="Times New Roman" w:eastAsia="宋体"/>
                      <w:color w:val="auto"/>
                      <w:sz w:val="21"/>
                      <w:highlight w:val="none"/>
                      <w:lang w:val="en-US" w:eastAsia="zh-CN"/>
                    </w:rPr>
                    <w:t>无组织排放监控浓度限值</w:t>
                  </w:r>
                </w:p>
              </w:tc>
              <w:tc>
                <w:tcPr>
                  <w:tcW w:w="1677" w:type="pct"/>
                  <w:vMerge w:val="restart"/>
                  <w:noWrap w:val="0"/>
                  <w:vAlign w:val="center"/>
                </w:tcPr>
                <w:p w14:paraId="32B593C6">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标准</w:t>
                  </w:r>
                </w:p>
              </w:tc>
            </w:tr>
            <w:tr w14:paraId="58D2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3" w:type="pct"/>
                  <w:vMerge w:val="continue"/>
                  <w:noWrap w:val="0"/>
                  <w:vAlign w:val="center"/>
                </w:tcPr>
                <w:p w14:paraId="649DED95">
                  <w:pPr>
                    <w:pStyle w:val="34"/>
                    <w:bidi w:val="0"/>
                    <w:rPr>
                      <w:rFonts w:hint="eastAsia" w:ascii="Times New Roman" w:hAnsi="Times New Roman" w:eastAsia="宋体"/>
                      <w:color w:val="auto"/>
                      <w:sz w:val="21"/>
                      <w:highlight w:val="none"/>
                      <w:lang w:val="en-US" w:eastAsia="zh-CN"/>
                    </w:rPr>
                  </w:pPr>
                </w:p>
              </w:tc>
              <w:tc>
                <w:tcPr>
                  <w:tcW w:w="821" w:type="pct"/>
                  <w:vMerge w:val="continue"/>
                  <w:shd w:val="clear" w:color="auto" w:fill="auto"/>
                  <w:noWrap w:val="0"/>
                  <w:vAlign w:val="center"/>
                </w:tcPr>
                <w:p w14:paraId="378F8D54">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p>
              </w:tc>
              <w:tc>
                <w:tcPr>
                  <w:tcW w:w="1221" w:type="pct"/>
                  <w:shd w:val="clear" w:color="auto" w:fill="auto"/>
                  <w:noWrap w:val="0"/>
                  <w:vAlign w:val="center"/>
                </w:tcPr>
                <w:p w14:paraId="4BD44674">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监控点</w:t>
                  </w:r>
                </w:p>
              </w:tc>
              <w:tc>
                <w:tcPr>
                  <w:tcW w:w="616" w:type="pct"/>
                  <w:noWrap w:val="0"/>
                  <w:vAlign w:val="center"/>
                </w:tcPr>
                <w:p w14:paraId="6F19B5A9">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浓度</w:t>
                  </w:r>
                </w:p>
              </w:tc>
              <w:tc>
                <w:tcPr>
                  <w:tcW w:w="1677" w:type="pct"/>
                  <w:vMerge w:val="continue"/>
                  <w:noWrap w:val="0"/>
                  <w:vAlign w:val="center"/>
                </w:tcPr>
                <w:p w14:paraId="22DAB249">
                  <w:pPr>
                    <w:pStyle w:val="34"/>
                    <w:bidi w:val="0"/>
                    <w:rPr>
                      <w:rFonts w:hint="eastAsia" w:ascii="Times New Roman" w:hAnsi="Times New Roman" w:eastAsia="宋体"/>
                      <w:color w:val="auto"/>
                      <w:sz w:val="21"/>
                      <w:highlight w:val="none"/>
                      <w:lang w:val="en-US" w:eastAsia="zh-CN"/>
                    </w:rPr>
                  </w:pPr>
                </w:p>
              </w:tc>
            </w:tr>
            <w:tr w14:paraId="08A9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3" w:type="pct"/>
                  <w:noWrap w:val="0"/>
                  <w:vAlign w:val="center"/>
                </w:tcPr>
                <w:p w14:paraId="00974DB4">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颗粒物</w:t>
                  </w:r>
                </w:p>
              </w:tc>
              <w:tc>
                <w:tcPr>
                  <w:tcW w:w="821" w:type="pct"/>
                  <w:shd w:val="clear" w:color="auto" w:fill="auto"/>
                  <w:noWrap w:val="0"/>
                  <w:vAlign w:val="center"/>
                </w:tcPr>
                <w:p w14:paraId="604CFAF7">
                  <w:pPr>
                    <w:pStyle w:val="34"/>
                    <w:bidi w:val="0"/>
                    <w:ind w:firstLine="0" w:firstLineChars="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1</w:t>
                  </w:r>
                  <w:r>
                    <w:rPr>
                      <w:rFonts w:hint="default" w:ascii="Times New Roman" w:hAnsi="Times New Roman" w:eastAsia="宋体"/>
                      <w:color w:val="auto"/>
                      <w:sz w:val="21"/>
                      <w:highlight w:val="none"/>
                      <w:lang w:val="en-US" w:eastAsia="zh-CN"/>
                    </w:rPr>
                    <w:t>0mg/m</w:t>
                  </w:r>
                  <w:r>
                    <w:rPr>
                      <w:rFonts w:hint="default" w:ascii="Times New Roman" w:hAnsi="Times New Roman" w:eastAsia="宋体"/>
                      <w:color w:val="auto"/>
                      <w:sz w:val="21"/>
                      <w:highlight w:val="none"/>
                      <w:vertAlign w:val="superscript"/>
                      <w:lang w:val="en-US" w:eastAsia="zh-CN"/>
                    </w:rPr>
                    <w:t>3</w:t>
                  </w:r>
                </w:p>
              </w:tc>
              <w:tc>
                <w:tcPr>
                  <w:tcW w:w="1221" w:type="pct"/>
                  <w:shd w:val="clear" w:color="auto" w:fill="auto"/>
                  <w:noWrap w:val="0"/>
                  <w:vAlign w:val="center"/>
                </w:tcPr>
                <w:p w14:paraId="52307707">
                  <w:pPr>
                    <w:pStyle w:val="34"/>
                    <w:bidi w:val="0"/>
                    <w:ind w:firstLine="0" w:firstLineChars="0"/>
                    <w:rPr>
                      <w:rFonts w:hint="default" w:ascii="Times New Roman" w:hAnsi="Times New Roman" w:eastAsia="宋体" w:cs="宋体"/>
                      <w:color w:val="auto"/>
                      <w:kern w:val="2"/>
                      <w:sz w:val="21"/>
                      <w:szCs w:val="21"/>
                      <w:highlight w:val="none"/>
                      <w:lang w:val="en-US" w:eastAsia="zh-CN" w:bidi="ar"/>
                    </w:rPr>
                  </w:pPr>
                  <w:r>
                    <w:rPr>
                      <w:rFonts w:hint="eastAsia" w:ascii="Times New Roman" w:hAnsi="Times New Roman" w:cs="Times New Roman"/>
                      <w:color w:val="auto"/>
                      <w:szCs w:val="21"/>
                      <w:lang w:val="en-US" w:eastAsia="zh-CN"/>
                    </w:rPr>
                    <w:t>监控点处1h平均浓度值</w:t>
                  </w:r>
                </w:p>
              </w:tc>
              <w:tc>
                <w:tcPr>
                  <w:tcW w:w="616" w:type="pct"/>
                  <w:noWrap w:val="0"/>
                  <w:vAlign w:val="center"/>
                </w:tcPr>
                <w:p w14:paraId="30D20DB1">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5mg/m</w:t>
                  </w:r>
                  <w:r>
                    <w:rPr>
                      <w:rFonts w:hint="eastAsia" w:ascii="Times New Roman" w:hAnsi="Times New Roman" w:eastAsia="宋体"/>
                      <w:color w:val="auto"/>
                      <w:sz w:val="21"/>
                      <w:highlight w:val="none"/>
                      <w:vertAlign w:val="superscript"/>
                      <w:lang w:val="en-US" w:eastAsia="zh-CN"/>
                    </w:rPr>
                    <w:t>3</w:t>
                  </w:r>
                </w:p>
              </w:tc>
              <w:tc>
                <w:tcPr>
                  <w:tcW w:w="1677" w:type="pct"/>
                  <w:noWrap w:val="0"/>
                  <w:vAlign w:val="center"/>
                </w:tcPr>
                <w:p w14:paraId="695DBDC8">
                  <w:pPr>
                    <w:pStyle w:val="34"/>
                    <w:bidi w:val="0"/>
                    <w:rPr>
                      <w:rFonts w:hint="eastAsia" w:ascii="Times New Roman" w:hAnsi="Times New Roman" w:eastAsia="宋体"/>
                      <w:color w:val="auto"/>
                      <w:sz w:val="21"/>
                      <w:highlight w:val="none"/>
                      <w:lang w:eastAsia="zh-CN"/>
                    </w:rPr>
                  </w:pP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lang w:val="en-US" w:eastAsia="zh-CN"/>
                    </w:rPr>
                    <w:t>水泥工业大气污染物排放标准</w:t>
                  </w:r>
                  <w:r>
                    <w:rPr>
                      <w:rFonts w:hint="eastAsia" w:ascii="Times New Roman" w:hAnsi="Times New Roman" w:eastAsia="宋体"/>
                      <w:color w:val="auto"/>
                      <w:sz w:val="21"/>
                      <w:highlight w:val="none"/>
                      <w:lang w:eastAsia="zh-CN"/>
                    </w:rPr>
                    <w:t>》（</w:t>
                  </w:r>
                  <w:r>
                    <w:rPr>
                      <w:rFonts w:hint="eastAsia" w:ascii="Times New Roman" w:hAnsi="Times New Roman" w:eastAsia="宋体"/>
                      <w:color w:val="auto"/>
                      <w:sz w:val="21"/>
                      <w:highlight w:val="none"/>
                      <w:lang w:val="en-US" w:eastAsia="zh-CN"/>
                    </w:rPr>
                    <w:t>DB14/3176-2024</w:t>
                  </w:r>
                  <w:r>
                    <w:rPr>
                      <w:rFonts w:hint="eastAsia" w:ascii="Times New Roman" w:hAnsi="Times New Roman" w:eastAsia="宋体"/>
                      <w:color w:val="auto"/>
                      <w:sz w:val="21"/>
                      <w:highlight w:val="none"/>
                      <w:lang w:eastAsia="zh-CN"/>
                    </w:rPr>
                    <w:t>）</w:t>
                  </w:r>
                </w:p>
              </w:tc>
            </w:tr>
            <w:tr w14:paraId="43B1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3" w:type="pct"/>
                  <w:shd w:val="clear" w:color="auto" w:fill="auto"/>
                  <w:noWrap w:val="0"/>
                  <w:vAlign w:val="center"/>
                </w:tcPr>
                <w:p w14:paraId="3F476E08">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olor w:val="auto"/>
                      <w:sz w:val="21"/>
                      <w:highlight w:val="none"/>
                      <w:lang w:val="en-US" w:eastAsia="zh-CN"/>
                    </w:rPr>
                    <w:t>颗粒物</w:t>
                  </w:r>
                </w:p>
              </w:tc>
              <w:tc>
                <w:tcPr>
                  <w:tcW w:w="821" w:type="pct"/>
                  <w:shd w:val="clear" w:color="auto" w:fill="auto"/>
                  <w:noWrap w:val="0"/>
                  <w:vAlign w:val="center"/>
                </w:tcPr>
                <w:p w14:paraId="78A92FB0">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color w:val="auto"/>
                      <w:sz w:val="21"/>
                      <w:highlight w:val="none"/>
                      <w:lang w:val="en-US" w:eastAsia="zh-CN"/>
                    </w:rPr>
                    <w:t>120</w:t>
                  </w:r>
                  <w:r>
                    <w:rPr>
                      <w:rFonts w:hint="default" w:ascii="Times New Roman" w:hAnsi="Times New Roman" w:eastAsia="宋体"/>
                      <w:color w:val="auto"/>
                      <w:sz w:val="21"/>
                      <w:highlight w:val="none"/>
                      <w:lang w:val="en-US" w:eastAsia="zh-CN"/>
                    </w:rPr>
                    <w:t>mg/m</w:t>
                  </w:r>
                  <w:r>
                    <w:rPr>
                      <w:rFonts w:hint="default" w:ascii="Times New Roman" w:hAnsi="Times New Roman" w:eastAsia="宋体"/>
                      <w:color w:val="auto"/>
                      <w:sz w:val="21"/>
                      <w:highlight w:val="none"/>
                      <w:vertAlign w:val="superscript"/>
                      <w:lang w:val="en-US" w:eastAsia="zh-CN"/>
                    </w:rPr>
                    <w:t>3</w:t>
                  </w:r>
                </w:p>
              </w:tc>
              <w:tc>
                <w:tcPr>
                  <w:tcW w:w="1221" w:type="pct"/>
                  <w:shd w:val="clear" w:color="auto" w:fill="auto"/>
                  <w:noWrap w:val="0"/>
                  <w:vAlign w:val="center"/>
                </w:tcPr>
                <w:p w14:paraId="2CC0C566">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厂界外浓度最高点</w:t>
                  </w:r>
                </w:p>
              </w:tc>
              <w:tc>
                <w:tcPr>
                  <w:tcW w:w="616" w:type="pct"/>
                  <w:shd w:val="clear" w:color="auto" w:fill="auto"/>
                  <w:noWrap w:val="0"/>
                  <w:vAlign w:val="center"/>
                </w:tcPr>
                <w:p w14:paraId="271C53CE">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1.0mg/m</w:t>
                  </w:r>
                  <w:r>
                    <w:rPr>
                      <w:rFonts w:hint="eastAsia" w:ascii="Times New Roman" w:hAnsi="Times New Roman" w:eastAsia="宋体" w:cs="宋体"/>
                      <w:color w:val="auto"/>
                      <w:kern w:val="2"/>
                      <w:sz w:val="21"/>
                      <w:szCs w:val="21"/>
                      <w:highlight w:val="none"/>
                      <w:vertAlign w:val="superscript"/>
                      <w:lang w:val="en-US" w:eastAsia="zh-CN" w:bidi="ar"/>
                    </w:rPr>
                    <w:t>3</w:t>
                  </w:r>
                </w:p>
              </w:tc>
              <w:tc>
                <w:tcPr>
                  <w:tcW w:w="1677" w:type="pct"/>
                  <w:shd w:val="clear" w:color="auto" w:fill="auto"/>
                  <w:noWrap w:val="0"/>
                  <w:vAlign w:val="center"/>
                </w:tcPr>
                <w:p w14:paraId="33EA3310">
                  <w:pPr>
                    <w:pStyle w:val="34"/>
                    <w:bidi w:val="0"/>
                    <w:ind w:firstLine="0" w:firstLineChars="0"/>
                    <w:rPr>
                      <w:rFonts w:hint="eastAsia" w:ascii="Times New Roman" w:hAnsi="Times New Roman" w:eastAsia="宋体" w:cs="宋体"/>
                      <w:color w:val="auto"/>
                      <w:kern w:val="2"/>
                      <w:sz w:val="21"/>
                      <w:szCs w:val="21"/>
                      <w:highlight w:val="none"/>
                      <w:lang w:val="en-US" w:eastAsia="zh-CN" w:bidi="ar"/>
                    </w:rPr>
                  </w:pPr>
                  <w:r>
                    <w:rPr>
                      <w:rFonts w:hint="eastAsia" w:ascii="Times New Roman" w:hAnsi="Times New Roman" w:eastAsia="宋体" w:cs="宋体"/>
                      <w:color w:val="auto"/>
                      <w:kern w:val="2"/>
                      <w:sz w:val="21"/>
                      <w:szCs w:val="21"/>
                      <w:highlight w:val="none"/>
                      <w:lang w:val="en-US" w:eastAsia="zh-CN" w:bidi="ar"/>
                    </w:rPr>
                    <w:t>《大气污染物综合排放标准》（GB16297-1996）</w:t>
                  </w:r>
                </w:p>
              </w:tc>
            </w:tr>
          </w:tbl>
          <w:p w14:paraId="148115A2">
            <w:pPr>
              <w:pStyle w:val="11"/>
              <w:keepNext w:val="0"/>
              <w:keepLines w:val="0"/>
              <w:pageBreakBefore w:val="0"/>
              <w:widowControl w:val="0"/>
              <w:numPr>
                <w:ilvl w:val="1"/>
                <w:numId w:val="0"/>
              </w:numPr>
              <w:kinsoku/>
              <w:wordWrap/>
              <w:overflowPunct/>
              <w:topLinePunct w:val="0"/>
              <w:autoSpaceDE/>
              <w:autoSpaceDN/>
              <w:bidi w:val="0"/>
              <w:adjustRightInd/>
              <w:snapToGrid/>
              <w:ind w:firstLine="482" w:firstLineChars="200"/>
              <w:textAlignment w:val="auto"/>
              <w:rPr>
                <w:rFonts w:hint="eastAsia"/>
                <w:color w:val="auto"/>
                <w:highlight w:val="none"/>
                <w:lang w:eastAsia="zh-CN"/>
              </w:rPr>
            </w:pPr>
            <w:r>
              <w:rPr>
                <w:rFonts w:hint="default" w:ascii="Times New Roman" w:hAnsi="Times New Roman" w:eastAsia="宋体" w:cs="宋体"/>
                <w:b/>
                <w:bCs/>
                <w:color w:val="auto"/>
                <w:kern w:val="2"/>
                <w:sz w:val="24"/>
                <w:szCs w:val="24"/>
                <w:lang w:val="en-US" w:eastAsia="zh-CN" w:bidi="ar-SA"/>
              </w:rPr>
              <w:t>3.</w:t>
            </w:r>
            <w:r>
              <w:rPr>
                <w:rFonts w:hint="eastAsia" w:cs="宋体"/>
                <w:b/>
                <w:bCs/>
                <w:color w:val="auto"/>
                <w:kern w:val="2"/>
                <w:sz w:val="24"/>
                <w:szCs w:val="24"/>
                <w:lang w:val="en-US" w:eastAsia="zh-CN" w:bidi="ar-SA"/>
              </w:rPr>
              <w:t>7</w:t>
            </w:r>
            <w:r>
              <w:rPr>
                <w:rFonts w:hint="eastAsia"/>
                <w:color w:val="auto"/>
                <w:highlight w:val="none"/>
                <w:lang w:eastAsia="zh-CN"/>
              </w:rPr>
              <w:t>废水</w:t>
            </w:r>
          </w:p>
          <w:p w14:paraId="3A7F089C">
            <w:pPr>
              <w:topLinePunct/>
              <w:ind w:firstLine="480"/>
              <w:rPr>
                <w:rFonts w:hint="eastAsia" w:cs="Times New Roman"/>
                <w:b w:val="0"/>
                <w:bCs w:val="0"/>
                <w:color w:val="auto"/>
                <w:sz w:val="24"/>
                <w:szCs w:val="24"/>
                <w:highlight w:val="none"/>
                <w:lang w:val="en-US" w:eastAsia="zh-CN"/>
              </w:rPr>
            </w:pPr>
            <w:r>
              <w:rPr>
                <w:rFonts w:hint="eastAsia"/>
                <w:color w:val="auto"/>
                <w:highlight w:val="none"/>
                <w:lang w:eastAsia="zh-CN"/>
              </w:rPr>
              <w:t>项目运营期生产废水循环</w:t>
            </w:r>
            <w:r>
              <w:rPr>
                <w:rFonts w:hint="eastAsia"/>
                <w:color w:val="auto"/>
                <w:highlight w:val="none"/>
                <w:lang w:val="en-US" w:eastAsia="zh-CN"/>
              </w:rPr>
              <w:t>使用</w:t>
            </w:r>
            <w:r>
              <w:rPr>
                <w:rFonts w:hint="eastAsia"/>
                <w:color w:val="auto"/>
                <w:highlight w:val="none"/>
                <w:lang w:eastAsia="zh-CN"/>
              </w:rPr>
              <w:t>，不外排；生活污水通过厂区总排口排入市政污水管网进入壶关县第二污水处理厂处理。</w:t>
            </w:r>
            <w:r>
              <w:rPr>
                <w:rFonts w:hint="eastAsia" w:cs="Times New Roman"/>
                <w:color w:val="auto"/>
                <w:highlight w:val="none"/>
                <w:lang w:val="en-US" w:eastAsia="zh-CN"/>
              </w:rPr>
              <w:t>污水排放标准执行《污水排入城镇下水道水质标准》（GB/T31962-2015）中A级标准。</w:t>
            </w:r>
            <w:r>
              <w:rPr>
                <w:rFonts w:hint="eastAsia" w:cs="Times New Roman"/>
                <w:b w:val="0"/>
                <w:bCs w:val="0"/>
                <w:color w:val="auto"/>
                <w:sz w:val="24"/>
                <w:szCs w:val="24"/>
                <w:highlight w:val="none"/>
                <w:lang w:val="en-US" w:eastAsia="zh-CN"/>
              </w:rPr>
              <w:t>见表3.7-1。</w:t>
            </w:r>
          </w:p>
          <w:p w14:paraId="65401ECC">
            <w:pPr>
              <w:pStyle w:val="6"/>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b/>
                <w:bCs/>
                <w:color w:val="auto"/>
                <w:sz w:val="21"/>
                <w:szCs w:val="21"/>
                <w:highlight w:val="none"/>
              </w:rPr>
            </w:pPr>
            <w:bookmarkStart w:id="31" w:name="_Ref6629"/>
            <w:bookmarkStart w:id="32" w:name="_Ref29277"/>
            <w:r>
              <w:rPr>
                <w:rFonts w:hint="default" w:ascii="Times New Roman" w:hAnsi="Times New Roman" w:eastAsia="宋体" w:cs="Times New Roman"/>
                <w:b/>
                <w:bCs/>
                <w:color w:val="auto"/>
                <w:sz w:val="21"/>
                <w:szCs w:val="21"/>
                <w:highlight w:val="none"/>
                <w:lang w:eastAsia="zh-CN"/>
              </w:rPr>
              <w:t>表</w:t>
            </w:r>
            <w:bookmarkEnd w:id="31"/>
            <w:r>
              <w:rPr>
                <w:rFonts w:hint="eastAsia" w:ascii="Times New Roman" w:hAnsi="Times New Roman" w:eastAsia="宋体" w:cs="Times New Roman"/>
                <w:b/>
                <w:bCs/>
                <w:color w:val="auto"/>
                <w:sz w:val="21"/>
                <w:szCs w:val="21"/>
                <w:highlight w:val="none"/>
                <w:lang w:val="en-US" w:eastAsia="zh-CN"/>
              </w:rPr>
              <w:t>3.</w:t>
            </w:r>
            <w:r>
              <w:rPr>
                <w:rFonts w:hint="eastAsia" w:ascii="Times New Roman" w:hAnsi="Times New Roman" w:cs="Times New Roman"/>
                <w:b/>
                <w:bCs/>
                <w:color w:val="auto"/>
                <w:sz w:val="21"/>
                <w:szCs w:val="21"/>
                <w:highlight w:val="none"/>
                <w:lang w:val="en-US" w:eastAsia="zh-CN"/>
              </w:rPr>
              <w:t>7</w:t>
            </w:r>
            <w:r>
              <w:rPr>
                <w:rFonts w:hint="eastAsia" w:ascii="Times New Roman" w:hAnsi="Times New Roman" w:eastAsia="宋体" w:cs="Times New Roman"/>
                <w:b/>
                <w:bCs/>
                <w:color w:val="auto"/>
                <w:sz w:val="21"/>
                <w:szCs w:val="21"/>
                <w:highlight w:val="none"/>
                <w:lang w:val="en-US" w:eastAsia="zh-CN"/>
              </w:rPr>
              <w:t>-1</w:t>
            </w:r>
            <w:r>
              <w:rPr>
                <w:rFonts w:hint="eastAsia" w:cs="Times New Roman"/>
                <w:b/>
                <w:bCs/>
                <w:color w:val="auto"/>
                <w:sz w:val="21"/>
                <w:szCs w:val="21"/>
                <w:highlight w:val="none"/>
                <w:lang w:val="en-US" w:eastAsia="zh-CN"/>
              </w:rPr>
              <w:t xml:space="preserve"> </w:t>
            </w:r>
            <w:r>
              <w:rPr>
                <w:rFonts w:hint="default" w:ascii="Times New Roman" w:hAnsi="Times New Roman" w:cs="Times New Roman" w:eastAsiaTheme="minorEastAsia"/>
                <w:b/>
                <w:bCs/>
                <w:color w:val="auto"/>
                <w:sz w:val="21"/>
                <w:szCs w:val="21"/>
                <w:highlight w:val="none"/>
              </w:rPr>
              <w:t>《污水排入城镇下水道水质标准》（GB/T31962-2015）中A</w:t>
            </w:r>
            <w:r>
              <w:rPr>
                <w:rFonts w:hint="eastAsia" w:cs="Times New Roman" w:eastAsiaTheme="minorEastAsia"/>
                <w:b/>
                <w:bCs/>
                <w:color w:val="auto"/>
                <w:sz w:val="21"/>
                <w:szCs w:val="21"/>
                <w:highlight w:val="none"/>
                <w:lang w:val="en-US" w:eastAsia="zh-CN"/>
              </w:rPr>
              <w:t>级</w:t>
            </w:r>
            <w:r>
              <w:rPr>
                <w:rFonts w:hint="default" w:ascii="Times New Roman" w:hAnsi="Times New Roman" w:cs="Times New Roman" w:eastAsiaTheme="minorEastAsia"/>
                <w:b/>
                <w:bCs/>
                <w:color w:val="auto"/>
                <w:sz w:val="21"/>
                <w:szCs w:val="21"/>
                <w:highlight w:val="none"/>
              </w:rPr>
              <w:t>标准</w:t>
            </w:r>
            <w:r>
              <w:rPr>
                <w:rFonts w:hint="eastAsia" w:ascii="Times New Roman" w:hAnsi="Times New Roman" w:cs="Times New Roman" w:eastAsiaTheme="minorEastAsia"/>
                <w:b/>
                <w:bCs/>
                <w:color w:val="auto"/>
                <w:sz w:val="21"/>
                <w:szCs w:val="21"/>
                <w:highlight w:val="none"/>
                <w:lang w:val="en-US" w:eastAsia="zh-CN"/>
              </w:rPr>
              <w:t xml:space="preserve"> </w:t>
            </w:r>
            <w:r>
              <w:rPr>
                <w:rFonts w:hint="default" w:ascii="Times New Roman" w:hAnsi="Times New Roman" w:cs="Times New Roman" w:eastAsiaTheme="minorEastAsia"/>
                <w:b/>
                <w:bCs/>
                <w:color w:val="auto"/>
                <w:sz w:val="21"/>
                <w:szCs w:val="21"/>
                <w:highlight w:val="none"/>
              </w:rPr>
              <w:t xml:space="preserve">  单位：mg/L</w:t>
            </w:r>
          </w:p>
          <w:tbl>
            <w:tblPr>
              <w:tblStyle w:val="2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64"/>
              <w:gridCol w:w="1328"/>
              <w:gridCol w:w="1562"/>
              <w:gridCol w:w="1381"/>
              <w:gridCol w:w="1180"/>
              <w:gridCol w:w="1181"/>
            </w:tblGrid>
            <w:tr w14:paraId="750E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142" w:type="pct"/>
                  <w:tcBorders>
                    <w:tl2br w:val="nil"/>
                    <w:tr2bl w:val="nil"/>
                  </w:tcBorders>
                  <w:vAlign w:val="center"/>
                </w:tcPr>
                <w:p w14:paraId="645A8E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highlight w:val="none"/>
                      <w:lang w:val="en-US" w:eastAsia="zh-CN" w:bidi="ar"/>
                    </w:rPr>
                  </w:pPr>
                  <w:r>
                    <w:rPr>
                      <w:rFonts w:hint="eastAsia" w:ascii="Times New Roman" w:hAnsi="Times New Roman" w:eastAsia="宋体" w:cs="Times New Roman"/>
                      <w:b/>
                      <w:bCs/>
                      <w:color w:val="auto"/>
                      <w:sz w:val="21"/>
                      <w:szCs w:val="21"/>
                      <w:highlight w:val="none"/>
                      <w:lang w:val="en-US" w:eastAsia="zh-CN" w:bidi="ar"/>
                    </w:rPr>
                    <w:t>污染物名称</w:t>
                  </w:r>
                </w:p>
              </w:tc>
              <w:tc>
                <w:tcPr>
                  <w:tcW w:w="772" w:type="pct"/>
                  <w:tcBorders>
                    <w:tl2br w:val="nil"/>
                    <w:tr2bl w:val="nil"/>
                  </w:tcBorders>
                  <w:vAlign w:val="center"/>
                </w:tcPr>
                <w:p w14:paraId="7F7006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highlight w:val="none"/>
                      <w:lang w:val="en-US" w:eastAsia="zh-CN" w:bidi="ar"/>
                    </w:rPr>
                  </w:pPr>
                  <w:r>
                    <w:rPr>
                      <w:rFonts w:hint="eastAsia" w:ascii="Times New Roman" w:hAnsi="Times New Roman" w:eastAsia="宋体" w:cs="Times New Roman"/>
                      <w:b/>
                      <w:bCs/>
                      <w:color w:val="auto"/>
                      <w:sz w:val="21"/>
                      <w:szCs w:val="21"/>
                      <w:highlight w:val="none"/>
                      <w:lang w:val="en-US" w:eastAsia="zh-CN" w:bidi="ar"/>
                    </w:rPr>
                    <w:t>COD</w:t>
                  </w:r>
                  <w:r>
                    <w:rPr>
                      <w:rFonts w:hint="eastAsia" w:ascii="Times New Roman" w:hAnsi="Times New Roman" w:eastAsia="宋体" w:cs="Times New Roman"/>
                      <w:b/>
                      <w:bCs/>
                      <w:color w:val="auto"/>
                      <w:sz w:val="21"/>
                      <w:szCs w:val="21"/>
                      <w:highlight w:val="none"/>
                      <w:vertAlign w:val="subscript"/>
                      <w:lang w:val="en-US" w:eastAsia="zh-CN" w:bidi="ar"/>
                    </w:rPr>
                    <w:t>cr</w:t>
                  </w:r>
                </w:p>
              </w:tc>
              <w:tc>
                <w:tcPr>
                  <w:tcW w:w="908" w:type="pct"/>
                  <w:tcBorders>
                    <w:tl2br w:val="nil"/>
                    <w:tr2bl w:val="nil"/>
                  </w:tcBorders>
                  <w:vAlign w:val="center"/>
                </w:tcPr>
                <w:p w14:paraId="7ECD12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highlight w:val="none"/>
                      <w:lang w:val="en-US" w:eastAsia="zh-CN" w:bidi="ar"/>
                    </w:rPr>
                  </w:pPr>
                  <w:r>
                    <w:rPr>
                      <w:rFonts w:hint="eastAsia" w:ascii="Times New Roman" w:hAnsi="Times New Roman" w:eastAsia="宋体" w:cs="Times New Roman"/>
                      <w:b/>
                      <w:bCs/>
                      <w:color w:val="auto"/>
                      <w:sz w:val="21"/>
                      <w:szCs w:val="21"/>
                      <w:highlight w:val="none"/>
                      <w:lang w:val="en-US" w:eastAsia="zh-CN" w:bidi="ar"/>
                    </w:rPr>
                    <w:t>BOD</w:t>
                  </w:r>
                  <w:r>
                    <w:rPr>
                      <w:rFonts w:hint="eastAsia" w:ascii="Times New Roman" w:hAnsi="Times New Roman" w:eastAsia="宋体" w:cs="Times New Roman"/>
                      <w:b/>
                      <w:bCs/>
                      <w:color w:val="auto"/>
                      <w:sz w:val="21"/>
                      <w:szCs w:val="21"/>
                      <w:highlight w:val="none"/>
                      <w:vertAlign w:val="subscript"/>
                      <w:lang w:val="en-US" w:eastAsia="zh-CN" w:bidi="ar"/>
                    </w:rPr>
                    <w:t>5</w:t>
                  </w:r>
                </w:p>
              </w:tc>
              <w:tc>
                <w:tcPr>
                  <w:tcW w:w="803" w:type="pct"/>
                  <w:tcBorders>
                    <w:tl2br w:val="nil"/>
                    <w:tr2bl w:val="nil"/>
                  </w:tcBorders>
                  <w:vAlign w:val="center"/>
                </w:tcPr>
                <w:p w14:paraId="71623D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highlight w:val="none"/>
                      <w:lang w:val="en-US" w:eastAsia="zh-CN" w:bidi="ar"/>
                    </w:rPr>
                  </w:pPr>
                  <w:r>
                    <w:rPr>
                      <w:rFonts w:hint="eastAsia" w:ascii="Times New Roman" w:hAnsi="Times New Roman" w:eastAsia="宋体" w:cs="Times New Roman"/>
                      <w:b/>
                      <w:bCs/>
                      <w:color w:val="auto"/>
                      <w:sz w:val="21"/>
                      <w:szCs w:val="21"/>
                      <w:highlight w:val="none"/>
                      <w:lang w:val="en-US" w:eastAsia="zh-CN" w:bidi="ar"/>
                    </w:rPr>
                    <w:t>SS</w:t>
                  </w:r>
                </w:p>
              </w:tc>
              <w:tc>
                <w:tcPr>
                  <w:tcW w:w="686" w:type="pct"/>
                  <w:tcBorders>
                    <w:tl2br w:val="nil"/>
                    <w:tr2bl w:val="nil"/>
                  </w:tcBorders>
                  <w:vAlign w:val="center"/>
                </w:tcPr>
                <w:p w14:paraId="6EE09A6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bidi="ar"/>
                    </w:rPr>
                  </w:pPr>
                  <w:r>
                    <w:rPr>
                      <w:rFonts w:hint="eastAsia" w:ascii="Times New Roman" w:hAnsi="Times New Roman" w:eastAsia="宋体" w:cs="Times New Roman"/>
                      <w:b/>
                      <w:bCs/>
                      <w:color w:val="auto"/>
                      <w:sz w:val="21"/>
                      <w:szCs w:val="21"/>
                      <w:highlight w:val="none"/>
                      <w:lang w:val="en-US" w:eastAsia="zh-CN" w:bidi="ar"/>
                    </w:rPr>
                    <w:t>NH</w:t>
                  </w:r>
                  <w:r>
                    <w:rPr>
                      <w:rFonts w:hint="eastAsia" w:ascii="Times New Roman" w:hAnsi="Times New Roman" w:eastAsia="宋体" w:cs="Times New Roman"/>
                      <w:b/>
                      <w:bCs/>
                      <w:color w:val="auto"/>
                      <w:sz w:val="21"/>
                      <w:szCs w:val="21"/>
                      <w:highlight w:val="none"/>
                      <w:vertAlign w:val="subscript"/>
                      <w:lang w:val="en-US" w:eastAsia="zh-CN" w:bidi="ar"/>
                    </w:rPr>
                    <w:t>3</w:t>
                  </w:r>
                  <w:r>
                    <w:rPr>
                      <w:rFonts w:hint="eastAsia" w:ascii="Times New Roman" w:hAnsi="Times New Roman" w:eastAsia="宋体" w:cs="Times New Roman"/>
                      <w:b/>
                      <w:bCs/>
                      <w:color w:val="auto"/>
                      <w:sz w:val="21"/>
                      <w:szCs w:val="21"/>
                      <w:highlight w:val="none"/>
                      <w:lang w:val="en-US" w:eastAsia="zh-CN" w:bidi="ar"/>
                    </w:rPr>
                    <w:t>-N</w:t>
                  </w:r>
                </w:p>
              </w:tc>
              <w:tc>
                <w:tcPr>
                  <w:tcW w:w="686" w:type="pct"/>
                  <w:tcBorders>
                    <w:tl2br w:val="nil"/>
                    <w:tr2bl w:val="nil"/>
                  </w:tcBorders>
                  <w:vAlign w:val="center"/>
                </w:tcPr>
                <w:p w14:paraId="1B425B2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bidi="ar"/>
                    </w:rPr>
                  </w:pPr>
                  <w:r>
                    <w:rPr>
                      <w:rFonts w:hint="eastAsia" w:ascii="Times New Roman" w:hAnsi="Times New Roman" w:eastAsia="宋体" w:cs="Times New Roman"/>
                      <w:b/>
                      <w:bCs/>
                      <w:color w:val="auto"/>
                      <w:sz w:val="21"/>
                      <w:szCs w:val="21"/>
                      <w:highlight w:val="none"/>
                      <w:lang w:val="en-US" w:eastAsia="zh-CN" w:bidi="ar"/>
                    </w:rPr>
                    <w:t>动植物油</w:t>
                  </w:r>
                </w:p>
              </w:tc>
            </w:tr>
            <w:tr w14:paraId="40A7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1142" w:type="pct"/>
                  <w:tcBorders>
                    <w:tl2br w:val="nil"/>
                    <w:tr2bl w:val="nil"/>
                  </w:tcBorders>
                  <w:vAlign w:val="center"/>
                </w:tcPr>
                <w:p w14:paraId="3BF52E0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
                    </w:rPr>
                  </w:pPr>
                  <w:r>
                    <w:rPr>
                      <w:rFonts w:hint="eastAsia" w:ascii="Times New Roman" w:hAnsi="Times New Roman" w:eastAsia="宋体" w:cs="Times New Roman"/>
                      <w:b w:val="0"/>
                      <w:bCs w:val="0"/>
                      <w:color w:val="auto"/>
                      <w:sz w:val="21"/>
                      <w:szCs w:val="21"/>
                      <w:highlight w:val="none"/>
                      <w:lang w:val="en-US" w:eastAsia="zh-CN" w:bidi="ar"/>
                    </w:rPr>
                    <w:t>标准值</w:t>
                  </w:r>
                </w:p>
              </w:tc>
              <w:tc>
                <w:tcPr>
                  <w:tcW w:w="772" w:type="pct"/>
                  <w:tcBorders>
                    <w:tl2br w:val="nil"/>
                    <w:tr2bl w:val="nil"/>
                  </w:tcBorders>
                  <w:vAlign w:val="center"/>
                </w:tcPr>
                <w:p w14:paraId="6AB9C61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500</w:t>
                  </w:r>
                </w:p>
              </w:tc>
              <w:tc>
                <w:tcPr>
                  <w:tcW w:w="908" w:type="pct"/>
                  <w:tcBorders>
                    <w:tl2br w:val="nil"/>
                    <w:tr2bl w:val="nil"/>
                  </w:tcBorders>
                  <w:vAlign w:val="center"/>
                </w:tcPr>
                <w:p w14:paraId="446EE30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350</w:t>
                  </w:r>
                </w:p>
              </w:tc>
              <w:tc>
                <w:tcPr>
                  <w:tcW w:w="803" w:type="pct"/>
                  <w:tcBorders>
                    <w:tl2br w:val="nil"/>
                    <w:tr2bl w:val="nil"/>
                  </w:tcBorders>
                  <w:vAlign w:val="center"/>
                </w:tcPr>
                <w:p w14:paraId="03CCA15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400</w:t>
                  </w:r>
                </w:p>
              </w:tc>
              <w:tc>
                <w:tcPr>
                  <w:tcW w:w="686" w:type="pct"/>
                  <w:tcBorders>
                    <w:tl2br w:val="nil"/>
                    <w:tr2bl w:val="nil"/>
                  </w:tcBorders>
                  <w:vAlign w:val="center"/>
                </w:tcPr>
                <w:p w14:paraId="2044794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45</w:t>
                  </w:r>
                </w:p>
              </w:tc>
              <w:tc>
                <w:tcPr>
                  <w:tcW w:w="686" w:type="pct"/>
                  <w:tcBorders>
                    <w:tl2br w:val="nil"/>
                    <w:tr2bl w:val="nil"/>
                  </w:tcBorders>
                  <w:vAlign w:val="center"/>
                </w:tcPr>
                <w:p w14:paraId="111300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b w:val="0"/>
                      <w:bCs w:val="0"/>
                      <w:color w:val="auto"/>
                      <w:sz w:val="21"/>
                      <w:szCs w:val="21"/>
                      <w:highlight w:val="none"/>
                      <w:lang w:val="en-US" w:eastAsia="zh-CN" w:bidi="ar"/>
                    </w:rPr>
                  </w:pPr>
                  <w:r>
                    <w:rPr>
                      <w:rFonts w:hint="eastAsia" w:cs="Times New Roman"/>
                      <w:b w:val="0"/>
                      <w:bCs w:val="0"/>
                      <w:color w:val="auto"/>
                      <w:sz w:val="21"/>
                      <w:szCs w:val="21"/>
                      <w:highlight w:val="none"/>
                      <w:lang w:val="en-US" w:eastAsia="zh-CN" w:bidi="ar"/>
                    </w:rPr>
                    <w:t>100</w:t>
                  </w:r>
                </w:p>
              </w:tc>
            </w:tr>
            <w:bookmarkEnd w:id="32"/>
          </w:tbl>
          <w:p w14:paraId="3F716E5A">
            <w:pPr>
              <w:pStyle w:val="11"/>
              <w:keepNext w:val="0"/>
              <w:keepLines w:val="0"/>
              <w:pageBreakBefore w:val="0"/>
              <w:widowControl w:val="0"/>
              <w:numPr>
                <w:ilvl w:val="1"/>
                <w:numId w:val="0"/>
              </w:numPr>
              <w:kinsoku/>
              <w:wordWrap/>
              <w:overflowPunct/>
              <w:topLinePunct w:val="0"/>
              <w:autoSpaceDE/>
              <w:autoSpaceDN/>
              <w:bidi w:val="0"/>
              <w:adjustRightInd/>
              <w:snapToGrid/>
              <w:ind w:firstLine="482" w:firstLineChars="200"/>
              <w:textAlignment w:val="auto"/>
              <w:rPr>
                <w:rFonts w:hint="eastAsia"/>
                <w:color w:val="auto"/>
                <w:highlight w:val="none"/>
                <w:lang w:eastAsia="zh-CN"/>
              </w:rPr>
            </w:pPr>
            <w:r>
              <w:rPr>
                <w:rFonts w:hint="default" w:ascii="Times New Roman" w:hAnsi="Times New Roman" w:eastAsia="宋体" w:cs="宋体"/>
                <w:b/>
                <w:bCs/>
                <w:color w:val="auto"/>
                <w:kern w:val="2"/>
                <w:sz w:val="24"/>
                <w:szCs w:val="24"/>
                <w:lang w:val="en-US" w:eastAsia="zh-CN" w:bidi="ar-SA"/>
              </w:rPr>
              <w:t>3.</w:t>
            </w:r>
            <w:r>
              <w:rPr>
                <w:rFonts w:hint="eastAsia" w:cs="宋体"/>
                <w:b/>
                <w:bCs/>
                <w:color w:val="auto"/>
                <w:kern w:val="2"/>
                <w:sz w:val="24"/>
                <w:szCs w:val="24"/>
                <w:lang w:val="en-US" w:eastAsia="zh-CN" w:bidi="ar-SA"/>
              </w:rPr>
              <w:t>8</w:t>
            </w:r>
            <w:r>
              <w:rPr>
                <w:rFonts w:hint="eastAsia"/>
                <w:color w:val="auto"/>
                <w:highlight w:val="none"/>
                <w:lang w:eastAsia="zh-CN"/>
              </w:rPr>
              <w:t>噪声</w:t>
            </w:r>
          </w:p>
          <w:p w14:paraId="0BDD8A97">
            <w:pPr>
              <w:keepNext w:val="0"/>
              <w:keepLines w:val="0"/>
              <w:pageBreakBefore w:val="0"/>
              <w:widowControl w:val="0"/>
              <w:numPr>
                <w:ilvl w:val="0"/>
                <w:numId w:val="7"/>
              </w:numPr>
              <w:kinsoku/>
              <w:wordWrap/>
              <w:overflowPunct/>
              <w:topLinePunct w:val="0"/>
              <w:autoSpaceDE/>
              <w:autoSpaceDN/>
              <w:bidi w:val="0"/>
              <w:adjustRightInd/>
              <w:snapToGrid/>
              <w:ind w:firstLine="480" w:firstLineChars="200"/>
              <w:textAlignment w:val="auto"/>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施工期</w:t>
            </w:r>
          </w:p>
          <w:p w14:paraId="2761FFA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eastAsia="宋体"/>
                <w:color w:val="auto"/>
                <w:highlight w:val="none"/>
                <w:lang w:val="en-US" w:eastAsia="zh-CN"/>
              </w:rPr>
            </w:pPr>
            <w:r>
              <w:rPr>
                <w:rFonts w:ascii="Times New Roman" w:hAnsi="Times New Roman" w:cs="Times New Roman"/>
                <w:color w:val="auto"/>
                <w:sz w:val="24"/>
                <w:szCs w:val="24"/>
                <w:highlight w:val="none"/>
              </w:rPr>
              <w:t>项目施工期执行《建筑施工噪声排放标准》（GB12523-20</w:t>
            </w:r>
            <w:r>
              <w:rPr>
                <w:rFonts w:hint="eastAsia" w:cs="Times New Roman"/>
                <w:color w:val="auto"/>
                <w:sz w:val="24"/>
                <w:szCs w:val="24"/>
                <w:highlight w:val="none"/>
                <w:lang w:val="en-US" w:eastAsia="zh-CN"/>
              </w:rPr>
              <w:t>25</w:t>
            </w:r>
            <w:r>
              <w:rPr>
                <w:rFonts w:ascii="Times New Roman" w:hAnsi="Times New Roman" w:cs="Times New Roman"/>
                <w:color w:val="auto"/>
                <w:sz w:val="24"/>
                <w:szCs w:val="24"/>
                <w:highlight w:val="none"/>
              </w:rPr>
              <w:t>）中的标准，标准限值见</w:t>
            </w:r>
            <w:bookmarkStart w:id="33" w:name="_Ref1153"/>
            <w:r>
              <w:rPr>
                <w:rFonts w:hint="eastAsia" w:cs="Times New Roman"/>
                <w:color w:val="auto"/>
                <w:sz w:val="24"/>
                <w:szCs w:val="24"/>
                <w:highlight w:val="none"/>
                <w:lang w:val="en-US" w:eastAsia="zh-CN"/>
              </w:rPr>
              <w:t>表3.8-1。</w:t>
            </w:r>
          </w:p>
          <w:p w14:paraId="205E0FC6">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eastAsia"/>
                <w:color w:val="auto"/>
                <w:highlight w:val="none"/>
                <w:lang w:val="en-US" w:eastAsia="zh-CN"/>
              </w:rPr>
            </w:pPr>
            <w:r>
              <w:rPr>
                <w:color w:val="auto"/>
                <w:highlight w:val="none"/>
              </w:rPr>
              <w:t>表</w:t>
            </w:r>
            <w:bookmarkEnd w:id="33"/>
            <w:r>
              <w:rPr>
                <w:rFonts w:hint="eastAsia"/>
                <w:color w:val="auto"/>
                <w:highlight w:val="none"/>
                <w:lang w:val="en-US" w:eastAsia="zh-CN"/>
              </w:rPr>
              <w:t>3.8-1 《建筑施工噪声排放标准》（GB12523-2025）  单位：dB(A)</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8"/>
              <w:gridCol w:w="2874"/>
              <w:gridCol w:w="3169"/>
            </w:tblGrid>
            <w:tr w14:paraId="621E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34" w:type="dxa"/>
                  <w:vMerge w:val="restart"/>
                  <w:noWrap w:val="0"/>
                  <w:vAlign w:val="center"/>
                </w:tcPr>
                <w:p w14:paraId="6ED7E8BC">
                  <w:pPr>
                    <w:pStyle w:val="34"/>
                    <w:bidi w:val="0"/>
                    <w:rPr>
                      <w:rFonts w:ascii="Times New Roman" w:hAnsi="Times New Roman" w:eastAsia="宋体"/>
                      <w:color w:val="auto"/>
                      <w:sz w:val="21"/>
                      <w:highlight w:val="none"/>
                    </w:rPr>
                  </w:pPr>
                  <w:r>
                    <w:rPr>
                      <w:rFonts w:ascii="Times New Roman" w:hAnsi="Times New Roman" w:eastAsia="宋体"/>
                      <w:color w:val="auto"/>
                      <w:sz w:val="21"/>
                      <w:highlight w:val="none"/>
                    </w:rPr>
                    <w:t>噪声限值L</w:t>
                  </w:r>
                  <w:r>
                    <w:rPr>
                      <w:rFonts w:ascii="Times New Roman" w:hAnsi="Times New Roman" w:eastAsia="宋体"/>
                      <w:color w:val="auto"/>
                      <w:sz w:val="21"/>
                      <w:highlight w:val="none"/>
                      <w:vertAlign w:val="subscript"/>
                    </w:rPr>
                    <w:t>eq</w:t>
                  </w:r>
                </w:p>
              </w:tc>
              <w:tc>
                <w:tcPr>
                  <w:tcW w:w="2847" w:type="dxa"/>
                  <w:noWrap w:val="0"/>
                  <w:vAlign w:val="center"/>
                </w:tcPr>
                <w:p w14:paraId="6BE8E9D6">
                  <w:pPr>
                    <w:pStyle w:val="34"/>
                    <w:bidi w:val="0"/>
                    <w:rPr>
                      <w:rFonts w:ascii="Times New Roman" w:hAnsi="Times New Roman" w:eastAsia="宋体"/>
                      <w:color w:val="auto"/>
                      <w:sz w:val="21"/>
                      <w:highlight w:val="none"/>
                    </w:rPr>
                  </w:pPr>
                  <w:r>
                    <w:rPr>
                      <w:rFonts w:ascii="Times New Roman" w:hAnsi="Times New Roman" w:eastAsia="宋体"/>
                      <w:color w:val="auto"/>
                      <w:sz w:val="21"/>
                      <w:highlight w:val="none"/>
                    </w:rPr>
                    <w:t>昼间</w:t>
                  </w:r>
                </w:p>
              </w:tc>
              <w:tc>
                <w:tcPr>
                  <w:tcW w:w="3138" w:type="dxa"/>
                  <w:noWrap w:val="0"/>
                  <w:vAlign w:val="center"/>
                </w:tcPr>
                <w:p w14:paraId="4BD0978D">
                  <w:pPr>
                    <w:pStyle w:val="34"/>
                    <w:bidi w:val="0"/>
                    <w:rPr>
                      <w:rFonts w:ascii="Times New Roman" w:hAnsi="Times New Roman" w:eastAsia="宋体"/>
                      <w:color w:val="auto"/>
                      <w:sz w:val="21"/>
                      <w:highlight w:val="none"/>
                    </w:rPr>
                  </w:pPr>
                  <w:r>
                    <w:rPr>
                      <w:rFonts w:ascii="Times New Roman" w:hAnsi="Times New Roman" w:eastAsia="宋体"/>
                      <w:color w:val="auto"/>
                      <w:sz w:val="21"/>
                      <w:highlight w:val="none"/>
                    </w:rPr>
                    <w:t>夜间</w:t>
                  </w:r>
                </w:p>
              </w:tc>
            </w:tr>
            <w:tr w14:paraId="0BB8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34" w:type="dxa"/>
                  <w:vMerge w:val="continue"/>
                  <w:noWrap w:val="0"/>
                  <w:vAlign w:val="center"/>
                </w:tcPr>
                <w:p w14:paraId="59CBDAC3">
                  <w:pPr>
                    <w:pStyle w:val="34"/>
                    <w:bidi w:val="0"/>
                    <w:rPr>
                      <w:rFonts w:ascii="Times New Roman" w:hAnsi="Times New Roman" w:eastAsia="宋体"/>
                      <w:color w:val="auto"/>
                      <w:sz w:val="21"/>
                      <w:highlight w:val="none"/>
                    </w:rPr>
                  </w:pPr>
                </w:p>
              </w:tc>
              <w:tc>
                <w:tcPr>
                  <w:tcW w:w="2847" w:type="dxa"/>
                  <w:noWrap w:val="0"/>
                  <w:vAlign w:val="center"/>
                </w:tcPr>
                <w:p w14:paraId="26CD4181">
                  <w:pPr>
                    <w:pStyle w:val="34"/>
                    <w:bidi w:val="0"/>
                    <w:rPr>
                      <w:rFonts w:ascii="Times New Roman" w:hAnsi="Times New Roman" w:eastAsia="宋体"/>
                      <w:color w:val="auto"/>
                      <w:sz w:val="21"/>
                      <w:highlight w:val="none"/>
                    </w:rPr>
                  </w:pPr>
                  <w:r>
                    <w:rPr>
                      <w:rFonts w:ascii="Times New Roman" w:hAnsi="Times New Roman" w:eastAsia="宋体"/>
                      <w:color w:val="auto"/>
                      <w:sz w:val="21"/>
                      <w:highlight w:val="none"/>
                    </w:rPr>
                    <w:t>70</w:t>
                  </w:r>
                </w:p>
              </w:tc>
              <w:tc>
                <w:tcPr>
                  <w:tcW w:w="3138" w:type="dxa"/>
                  <w:noWrap w:val="0"/>
                  <w:vAlign w:val="center"/>
                </w:tcPr>
                <w:p w14:paraId="1D6ED6CB">
                  <w:pPr>
                    <w:pStyle w:val="34"/>
                    <w:bidi w:val="0"/>
                    <w:rPr>
                      <w:rFonts w:ascii="Times New Roman" w:hAnsi="Times New Roman" w:eastAsia="宋体"/>
                      <w:color w:val="auto"/>
                      <w:sz w:val="21"/>
                      <w:highlight w:val="none"/>
                    </w:rPr>
                  </w:pPr>
                  <w:r>
                    <w:rPr>
                      <w:rFonts w:ascii="Times New Roman" w:hAnsi="Times New Roman" w:eastAsia="宋体"/>
                      <w:color w:val="auto"/>
                      <w:sz w:val="21"/>
                      <w:highlight w:val="none"/>
                    </w:rPr>
                    <w:t>55</w:t>
                  </w:r>
                </w:p>
              </w:tc>
            </w:tr>
          </w:tbl>
          <w:p w14:paraId="4E0229DC">
            <w:pPr>
              <w:numPr>
                <w:ilvl w:val="0"/>
                <w:numId w:val="7"/>
              </w:numPr>
              <w:bidi w:val="0"/>
              <w:rPr>
                <w:rFonts w:hint="default" w:ascii="Times New Roman" w:hAnsi="Times New Roman" w:eastAsia="宋体"/>
                <w:color w:val="auto"/>
                <w:sz w:val="24"/>
                <w:highlight w:val="none"/>
                <w:lang w:val="en-US" w:eastAsia="zh-CN"/>
              </w:rPr>
            </w:pPr>
            <w:r>
              <w:rPr>
                <w:rFonts w:hint="eastAsia"/>
                <w:color w:val="auto"/>
                <w:sz w:val="24"/>
                <w:highlight w:val="none"/>
                <w:lang w:val="en-US" w:eastAsia="zh-CN"/>
              </w:rPr>
              <w:t>运营期</w:t>
            </w:r>
          </w:p>
          <w:p w14:paraId="58BC2FDE">
            <w:pPr>
              <w:bidi w:val="0"/>
              <w:rPr>
                <w:rFonts w:ascii="Times New Roman" w:hAnsi="Times New Roman" w:eastAsia="宋体"/>
                <w:color w:val="auto"/>
                <w:sz w:val="24"/>
                <w:highlight w:val="none"/>
              </w:rPr>
            </w:pPr>
            <w:r>
              <w:rPr>
                <w:rFonts w:hint="eastAsia"/>
                <w:color w:val="auto"/>
                <w:highlight w:val="none"/>
                <w:lang w:val="en-US" w:eastAsia="zh-CN"/>
              </w:rPr>
              <w:t>根据《壶关经济开发区扩区总体规划（2020-2035）》环境影响报告书的区域声环境功能区划，开发区规划范围内居住、服务区执行2类标准</w:t>
            </w:r>
            <w:r>
              <w:rPr>
                <w:rFonts w:hint="eastAsia" w:ascii="Times New Roman" w:hAnsi="Times New Roman" w:eastAsia="宋体"/>
                <w:color w:val="auto"/>
                <w:sz w:val="24"/>
                <w:highlight w:val="none"/>
              </w:rPr>
              <w:t>，</w:t>
            </w:r>
            <w:r>
              <w:rPr>
                <w:rFonts w:hint="eastAsia"/>
                <w:color w:val="auto"/>
                <w:sz w:val="24"/>
                <w:highlight w:val="none"/>
                <w:lang w:val="en-US" w:eastAsia="zh-CN"/>
              </w:rPr>
              <w:t>工业区执行3类标准，本项目厂界范围</w:t>
            </w:r>
            <w:r>
              <w:rPr>
                <w:rFonts w:hint="eastAsia"/>
                <w:color w:val="auto"/>
                <w:highlight w:val="none"/>
                <w:lang w:val="en-US" w:eastAsia="zh-CN"/>
              </w:rPr>
              <w:t>执行《工业企业厂界环境噪声排放标准》（GB12348-2008）3类标准，</w:t>
            </w:r>
            <w:r>
              <w:rPr>
                <w:rFonts w:hint="eastAsia" w:ascii="Times New Roman" w:hAnsi="Times New Roman" w:eastAsia="宋体"/>
                <w:color w:val="auto"/>
                <w:sz w:val="24"/>
                <w:highlight w:val="none"/>
              </w:rPr>
              <w:t>具体数据</w:t>
            </w:r>
            <w:r>
              <w:rPr>
                <w:rFonts w:ascii="Times New Roman" w:hAnsi="Times New Roman" w:eastAsia="宋体"/>
                <w:color w:val="auto"/>
                <w:sz w:val="24"/>
                <w:highlight w:val="none"/>
              </w:rPr>
              <w:t>见</w:t>
            </w:r>
            <w:r>
              <w:rPr>
                <w:rFonts w:hint="eastAsia"/>
                <w:color w:val="auto"/>
                <w:sz w:val="24"/>
                <w:highlight w:val="none"/>
                <w:lang w:val="en-US" w:eastAsia="zh-CN"/>
              </w:rPr>
              <w:t>表3.8-2</w:t>
            </w:r>
            <w:r>
              <w:rPr>
                <w:rFonts w:ascii="Times New Roman" w:hAnsi="Times New Roman" w:eastAsia="宋体"/>
                <w:color w:val="auto"/>
                <w:sz w:val="24"/>
                <w:highlight w:val="none"/>
              </w:rPr>
              <w:t>。</w:t>
            </w:r>
          </w:p>
          <w:p w14:paraId="2F296DD4">
            <w:pPr>
              <w:pStyle w:val="20"/>
              <w:keepNext w:val="0"/>
              <w:keepLines w:val="0"/>
              <w:pageBreakBefore w:val="0"/>
              <w:widowControl/>
              <w:kinsoku/>
              <w:wordWrap/>
              <w:overflowPunct/>
              <w:topLinePunct w:val="0"/>
              <w:autoSpaceDE/>
              <w:autoSpaceDN/>
              <w:bidi w:val="0"/>
              <w:adjustRightInd/>
              <w:snapToGrid/>
              <w:ind w:firstLine="0" w:firstLineChars="0"/>
              <w:textAlignment w:val="auto"/>
              <w:rPr>
                <w:rFonts w:hint="default"/>
                <w:color w:val="auto"/>
                <w:highlight w:val="none"/>
                <w:lang w:val="en-US" w:eastAsia="zh-CN"/>
              </w:rPr>
            </w:pPr>
            <w:bookmarkStart w:id="34" w:name="_Ref1176"/>
            <w:r>
              <w:rPr>
                <w:color w:val="auto"/>
                <w:highlight w:val="none"/>
              </w:rPr>
              <w:t>表</w:t>
            </w:r>
            <w:bookmarkEnd w:id="34"/>
            <w:r>
              <w:rPr>
                <w:rFonts w:hint="eastAsia"/>
                <w:color w:val="auto"/>
                <w:highlight w:val="none"/>
                <w:lang w:val="en-US" w:eastAsia="zh-CN"/>
              </w:rPr>
              <w:t>3.8-2 《工业企业厂界环境噪声排放标准》（GB12348-2008）</w:t>
            </w:r>
            <w:r>
              <w:rPr>
                <w:rFonts w:hint="default"/>
                <w:color w:val="auto"/>
                <w:highlight w:val="none"/>
                <w:lang w:val="en-US" w:eastAsia="zh-CN"/>
              </w:rPr>
              <w:t xml:space="preserve">  单位：dB</w:t>
            </w:r>
            <w:r>
              <w:rPr>
                <w:rFonts w:hint="eastAsia"/>
                <w:color w:val="auto"/>
                <w:highlight w:val="none"/>
                <w:lang w:val="en-US" w:eastAsia="zh-CN"/>
              </w:rPr>
              <w:t>(A)</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0"/>
              <w:gridCol w:w="1643"/>
              <w:gridCol w:w="1388"/>
              <w:gridCol w:w="3420"/>
            </w:tblGrid>
            <w:tr w14:paraId="5048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50" w:type="dxa"/>
                  <w:noWrap w:val="0"/>
                  <w:vAlign w:val="center"/>
                </w:tcPr>
                <w:p w14:paraId="68A3EE09">
                  <w:pPr>
                    <w:pStyle w:val="34"/>
                    <w:bidi w:val="0"/>
                    <w:rPr>
                      <w:rFonts w:ascii="Times New Roman" w:hAnsi="Times New Roman" w:eastAsia="宋体"/>
                      <w:color w:val="auto"/>
                      <w:sz w:val="21"/>
                      <w:highlight w:val="none"/>
                    </w:rPr>
                  </w:pPr>
                  <w:r>
                    <w:rPr>
                      <w:rFonts w:hint="eastAsia" w:ascii="Times New Roman" w:hAnsi="Times New Roman" w:eastAsia="宋体"/>
                      <w:color w:val="auto"/>
                      <w:sz w:val="21"/>
                      <w:highlight w:val="none"/>
                    </w:rPr>
                    <w:t>标准类别</w:t>
                  </w:r>
                </w:p>
              </w:tc>
              <w:tc>
                <w:tcPr>
                  <w:tcW w:w="1643" w:type="dxa"/>
                  <w:noWrap w:val="0"/>
                  <w:vAlign w:val="center"/>
                </w:tcPr>
                <w:p w14:paraId="4912D91E">
                  <w:pPr>
                    <w:pStyle w:val="34"/>
                    <w:bidi w:val="0"/>
                    <w:rPr>
                      <w:rFonts w:ascii="Times New Roman" w:hAnsi="Times New Roman" w:eastAsia="宋体"/>
                      <w:color w:val="auto"/>
                      <w:sz w:val="21"/>
                      <w:highlight w:val="none"/>
                    </w:rPr>
                  </w:pPr>
                  <w:r>
                    <w:rPr>
                      <w:rFonts w:ascii="Times New Roman" w:hAnsi="Times New Roman" w:eastAsia="宋体"/>
                      <w:color w:val="auto"/>
                      <w:sz w:val="21"/>
                      <w:highlight w:val="none"/>
                    </w:rPr>
                    <w:t>昼间</w:t>
                  </w:r>
                </w:p>
              </w:tc>
              <w:tc>
                <w:tcPr>
                  <w:tcW w:w="1388" w:type="dxa"/>
                  <w:noWrap w:val="0"/>
                  <w:vAlign w:val="center"/>
                </w:tcPr>
                <w:p w14:paraId="4FDDC868">
                  <w:pPr>
                    <w:pStyle w:val="34"/>
                    <w:bidi w:val="0"/>
                    <w:rPr>
                      <w:rFonts w:ascii="Times New Roman" w:hAnsi="Times New Roman" w:eastAsia="宋体"/>
                      <w:color w:val="auto"/>
                      <w:sz w:val="21"/>
                      <w:highlight w:val="none"/>
                    </w:rPr>
                  </w:pPr>
                  <w:r>
                    <w:rPr>
                      <w:rFonts w:ascii="Times New Roman" w:hAnsi="Times New Roman" w:eastAsia="宋体"/>
                      <w:color w:val="auto"/>
                      <w:sz w:val="21"/>
                      <w:highlight w:val="none"/>
                    </w:rPr>
                    <w:t>夜间</w:t>
                  </w:r>
                </w:p>
              </w:tc>
              <w:tc>
                <w:tcPr>
                  <w:tcW w:w="3420" w:type="dxa"/>
                  <w:noWrap w:val="0"/>
                  <w:vAlign w:val="center"/>
                </w:tcPr>
                <w:p w14:paraId="774348C2">
                  <w:pPr>
                    <w:pStyle w:val="34"/>
                    <w:bidi w:val="0"/>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位置</w:t>
                  </w:r>
                </w:p>
              </w:tc>
            </w:tr>
            <w:tr w14:paraId="0F09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50" w:type="dxa"/>
                  <w:noWrap w:val="0"/>
                  <w:vAlign w:val="center"/>
                </w:tcPr>
                <w:p w14:paraId="0D8510F8">
                  <w:pPr>
                    <w:pStyle w:val="34"/>
                    <w:bidi w:val="0"/>
                    <w:rPr>
                      <w:rFonts w:hint="default" w:ascii="Times New Roman" w:hAnsi="Times New Roman" w:eastAsia="宋体"/>
                      <w:color w:val="auto"/>
                      <w:sz w:val="21"/>
                      <w:highlight w:val="none"/>
                      <w:lang w:val="en-US" w:eastAsia="zh-CN"/>
                    </w:rPr>
                  </w:pPr>
                  <w:r>
                    <w:rPr>
                      <w:rFonts w:hint="eastAsia"/>
                      <w:color w:val="auto"/>
                      <w:sz w:val="21"/>
                      <w:highlight w:val="none"/>
                      <w:lang w:val="en-US" w:eastAsia="zh-CN"/>
                    </w:rPr>
                    <w:t>3</w:t>
                  </w:r>
                  <w:r>
                    <w:rPr>
                      <w:rFonts w:hint="eastAsia" w:ascii="Times New Roman" w:hAnsi="Times New Roman" w:eastAsia="宋体"/>
                      <w:color w:val="auto"/>
                      <w:sz w:val="21"/>
                      <w:highlight w:val="none"/>
                      <w:lang w:val="en-US" w:eastAsia="zh-CN"/>
                    </w:rPr>
                    <w:t>类</w:t>
                  </w:r>
                </w:p>
              </w:tc>
              <w:tc>
                <w:tcPr>
                  <w:tcW w:w="1643" w:type="dxa"/>
                  <w:noWrap w:val="0"/>
                  <w:vAlign w:val="center"/>
                </w:tcPr>
                <w:p w14:paraId="2A0D785D">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6</w:t>
                  </w:r>
                  <w:r>
                    <w:rPr>
                      <w:rFonts w:hint="eastAsia"/>
                      <w:color w:val="auto"/>
                      <w:sz w:val="21"/>
                      <w:highlight w:val="none"/>
                      <w:lang w:val="en-US" w:eastAsia="zh-CN"/>
                    </w:rPr>
                    <w:t>5</w:t>
                  </w:r>
                </w:p>
              </w:tc>
              <w:tc>
                <w:tcPr>
                  <w:tcW w:w="1388" w:type="dxa"/>
                  <w:noWrap w:val="0"/>
                  <w:vAlign w:val="center"/>
                </w:tcPr>
                <w:p w14:paraId="0D75E212">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5</w:t>
                  </w:r>
                  <w:r>
                    <w:rPr>
                      <w:rFonts w:hint="eastAsia"/>
                      <w:color w:val="auto"/>
                      <w:sz w:val="21"/>
                      <w:highlight w:val="none"/>
                      <w:lang w:val="en-US" w:eastAsia="zh-CN"/>
                    </w:rPr>
                    <w:t>5</w:t>
                  </w:r>
                </w:p>
              </w:tc>
              <w:tc>
                <w:tcPr>
                  <w:tcW w:w="3420" w:type="dxa"/>
                  <w:noWrap w:val="0"/>
                  <w:vAlign w:val="center"/>
                </w:tcPr>
                <w:p w14:paraId="43D15F69">
                  <w:pPr>
                    <w:pStyle w:val="34"/>
                    <w:bidi w:val="0"/>
                    <w:rPr>
                      <w:rFonts w:hint="default"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厂界东、南、西、北侧</w:t>
                  </w:r>
                </w:p>
              </w:tc>
            </w:tr>
          </w:tbl>
          <w:p w14:paraId="6F233B28">
            <w:pPr>
              <w:pStyle w:val="11"/>
              <w:keepNext w:val="0"/>
              <w:keepLines w:val="0"/>
              <w:pageBreakBefore w:val="0"/>
              <w:widowControl w:val="0"/>
              <w:numPr>
                <w:ilvl w:val="1"/>
                <w:numId w:val="0"/>
              </w:numPr>
              <w:kinsoku/>
              <w:overflowPunct/>
              <w:topLinePunct w:val="0"/>
              <w:autoSpaceDE/>
              <w:autoSpaceDN/>
              <w:bidi w:val="0"/>
              <w:adjustRightInd/>
              <w:snapToGrid/>
              <w:ind w:firstLine="482" w:firstLineChars="200"/>
              <w:textAlignment w:val="auto"/>
              <w:rPr>
                <w:rFonts w:hint="default"/>
                <w:color w:val="auto"/>
                <w:highlight w:val="none"/>
                <w:lang w:val="en-US" w:eastAsia="zh-CN"/>
              </w:rPr>
            </w:pPr>
            <w:r>
              <w:rPr>
                <w:rFonts w:hint="default" w:ascii="Times New Roman" w:hAnsi="Times New Roman" w:eastAsia="宋体" w:cs="宋体"/>
                <w:b/>
                <w:bCs/>
                <w:color w:val="auto"/>
                <w:kern w:val="2"/>
                <w:sz w:val="24"/>
                <w:szCs w:val="24"/>
                <w:lang w:val="en-US" w:eastAsia="zh-CN" w:bidi="ar-SA"/>
              </w:rPr>
              <w:t>3.</w:t>
            </w:r>
            <w:r>
              <w:rPr>
                <w:rFonts w:hint="eastAsia" w:cs="宋体"/>
                <w:b/>
                <w:bCs/>
                <w:color w:val="auto"/>
                <w:kern w:val="2"/>
                <w:sz w:val="24"/>
                <w:szCs w:val="24"/>
                <w:lang w:val="en-US" w:eastAsia="zh-CN" w:bidi="ar-SA"/>
              </w:rPr>
              <w:t>9</w:t>
            </w:r>
            <w:r>
              <w:rPr>
                <w:rFonts w:hint="default"/>
                <w:color w:val="auto"/>
                <w:highlight w:val="none"/>
                <w:lang w:val="en-US" w:eastAsia="zh-CN"/>
              </w:rPr>
              <w:t>固体废物</w:t>
            </w:r>
          </w:p>
          <w:p w14:paraId="3273463A">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一般工业固体废物执行《一般工业固体废物贮存和填埋污染控制标准》（GB18599-2020）有关规定；采用库房、包装工具（罐、桶、包装袋等）贮存一般工业固体废物的，其贮存过程应满足防渗漏、防雨淋、防扬尘等环境保护要求。</w:t>
            </w:r>
          </w:p>
          <w:p w14:paraId="79848598">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危险废物执行《危险废物贮存污染控制标准》（GB18597-2023）和《危险废物收集贮存运输技术规范（HJ 2025-2012）》的有关规定</w:t>
            </w:r>
            <w:r>
              <w:rPr>
                <w:rFonts w:hint="default"/>
                <w:color w:val="auto"/>
                <w:highlight w:val="none"/>
                <w:lang w:val="en-US" w:eastAsia="zh-CN"/>
              </w:rPr>
              <w:t>。</w:t>
            </w:r>
          </w:p>
        </w:tc>
      </w:tr>
      <w:tr w14:paraId="58D932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dxa"/>
            <w:vAlign w:val="center"/>
          </w:tcPr>
          <w:p w14:paraId="41215933">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eastAsia="zh-CN"/>
              </w:rPr>
            </w:pPr>
            <w:r>
              <w:rPr>
                <w:rFonts w:hint="eastAsia"/>
                <w:color w:val="auto"/>
                <w:highlight w:val="none"/>
                <w:lang w:eastAsia="zh-CN"/>
              </w:rPr>
              <w:t>总量控制指标</w:t>
            </w:r>
          </w:p>
        </w:tc>
        <w:tc>
          <w:tcPr>
            <w:tcW w:w="8827" w:type="dxa"/>
            <w:vAlign w:val="center"/>
          </w:tcPr>
          <w:p w14:paraId="2F9F7BA4">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eastAsia="zh-CN"/>
              </w:rPr>
            </w:pPr>
            <w:r>
              <w:rPr>
                <w:rFonts w:hint="eastAsia"/>
                <w:color w:val="auto"/>
                <w:highlight w:val="none"/>
                <w:lang w:eastAsia="zh-CN"/>
              </w:rPr>
              <w:t>根据《山西省生态环境厅关于印发</w:t>
            </w:r>
            <w:r>
              <w:rPr>
                <w:rFonts w:hint="eastAsia"/>
                <w:color w:val="auto"/>
                <w:highlight w:val="none"/>
                <w:lang w:val="en-US" w:eastAsia="zh-CN"/>
              </w:rPr>
              <w:t>&lt;</w:t>
            </w:r>
            <w:r>
              <w:rPr>
                <w:rFonts w:hint="eastAsia"/>
                <w:color w:val="auto"/>
                <w:highlight w:val="none"/>
                <w:lang w:eastAsia="zh-CN"/>
              </w:rPr>
              <w:t>建设项目主要污染物排放总量指标核定办法</w:t>
            </w:r>
            <w:r>
              <w:rPr>
                <w:rFonts w:hint="eastAsia"/>
                <w:color w:val="auto"/>
                <w:highlight w:val="none"/>
                <w:lang w:val="en-US" w:eastAsia="zh-CN"/>
              </w:rPr>
              <w:t>&gt;</w:t>
            </w:r>
            <w:r>
              <w:rPr>
                <w:rFonts w:hint="eastAsia"/>
                <w:color w:val="auto"/>
                <w:highlight w:val="none"/>
                <w:lang w:eastAsia="zh-CN"/>
              </w:rPr>
              <w:t>的通知》（晋环规〔2023〕1号），其中第三条“适用范围为纳入固定污染源排污许可分类管理名录行业范围的建设项目新增主要污染物排放总量指标的审核与管理”及第七条“县（市、区）级负责审批环境影响评价文件的建设项目，由所在地县（市、区）级建设项目主要污染物排放总量核定部门按照相关要求出具建设项目主要污染物排放总量指标核定意见。”</w:t>
            </w:r>
          </w:p>
          <w:p w14:paraId="2B65053B">
            <w:pPr>
              <w:keepNext w:val="0"/>
              <w:keepLines w:val="0"/>
              <w:pageBreakBefore w:val="0"/>
              <w:widowControl w:val="0"/>
              <w:kinsoku/>
              <w:wordWrap/>
              <w:overflowPunct/>
              <w:topLinePunct w:val="0"/>
              <w:autoSpaceDE/>
              <w:autoSpaceDN/>
              <w:bidi w:val="0"/>
              <w:adjustRightInd/>
              <w:snapToGrid/>
              <w:textAlignment w:val="auto"/>
              <w:rPr>
                <w:rFonts w:hint="default"/>
                <w:color w:val="auto"/>
                <w:highlight w:val="none"/>
                <w:lang w:val="en-US" w:eastAsia="zh-CN"/>
              </w:rPr>
            </w:pPr>
            <w:r>
              <w:rPr>
                <w:rFonts w:hint="eastAsia"/>
                <w:color w:val="auto"/>
                <w:highlight w:val="none"/>
                <w:lang w:eastAsia="zh-CN"/>
              </w:rPr>
              <w:t>根据《山西省生态环境厅关于印发</w:t>
            </w:r>
            <w:r>
              <w:rPr>
                <w:rFonts w:hint="eastAsia"/>
                <w:color w:val="auto"/>
                <w:highlight w:val="none"/>
                <w:lang w:val="en-US" w:eastAsia="zh-CN"/>
              </w:rPr>
              <w:t>&lt;</w:t>
            </w:r>
            <w:r>
              <w:rPr>
                <w:rFonts w:hint="eastAsia"/>
                <w:color w:val="auto"/>
                <w:highlight w:val="none"/>
                <w:lang w:eastAsia="zh-CN"/>
              </w:rPr>
              <w:t>建设项目主要污染物排放总量指标核定办法</w:t>
            </w:r>
            <w:r>
              <w:rPr>
                <w:rFonts w:hint="eastAsia"/>
                <w:color w:val="auto"/>
                <w:highlight w:val="none"/>
                <w:lang w:val="en-US" w:eastAsia="zh-CN"/>
              </w:rPr>
              <w:t>&gt;</w:t>
            </w:r>
            <w:r>
              <w:rPr>
                <w:rFonts w:hint="eastAsia"/>
                <w:color w:val="auto"/>
                <w:highlight w:val="none"/>
                <w:lang w:eastAsia="zh-CN"/>
              </w:rPr>
              <w:t>的通知》（晋环规〔2023〕1号），</w:t>
            </w:r>
            <w:r>
              <w:rPr>
                <w:rFonts w:hint="eastAsia"/>
                <w:color w:val="auto"/>
                <w:highlight w:val="none"/>
                <w:lang w:val="en-US" w:eastAsia="zh-CN"/>
              </w:rPr>
              <w:t>本办法适用范围为纳入固定污染源排污许可分类管理名录行业范围的建设项目新增主要污染物排放总量指标的审核与管理。颗粒物排放量不大于3吨/年，挥发性有机物排放量不大于0.3吨/年，主要污染物排放总量指标可直接予以核定，不需进行主要污染物总量置换。</w:t>
            </w:r>
          </w:p>
          <w:p w14:paraId="781FABDA">
            <w:pPr>
              <w:keepNext w:val="0"/>
              <w:keepLines w:val="0"/>
              <w:pageBreakBefore w:val="0"/>
              <w:widowControl w:val="0"/>
              <w:kinsoku/>
              <w:wordWrap/>
              <w:overflowPunct/>
              <w:topLinePunct w:val="0"/>
              <w:autoSpaceDE/>
              <w:autoSpaceDN/>
              <w:bidi w:val="0"/>
              <w:adjustRightInd/>
              <w:snapToGrid/>
              <w:textAlignment w:val="auto"/>
              <w:rPr>
                <w:rFonts w:hint="eastAsia"/>
                <w:color w:val="auto"/>
                <w:highlight w:val="none"/>
                <w:lang w:eastAsia="zh-CN"/>
              </w:rPr>
            </w:pPr>
            <w:r>
              <w:rPr>
                <w:rFonts w:hint="eastAsia"/>
                <w:color w:val="auto"/>
                <w:highlight w:val="none"/>
                <w:lang w:eastAsia="zh-CN"/>
              </w:rPr>
              <w:t>根据工程分析可知，</w:t>
            </w:r>
            <w:r>
              <w:rPr>
                <w:rFonts w:hint="eastAsia"/>
                <w:color w:val="auto"/>
                <w:highlight w:val="none"/>
                <w:lang w:val="en-US" w:eastAsia="zh-CN"/>
              </w:rPr>
              <w:t>本项目运营期新增生活污水和生产废水均处理后不外排，</w:t>
            </w:r>
            <w:r>
              <w:rPr>
                <w:rFonts w:hint="eastAsia"/>
                <w:color w:val="auto"/>
                <w:highlight w:val="none"/>
                <w:lang w:eastAsia="zh-CN"/>
              </w:rPr>
              <w:t>本项目污染物排放量为颗粒物</w:t>
            </w:r>
            <w:r>
              <w:rPr>
                <w:rFonts w:hint="eastAsia"/>
                <w:color w:val="auto"/>
                <w:highlight w:val="none"/>
                <w:lang w:val="en-US" w:eastAsia="zh-CN"/>
              </w:rPr>
              <w:t>1.114</w:t>
            </w:r>
            <w:r>
              <w:rPr>
                <w:rFonts w:hint="eastAsia"/>
                <w:color w:val="auto"/>
                <w:highlight w:val="none"/>
                <w:lang w:eastAsia="zh-CN"/>
              </w:rPr>
              <w:t>t/a。</w:t>
            </w:r>
            <w:r>
              <w:rPr>
                <w:rFonts w:hint="default"/>
                <w:color w:val="auto"/>
                <w:highlight w:val="none"/>
                <w:lang w:val="en-US" w:eastAsia="zh-CN"/>
              </w:rPr>
              <w:t>本项目申请的总量指标</w:t>
            </w:r>
            <w:r>
              <w:rPr>
                <w:rFonts w:hint="eastAsia"/>
                <w:color w:val="auto"/>
                <w:highlight w:val="none"/>
                <w:lang w:eastAsia="zh-CN"/>
              </w:rPr>
              <w:t>为颗粒物</w:t>
            </w:r>
            <w:r>
              <w:rPr>
                <w:rFonts w:hint="eastAsia"/>
                <w:color w:val="auto"/>
                <w:highlight w:val="none"/>
                <w:lang w:val="en-US" w:eastAsia="zh-CN"/>
              </w:rPr>
              <w:t>1.114</w:t>
            </w:r>
            <w:r>
              <w:rPr>
                <w:rFonts w:hint="eastAsia"/>
                <w:color w:val="auto"/>
                <w:highlight w:val="none"/>
                <w:lang w:eastAsia="zh-CN"/>
              </w:rPr>
              <w:t>t/a。</w:t>
            </w:r>
          </w:p>
          <w:p w14:paraId="76BB443D">
            <w:pPr>
              <w:bidi w:val="0"/>
              <w:ind w:left="0" w:leftChars="0" w:firstLine="0" w:firstLineChars="0"/>
              <w:rPr>
                <w:rFonts w:hint="eastAsia"/>
                <w:color w:val="auto"/>
                <w:highlight w:val="yellow"/>
                <w:lang w:val="en-US" w:eastAsia="zh-CN"/>
              </w:rPr>
            </w:pPr>
            <w:r>
              <w:rPr>
                <w:rFonts w:hint="default" w:ascii="Times New Roman" w:hAnsi="Times New Roman" w:eastAsia="宋体" w:cs="Times New Roman"/>
                <w:color w:val="auto"/>
                <w:sz w:val="24"/>
                <w:szCs w:val="32"/>
                <w:highlight w:val="none"/>
                <w:lang w:val="en-US" w:eastAsia="zh-CN"/>
              </w:rPr>
              <w:t>202</w:t>
            </w:r>
            <w:r>
              <w:rPr>
                <w:rFonts w:hint="eastAsia" w:cs="Times New Roman"/>
                <w:color w:val="auto"/>
                <w:sz w:val="24"/>
                <w:szCs w:val="32"/>
                <w:highlight w:val="none"/>
                <w:lang w:val="en-US" w:eastAsia="zh-CN"/>
              </w:rPr>
              <w:t>6</w:t>
            </w:r>
            <w:r>
              <w:rPr>
                <w:rFonts w:hint="default" w:ascii="Times New Roman" w:hAnsi="Times New Roman" w:eastAsia="宋体" w:cs="Times New Roman"/>
                <w:color w:val="auto"/>
                <w:sz w:val="24"/>
                <w:szCs w:val="32"/>
                <w:highlight w:val="none"/>
                <w:lang w:val="en-US" w:eastAsia="zh-CN"/>
              </w:rPr>
              <w:t>年</w:t>
            </w:r>
            <w:r>
              <w:rPr>
                <w:rFonts w:hint="eastAsia" w:cs="Times New Roman"/>
                <w:color w:val="auto"/>
                <w:sz w:val="24"/>
                <w:szCs w:val="32"/>
                <w:highlight w:val="none"/>
                <w:lang w:val="en-US" w:eastAsia="zh-CN"/>
              </w:rPr>
              <w:t>6</w:t>
            </w:r>
            <w:r>
              <w:rPr>
                <w:rFonts w:hint="default" w:ascii="Times New Roman" w:hAnsi="Times New Roman" w:eastAsia="宋体" w:cs="Times New Roman"/>
                <w:color w:val="auto"/>
                <w:sz w:val="24"/>
                <w:szCs w:val="32"/>
                <w:highlight w:val="none"/>
                <w:lang w:val="en-US" w:eastAsia="zh-CN"/>
              </w:rPr>
              <w:t>月</w:t>
            </w:r>
            <w:r>
              <w:rPr>
                <w:rFonts w:hint="eastAsia" w:cs="Times New Roman"/>
                <w:color w:val="auto"/>
                <w:sz w:val="24"/>
                <w:szCs w:val="32"/>
                <w:highlight w:val="none"/>
                <w:lang w:val="en-US" w:eastAsia="zh-CN"/>
              </w:rPr>
              <w:t>24</w:t>
            </w:r>
            <w:r>
              <w:rPr>
                <w:rFonts w:hint="default" w:ascii="Times New Roman" w:hAnsi="Times New Roman" w:eastAsia="宋体" w:cs="Times New Roman"/>
                <w:color w:val="auto"/>
                <w:sz w:val="24"/>
                <w:szCs w:val="32"/>
                <w:highlight w:val="none"/>
                <w:lang w:val="en-US" w:eastAsia="zh-CN"/>
              </w:rPr>
              <w:t>日，长治市生态环境局</w:t>
            </w:r>
            <w:r>
              <w:rPr>
                <w:rFonts w:hint="eastAsia" w:cs="Times New Roman"/>
                <w:color w:val="auto"/>
                <w:sz w:val="24"/>
                <w:szCs w:val="32"/>
                <w:highlight w:val="none"/>
                <w:lang w:val="en-US" w:eastAsia="zh-CN"/>
              </w:rPr>
              <w:t>壶关</w:t>
            </w:r>
            <w:r>
              <w:rPr>
                <w:rFonts w:hint="default" w:ascii="Times New Roman" w:hAnsi="Times New Roman" w:eastAsia="宋体" w:cs="Times New Roman"/>
                <w:color w:val="auto"/>
                <w:sz w:val="24"/>
                <w:szCs w:val="32"/>
                <w:highlight w:val="none"/>
                <w:lang w:val="en-US" w:eastAsia="zh-CN"/>
              </w:rPr>
              <w:t>分局下发了《关于山西鑫隆源工贸有限公司装配式建设项目污染物排放总量</w:t>
            </w:r>
            <w:r>
              <w:rPr>
                <w:rFonts w:hint="eastAsia" w:cs="Times New Roman"/>
                <w:color w:val="auto"/>
                <w:sz w:val="24"/>
                <w:szCs w:val="32"/>
                <w:highlight w:val="none"/>
                <w:lang w:val="en-US" w:eastAsia="zh-CN"/>
              </w:rPr>
              <w:t>指标</w:t>
            </w:r>
            <w:r>
              <w:rPr>
                <w:rFonts w:hint="default" w:ascii="Times New Roman" w:hAnsi="Times New Roman" w:eastAsia="宋体" w:cs="Times New Roman"/>
                <w:color w:val="auto"/>
                <w:sz w:val="24"/>
                <w:szCs w:val="32"/>
                <w:highlight w:val="none"/>
                <w:lang w:val="en-US" w:eastAsia="zh-CN"/>
              </w:rPr>
              <w:t>的核定意见》（</w:t>
            </w:r>
            <w:r>
              <w:rPr>
                <w:rFonts w:hint="eastAsia" w:cs="Times New Roman"/>
                <w:color w:val="auto"/>
                <w:sz w:val="24"/>
                <w:szCs w:val="32"/>
                <w:highlight w:val="none"/>
                <w:lang w:val="en-US" w:eastAsia="zh-CN"/>
              </w:rPr>
              <w:t>壶环</w:t>
            </w:r>
            <w:r>
              <w:rPr>
                <w:rFonts w:hint="default" w:ascii="Times New Roman" w:hAnsi="Times New Roman" w:eastAsia="宋体" w:cs="Times New Roman"/>
                <w:color w:val="auto"/>
                <w:sz w:val="24"/>
                <w:szCs w:val="32"/>
                <w:highlight w:val="none"/>
                <w:lang w:val="en-US" w:eastAsia="zh-CN"/>
              </w:rPr>
              <w:t>函〔202</w:t>
            </w:r>
            <w:r>
              <w:rPr>
                <w:rFonts w:hint="eastAsia" w:cs="Times New Roman"/>
                <w:color w:val="auto"/>
                <w:sz w:val="24"/>
                <w:szCs w:val="32"/>
                <w:highlight w:val="none"/>
                <w:lang w:val="en-US" w:eastAsia="zh-CN"/>
              </w:rPr>
              <w:t>6</w:t>
            </w:r>
            <w:r>
              <w:rPr>
                <w:rFonts w:hint="default" w:ascii="Times New Roman" w:hAnsi="Times New Roman" w:eastAsia="宋体" w:cs="Times New Roman"/>
                <w:color w:val="auto"/>
                <w:sz w:val="24"/>
                <w:szCs w:val="32"/>
                <w:highlight w:val="none"/>
                <w:lang w:val="en-US" w:eastAsia="zh-CN"/>
              </w:rPr>
              <w:t>〕</w:t>
            </w:r>
            <w:r>
              <w:rPr>
                <w:rFonts w:hint="eastAsia" w:cs="Times New Roman"/>
                <w:color w:val="auto"/>
                <w:sz w:val="24"/>
                <w:szCs w:val="32"/>
                <w:highlight w:val="none"/>
                <w:lang w:val="en-US" w:eastAsia="zh-CN"/>
              </w:rPr>
              <w:t>26</w:t>
            </w:r>
            <w:r>
              <w:rPr>
                <w:rFonts w:hint="default" w:ascii="Times New Roman" w:hAnsi="Times New Roman" w:eastAsia="宋体" w:cs="Times New Roman"/>
                <w:color w:val="auto"/>
                <w:sz w:val="24"/>
                <w:szCs w:val="32"/>
                <w:highlight w:val="none"/>
                <w:lang w:val="en-US" w:eastAsia="zh-CN"/>
              </w:rPr>
              <w:t>号）</w:t>
            </w:r>
            <w:r>
              <w:rPr>
                <w:rFonts w:hint="eastAsia" w:cs="Times New Roman"/>
                <w:color w:val="auto"/>
                <w:sz w:val="24"/>
                <w:szCs w:val="32"/>
                <w:highlight w:val="none"/>
                <w:lang w:val="en-US" w:eastAsia="zh-CN"/>
              </w:rPr>
              <w:t>，核定本项目主要污染物排放总量控制指标为：颗粒物：1.114吨/年。</w:t>
            </w:r>
          </w:p>
          <w:p w14:paraId="57DBA5A7">
            <w:pPr>
              <w:bidi w:val="0"/>
              <w:ind w:left="0" w:leftChars="0" w:firstLine="0" w:firstLineChars="0"/>
              <w:rPr>
                <w:rFonts w:hint="eastAsia"/>
                <w:color w:val="auto"/>
                <w:highlight w:val="yellow"/>
                <w:lang w:val="en-US" w:eastAsia="zh-CN"/>
              </w:rPr>
            </w:pPr>
          </w:p>
          <w:p w14:paraId="1D6D1BC5">
            <w:pPr>
              <w:bidi w:val="0"/>
              <w:ind w:left="0" w:leftChars="0" w:firstLine="0" w:firstLineChars="0"/>
              <w:rPr>
                <w:rFonts w:hint="eastAsia"/>
                <w:color w:val="auto"/>
                <w:highlight w:val="yellow"/>
                <w:lang w:val="en-US" w:eastAsia="zh-CN"/>
              </w:rPr>
            </w:pPr>
          </w:p>
          <w:p w14:paraId="0BEC49BC">
            <w:pPr>
              <w:bidi w:val="0"/>
              <w:ind w:left="0" w:leftChars="0" w:firstLine="0" w:firstLineChars="0"/>
              <w:rPr>
                <w:rFonts w:hint="eastAsia"/>
                <w:color w:val="auto"/>
                <w:highlight w:val="yellow"/>
                <w:lang w:val="en-US" w:eastAsia="zh-CN"/>
              </w:rPr>
            </w:pPr>
          </w:p>
          <w:p w14:paraId="5DB59FA3">
            <w:pPr>
              <w:bidi w:val="0"/>
              <w:ind w:left="0" w:leftChars="0" w:firstLine="0" w:firstLineChars="0"/>
              <w:rPr>
                <w:rFonts w:hint="eastAsia"/>
                <w:color w:val="auto"/>
                <w:highlight w:val="yellow"/>
                <w:lang w:val="en-US" w:eastAsia="zh-CN"/>
              </w:rPr>
            </w:pPr>
          </w:p>
          <w:p w14:paraId="79BEA6EA">
            <w:pPr>
              <w:bidi w:val="0"/>
              <w:ind w:left="0" w:leftChars="0" w:firstLine="0" w:firstLineChars="0"/>
              <w:rPr>
                <w:rFonts w:hint="eastAsia"/>
                <w:color w:val="auto"/>
                <w:highlight w:val="yellow"/>
                <w:lang w:val="en-US" w:eastAsia="zh-CN"/>
              </w:rPr>
            </w:pPr>
          </w:p>
          <w:p w14:paraId="60EEC810">
            <w:pPr>
              <w:bidi w:val="0"/>
              <w:ind w:left="0" w:leftChars="0" w:firstLine="0" w:firstLineChars="0"/>
              <w:rPr>
                <w:rFonts w:hint="eastAsia"/>
                <w:color w:val="auto"/>
                <w:highlight w:val="yellow"/>
                <w:lang w:val="en-US" w:eastAsia="zh-CN"/>
              </w:rPr>
            </w:pPr>
          </w:p>
          <w:p w14:paraId="5FCC22C9">
            <w:pPr>
              <w:bidi w:val="0"/>
              <w:ind w:left="0" w:leftChars="0" w:firstLine="0" w:firstLineChars="0"/>
              <w:rPr>
                <w:rFonts w:hint="eastAsia"/>
                <w:color w:val="auto"/>
                <w:highlight w:val="yellow"/>
                <w:lang w:val="en-US" w:eastAsia="zh-CN"/>
              </w:rPr>
            </w:pPr>
          </w:p>
          <w:p w14:paraId="048DC8C2">
            <w:pPr>
              <w:bidi w:val="0"/>
              <w:ind w:left="0" w:leftChars="0" w:firstLine="0" w:firstLineChars="0"/>
              <w:rPr>
                <w:rFonts w:hint="eastAsia"/>
                <w:color w:val="auto"/>
                <w:highlight w:val="yellow"/>
                <w:lang w:val="en-US" w:eastAsia="zh-CN"/>
              </w:rPr>
            </w:pPr>
          </w:p>
          <w:p w14:paraId="3A65D329">
            <w:pPr>
              <w:bidi w:val="0"/>
              <w:ind w:left="0" w:leftChars="0" w:firstLine="0" w:firstLineChars="0"/>
              <w:rPr>
                <w:rFonts w:hint="eastAsia"/>
                <w:color w:val="auto"/>
                <w:highlight w:val="yellow"/>
                <w:lang w:val="en-US" w:eastAsia="zh-CN"/>
              </w:rPr>
            </w:pPr>
          </w:p>
          <w:p w14:paraId="5B48DAA8">
            <w:pPr>
              <w:bidi w:val="0"/>
              <w:ind w:left="0" w:leftChars="0" w:firstLine="0" w:firstLineChars="0"/>
              <w:rPr>
                <w:rFonts w:hint="eastAsia"/>
                <w:color w:val="auto"/>
                <w:highlight w:val="yellow"/>
                <w:lang w:val="en-US" w:eastAsia="zh-CN"/>
              </w:rPr>
            </w:pPr>
          </w:p>
          <w:p w14:paraId="1193818C">
            <w:pPr>
              <w:bidi w:val="0"/>
              <w:ind w:left="0" w:leftChars="0" w:firstLine="0" w:firstLineChars="0"/>
              <w:rPr>
                <w:rFonts w:hint="eastAsia"/>
                <w:color w:val="auto"/>
                <w:highlight w:val="yellow"/>
                <w:lang w:val="en-US" w:eastAsia="zh-CN"/>
              </w:rPr>
            </w:pPr>
          </w:p>
          <w:p w14:paraId="3AD0D853">
            <w:pPr>
              <w:bidi w:val="0"/>
              <w:ind w:left="0" w:leftChars="0" w:firstLine="0" w:firstLineChars="0"/>
              <w:rPr>
                <w:rFonts w:hint="eastAsia"/>
                <w:color w:val="auto"/>
                <w:highlight w:val="yellow"/>
                <w:lang w:val="en-US" w:eastAsia="zh-CN"/>
              </w:rPr>
            </w:pPr>
          </w:p>
          <w:p w14:paraId="013CBDDA">
            <w:pPr>
              <w:bidi w:val="0"/>
              <w:ind w:left="0" w:leftChars="0" w:firstLine="0" w:firstLineChars="0"/>
              <w:rPr>
                <w:rFonts w:hint="eastAsia"/>
                <w:color w:val="auto"/>
                <w:highlight w:val="yellow"/>
                <w:lang w:val="en-US" w:eastAsia="zh-CN"/>
              </w:rPr>
            </w:pPr>
          </w:p>
          <w:p w14:paraId="115A8A43">
            <w:pPr>
              <w:bidi w:val="0"/>
              <w:ind w:left="0" w:leftChars="0" w:firstLine="0" w:firstLineChars="0"/>
              <w:rPr>
                <w:rFonts w:hint="eastAsia"/>
                <w:color w:val="auto"/>
                <w:highlight w:val="yellow"/>
                <w:lang w:val="en-US" w:eastAsia="zh-CN"/>
              </w:rPr>
            </w:pPr>
          </w:p>
          <w:p w14:paraId="70140C5C">
            <w:pPr>
              <w:bidi w:val="0"/>
              <w:ind w:left="0" w:leftChars="0" w:firstLine="0" w:firstLineChars="0"/>
              <w:rPr>
                <w:rFonts w:hint="eastAsia"/>
                <w:color w:val="auto"/>
                <w:highlight w:val="yellow"/>
                <w:lang w:val="en-US" w:eastAsia="zh-CN"/>
              </w:rPr>
            </w:pPr>
          </w:p>
          <w:p w14:paraId="0DF0D210">
            <w:pPr>
              <w:bidi w:val="0"/>
              <w:ind w:left="0" w:leftChars="0" w:firstLine="0" w:firstLineChars="0"/>
              <w:rPr>
                <w:rFonts w:hint="eastAsia"/>
                <w:color w:val="auto"/>
                <w:highlight w:val="yellow"/>
                <w:lang w:val="en-US" w:eastAsia="zh-CN"/>
              </w:rPr>
            </w:pPr>
          </w:p>
          <w:p w14:paraId="6317FF0D">
            <w:pPr>
              <w:bidi w:val="0"/>
              <w:ind w:left="0" w:leftChars="0" w:firstLine="0" w:firstLineChars="0"/>
              <w:rPr>
                <w:rFonts w:hint="eastAsia"/>
                <w:color w:val="auto"/>
                <w:highlight w:val="yellow"/>
                <w:lang w:val="en-US" w:eastAsia="zh-CN"/>
              </w:rPr>
            </w:pPr>
          </w:p>
          <w:p w14:paraId="4ADBAF96">
            <w:pPr>
              <w:bidi w:val="0"/>
              <w:ind w:left="0" w:leftChars="0" w:firstLine="0" w:firstLineChars="0"/>
              <w:rPr>
                <w:rFonts w:hint="default"/>
                <w:color w:val="auto"/>
                <w:highlight w:val="yellow"/>
                <w:lang w:val="en-US" w:eastAsia="zh-CN"/>
              </w:rPr>
            </w:pPr>
          </w:p>
          <w:p w14:paraId="3CB44025">
            <w:pPr>
              <w:pStyle w:val="34"/>
              <w:keepNext w:val="0"/>
              <w:keepLines w:val="0"/>
              <w:pageBreakBefore w:val="0"/>
              <w:widowControl/>
              <w:kinsoku/>
              <w:wordWrap/>
              <w:overflowPunct/>
              <w:topLinePunct w:val="0"/>
              <w:autoSpaceDE/>
              <w:autoSpaceDN/>
              <w:bidi w:val="0"/>
              <w:adjustRightInd/>
              <w:snapToGrid/>
              <w:spacing w:line="20" w:lineRule="exact"/>
              <w:textAlignment w:val="auto"/>
              <w:rPr>
                <w:rFonts w:hint="default"/>
                <w:color w:val="auto"/>
                <w:highlight w:val="none"/>
                <w:lang w:val="en-US" w:eastAsia="zh-CN"/>
              </w:rPr>
            </w:pPr>
            <w:r>
              <w:rPr>
                <w:rFonts w:hint="eastAsia"/>
                <w:color w:val="auto"/>
                <w:highlight w:val="none"/>
                <w:lang w:val="en-US" w:eastAsia="zh-CN"/>
              </w:rPr>
              <w:t xml:space="preserve"> </w:t>
            </w:r>
          </w:p>
        </w:tc>
      </w:tr>
    </w:tbl>
    <w:p w14:paraId="7217CD32">
      <w:pPr>
        <w:pStyle w:val="9"/>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color w:val="auto"/>
          <w:highlight w:val="none"/>
          <w:lang w:eastAsia="zh-CN"/>
        </w:rPr>
      </w:pPr>
      <w:bookmarkStart w:id="35" w:name="_Toc32014"/>
      <w:r>
        <w:rPr>
          <w:rFonts w:hint="default" w:ascii="黑体" w:hAnsi="黑体" w:eastAsia="黑体" w:cs="黑体"/>
          <w:color w:val="auto"/>
          <w:kern w:val="2"/>
          <w:sz w:val="2"/>
          <w:szCs w:val="2"/>
          <w:lang w:val="en-US" w:eastAsia="zh-CN" w:bidi="ar-SA"/>
        </w:rPr>
        <w:t>4</w:t>
      </w:r>
      <w:r>
        <w:rPr>
          <w:rFonts w:hint="eastAsia"/>
          <w:color w:val="auto"/>
          <w:highlight w:val="none"/>
          <w:lang w:val="en-US" w:eastAsia="zh-CN"/>
        </w:rPr>
        <w:t>四、</w:t>
      </w:r>
      <w:r>
        <w:rPr>
          <w:rFonts w:hint="eastAsia"/>
          <w:color w:val="auto"/>
          <w:highlight w:val="none"/>
          <w:lang w:eastAsia="zh-CN"/>
        </w:rPr>
        <w:t>主要</w:t>
      </w:r>
      <w:r>
        <w:rPr>
          <w:rFonts w:hint="eastAsia"/>
          <w:color w:val="auto"/>
          <w:highlight w:val="none"/>
          <w:lang w:val="en-US" w:eastAsia="zh-CN"/>
        </w:rPr>
        <w:t>环境</w:t>
      </w:r>
      <w:r>
        <w:rPr>
          <w:rFonts w:hint="eastAsia"/>
          <w:color w:val="auto"/>
          <w:highlight w:val="none"/>
          <w:lang w:eastAsia="zh-CN"/>
        </w:rPr>
        <w:t>影响和保护措施</w:t>
      </w:r>
      <w:bookmarkEnd w:id="35"/>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8838"/>
      </w:tblGrid>
      <w:tr w14:paraId="20B0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0" w:type="dxa"/>
            <w:tcBorders>
              <w:top w:val="single" w:color="auto" w:sz="8" w:space="0"/>
              <w:left w:val="single" w:color="auto" w:sz="8" w:space="0"/>
            </w:tcBorders>
            <w:vAlign w:val="center"/>
          </w:tcPr>
          <w:p w14:paraId="3EA7316A">
            <w:pPr>
              <w:pStyle w:val="1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highlight w:val="none"/>
                <w:lang w:eastAsia="zh-CN"/>
              </w:rPr>
            </w:pPr>
            <w:r>
              <w:rPr>
                <w:rFonts w:hint="eastAsia"/>
                <w:color w:val="auto"/>
                <w:highlight w:val="none"/>
                <w:lang w:eastAsia="zh-CN"/>
              </w:rPr>
              <w:t>施工期环境保护措施</w:t>
            </w:r>
          </w:p>
        </w:tc>
        <w:tc>
          <w:tcPr>
            <w:tcW w:w="8838" w:type="dxa"/>
            <w:tcBorders>
              <w:top w:val="single" w:color="auto" w:sz="8" w:space="0"/>
              <w:right w:val="single" w:color="auto" w:sz="8" w:space="0"/>
            </w:tcBorders>
            <w:vAlign w:val="center"/>
          </w:tcPr>
          <w:p w14:paraId="69BA9C7D">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360" w:lineRule="auto"/>
              <w:ind w:left="0" w:right="0" w:firstLine="480" w:firstLineChars="200"/>
              <w:jc w:val="both"/>
              <w:textAlignment w:val="auto"/>
              <w:rPr>
                <w:rFonts w:hint="default" w:ascii="Times New Roman" w:hAnsi="Times New Roman"/>
                <w:color w:val="auto"/>
                <w:sz w:val="24"/>
                <w:szCs w:val="32"/>
                <w:highlight w:val="none"/>
                <w:lang w:eastAsia="zh-CN"/>
              </w:rPr>
            </w:pPr>
            <w:r>
              <w:rPr>
                <w:rFonts w:hint="default" w:ascii="Times New Roman" w:hAnsi="Times New Roman"/>
                <w:color w:val="auto"/>
                <w:sz w:val="24"/>
                <w:szCs w:val="32"/>
                <w:highlight w:val="none"/>
              </w:rPr>
              <w:t>本项目施工期主要</w:t>
            </w:r>
            <w:r>
              <w:rPr>
                <w:rFonts w:hint="eastAsia" w:ascii="Times New Roman" w:hAnsi="Times New Roman"/>
                <w:color w:val="auto"/>
                <w:sz w:val="24"/>
                <w:szCs w:val="32"/>
                <w:highlight w:val="none"/>
                <w:lang w:eastAsia="zh-CN"/>
              </w:rPr>
              <w:t>包括</w:t>
            </w:r>
            <w:r>
              <w:rPr>
                <w:rFonts w:hint="eastAsia" w:ascii="Times New Roman" w:hAnsi="Times New Roman"/>
                <w:color w:val="auto"/>
                <w:sz w:val="24"/>
                <w:szCs w:val="32"/>
                <w:highlight w:val="none"/>
                <w:lang w:val="en-US" w:eastAsia="zh-CN"/>
              </w:rPr>
              <w:t>车间的</w:t>
            </w:r>
            <w:r>
              <w:rPr>
                <w:rFonts w:hint="eastAsia" w:ascii="Times New Roman" w:hAnsi="Times New Roman" w:eastAsia="宋体" w:cs="宋体"/>
                <w:color w:val="auto"/>
                <w:kern w:val="0"/>
                <w:sz w:val="24"/>
                <w:szCs w:val="24"/>
                <w:highlight w:val="none"/>
                <w:lang w:val="en-US" w:eastAsia="zh-CN" w:bidi="ar"/>
              </w:rPr>
              <w:t>建设</w:t>
            </w:r>
            <w:r>
              <w:rPr>
                <w:rFonts w:hint="eastAsia" w:ascii="Times New Roman" w:hAnsi="Times New Roman"/>
                <w:color w:val="auto"/>
                <w:sz w:val="24"/>
                <w:szCs w:val="32"/>
                <w:highlight w:val="none"/>
                <w:lang w:val="en-US" w:eastAsia="zh-CN"/>
              </w:rPr>
              <w:t>及</w:t>
            </w:r>
            <w:r>
              <w:rPr>
                <w:rFonts w:hint="default" w:ascii="Times New Roman" w:hAnsi="Times New Roman"/>
                <w:color w:val="auto"/>
                <w:sz w:val="24"/>
                <w:szCs w:val="32"/>
                <w:highlight w:val="none"/>
              </w:rPr>
              <w:t>设备</w:t>
            </w:r>
            <w:r>
              <w:rPr>
                <w:rFonts w:hint="eastAsia" w:ascii="Times New Roman" w:hAnsi="Times New Roman"/>
                <w:color w:val="auto"/>
                <w:sz w:val="24"/>
                <w:szCs w:val="32"/>
                <w:highlight w:val="none"/>
                <w:lang w:val="en-US" w:eastAsia="zh-CN"/>
              </w:rPr>
              <w:t>和</w:t>
            </w:r>
            <w:r>
              <w:rPr>
                <w:rFonts w:hint="eastAsia" w:ascii="Times New Roman" w:hAnsi="Times New Roman"/>
                <w:color w:val="auto"/>
                <w:sz w:val="24"/>
                <w:szCs w:val="32"/>
                <w:highlight w:val="none"/>
                <w:lang w:eastAsia="zh-CN"/>
              </w:rPr>
              <w:t>其他配套工程</w:t>
            </w:r>
            <w:r>
              <w:rPr>
                <w:rFonts w:hint="default" w:ascii="Times New Roman" w:hAnsi="Times New Roman"/>
                <w:color w:val="auto"/>
                <w:sz w:val="24"/>
                <w:szCs w:val="32"/>
                <w:highlight w:val="none"/>
              </w:rPr>
              <w:t>的安装、调试等，会产生</w:t>
            </w:r>
            <w:r>
              <w:rPr>
                <w:rFonts w:hint="eastAsia" w:ascii="Times New Roman" w:hAnsi="Times New Roman"/>
                <w:color w:val="auto"/>
                <w:sz w:val="24"/>
                <w:szCs w:val="32"/>
                <w:highlight w:val="none"/>
                <w:lang w:eastAsia="zh-CN"/>
              </w:rPr>
              <w:t>扬尘</w:t>
            </w:r>
            <w:r>
              <w:rPr>
                <w:rFonts w:hint="default" w:ascii="Times New Roman" w:hAnsi="Times New Roman"/>
                <w:color w:val="auto"/>
                <w:sz w:val="24"/>
                <w:szCs w:val="32"/>
                <w:highlight w:val="none"/>
              </w:rPr>
              <w:t>、</w:t>
            </w:r>
            <w:r>
              <w:rPr>
                <w:rFonts w:hint="eastAsia" w:ascii="Times New Roman" w:hAnsi="Times New Roman"/>
                <w:color w:val="auto"/>
                <w:sz w:val="24"/>
                <w:szCs w:val="32"/>
                <w:highlight w:val="none"/>
                <w:lang w:eastAsia="zh-CN"/>
              </w:rPr>
              <w:t>少量废水、噪声和</w:t>
            </w:r>
            <w:r>
              <w:rPr>
                <w:rFonts w:hint="default" w:ascii="Times New Roman" w:hAnsi="Times New Roman"/>
                <w:color w:val="auto"/>
                <w:sz w:val="24"/>
                <w:szCs w:val="32"/>
                <w:highlight w:val="none"/>
              </w:rPr>
              <w:t>固体废弃物等</w:t>
            </w:r>
            <w:r>
              <w:rPr>
                <w:rFonts w:hint="default" w:ascii="Times New Roman" w:hAnsi="Times New Roman"/>
                <w:color w:val="auto"/>
                <w:sz w:val="24"/>
                <w:szCs w:val="32"/>
                <w:highlight w:val="none"/>
                <w:lang w:eastAsia="zh-CN"/>
              </w:rPr>
              <w:t>。</w:t>
            </w:r>
            <w:r>
              <w:rPr>
                <w:rFonts w:hint="default" w:ascii="Times New Roman" w:hAnsi="Times New Roman"/>
                <w:color w:val="auto"/>
                <w:sz w:val="24"/>
                <w:szCs w:val="32"/>
                <w:highlight w:val="none"/>
                <w:lang w:val="en-US" w:eastAsia="zh-CN"/>
              </w:rPr>
              <w:t>施工期环境影响较小，其影响是一种短期、可恢复影响，随着施工的结束也将消失。</w:t>
            </w:r>
          </w:p>
          <w:p w14:paraId="70FD36B6">
            <w:pPr>
              <w:keepNext w:val="0"/>
              <w:keepLines w:val="0"/>
              <w:pageBreakBefore w:val="0"/>
              <w:widowControl w:val="0"/>
              <w:numPr>
                <w:ilvl w:val="0"/>
                <w:numId w:val="0"/>
              </w:numPr>
              <w:kinsoku/>
              <w:wordWrap/>
              <w:overflowPunct/>
              <w:topLinePunct w:val="0"/>
              <w:autoSpaceDN/>
              <w:bidi w:val="0"/>
              <w:adjustRightInd/>
              <w:snapToGrid/>
              <w:spacing w:line="360" w:lineRule="auto"/>
              <w:ind w:firstLine="482" w:firstLineChars="200"/>
              <w:textAlignment w:val="auto"/>
              <w:rPr>
                <w:rFonts w:hint="default" w:ascii="Times New Roman" w:hAnsi="Times New Roman"/>
                <w:b/>
                <w:bCs/>
                <w:color w:val="auto"/>
                <w:sz w:val="24"/>
                <w:szCs w:val="32"/>
                <w:highlight w:val="none"/>
                <w:lang w:val="en-US" w:eastAsia="zh-CN"/>
              </w:rPr>
            </w:pPr>
            <w:r>
              <w:rPr>
                <w:rFonts w:hint="default" w:ascii="Times New Roman" w:hAnsi="Times New Roman" w:eastAsia="宋体" w:cs="宋体"/>
                <w:b/>
                <w:bCs/>
                <w:color w:val="auto"/>
                <w:kern w:val="2"/>
                <w:sz w:val="24"/>
                <w:szCs w:val="32"/>
                <w:lang w:val="en-US" w:eastAsia="zh-CN" w:bidi="ar-SA"/>
              </w:rPr>
              <w:t>1、</w:t>
            </w:r>
            <w:r>
              <w:rPr>
                <w:rFonts w:hint="default" w:ascii="Times New Roman" w:hAnsi="Times New Roman"/>
                <w:b/>
                <w:bCs/>
                <w:color w:val="auto"/>
                <w:sz w:val="24"/>
                <w:szCs w:val="32"/>
                <w:highlight w:val="none"/>
                <w:lang w:val="en-US" w:eastAsia="zh-CN"/>
              </w:rPr>
              <w:t>施工期</w:t>
            </w:r>
            <w:r>
              <w:rPr>
                <w:rFonts w:hint="eastAsia" w:ascii="Times New Roman" w:hAnsi="Times New Roman"/>
                <w:b/>
                <w:bCs/>
                <w:color w:val="auto"/>
                <w:sz w:val="24"/>
                <w:szCs w:val="32"/>
                <w:highlight w:val="none"/>
                <w:lang w:val="en-US" w:eastAsia="zh-CN"/>
              </w:rPr>
              <w:t>废气</w:t>
            </w:r>
            <w:r>
              <w:rPr>
                <w:rFonts w:hint="default" w:ascii="Times New Roman" w:hAnsi="Times New Roman"/>
                <w:b/>
                <w:bCs/>
                <w:color w:val="auto"/>
                <w:sz w:val="24"/>
                <w:szCs w:val="32"/>
                <w:highlight w:val="none"/>
                <w:lang w:val="en-US" w:eastAsia="zh-CN"/>
              </w:rPr>
              <w:t>防治措施</w:t>
            </w:r>
          </w:p>
          <w:p w14:paraId="41B42F43">
            <w:pPr>
              <w:keepNext w:val="0"/>
              <w:keepLines w:val="0"/>
              <w:pageBreakBefore w:val="0"/>
              <w:widowControl w:val="0"/>
              <w:numPr>
                <w:ilvl w:val="0"/>
                <w:numId w:val="0"/>
              </w:numPr>
              <w:kinsoku/>
              <w:wordWrap/>
              <w:overflowPunct/>
              <w:topLinePunct w:val="0"/>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default" w:ascii="Times New Roman" w:hAnsi="Times New Roman"/>
                <w:color w:val="auto"/>
                <w:sz w:val="24"/>
                <w:szCs w:val="32"/>
                <w:highlight w:val="none"/>
                <w:lang w:val="en-US" w:eastAsia="zh-CN"/>
              </w:rPr>
              <w:t>（1）扬尘</w:t>
            </w:r>
          </w:p>
          <w:p w14:paraId="7E527C3C">
            <w:pPr>
              <w:keepNext w:val="0"/>
              <w:keepLines w:val="0"/>
              <w:pageBreakBefore w:val="0"/>
              <w:widowControl w:val="0"/>
              <w:numPr>
                <w:ilvl w:val="0"/>
                <w:numId w:val="0"/>
              </w:numPr>
              <w:kinsoku/>
              <w:wordWrap/>
              <w:overflowPunct/>
              <w:topLinePunct w:val="0"/>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default" w:ascii="Times New Roman" w:hAnsi="Times New Roman"/>
                <w:color w:val="auto"/>
                <w:sz w:val="24"/>
                <w:szCs w:val="32"/>
                <w:highlight w:val="none"/>
                <w:lang w:val="en-US" w:eastAsia="zh-CN"/>
              </w:rPr>
              <w:t>本项目施工过程中，为了最大限度的</w:t>
            </w:r>
            <w:r>
              <w:rPr>
                <w:rFonts w:hint="eastAsia" w:ascii="Times New Roman" w:hAnsi="Times New Roman"/>
                <w:color w:val="auto"/>
                <w:sz w:val="24"/>
                <w:szCs w:val="32"/>
                <w:highlight w:val="none"/>
                <w:lang w:val="en-US" w:eastAsia="zh-CN"/>
              </w:rPr>
              <w:t>减少</w:t>
            </w:r>
            <w:r>
              <w:rPr>
                <w:rFonts w:hint="default" w:ascii="Times New Roman" w:hAnsi="Times New Roman"/>
                <w:color w:val="auto"/>
                <w:sz w:val="24"/>
                <w:szCs w:val="32"/>
                <w:highlight w:val="none"/>
                <w:lang w:val="en-US" w:eastAsia="zh-CN"/>
              </w:rPr>
              <w:t>对附近居民造成的影响，对于施工期扬尘，施工期污染防治措施综合参考山西省环境保护厅《关于加强建筑施工扬尘排污费核定征收工作的通知》（晋环发</w:t>
            </w:r>
            <w:r>
              <w:rPr>
                <w:rFonts w:hint="eastAsia" w:ascii="Times New Roman" w:hAnsi="Times New Roman"/>
                <w:color w:val="auto"/>
                <w:sz w:val="24"/>
                <w:szCs w:val="32"/>
                <w:highlight w:val="none"/>
                <w:lang w:val="en-US" w:eastAsia="zh-CN"/>
              </w:rPr>
              <w:t>〔</w:t>
            </w:r>
            <w:r>
              <w:rPr>
                <w:rFonts w:hint="default" w:ascii="Times New Roman" w:hAnsi="Times New Roman"/>
                <w:color w:val="auto"/>
                <w:sz w:val="24"/>
                <w:szCs w:val="32"/>
                <w:highlight w:val="none"/>
                <w:lang w:val="en-US" w:eastAsia="zh-CN"/>
              </w:rPr>
              <w:t>2010</w:t>
            </w:r>
            <w:r>
              <w:rPr>
                <w:rFonts w:hint="eastAsia" w:ascii="Times New Roman" w:hAnsi="Times New Roman"/>
                <w:color w:val="auto"/>
                <w:sz w:val="24"/>
                <w:szCs w:val="32"/>
                <w:highlight w:val="none"/>
                <w:lang w:val="en-US" w:eastAsia="zh-CN"/>
              </w:rPr>
              <w:t>〕</w:t>
            </w:r>
            <w:r>
              <w:rPr>
                <w:rFonts w:hint="default" w:ascii="Times New Roman" w:hAnsi="Times New Roman"/>
                <w:color w:val="auto"/>
                <w:sz w:val="24"/>
                <w:szCs w:val="32"/>
                <w:highlight w:val="none"/>
                <w:lang w:val="en-US" w:eastAsia="zh-CN"/>
              </w:rPr>
              <w:t>136号）、《防治城市扬尘污染技术规范》（HJ/T393-2007））、《关于进一步加强建筑施工工地环境保护管理的通知》（山西省环境保护厅晋环函</w:t>
            </w:r>
            <w:r>
              <w:rPr>
                <w:rFonts w:hint="eastAsia" w:ascii="Times New Roman" w:hAnsi="Times New Roman"/>
                <w:color w:val="auto"/>
                <w:sz w:val="24"/>
                <w:szCs w:val="32"/>
                <w:highlight w:val="none"/>
                <w:lang w:val="en-US" w:eastAsia="zh-CN"/>
              </w:rPr>
              <w:t>〔</w:t>
            </w:r>
            <w:r>
              <w:rPr>
                <w:rFonts w:hint="default" w:ascii="Times New Roman" w:hAnsi="Times New Roman"/>
                <w:color w:val="auto"/>
                <w:sz w:val="24"/>
                <w:szCs w:val="32"/>
                <w:highlight w:val="none"/>
                <w:lang w:val="en-US" w:eastAsia="zh-CN"/>
              </w:rPr>
              <w:t>2010</w:t>
            </w:r>
            <w:r>
              <w:rPr>
                <w:rFonts w:hint="eastAsia" w:ascii="Times New Roman" w:hAnsi="Times New Roman"/>
                <w:color w:val="auto"/>
                <w:sz w:val="24"/>
                <w:szCs w:val="32"/>
                <w:highlight w:val="none"/>
                <w:lang w:val="en-US" w:eastAsia="zh-CN"/>
              </w:rPr>
              <w:t>〕</w:t>
            </w:r>
            <w:r>
              <w:rPr>
                <w:rFonts w:hint="default" w:ascii="Times New Roman" w:hAnsi="Times New Roman"/>
                <w:color w:val="auto"/>
                <w:sz w:val="24"/>
                <w:szCs w:val="32"/>
                <w:highlight w:val="none"/>
                <w:lang w:val="en-US" w:eastAsia="zh-CN"/>
              </w:rPr>
              <w:t>136号文）、山西省人民政府办公厅《关于印发我省2022-2023年水环境、空气质量再提升和土壤、地下水污染防治行动计划的通知》（晋政办发</w:t>
            </w:r>
            <w:r>
              <w:rPr>
                <w:rFonts w:hint="eastAsia" w:ascii="Times New Roman" w:hAnsi="Times New Roman"/>
                <w:color w:val="auto"/>
                <w:sz w:val="24"/>
                <w:szCs w:val="32"/>
                <w:highlight w:val="none"/>
                <w:lang w:val="en-US" w:eastAsia="zh-CN"/>
              </w:rPr>
              <w:t>〔</w:t>
            </w:r>
            <w:r>
              <w:rPr>
                <w:rFonts w:hint="default" w:ascii="Times New Roman" w:hAnsi="Times New Roman"/>
                <w:color w:val="auto"/>
                <w:sz w:val="24"/>
                <w:szCs w:val="32"/>
                <w:highlight w:val="none"/>
                <w:lang w:val="en-US" w:eastAsia="zh-CN"/>
              </w:rPr>
              <w:t>2022</w:t>
            </w:r>
            <w:r>
              <w:rPr>
                <w:rFonts w:hint="eastAsia" w:ascii="Times New Roman" w:hAnsi="Times New Roman"/>
                <w:color w:val="auto"/>
                <w:sz w:val="24"/>
                <w:szCs w:val="32"/>
                <w:highlight w:val="none"/>
                <w:lang w:val="en-US" w:eastAsia="zh-CN"/>
              </w:rPr>
              <w:t>〕</w:t>
            </w:r>
            <w:r>
              <w:rPr>
                <w:rFonts w:hint="default" w:ascii="Times New Roman" w:hAnsi="Times New Roman"/>
                <w:color w:val="auto"/>
                <w:sz w:val="24"/>
                <w:szCs w:val="32"/>
                <w:highlight w:val="none"/>
                <w:lang w:val="en-US" w:eastAsia="zh-CN"/>
              </w:rPr>
              <w:t>95号）等相关规定控制施工扬尘，加强施工期扬尘污染治理，以减轻对大气环境的影响。具体要求如下：</w:t>
            </w:r>
          </w:p>
          <w:p w14:paraId="7D1EDE27">
            <w:pPr>
              <w:keepNext w:val="0"/>
              <w:keepLines w:val="0"/>
              <w:pageBreakBefore w:val="0"/>
              <w:widowControl w:val="0"/>
              <w:numPr>
                <w:ilvl w:val="0"/>
                <w:numId w:val="0"/>
              </w:numPr>
              <w:kinsoku/>
              <w:wordWrap/>
              <w:overflowPunct/>
              <w:topLinePunct w:val="0"/>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eastAsia" w:ascii="Times New Roman" w:hAnsi="Times New Roman"/>
                <w:color w:val="auto"/>
                <w:sz w:val="24"/>
                <w:szCs w:val="32"/>
                <w:highlight w:val="none"/>
                <w:lang w:val="en-US" w:eastAsia="zh-CN"/>
              </w:rPr>
              <w:t>a.</w:t>
            </w:r>
            <w:r>
              <w:rPr>
                <w:rFonts w:hint="default" w:ascii="Times New Roman" w:hAnsi="Times New Roman"/>
                <w:color w:val="auto"/>
                <w:sz w:val="24"/>
                <w:szCs w:val="32"/>
                <w:highlight w:val="none"/>
                <w:lang w:val="en-US" w:eastAsia="zh-CN"/>
              </w:rPr>
              <w:t>工地沙土全部使用抑尘网覆盖，实现工地沙土100%覆盖；</w:t>
            </w:r>
          </w:p>
          <w:p w14:paraId="1861A83C">
            <w:pPr>
              <w:keepNext w:val="0"/>
              <w:keepLines w:val="0"/>
              <w:pageBreakBefore w:val="0"/>
              <w:widowControl w:val="0"/>
              <w:numPr>
                <w:ilvl w:val="0"/>
                <w:numId w:val="0"/>
              </w:numPr>
              <w:kinsoku/>
              <w:wordWrap/>
              <w:overflowPunct/>
              <w:topLinePunct w:val="0"/>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default" w:ascii="Times New Roman" w:hAnsi="Times New Roman"/>
                <w:color w:val="auto"/>
                <w:sz w:val="24"/>
                <w:szCs w:val="32"/>
                <w:highlight w:val="none"/>
                <w:lang w:val="en-US" w:eastAsia="zh-CN"/>
              </w:rPr>
              <w:t>b. 施工场地内定期洒水，采用吸尘或水冲洗的方法清洁施工场地道路积尘，保证施工地面湿润，扬尘严重时应加大洒水频率，进一步减少施工过程中的扬尘污染，保证工地100%洒水抑尘；</w:t>
            </w:r>
          </w:p>
          <w:p w14:paraId="2A2B7592">
            <w:pPr>
              <w:keepNext w:val="0"/>
              <w:keepLines w:val="0"/>
              <w:pageBreakBefore w:val="0"/>
              <w:widowControl w:val="0"/>
              <w:numPr>
                <w:ilvl w:val="0"/>
                <w:numId w:val="0"/>
              </w:numPr>
              <w:kinsoku/>
              <w:wordWrap/>
              <w:overflowPunct/>
              <w:topLinePunct w:val="0"/>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default" w:ascii="Times New Roman" w:hAnsi="Times New Roman"/>
                <w:color w:val="auto"/>
                <w:sz w:val="24"/>
                <w:szCs w:val="32"/>
                <w:highlight w:val="none"/>
                <w:lang w:val="en-US" w:eastAsia="zh-CN"/>
              </w:rPr>
              <w:t>c.在施工场地出入口处设置车辆冲洗平台，对车辆车轮、车身、车槽帮等部门进行清理或清洗，以保证出工地车辆100%冲洗；</w:t>
            </w:r>
          </w:p>
          <w:p w14:paraId="1A52A89C">
            <w:pPr>
              <w:keepNext w:val="0"/>
              <w:keepLines w:val="0"/>
              <w:pageBreakBefore w:val="0"/>
              <w:widowControl w:val="0"/>
              <w:numPr>
                <w:ilvl w:val="0"/>
                <w:numId w:val="0"/>
              </w:numPr>
              <w:kinsoku/>
              <w:wordWrap/>
              <w:overflowPunct/>
              <w:topLinePunct w:val="0"/>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default" w:ascii="Times New Roman" w:hAnsi="Times New Roman"/>
                <w:color w:val="auto"/>
                <w:sz w:val="24"/>
                <w:szCs w:val="32"/>
                <w:highlight w:val="none"/>
                <w:lang w:val="en-US" w:eastAsia="zh-CN"/>
              </w:rPr>
              <w:t>d. 进出工地的物料、渣土、垃圾运输车辆，装载的物料、垃圾、渣土高度不得超过车辆槽帮上沿，车斗用苫布遮盖或者采用密闭车斗。若车斗用苫布遮盖，应当严实密闭，苫布边缘至少要遮住槽帮上沿以下15</w:t>
            </w:r>
            <w:r>
              <w:rPr>
                <w:rFonts w:hint="eastAsia" w:ascii="Times New Roman" w:hAnsi="Times New Roman"/>
                <w:color w:val="auto"/>
                <w:sz w:val="24"/>
                <w:szCs w:val="32"/>
                <w:highlight w:val="none"/>
                <w:lang w:val="en-US" w:eastAsia="zh-CN"/>
              </w:rPr>
              <w:t>厘米</w:t>
            </w:r>
            <w:r>
              <w:rPr>
                <w:rFonts w:hint="default" w:ascii="Times New Roman" w:hAnsi="Times New Roman"/>
                <w:color w:val="auto"/>
                <w:sz w:val="24"/>
                <w:szCs w:val="32"/>
                <w:highlight w:val="none"/>
                <w:lang w:val="en-US" w:eastAsia="zh-CN"/>
              </w:rPr>
              <w:t>，保证物料、渣土、垃圾等不露出，实现渣土车辆100%密闭运输。车辆应当按照批准的路线和时间进行物料、渣土、垃圾的运输；</w:t>
            </w:r>
          </w:p>
          <w:p w14:paraId="2F32F8CF">
            <w:pPr>
              <w:keepNext w:val="0"/>
              <w:keepLines w:val="0"/>
              <w:pageBreakBefore w:val="0"/>
              <w:widowControl w:val="0"/>
              <w:numPr>
                <w:ilvl w:val="0"/>
                <w:numId w:val="0"/>
              </w:numPr>
              <w:kinsoku/>
              <w:wordWrap/>
              <w:overflowPunct/>
              <w:topLinePunct w:val="0"/>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default" w:ascii="Times New Roman" w:hAnsi="Times New Roman"/>
                <w:color w:val="auto"/>
                <w:sz w:val="24"/>
                <w:szCs w:val="32"/>
                <w:highlight w:val="none"/>
                <w:lang w:val="en-US" w:eastAsia="zh-CN"/>
              </w:rPr>
              <w:t>e.施工过程中产生的建筑垃圾在施工期间应当及时清运，并按照当地政府市容环境卫生主管部门的规定处置，防止污染环境，施工场地四周已有围墙遮挡，可实现施工营地100%围挡；</w:t>
            </w:r>
          </w:p>
          <w:p w14:paraId="3BA1564E">
            <w:pPr>
              <w:keepNext w:val="0"/>
              <w:keepLines w:val="0"/>
              <w:pageBreakBefore w:val="0"/>
              <w:widowControl w:val="0"/>
              <w:numPr>
                <w:ilvl w:val="0"/>
                <w:numId w:val="0"/>
              </w:numPr>
              <w:kinsoku/>
              <w:wordWrap/>
              <w:overflowPunct/>
              <w:topLinePunct w:val="0"/>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default" w:ascii="Times New Roman" w:hAnsi="Times New Roman"/>
                <w:color w:val="auto"/>
                <w:sz w:val="24"/>
                <w:szCs w:val="32"/>
                <w:highlight w:val="none"/>
                <w:lang w:val="en-US" w:eastAsia="zh-CN"/>
              </w:rPr>
              <w:t>f.进出场道路全部进行压实硬化，保证工地路面100%硬化。</w:t>
            </w:r>
          </w:p>
          <w:p w14:paraId="4F29DC92">
            <w:pPr>
              <w:keepNext w:val="0"/>
              <w:keepLines w:val="0"/>
              <w:pageBreakBefore w:val="0"/>
              <w:widowControl w:val="0"/>
              <w:numPr>
                <w:ilvl w:val="0"/>
                <w:numId w:val="0"/>
              </w:numPr>
              <w:kinsoku/>
              <w:wordWrap/>
              <w:overflowPunct/>
              <w:topLinePunct w:val="0"/>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default" w:ascii="Times New Roman" w:hAnsi="Times New Roman"/>
                <w:color w:val="auto"/>
                <w:sz w:val="24"/>
                <w:szCs w:val="32"/>
                <w:highlight w:val="none"/>
                <w:lang w:val="en-US" w:eastAsia="zh-CN"/>
              </w:rPr>
              <w:t>（2）运输车辆及作业机械尾气</w:t>
            </w:r>
          </w:p>
          <w:p w14:paraId="40DFA1DD">
            <w:pPr>
              <w:keepNext w:val="0"/>
              <w:keepLines w:val="0"/>
              <w:pageBreakBefore w:val="0"/>
              <w:widowControl w:val="0"/>
              <w:numPr>
                <w:ilvl w:val="0"/>
                <w:numId w:val="0"/>
              </w:numPr>
              <w:kinsoku/>
              <w:wordWrap/>
              <w:overflowPunct/>
              <w:topLinePunct w:val="0"/>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default" w:ascii="Times New Roman" w:hAnsi="Times New Roman"/>
                <w:color w:val="auto"/>
                <w:sz w:val="24"/>
                <w:szCs w:val="32"/>
                <w:highlight w:val="none"/>
                <w:lang w:val="en-US" w:eastAsia="zh-CN"/>
              </w:rPr>
              <w:t xml:space="preserve">施工机械和汽车运输时所排放的尾气，主要有CO、NOx、THC等大气污染物，会对作业点周围和运输路线两侧局部范围产生一定影响，但影响范围主要局限于施工区内。预计工程施工作业时对局地区域环境空气影响范围仅限于下风向20-30m范围内，不过这种影响时间短，并随施工的完成而消失。其余地区环境空气质量将维持现有水平，所以施工机械尾气对环境空气影响小。 </w:t>
            </w:r>
          </w:p>
          <w:p w14:paraId="51E738E7">
            <w:pPr>
              <w:keepNext w:val="0"/>
              <w:keepLines w:val="0"/>
              <w:pageBreakBefore w:val="0"/>
              <w:widowControl w:val="0"/>
              <w:numPr>
                <w:ilvl w:val="0"/>
                <w:numId w:val="0"/>
              </w:numPr>
              <w:kinsoku/>
              <w:wordWrap/>
              <w:overflowPunct/>
              <w:topLinePunct w:val="0"/>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default" w:ascii="Times New Roman" w:hAnsi="Times New Roman"/>
                <w:color w:val="auto"/>
                <w:sz w:val="24"/>
                <w:szCs w:val="32"/>
                <w:highlight w:val="none"/>
                <w:lang w:val="en-US" w:eastAsia="zh-CN"/>
              </w:rPr>
              <w:t>施工车辆必须定期维修保养，施工车辆应达到相关的汽车废气排放标准，采用国三及以上并有登记编码的非道路移动机械进行施工作业，施工机械亦应达到相关的排放标准。</w:t>
            </w:r>
          </w:p>
          <w:p w14:paraId="67CEAD6C">
            <w:pPr>
              <w:keepNext w:val="0"/>
              <w:keepLines w:val="0"/>
              <w:pageBreakBefore w:val="0"/>
              <w:widowControl w:val="0"/>
              <w:numPr>
                <w:ilvl w:val="0"/>
                <w:numId w:val="0"/>
              </w:numPr>
              <w:kinsoku/>
              <w:wordWrap/>
              <w:overflowPunct/>
              <w:topLinePunct w:val="0"/>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default" w:ascii="Times New Roman" w:hAnsi="Times New Roman"/>
                <w:color w:val="auto"/>
                <w:sz w:val="24"/>
                <w:szCs w:val="32"/>
                <w:highlight w:val="none"/>
                <w:lang w:val="en-US" w:eastAsia="zh-CN"/>
              </w:rPr>
              <w:t xml:space="preserve">采取以上措施后，可有效控制施工扬尘及机械尾气，使其对周围环境的影响较小。 </w:t>
            </w:r>
          </w:p>
          <w:p w14:paraId="674D720D">
            <w:pPr>
              <w:keepNext w:val="0"/>
              <w:keepLines w:val="0"/>
              <w:pageBreakBefore w:val="0"/>
              <w:widowControl w:val="0"/>
              <w:numPr>
                <w:ilvl w:val="0"/>
                <w:numId w:val="0"/>
              </w:numPr>
              <w:kinsoku/>
              <w:wordWrap/>
              <w:overflowPunct/>
              <w:topLinePunct w:val="0"/>
              <w:autoSpaceDN/>
              <w:bidi w:val="0"/>
              <w:adjustRightInd/>
              <w:snapToGrid/>
              <w:spacing w:line="360" w:lineRule="auto"/>
              <w:ind w:left="0" w:leftChars="0" w:firstLine="480" w:firstLineChars="200"/>
              <w:textAlignment w:val="auto"/>
              <w:rPr>
                <w:rFonts w:hint="eastAsia" w:ascii="Times New Roman" w:hAnsi="Times New Roman"/>
                <w:color w:val="auto"/>
                <w:sz w:val="24"/>
                <w:szCs w:val="32"/>
                <w:highlight w:val="none"/>
                <w:lang w:eastAsia="zh-CN"/>
              </w:rPr>
            </w:pPr>
            <w:r>
              <w:rPr>
                <w:rFonts w:hint="eastAsia" w:ascii="Times New Roman" w:hAnsi="Times New Roman" w:eastAsia="宋体" w:cs="宋体"/>
                <w:color w:val="auto"/>
                <w:kern w:val="2"/>
                <w:sz w:val="24"/>
                <w:szCs w:val="32"/>
                <w:lang w:val="en-US" w:eastAsia="zh-CN" w:bidi="ar-SA"/>
              </w:rPr>
              <w:t>2、</w:t>
            </w:r>
            <w:r>
              <w:rPr>
                <w:rFonts w:ascii="Times New Roman" w:hAnsi="Times New Roman"/>
                <w:color w:val="auto"/>
                <w:sz w:val="24"/>
                <w:szCs w:val="32"/>
                <w:highlight w:val="none"/>
              </w:rPr>
              <w:t>施工期</w:t>
            </w:r>
            <w:r>
              <w:rPr>
                <w:rFonts w:hint="eastAsia" w:ascii="Times New Roman" w:hAnsi="Times New Roman"/>
                <w:color w:val="auto"/>
                <w:sz w:val="24"/>
                <w:szCs w:val="32"/>
                <w:highlight w:val="none"/>
                <w:lang w:eastAsia="zh-CN"/>
              </w:rPr>
              <w:t>废水防治措施</w:t>
            </w:r>
          </w:p>
          <w:p w14:paraId="7CBA60B0">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rPr>
                <w:rFonts w:ascii="Times New Roman" w:hAnsi="Times New Roman"/>
                <w:color w:val="auto"/>
                <w:sz w:val="24"/>
                <w:szCs w:val="32"/>
                <w:highlight w:val="none"/>
              </w:rPr>
            </w:pPr>
            <w:r>
              <w:rPr>
                <w:rFonts w:ascii="Times New Roman" w:hAnsi="Times New Roman"/>
                <w:color w:val="auto"/>
                <w:sz w:val="24"/>
                <w:szCs w:val="32"/>
                <w:highlight w:val="none"/>
              </w:rPr>
              <w:t>施工期产生的废水主要为施工现场车辆的清洗废水</w:t>
            </w:r>
            <w:r>
              <w:rPr>
                <w:rFonts w:hint="eastAsia" w:ascii="Times New Roman" w:hAnsi="Times New Roman"/>
                <w:color w:val="auto"/>
                <w:sz w:val="24"/>
                <w:szCs w:val="32"/>
                <w:highlight w:val="none"/>
                <w:lang w:eastAsia="zh-CN"/>
              </w:rPr>
              <w:t>、基坑开挖时流入坑内的地表水及施工人员的生活污水</w:t>
            </w:r>
            <w:r>
              <w:rPr>
                <w:rFonts w:ascii="Times New Roman" w:hAnsi="Times New Roman"/>
                <w:color w:val="auto"/>
                <w:sz w:val="24"/>
                <w:szCs w:val="32"/>
                <w:highlight w:val="none"/>
              </w:rPr>
              <w:t>。</w:t>
            </w:r>
          </w:p>
          <w:p w14:paraId="0F73BF96">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rPr>
                <w:rFonts w:hint="eastAsia" w:ascii="Times New Roman" w:hAnsi="Times New Roman"/>
                <w:color w:val="auto"/>
                <w:sz w:val="24"/>
                <w:szCs w:val="32"/>
                <w:highlight w:val="none"/>
                <w:lang w:eastAsia="zh-CN"/>
              </w:rPr>
            </w:pPr>
            <w:r>
              <w:rPr>
                <w:rFonts w:ascii="Times New Roman" w:hAnsi="Times New Roman"/>
                <w:color w:val="auto"/>
                <w:sz w:val="24"/>
                <w:szCs w:val="32"/>
                <w:highlight w:val="none"/>
              </w:rPr>
              <w:t>为了减少施工机械和车辆将泥土带</w:t>
            </w:r>
            <w:r>
              <w:rPr>
                <w:rFonts w:hint="eastAsia" w:ascii="Times New Roman" w:hAnsi="Times New Roman"/>
                <w:color w:val="auto"/>
                <w:sz w:val="24"/>
                <w:szCs w:val="32"/>
                <w:highlight w:val="none"/>
                <w:lang w:eastAsia="zh-CN"/>
              </w:rPr>
              <w:t>出场外</w:t>
            </w:r>
            <w:r>
              <w:rPr>
                <w:rFonts w:ascii="Times New Roman" w:hAnsi="Times New Roman"/>
                <w:color w:val="auto"/>
                <w:sz w:val="24"/>
                <w:szCs w:val="32"/>
                <w:highlight w:val="none"/>
              </w:rPr>
              <w:t>，运输车辆驶出工地前，应对车轮、车身、车槽帮等部位进行清理或清洗以保证车辆清洁上路。施工机械和运输车辆清洗废水主要污染物为SS，</w:t>
            </w:r>
            <w:r>
              <w:rPr>
                <w:rFonts w:hint="eastAsia" w:ascii="Times New Roman" w:hAnsi="Times New Roman"/>
                <w:color w:val="auto"/>
                <w:sz w:val="24"/>
                <w:szCs w:val="32"/>
                <w:highlight w:val="none"/>
                <w:lang w:val="en-US" w:eastAsia="zh-CN"/>
              </w:rPr>
              <w:t>在施工场地对施工器械的冲洗设置固定场所，冲洗水进入沉淀池，沉淀后与施工人员生活污水用作施工材料混合用水，路面降尘及喷洒用水，不外排；</w:t>
            </w:r>
            <w:r>
              <w:rPr>
                <w:rFonts w:hint="default" w:ascii="Times New Roman" w:hAnsi="Times New Roman"/>
                <w:color w:val="auto"/>
                <w:sz w:val="24"/>
                <w:szCs w:val="32"/>
                <w:highlight w:val="none"/>
                <w:lang w:val="en-US" w:eastAsia="zh-CN"/>
              </w:rPr>
              <w:t>加强管理，</w:t>
            </w:r>
            <w:r>
              <w:rPr>
                <w:rFonts w:hint="eastAsia" w:ascii="Times New Roman" w:hAnsi="Times New Roman"/>
                <w:color w:val="auto"/>
                <w:sz w:val="24"/>
                <w:szCs w:val="32"/>
                <w:highlight w:val="none"/>
                <w:lang w:val="en-US" w:eastAsia="zh-CN"/>
              </w:rPr>
              <w:t>要求</w:t>
            </w:r>
            <w:r>
              <w:rPr>
                <w:rFonts w:hint="default" w:ascii="Times New Roman" w:hAnsi="Times New Roman"/>
                <w:color w:val="auto"/>
                <w:sz w:val="24"/>
                <w:szCs w:val="32"/>
                <w:highlight w:val="none"/>
                <w:lang w:val="en-US" w:eastAsia="zh-CN"/>
              </w:rPr>
              <w:t>施工废水不可任意直接排放</w:t>
            </w:r>
            <w:r>
              <w:rPr>
                <w:rFonts w:hint="eastAsia" w:ascii="Times New Roman" w:hAnsi="Times New Roman"/>
                <w:color w:val="auto"/>
                <w:sz w:val="24"/>
                <w:szCs w:val="32"/>
                <w:highlight w:val="none"/>
                <w:lang w:val="en-US" w:eastAsia="zh-CN"/>
              </w:rPr>
              <w:t>，在基坑开挖过程中，在基坑四周开挖截水沟，以防地面水流入坑内；在坑底设置集水井，并沿坑底的周围开挖排水沟，使水流入集水井中，然后用水泵抽出至路边排水沟，流出场外</w:t>
            </w:r>
            <w:r>
              <w:rPr>
                <w:rFonts w:hint="default" w:ascii="Times New Roman" w:hAnsi="Times New Roman"/>
                <w:color w:val="auto"/>
                <w:sz w:val="24"/>
                <w:szCs w:val="32"/>
                <w:highlight w:val="none"/>
                <w:lang w:val="en-US" w:eastAsia="zh-CN"/>
              </w:rPr>
              <w:t>。施工期间在排污工程不健全的情况下，应尽量减少物料流失、散落和溢流现象</w:t>
            </w:r>
            <w:r>
              <w:rPr>
                <w:rFonts w:hint="eastAsia" w:ascii="Times New Roman" w:hAnsi="Times New Roman"/>
                <w:color w:val="auto"/>
                <w:sz w:val="24"/>
                <w:szCs w:val="32"/>
                <w:highlight w:val="none"/>
                <w:lang w:val="en-US" w:eastAsia="zh-CN"/>
              </w:rPr>
              <w:t>。</w:t>
            </w:r>
          </w:p>
          <w:p w14:paraId="55CBA4F3">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rPr>
                <w:rFonts w:ascii="Times New Roman" w:hAnsi="Times New Roman"/>
                <w:color w:val="auto"/>
                <w:sz w:val="24"/>
                <w:szCs w:val="32"/>
                <w:highlight w:val="none"/>
              </w:rPr>
            </w:pPr>
            <w:r>
              <w:rPr>
                <w:rFonts w:ascii="Times New Roman" w:hAnsi="Times New Roman"/>
                <w:color w:val="auto"/>
                <w:sz w:val="24"/>
                <w:szCs w:val="32"/>
                <w:highlight w:val="none"/>
              </w:rPr>
              <w:t>项目施工期产生的废水随着施工期的结束而消失，施工期废水采取相应的治理措施后，不会形成规模排放，对地表水环境影响较小。</w:t>
            </w:r>
          </w:p>
          <w:p w14:paraId="0DBA26FF">
            <w:pPr>
              <w:keepNext w:val="0"/>
              <w:keepLines w:val="0"/>
              <w:pageBreakBefore w:val="0"/>
              <w:widowControl w:val="0"/>
              <w:numPr>
                <w:ilvl w:val="0"/>
                <w:numId w:val="0"/>
              </w:numPr>
              <w:kinsoku/>
              <w:wordWrap/>
              <w:overflowPunct/>
              <w:topLinePunct w:val="0"/>
              <w:autoSpaceDN/>
              <w:bidi w:val="0"/>
              <w:adjustRightInd/>
              <w:snapToGrid/>
              <w:spacing w:line="360" w:lineRule="auto"/>
              <w:ind w:left="0" w:leftChars="0" w:firstLine="480" w:firstLineChars="200"/>
              <w:textAlignment w:val="auto"/>
              <w:rPr>
                <w:rFonts w:hint="eastAsia" w:ascii="Times New Roman" w:hAnsi="Times New Roman"/>
                <w:color w:val="auto"/>
                <w:sz w:val="24"/>
                <w:szCs w:val="32"/>
                <w:highlight w:val="none"/>
                <w:lang w:eastAsia="zh-CN"/>
              </w:rPr>
            </w:pPr>
            <w:r>
              <w:rPr>
                <w:rFonts w:hint="eastAsia" w:ascii="Times New Roman" w:hAnsi="Times New Roman" w:eastAsia="宋体" w:cs="宋体"/>
                <w:color w:val="auto"/>
                <w:kern w:val="2"/>
                <w:sz w:val="24"/>
                <w:szCs w:val="32"/>
                <w:lang w:val="en-US" w:eastAsia="zh-CN" w:bidi="ar-SA"/>
              </w:rPr>
              <w:t>3、</w:t>
            </w:r>
            <w:r>
              <w:rPr>
                <w:rFonts w:ascii="Times New Roman" w:hAnsi="Times New Roman"/>
                <w:color w:val="auto"/>
                <w:sz w:val="24"/>
                <w:szCs w:val="32"/>
                <w:highlight w:val="none"/>
              </w:rPr>
              <w:t>施工期</w:t>
            </w:r>
            <w:r>
              <w:rPr>
                <w:rFonts w:hint="eastAsia" w:ascii="Times New Roman" w:hAnsi="Times New Roman"/>
                <w:color w:val="auto"/>
                <w:sz w:val="24"/>
                <w:szCs w:val="32"/>
                <w:highlight w:val="none"/>
                <w:lang w:eastAsia="zh-CN"/>
              </w:rPr>
              <w:t>噪声防治措施</w:t>
            </w:r>
          </w:p>
          <w:p w14:paraId="1B88BF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eastAsia="zh-CN"/>
              </w:rPr>
            </w:pPr>
            <w:r>
              <w:rPr>
                <w:rFonts w:hint="eastAsia" w:ascii="Times New Roman" w:hAnsi="Times New Roman"/>
                <w:color w:val="auto"/>
                <w:sz w:val="24"/>
                <w:szCs w:val="32"/>
                <w:highlight w:val="none"/>
                <w:lang w:val="en-US" w:eastAsia="zh-CN"/>
              </w:rPr>
              <w:t>①</w:t>
            </w:r>
            <w:r>
              <w:rPr>
                <w:rFonts w:hint="default" w:ascii="Times New Roman" w:hAnsi="Times New Roman"/>
                <w:color w:val="auto"/>
                <w:sz w:val="24"/>
                <w:szCs w:val="32"/>
                <w:highlight w:val="none"/>
              </w:rPr>
              <w:t>评价要求应合理安排施工进度，</w:t>
            </w:r>
            <w:r>
              <w:rPr>
                <w:rFonts w:hint="default" w:ascii="Times New Roman" w:hAnsi="Times New Roman"/>
                <w:color w:val="auto"/>
                <w:sz w:val="24"/>
                <w:szCs w:val="32"/>
                <w:highlight w:val="none"/>
                <w:lang w:val="zh-CN"/>
              </w:rPr>
              <w:t>合理布局施工场地，合理安排施工时间，</w:t>
            </w:r>
            <w:r>
              <w:rPr>
                <w:rFonts w:hint="default" w:ascii="Times New Roman" w:hAnsi="Times New Roman"/>
                <w:color w:val="auto"/>
                <w:sz w:val="24"/>
                <w:szCs w:val="32"/>
                <w:highlight w:val="none"/>
              </w:rPr>
              <w:t>场地晚上22:00至次日凌晨6:00禁止施工</w:t>
            </w:r>
            <w:r>
              <w:rPr>
                <w:rFonts w:hint="default" w:ascii="Times New Roman" w:hAnsi="Times New Roman"/>
                <w:color w:val="auto"/>
                <w:sz w:val="24"/>
                <w:szCs w:val="32"/>
                <w:highlight w:val="none"/>
                <w:lang w:eastAsia="zh-CN"/>
              </w:rPr>
              <w:t>；</w:t>
            </w:r>
          </w:p>
          <w:p w14:paraId="7AA954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eastAsia" w:ascii="Times New Roman" w:hAnsi="Times New Roman"/>
                <w:color w:val="auto"/>
                <w:sz w:val="24"/>
                <w:szCs w:val="32"/>
                <w:highlight w:val="none"/>
                <w:lang w:val="en-US" w:eastAsia="zh-CN"/>
              </w:rPr>
              <w:t>②</w:t>
            </w:r>
            <w:r>
              <w:rPr>
                <w:rFonts w:hint="default" w:ascii="Times New Roman" w:hAnsi="Times New Roman"/>
                <w:color w:val="auto"/>
                <w:sz w:val="24"/>
                <w:szCs w:val="32"/>
                <w:highlight w:val="none"/>
                <w:lang w:val="en-US" w:eastAsia="zh-CN"/>
              </w:rPr>
              <w:t>施工设备应选用优质、低噪设备</w:t>
            </w:r>
            <w:r>
              <w:rPr>
                <w:rFonts w:hint="eastAsia" w:ascii="Times New Roman" w:hAnsi="Times New Roman"/>
                <w:color w:val="auto"/>
                <w:sz w:val="24"/>
                <w:szCs w:val="32"/>
                <w:highlight w:val="none"/>
                <w:lang w:val="en-US" w:eastAsia="zh-CN"/>
              </w:rPr>
              <w:t>，</w:t>
            </w:r>
            <w:r>
              <w:rPr>
                <w:rFonts w:hint="default" w:ascii="Times New Roman" w:hAnsi="Times New Roman"/>
                <w:color w:val="auto"/>
                <w:sz w:val="24"/>
                <w:szCs w:val="32"/>
                <w:highlight w:val="none"/>
                <w:lang w:val="en-US" w:eastAsia="zh-CN"/>
              </w:rPr>
              <w:t>尽量避免高噪设备同时运转，调整高噪设备同时运行的台数；</w:t>
            </w:r>
          </w:p>
          <w:p w14:paraId="5D4C26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eastAsia" w:ascii="Times New Roman" w:hAnsi="Times New Roman"/>
                <w:color w:val="auto"/>
                <w:sz w:val="24"/>
                <w:szCs w:val="32"/>
                <w:highlight w:val="none"/>
                <w:lang w:val="en-US" w:eastAsia="zh-CN"/>
              </w:rPr>
              <w:t>③</w:t>
            </w:r>
            <w:r>
              <w:rPr>
                <w:rFonts w:hint="default" w:ascii="Times New Roman" w:hAnsi="Times New Roman"/>
                <w:color w:val="auto"/>
                <w:sz w:val="24"/>
                <w:szCs w:val="32"/>
                <w:highlight w:val="none"/>
                <w:lang w:val="en-US" w:eastAsia="zh-CN"/>
              </w:rPr>
              <w:t>降低施工设备噪声，要定期对机械设备进行维护和保养，使其保持良好的运行状态，减轻因设备运行状态不佳而造成的噪声污染；对动力机械、设备加强定期检修、养护；按规定操作机械设备，模板、支架装卸过程中，尽量减少碰撞声音；</w:t>
            </w:r>
          </w:p>
          <w:p w14:paraId="4C03C8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eastAsia" w:ascii="Times New Roman" w:hAnsi="Times New Roman"/>
                <w:color w:val="auto"/>
                <w:sz w:val="24"/>
                <w:szCs w:val="32"/>
                <w:highlight w:val="none"/>
                <w:lang w:val="en-US" w:eastAsia="zh-CN"/>
              </w:rPr>
              <w:t>④</w:t>
            </w:r>
            <w:r>
              <w:rPr>
                <w:rFonts w:hint="default" w:ascii="Times New Roman" w:hAnsi="Times New Roman"/>
                <w:color w:val="auto"/>
                <w:sz w:val="24"/>
                <w:szCs w:val="32"/>
                <w:highlight w:val="none"/>
                <w:lang w:val="en-US" w:eastAsia="zh-CN"/>
              </w:rPr>
              <w:t>提倡文明施工，加强施工人员管理，少用哨子、喇叭等指挥作业，尽量减少人为原因产生的高噪声，在模板、支架的拆卸过程中应遵守作业规定，轻拿轻放，减少碰撞噪声；</w:t>
            </w:r>
          </w:p>
          <w:p w14:paraId="673C53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eastAsia" w:ascii="Times New Roman" w:hAnsi="Times New Roman"/>
                <w:color w:val="auto"/>
                <w:sz w:val="24"/>
                <w:szCs w:val="32"/>
                <w:highlight w:val="none"/>
                <w:lang w:val="en-US" w:eastAsia="zh-CN"/>
              </w:rPr>
              <w:t>⑤</w:t>
            </w:r>
            <w:r>
              <w:rPr>
                <w:rFonts w:hint="default" w:ascii="Times New Roman" w:hAnsi="Times New Roman"/>
                <w:color w:val="auto"/>
                <w:sz w:val="24"/>
                <w:szCs w:val="32"/>
                <w:highlight w:val="none"/>
                <w:lang w:val="en-US" w:eastAsia="zh-CN"/>
              </w:rPr>
              <w:t>施工现场合理布局，以避免局部声级过高，将施工阶段的噪声减至最小，以避免噪声声级过高对周围环境产生不良影响；</w:t>
            </w:r>
          </w:p>
          <w:p w14:paraId="411B69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eastAsia" w:ascii="Times New Roman" w:hAnsi="Times New Roman"/>
                <w:color w:val="auto"/>
                <w:sz w:val="24"/>
                <w:szCs w:val="32"/>
                <w:highlight w:val="none"/>
                <w:lang w:val="en-US" w:eastAsia="zh-CN"/>
              </w:rPr>
              <w:t>⑥</w:t>
            </w:r>
            <w:r>
              <w:rPr>
                <w:rFonts w:hint="default" w:ascii="Times New Roman" w:hAnsi="Times New Roman"/>
                <w:color w:val="auto"/>
                <w:sz w:val="24"/>
                <w:szCs w:val="32"/>
                <w:highlight w:val="none"/>
                <w:lang w:val="en-US" w:eastAsia="zh-CN"/>
              </w:rPr>
              <w:t>运输要采用车况良好的车辆，并应注意定期维修、养护；合理规划各运输车辆的行驶路线，运输路线应尽量绕开居住区，并禁止鸣笛，以减少施工噪声对周围居民的影响。</w:t>
            </w:r>
          </w:p>
          <w:p w14:paraId="47E4401D">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rPr>
                <w:rFonts w:hint="eastAsia" w:ascii="Times New Roman" w:hAnsi="Times New Roman"/>
                <w:color w:val="auto"/>
                <w:sz w:val="24"/>
                <w:szCs w:val="32"/>
                <w:highlight w:val="none"/>
                <w:lang w:val="en-US" w:eastAsia="zh-CN"/>
              </w:rPr>
            </w:pPr>
            <w:r>
              <w:rPr>
                <w:rFonts w:hint="eastAsia" w:ascii="Times New Roman" w:hAnsi="Times New Roman"/>
                <w:color w:val="auto"/>
                <w:sz w:val="24"/>
                <w:szCs w:val="32"/>
                <w:highlight w:val="none"/>
                <w:lang w:val="en-US" w:eastAsia="zh-CN"/>
              </w:rPr>
              <w:t>在采取上述防治措施后，可有效降低施工噪声对周围环境的影响，项目施工期产生的噪声对周围环境产生的影响是暂时的，随着工程施工期的结束，其影响也随之消失。</w:t>
            </w:r>
          </w:p>
          <w:p w14:paraId="6ED840FC">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default" w:ascii="Times New Roman" w:hAnsi="Times New Roman"/>
                <w:color w:val="auto"/>
                <w:sz w:val="24"/>
                <w:szCs w:val="32"/>
                <w:highlight w:val="none"/>
                <w:lang w:val="en-US" w:eastAsia="zh-CN"/>
              </w:rPr>
              <w:t>4、</w:t>
            </w:r>
            <w:r>
              <w:rPr>
                <w:rFonts w:ascii="Times New Roman" w:hAnsi="Times New Roman"/>
                <w:color w:val="auto"/>
                <w:sz w:val="24"/>
                <w:szCs w:val="32"/>
                <w:highlight w:val="none"/>
              </w:rPr>
              <w:t>施工期</w:t>
            </w:r>
            <w:r>
              <w:rPr>
                <w:rFonts w:hint="eastAsia" w:ascii="Times New Roman" w:hAnsi="Times New Roman"/>
                <w:color w:val="auto"/>
                <w:sz w:val="24"/>
                <w:szCs w:val="32"/>
                <w:highlight w:val="none"/>
                <w:lang w:eastAsia="zh-CN"/>
              </w:rPr>
              <w:t>固体废物防治措施</w:t>
            </w:r>
          </w:p>
          <w:p w14:paraId="33AFCD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olor w:val="auto"/>
                <w:sz w:val="24"/>
                <w:szCs w:val="32"/>
                <w:highlight w:val="none"/>
              </w:rPr>
            </w:pPr>
            <w:r>
              <w:rPr>
                <w:rFonts w:ascii="Times New Roman" w:hAnsi="Times New Roman"/>
                <w:color w:val="auto"/>
                <w:sz w:val="24"/>
                <w:szCs w:val="32"/>
                <w:highlight w:val="none"/>
              </w:rPr>
              <w:t>施工期产生的</w:t>
            </w:r>
            <w:r>
              <w:rPr>
                <w:rFonts w:hint="eastAsia" w:ascii="Times New Roman" w:hAnsi="Times New Roman"/>
                <w:color w:val="auto"/>
                <w:sz w:val="24"/>
                <w:szCs w:val="32"/>
                <w:highlight w:val="none"/>
                <w:lang w:eastAsia="zh-CN"/>
              </w:rPr>
              <w:t>固体废物</w:t>
            </w:r>
            <w:r>
              <w:rPr>
                <w:rFonts w:hint="default" w:ascii="Times New Roman" w:hAnsi="Times New Roman"/>
                <w:color w:val="auto"/>
                <w:sz w:val="24"/>
                <w:szCs w:val="32"/>
                <w:highlight w:val="none"/>
              </w:rPr>
              <w:t>分为</w:t>
            </w:r>
            <w:r>
              <w:rPr>
                <w:rFonts w:hint="default" w:ascii="Times New Roman" w:hAnsi="Times New Roman"/>
                <w:color w:val="auto"/>
                <w:sz w:val="24"/>
                <w:szCs w:val="32"/>
                <w:highlight w:val="none"/>
                <w:lang w:eastAsia="zh-CN"/>
              </w:rPr>
              <w:t>两</w:t>
            </w:r>
            <w:r>
              <w:rPr>
                <w:rFonts w:hint="default" w:ascii="Times New Roman" w:hAnsi="Times New Roman"/>
                <w:color w:val="auto"/>
                <w:sz w:val="24"/>
                <w:szCs w:val="32"/>
                <w:highlight w:val="none"/>
              </w:rPr>
              <w:t>类，一类为建筑垃圾，另一类是生活垃圾。</w:t>
            </w:r>
          </w:p>
          <w:p w14:paraId="26F9ADDE">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rPr>
                <w:rFonts w:ascii="Times New Roman" w:hAnsi="Times New Roman"/>
                <w:color w:val="auto"/>
                <w:sz w:val="24"/>
                <w:szCs w:val="32"/>
                <w:highlight w:val="none"/>
              </w:rPr>
            </w:pPr>
            <w:r>
              <w:rPr>
                <w:rFonts w:ascii="Times New Roman" w:hAnsi="Times New Roman"/>
                <w:color w:val="auto"/>
                <w:sz w:val="24"/>
                <w:szCs w:val="32"/>
                <w:highlight w:val="none"/>
              </w:rPr>
              <w:t>针对施工期产生的固废，可采取以下控制措施：</w:t>
            </w:r>
          </w:p>
          <w:p w14:paraId="1C5192B6">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rPr>
                <w:rFonts w:ascii="Times New Roman" w:hAnsi="Times New Roman"/>
                <w:color w:val="auto"/>
                <w:sz w:val="24"/>
                <w:szCs w:val="32"/>
                <w:highlight w:val="none"/>
              </w:rPr>
            </w:pPr>
            <w:r>
              <w:rPr>
                <w:rFonts w:ascii="Times New Roman" w:hAnsi="Times New Roman"/>
                <w:color w:val="auto"/>
                <w:sz w:val="24"/>
                <w:szCs w:val="32"/>
                <w:highlight w:val="none"/>
              </w:rPr>
              <w:t>（1）弃土要及时运至</w:t>
            </w:r>
            <w:r>
              <w:rPr>
                <w:rFonts w:hint="eastAsia" w:ascii="Times New Roman" w:hAnsi="Times New Roman"/>
                <w:color w:val="auto"/>
                <w:sz w:val="24"/>
                <w:szCs w:val="32"/>
                <w:highlight w:val="none"/>
                <w:lang w:eastAsia="zh-CN"/>
              </w:rPr>
              <w:t>指定地点</w:t>
            </w:r>
            <w:r>
              <w:rPr>
                <w:rFonts w:ascii="Times New Roman" w:hAnsi="Times New Roman"/>
                <w:color w:val="auto"/>
                <w:sz w:val="24"/>
                <w:szCs w:val="32"/>
                <w:highlight w:val="none"/>
              </w:rPr>
              <w:t>。</w:t>
            </w:r>
          </w:p>
          <w:p w14:paraId="5959026F">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rPr>
                <w:rFonts w:ascii="Times New Roman" w:hAnsi="Times New Roman"/>
                <w:color w:val="auto"/>
                <w:sz w:val="24"/>
                <w:szCs w:val="32"/>
                <w:highlight w:val="none"/>
              </w:rPr>
            </w:pPr>
            <w:r>
              <w:rPr>
                <w:rFonts w:ascii="Times New Roman" w:hAnsi="Times New Roman"/>
                <w:color w:val="auto"/>
                <w:sz w:val="24"/>
                <w:szCs w:val="32"/>
                <w:highlight w:val="none"/>
              </w:rPr>
              <w:t>（2）每个工区工作面必须设立指定的渣土</w:t>
            </w:r>
            <w:r>
              <w:rPr>
                <w:rFonts w:hint="eastAsia" w:ascii="Times New Roman" w:hAnsi="Times New Roman"/>
                <w:color w:val="auto"/>
                <w:sz w:val="24"/>
                <w:szCs w:val="32"/>
                <w:highlight w:val="none"/>
                <w:lang w:eastAsia="zh-CN"/>
              </w:rPr>
              <w:t>堆放</w:t>
            </w:r>
            <w:r>
              <w:rPr>
                <w:rFonts w:ascii="Times New Roman" w:hAnsi="Times New Roman"/>
                <w:color w:val="auto"/>
                <w:sz w:val="24"/>
                <w:szCs w:val="32"/>
                <w:highlight w:val="none"/>
              </w:rPr>
              <w:t>点，并设专人管理，防止渣土随意堆放，防止扰民。</w:t>
            </w:r>
          </w:p>
          <w:p w14:paraId="71FAE561">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rPr>
                <w:rFonts w:ascii="Times New Roman" w:hAnsi="Times New Roman"/>
                <w:color w:val="auto"/>
                <w:sz w:val="24"/>
                <w:szCs w:val="32"/>
                <w:highlight w:val="none"/>
              </w:rPr>
            </w:pPr>
            <w:r>
              <w:rPr>
                <w:rFonts w:ascii="Times New Roman" w:hAnsi="Times New Roman"/>
                <w:color w:val="auto"/>
                <w:sz w:val="24"/>
                <w:szCs w:val="32"/>
                <w:highlight w:val="none"/>
              </w:rPr>
              <w:t>（</w:t>
            </w:r>
            <w:r>
              <w:rPr>
                <w:rFonts w:hint="eastAsia" w:ascii="Times New Roman" w:hAnsi="Times New Roman"/>
                <w:color w:val="auto"/>
                <w:sz w:val="24"/>
                <w:szCs w:val="32"/>
                <w:highlight w:val="none"/>
                <w:lang w:val="en-US" w:eastAsia="zh-CN"/>
              </w:rPr>
              <w:t>3</w:t>
            </w:r>
            <w:r>
              <w:rPr>
                <w:rFonts w:ascii="Times New Roman" w:hAnsi="Times New Roman"/>
                <w:color w:val="auto"/>
                <w:sz w:val="24"/>
                <w:szCs w:val="32"/>
                <w:highlight w:val="none"/>
              </w:rPr>
              <w:t>）土方阶段</w:t>
            </w:r>
            <w:r>
              <w:rPr>
                <w:rFonts w:hint="eastAsia" w:ascii="Times New Roman" w:hAnsi="Times New Roman"/>
                <w:color w:val="auto"/>
                <w:sz w:val="24"/>
                <w:szCs w:val="32"/>
                <w:highlight w:val="none"/>
                <w:lang w:eastAsia="zh-CN"/>
              </w:rPr>
              <w:t>、</w:t>
            </w:r>
            <w:r>
              <w:rPr>
                <w:rFonts w:ascii="Times New Roman" w:hAnsi="Times New Roman"/>
                <w:color w:val="auto"/>
                <w:sz w:val="24"/>
                <w:szCs w:val="32"/>
                <w:highlight w:val="none"/>
              </w:rPr>
              <w:t>装修、安装阶段抛洒、遗弃的</w:t>
            </w:r>
            <w:r>
              <w:rPr>
                <w:rFonts w:hint="eastAsia" w:ascii="Times New Roman" w:hAnsi="Times New Roman"/>
                <w:color w:val="auto"/>
                <w:sz w:val="24"/>
                <w:szCs w:val="32"/>
                <w:highlight w:val="none"/>
                <w:lang w:eastAsia="zh-CN"/>
              </w:rPr>
              <w:t>砂石</w:t>
            </w:r>
            <w:r>
              <w:rPr>
                <w:rFonts w:ascii="Times New Roman" w:hAnsi="Times New Roman"/>
                <w:color w:val="auto"/>
                <w:sz w:val="24"/>
                <w:szCs w:val="32"/>
                <w:highlight w:val="none"/>
              </w:rPr>
              <w:t>、建材等应有专人管理回收，及时清洁工作面。建筑垃圾外运附近建筑垃圾堆放场，禁止乱堆乱放。运输建筑垃圾时车辆加盖篷布，</w:t>
            </w:r>
            <w:r>
              <w:rPr>
                <w:rFonts w:hint="eastAsia" w:ascii="Times New Roman" w:hAnsi="Times New Roman"/>
                <w:color w:val="auto"/>
                <w:sz w:val="24"/>
                <w:szCs w:val="32"/>
                <w:highlight w:val="none"/>
                <w:lang w:eastAsia="zh-CN"/>
              </w:rPr>
              <w:t>防止</w:t>
            </w:r>
            <w:r>
              <w:rPr>
                <w:rFonts w:ascii="Times New Roman" w:hAnsi="Times New Roman"/>
                <w:color w:val="auto"/>
                <w:sz w:val="24"/>
                <w:szCs w:val="32"/>
                <w:highlight w:val="none"/>
              </w:rPr>
              <w:t>洒落。</w:t>
            </w:r>
          </w:p>
          <w:p w14:paraId="2355CBB7">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rPr>
                <w:rFonts w:ascii="Times New Roman" w:hAnsi="Times New Roman"/>
                <w:color w:val="auto"/>
                <w:sz w:val="24"/>
                <w:szCs w:val="32"/>
                <w:highlight w:val="none"/>
              </w:rPr>
            </w:pPr>
            <w:r>
              <w:rPr>
                <w:rFonts w:ascii="Times New Roman" w:hAnsi="Times New Roman"/>
                <w:color w:val="auto"/>
                <w:sz w:val="24"/>
                <w:szCs w:val="32"/>
                <w:highlight w:val="none"/>
              </w:rPr>
              <w:t>（</w:t>
            </w:r>
            <w:r>
              <w:rPr>
                <w:rFonts w:hint="eastAsia" w:ascii="Times New Roman" w:hAnsi="Times New Roman"/>
                <w:color w:val="auto"/>
                <w:sz w:val="24"/>
                <w:szCs w:val="32"/>
                <w:highlight w:val="none"/>
                <w:lang w:val="en-US" w:eastAsia="zh-CN"/>
              </w:rPr>
              <w:t>4</w:t>
            </w:r>
            <w:r>
              <w:rPr>
                <w:rFonts w:ascii="Times New Roman" w:hAnsi="Times New Roman"/>
                <w:color w:val="auto"/>
                <w:sz w:val="24"/>
                <w:szCs w:val="32"/>
                <w:highlight w:val="none"/>
              </w:rPr>
              <w:t>）每个工区应设置流动卫生设施，并及时清理。</w:t>
            </w:r>
          </w:p>
          <w:p w14:paraId="71C4B620">
            <w:pPr>
              <w:keepNext w:val="0"/>
              <w:keepLines w:val="0"/>
              <w:pageBreakBefore w:val="0"/>
              <w:widowControl w:val="0"/>
              <w:kinsoku/>
              <w:wordWrap/>
              <w:overflowPunct/>
              <w:topLinePunct w:val="0"/>
              <w:autoSpaceDN/>
              <w:bidi w:val="0"/>
              <w:adjustRightInd/>
              <w:snapToGrid/>
              <w:spacing w:line="360" w:lineRule="auto"/>
              <w:ind w:firstLine="480" w:firstLineChars="200"/>
              <w:textAlignment w:val="auto"/>
              <w:rPr>
                <w:rFonts w:ascii="Times New Roman" w:hAnsi="Times New Roman"/>
                <w:color w:val="auto"/>
                <w:sz w:val="24"/>
                <w:szCs w:val="32"/>
                <w:highlight w:val="none"/>
              </w:rPr>
            </w:pPr>
            <w:r>
              <w:rPr>
                <w:rFonts w:ascii="Times New Roman" w:hAnsi="Times New Roman"/>
                <w:color w:val="auto"/>
                <w:sz w:val="24"/>
                <w:szCs w:val="32"/>
                <w:highlight w:val="none"/>
              </w:rPr>
              <w:t>（</w:t>
            </w:r>
            <w:r>
              <w:rPr>
                <w:rFonts w:hint="eastAsia" w:ascii="Times New Roman" w:hAnsi="Times New Roman"/>
                <w:color w:val="auto"/>
                <w:sz w:val="24"/>
                <w:szCs w:val="32"/>
                <w:highlight w:val="none"/>
                <w:lang w:val="en-US" w:eastAsia="zh-CN"/>
              </w:rPr>
              <w:t>5</w:t>
            </w:r>
            <w:r>
              <w:rPr>
                <w:rFonts w:ascii="Times New Roman" w:hAnsi="Times New Roman"/>
                <w:color w:val="auto"/>
                <w:sz w:val="24"/>
                <w:szCs w:val="32"/>
                <w:highlight w:val="none"/>
              </w:rPr>
              <w:t>）施工人员的生活垃圾也要收集到指定的垃圾箱（桶）内，</w:t>
            </w:r>
            <w:r>
              <w:rPr>
                <w:rFonts w:hint="eastAsia" w:ascii="Times New Roman" w:hAnsi="Times New Roman"/>
                <w:color w:val="auto"/>
                <w:sz w:val="24"/>
                <w:szCs w:val="32"/>
                <w:highlight w:val="none"/>
                <w:lang w:val="en-US" w:eastAsia="zh-CN"/>
              </w:rPr>
              <w:t>交由环卫部门处置</w:t>
            </w:r>
            <w:r>
              <w:rPr>
                <w:rFonts w:ascii="Times New Roman" w:hAnsi="Times New Roman"/>
                <w:color w:val="auto"/>
                <w:sz w:val="24"/>
                <w:szCs w:val="32"/>
                <w:highlight w:val="none"/>
              </w:rPr>
              <w:t>，禁止乱排。</w:t>
            </w:r>
          </w:p>
          <w:p w14:paraId="1AC77A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olor w:val="auto"/>
                <w:sz w:val="24"/>
                <w:szCs w:val="32"/>
                <w:highlight w:val="none"/>
              </w:rPr>
            </w:pPr>
            <w:r>
              <w:rPr>
                <w:rFonts w:hint="default" w:ascii="Times New Roman" w:hAnsi="Times New Roman"/>
                <w:color w:val="auto"/>
                <w:sz w:val="24"/>
                <w:szCs w:val="32"/>
                <w:highlight w:val="none"/>
                <w:lang w:val="en-US" w:eastAsia="zh-CN"/>
              </w:rPr>
              <w:t>施工过程中产生的污染都是暂时的，随着施工过程的结束，该污染也将消失。</w:t>
            </w:r>
          </w:p>
          <w:p w14:paraId="4FEE4D1B">
            <w:pPr>
              <w:keepNext w:val="0"/>
              <w:keepLines w:val="0"/>
              <w:pageBreakBefore w:val="0"/>
              <w:widowControl w:val="0"/>
              <w:kinsoku/>
              <w:wordWrap/>
              <w:overflowPunct/>
              <w:topLinePunct w:val="0"/>
              <w:autoSpaceDN/>
              <w:bidi w:val="0"/>
              <w:adjustRightInd/>
              <w:spacing w:line="360" w:lineRule="auto"/>
              <w:ind w:firstLine="480" w:firstLineChars="200"/>
              <w:textAlignment w:val="auto"/>
              <w:rPr>
                <w:rFonts w:hint="default" w:ascii="Times New Roman" w:hAnsi="Times New Roman"/>
                <w:color w:val="auto"/>
                <w:sz w:val="24"/>
                <w:szCs w:val="32"/>
                <w:highlight w:val="none"/>
                <w:lang w:val="en-US" w:eastAsia="zh-CN"/>
              </w:rPr>
            </w:pPr>
            <w:r>
              <w:rPr>
                <w:rFonts w:hint="default" w:ascii="Times New Roman" w:hAnsi="Times New Roman"/>
                <w:color w:val="auto"/>
                <w:sz w:val="24"/>
                <w:szCs w:val="32"/>
                <w:highlight w:val="none"/>
                <w:lang w:val="en-US" w:eastAsia="zh-CN"/>
              </w:rPr>
              <w:t>综上所述，项目施工期对周围环境会产生一些影响，建设单位应要求施工方做好上述建议，文明施工，便可以把施工期间对周围环境影响减小至满足相关环境标准要求。</w:t>
            </w:r>
          </w:p>
          <w:p w14:paraId="5786B2EE">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eastAsia="宋体"/>
                <w:b/>
                <w:bCs/>
                <w:color w:val="auto"/>
                <w:sz w:val="24"/>
                <w:szCs w:val="24"/>
                <w:highlight w:val="none"/>
                <w:lang w:val="en-US" w:eastAsia="zh-CN"/>
              </w:rPr>
            </w:pPr>
            <w:r>
              <w:rPr>
                <w:rFonts w:hint="eastAsia" w:ascii="Times New Roman" w:hAnsi="Times New Roman"/>
                <w:b/>
                <w:bCs/>
                <w:color w:val="auto"/>
                <w:sz w:val="24"/>
                <w:szCs w:val="24"/>
                <w:highlight w:val="none"/>
                <w:lang w:val="en-US" w:eastAsia="zh-CN"/>
              </w:rPr>
              <w:t>2、运营期废气防治措施</w:t>
            </w:r>
          </w:p>
          <w:p w14:paraId="78C8564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s="Times New Roman"/>
                <w:color w:val="auto"/>
                <w:kern w:val="2"/>
                <w:sz w:val="24"/>
                <w:szCs w:val="24"/>
                <w:lang w:val="en-US" w:eastAsia="zh-CN" w:bidi="ar-SA"/>
              </w:rPr>
            </w:pP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lang w:val="en-US" w:eastAsia="zh-CN"/>
              </w:rPr>
              <w:t>1</w:t>
            </w:r>
            <w:r>
              <w:rPr>
                <w:rFonts w:hint="eastAsia" w:ascii="Times New Roman" w:hAnsi="Times New Roman"/>
                <w:color w:val="auto"/>
                <w:sz w:val="24"/>
                <w:szCs w:val="24"/>
                <w:highlight w:val="none"/>
                <w:lang w:eastAsia="zh-CN"/>
              </w:rPr>
              <w:t>）</w:t>
            </w:r>
            <w:r>
              <w:rPr>
                <w:rFonts w:hint="default" w:ascii="Times New Roman" w:hAnsi="Times New Roman"/>
                <w:color w:val="auto"/>
                <w:sz w:val="24"/>
                <w:szCs w:val="24"/>
                <w:highlight w:val="none"/>
              </w:rPr>
              <w:t>污染物源强核算</w:t>
            </w:r>
          </w:p>
          <w:p w14:paraId="2F754EB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kern w:val="2"/>
                <w:sz w:val="24"/>
                <w:szCs w:val="24"/>
                <w:lang w:val="en-US" w:eastAsia="zh-CN" w:bidi="ar-SA"/>
              </w:rPr>
              <w:t>1）</w:t>
            </w:r>
            <w:r>
              <w:rPr>
                <w:rFonts w:hint="eastAsia" w:ascii="Times New Roman" w:hAnsi="Times New Roman" w:cs="Times New Roman"/>
                <w:color w:val="auto"/>
                <w:sz w:val="24"/>
                <w:szCs w:val="24"/>
                <w:highlight w:val="none"/>
                <w:lang w:val="en-US" w:eastAsia="zh-CN"/>
              </w:rPr>
              <w:t>水洗砂</w:t>
            </w:r>
            <w:r>
              <w:rPr>
                <w:rFonts w:hint="eastAsia" w:ascii="Times New Roman" w:hAnsi="Times New Roman" w:eastAsia="宋体" w:cs="Times New Roman"/>
                <w:color w:val="auto"/>
                <w:sz w:val="24"/>
                <w:szCs w:val="24"/>
                <w:highlight w:val="none"/>
                <w:lang w:val="en-US" w:eastAsia="zh-CN"/>
              </w:rPr>
              <w:t>生产线</w:t>
            </w:r>
          </w:p>
          <w:p w14:paraId="1022C443">
            <w:pPr>
              <w:keepNext w:val="0"/>
              <w:keepLines w:val="0"/>
              <w:pageBreakBefore w:val="0"/>
              <w:widowControl w:val="0"/>
              <w:kinsoku/>
              <w:wordWrap/>
              <w:overflowPunct/>
              <w:topLinePunct w:val="0"/>
              <w:autoSpaceDN/>
              <w:bidi w:val="0"/>
              <w:adjustRightInd/>
              <w:snapToGrid w:val="0"/>
              <w:spacing w:line="36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G1：运输扬尘</w:t>
            </w:r>
          </w:p>
          <w:p w14:paraId="4C142774">
            <w:pPr>
              <w:pStyle w:val="19"/>
              <w:keepNext w:val="0"/>
              <w:keepLines w:val="0"/>
              <w:pageBreakBefore w:val="0"/>
              <w:widowControl w:val="0"/>
              <w:kinsoku/>
              <w:wordWrap/>
              <w:overflowPunct/>
              <w:topLinePunct w:val="0"/>
              <w:autoSpaceDN/>
              <w:bidi w:val="0"/>
              <w:adjustRightInd/>
              <w:snapToGrid/>
              <w:spacing w:before="0" w:beforeLines="0" w:after="0" w:afterLines="0" w:line="360" w:lineRule="auto"/>
              <w:ind w:firstLine="480" w:firstLineChars="200"/>
              <w:textAlignment w:val="auto"/>
              <w:rPr>
                <w:rFonts w:ascii="Times New Roman" w:hAnsi="Times New Roman"/>
                <w:color w:val="auto"/>
                <w:sz w:val="24"/>
                <w:highlight w:val="none"/>
              </w:rPr>
            </w:pPr>
            <w:r>
              <w:rPr>
                <w:rFonts w:hint="eastAsia" w:ascii="Times New Roman" w:hAnsi="Times New Roman"/>
                <w:color w:val="auto"/>
                <w:sz w:val="24"/>
                <w:highlight w:val="none"/>
              </w:rPr>
              <w:t>本</w:t>
            </w:r>
            <w:r>
              <w:rPr>
                <w:rFonts w:hint="eastAsia" w:ascii="Times New Roman" w:hAnsi="Times New Roman"/>
                <w:color w:val="auto"/>
                <w:sz w:val="24"/>
                <w:highlight w:val="none"/>
                <w:lang w:val="en-US" w:eastAsia="zh-CN"/>
              </w:rPr>
              <w:t>工序</w:t>
            </w:r>
            <w:r>
              <w:rPr>
                <w:rFonts w:hint="eastAsia" w:ascii="Times New Roman" w:hAnsi="Times New Roman"/>
                <w:color w:val="auto"/>
                <w:sz w:val="24"/>
                <w:highlight w:val="none"/>
              </w:rPr>
              <w:t>原料运入厂区及产品运出厂区均会产生道路扬尘，计算公式如下：</w:t>
            </w:r>
          </w:p>
          <w:p w14:paraId="014B262A">
            <w:pPr>
              <w:keepNext w:val="0"/>
              <w:keepLines w:val="0"/>
              <w:pageBreakBefore w:val="0"/>
              <w:widowControl w:val="0"/>
              <w:kinsoku/>
              <w:wordWrap/>
              <w:overflowPunct/>
              <w:topLinePunct w:val="0"/>
              <w:autoSpaceDN/>
              <w:bidi w:val="0"/>
              <w:adjustRightInd/>
              <w:snapToGrid w:val="0"/>
              <w:spacing w:line="360" w:lineRule="auto"/>
              <w:ind w:firstLine="480" w:firstLineChars="200"/>
              <w:textAlignment w:val="auto"/>
              <w:rPr>
                <w:rFonts w:ascii="Times New Roman" w:hAnsi="Times New Roman"/>
                <w:color w:val="auto"/>
                <w:sz w:val="24"/>
                <w:highlight w:val="none"/>
              </w:rPr>
            </w:pPr>
            <w:r>
              <w:rPr>
                <w:rFonts w:ascii="Times New Roman" w:hAnsi="Times New Roman"/>
                <w:color w:val="auto"/>
                <w:sz w:val="24"/>
                <w:highlight w:val="none"/>
              </w:rPr>
              <w:drawing>
                <wp:anchor distT="0" distB="0" distL="114300" distR="114300" simplePos="0" relativeHeight="251661312" behindDoc="0" locked="0" layoutInCell="1" allowOverlap="1">
                  <wp:simplePos x="0" y="0"/>
                  <wp:positionH relativeFrom="column">
                    <wp:posOffset>290195</wp:posOffset>
                  </wp:positionH>
                  <wp:positionV relativeFrom="paragraph">
                    <wp:posOffset>384810</wp:posOffset>
                  </wp:positionV>
                  <wp:extent cx="1196340" cy="243840"/>
                  <wp:effectExtent l="0" t="0" r="0" b="3175"/>
                  <wp:wrapTopAndBottom/>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8"/>
                          <a:stretch>
                            <a:fillRect/>
                          </a:stretch>
                        </pic:blipFill>
                        <pic:spPr>
                          <a:xfrm>
                            <a:off x="0" y="0"/>
                            <a:ext cx="1196340" cy="243840"/>
                          </a:xfrm>
                          <a:prstGeom prst="rect">
                            <a:avLst/>
                          </a:prstGeom>
                          <a:noFill/>
                          <a:ln>
                            <a:noFill/>
                          </a:ln>
                        </pic:spPr>
                      </pic:pic>
                    </a:graphicData>
                  </a:graphic>
                </wp:anchor>
              </w:drawing>
            </w:r>
            <w:r>
              <w:rPr>
                <w:rFonts w:ascii="Times New Roman" w:hAnsi="Times New Roman"/>
                <w:color w:val="auto"/>
                <w:sz w:val="24"/>
                <w:highlight w:val="none"/>
              </w:rPr>
              <w:drawing>
                <wp:anchor distT="0" distB="0" distL="114300" distR="114300" simplePos="0" relativeHeight="251660288" behindDoc="0" locked="0" layoutInCell="1" allowOverlap="1">
                  <wp:simplePos x="0" y="0"/>
                  <wp:positionH relativeFrom="column">
                    <wp:posOffset>290195</wp:posOffset>
                  </wp:positionH>
                  <wp:positionV relativeFrom="paragraph">
                    <wp:posOffset>17145</wp:posOffset>
                  </wp:positionV>
                  <wp:extent cx="1875790" cy="351155"/>
                  <wp:effectExtent l="0" t="0" r="10160" b="11430"/>
                  <wp:wrapTopAndBottom/>
                  <wp:docPr id="14" name="图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96"/>
                          <pic:cNvPicPr>
                            <a:picLocks noChangeAspect="1"/>
                          </pic:cNvPicPr>
                        </pic:nvPicPr>
                        <pic:blipFill>
                          <a:blip r:embed="rId19"/>
                          <a:stretch>
                            <a:fillRect/>
                          </a:stretch>
                        </pic:blipFill>
                        <pic:spPr>
                          <a:xfrm>
                            <a:off x="0" y="0"/>
                            <a:ext cx="1875790" cy="351155"/>
                          </a:xfrm>
                          <a:prstGeom prst="rect">
                            <a:avLst/>
                          </a:prstGeom>
                          <a:noFill/>
                          <a:ln>
                            <a:noFill/>
                          </a:ln>
                        </pic:spPr>
                      </pic:pic>
                    </a:graphicData>
                  </a:graphic>
                </wp:anchor>
              </w:drawing>
            </w:r>
            <w:r>
              <w:rPr>
                <w:rFonts w:ascii="Times New Roman" w:hAnsi="Times New Roman"/>
                <w:color w:val="auto"/>
                <w:sz w:val="24"/>
                <w:highlight w:val="none"/>
              </w:rPr>
              <w:t>式中：</w:t>
            </w:r>
          </w:p>
          <w:p w14:paraId="08F5716F">
            <w:pPr>
              <w:keepNext w:val="0"/>
              <w:keepLines w:val="0"/>
              <w:pageBreakBefore w:val="0"/>
              <w:widowControl w:val="0"/>
              <w:kinsoku/>
              <w:wordWrap/>
              <w:overflowPunct/>
              <w:topLinePunct w:val="0"/>
              <w:autoSpaceDN/>
              <w:bidi w:val="0"/>
              <w:adjustRightInd/>
              <w:snapToGrid w:val="0"/>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ascii="Times New Roman" w:hAnsi="Times New Roman"/>
                <w:color w:val="auto"/>
                <w:sz w:val="24"/>
                <w:highlight w:val="none"/>
              </w:rPr>
              <w:drawing>
                <wp:inline distT="0" distB="0" distL="114300" distR="114300">
                  <wp:extent cx="213360" cy="243840"/>
                  <wp:effectExtent l="0" t="0" r="0" b="3175"/>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pic:cNvPicPr>
                            <a:picLocks noChangeAspect="1"/>
                          </pic:cNvPicPr>
                        </pic:nvPicPr>
                        <pic:blipFill>
                          <a:blip r:embed="rId20"/>
                          <a:stretch>
                            <a:fillRect/>
                          </a:stretch>
                        </pic:blipFill>
                        <pic:spPr>
                          <a:xfrm>
                            <a:off x="0" y="0"/>
                            <a:ext cx="213360" cy="243840"/>
                          </a:xfrm>
                          <a:prstGeom prst="rect">
                            <a:avLst/>
                          </a:prstGeom>
                          <a:noFill/>
                          <a:ln>
                            <a:noFill/>
                          </a:ln>
                        </pic:spPr>
                      </pic:pic>
                    </a:graphicData>
                  </a:graphic>
                </wp:inline>
              </w:drawing>
            </w:r>
            <w:r>
              <w:rPr>
                <w:rFonts w:ascii="Times New Roman" w:hAnsi="Times New Roman"/>
                <w:color w:val="auto"/>
                <w:sz w:val="24"/>
                <w:highlight w:val="none"/>
              </w:rPr>
              <w:t>——道路扬尘量（kg/km·辆）；</w:t>
            </w:r>
          </w:p>
          <w:p w14:paraId="0B477AF9">
            <w:pPr>
              <w:keepNext w:val="0"/>
              <w:keepLines w:val="0"/>
              <w:pageBreakBefore w:val="0"/>
              <w:widowControl w:val="0"/>
              <w:kinsoku/>
              <w:wordWrap/>
              <w:overflowPunct/>
              <w:topLinePunct w:val="0"/>
              <w:autoSpaceDN/>
              <w:bidi w:val="0"/>
              <w:adjustRightInd/>
              <w:snapToGrid w:val="0"/>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ascii="Times New Roman" w:hAnsi="Times New Roman"/>
                <w:color w:val="auto"/>
                <w:sz w:val="24"/>
                <w:highlight w:val="none"/>
              </w:rPr>
              <w:drawing>
                <wp:inline distT="0" distB="0" distL="114300" distR="114300">
                  <wp:extent cx="213360" cy="243840"/>
                  <wp:effectExtent l="0" t="0" r="0" b="3175"/>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21"/>
                          <a:stretch>
                            <a:fillRect/>
                          </a:stretch>
                        </pic:blipFill>
                        <pic:spPr>
                          <a:xfrm>
                            <a:off x="0" y="0"/>
                            <a:ext cx="213360" cy="243840"/>
                          </a:xfrm>
                          <a:prstGeom prst="rect">
                            <a:avLst/>
                          </a:prstGeom>
                          <a:noFill/>
                          <a:ln>
                            <a:noFill/>
                          </a:ln>
                        </pic:spPr>
                      </pic:pic>
                    </a:graphicData>
                  </a:graphic>
                </wp:inline>
              </w:drawing>
            </w:r>
            <w:r>
              <w:rPr>
                <w:rFonts w:ascii="Times New Roman" w:hAnsi="Times New Roman"/>
                <w:color w:val="auto"/>
                <w:sz w:val="24"/>
                <w:highlight w:val="none"/>
              </w:rPr>
              <w:t>——总扬尘量（kg/a）；</w:t>
            </w:r>
          </w:p>
          <w:p w14:paraId="70B296F2">
            <w:pPr>
              <w:keepNext w:val="0"/>
              <w:keepLines w:val="0"/>
              <w:pageBreakBefore w:val="0"/>
              <w:widowControl w:val="0"/>
              <w:kinsoku/>
              <w:wordWrap/>
              <w:overflowPunct/>
              <w:topLinePunct w:val="0"/>
              <w:autoSpaceDN/>
              <w:bidi w:val="0"/>
              <w:adjustRightInd/>
              <w:snapToGrid w:val="0"/>
              <w:spacing w:line="360" w:lineRule="auto"/>
              <w:ind w:firstLine="480" w:firstLineChars="200"/>
              <w:textAlignment w:val="auto"/>
              <w:rPr>
                <w:rFonts w:hint="eastAsia" w:ascii="Times New Roman" w:hAnsi="Times New Roman" w:eastAsia="宋体"/>
                <w:color w:val="auto"/>
                <w:sz w:val="24"/>
                <w:highlight w:val="none"/>
                <w:lang w:val="en-US" w:eastAsia="zh-CN"/>
              </w:rPr>
            </w:pPr>
            <w:r>
              <w:rPr>
                <w:rFonts w:ascii="Times New Roman" w:hAnsi="Times New Roman"/>
                <w:color w:val="auto"/>
                <w:sz w:val="24"/>
                <w:highlight w:val="none"/>
              </w:rPr>
              <w:drawing>
                <wp:inline distT="0" distB="0" distL="114300" distR="114300">
                  <wp:extent cx="152400" cy="175260"/>
                  <wp:effectExtent l="0" t="0" r="0" b="15875"/>
                  <wp:docPr id="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2"/>
                          <pic:cNvPicPr>
                            <a:picLocks noChangeAspect="1"/>
                          </pic:cNvPicPr>
                        </pic:nvPicPr>
                        <pic:blipFill>
                          <a:blip r:embed="rId22"/>
                          <a:stretch>
                            <a:fillRect/>
                          </a:stretch>
                        </pic:blipFill>
                        <pic:spPr>
                          <a:xfrm>
                            <a:off x="0" y="0"/>
                            <a:ext cx="152400" cy="175260"/>
                          </a:xfrm>
                          <a:prstGeom prst="rect">
                            <a:avLst/>
                          </a:prstGeom>
                          <a:noFill/>
                          <a:ln>
                            <a:noFill/>
                          </a:ln>
                        </pic:spPr>
                      </pic:pic>
                    </a:graphicData>
                  </a:graphic>
                </wp:inline>
              </w:drawing>
            </w:r>
            <w:r>
              <w:rPr>
                <w:rFonts w:ascii="Times New Roman" w:hAnsi="Times New Roman"/>
                <w:color w:val="auto"/>
                <w:sz w:val="24"/>
                <w:highlight w:val="none"/>
              </w:rPr>
              <w:t>——车辆速度（20km/h）；</w:t>
            </w:r>
          </w:p>
          <w:p w14:paraId="108DD56B">
            <w:pPr>
              <w:keepNext w:val="0"/>
              <w:keepLines w:val="0"/>
              <w:pageBreakBefore w:val="0"/>
              <w:widowControl w:val="0"/>
              <w:kinsoku/>
              <w:wordWrap/>
              <w:overflowPunct/>
              <w:topLinePunct w:val="0"/>
              <w:autoSpaceDN/>
              <w:bidi w:val="0"/>
              <w:adjustRightInd/>
              <w:snapToGrid w:val="0"/>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ascii="Times New Roman" w:hAnsi="Times New Roman"/>
                <w:color w:val="auto"/>
                <w:sz w:val="24"/>
                <w:highlight w:val="none"/>
              </w:rPr>
              <w:drawing>
                <wp:inline distT="0" distB="0" distL="114300" distR="114300">
                  <wp:extent cx="205740" cy="167640"/>
                  <wp:effectExtent l="0" t="0" r="0" b="2540"/>
                  <wp:docPr id="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3"/>
                          <pic:cNvPicPr>
                            <a:picLocks noChangeAspect="1"/>
                          </pic:cNvPicPr>
                        </pic:nvPicPr>
                        <pic:blipFill>
                          <a:blip r:embed="rId23"/>
                          <a:stretch>
                            <a:fillRect/>
                          </a:stretch>
                        </pic:blipFill>
                        <pic:spPr>
                          <a:xfrm>
                            <a:off x="0" y="0"/>
                            <a:ext cx="205740" cy="167640"/>
                          </a:xfrm>
                          <a:prstGeom prst="rect">
                            <a:avLst/>
                          </a:prstGeom>
                          <a:noFill/>
                          <a:ln>
                            <a:noFill/>
                          </a:ln>
                        </pic:spPr>
                      </pic:pic>
                    </a:graphicData>
                  </a:graphic>
                </wp:inline>
              </w:drawing>
            </w:r>
            <w:r>
              <w:rPr>
                <w:rFonts w:ascii="Times New Roman" w:hAnsi="Times New Roman"/>
                <w:color w:val="auto"/>
                <w:sz w:val="24"/>
                <w:highlight w:val="none"/>
              </w:rPr>
              <w:t>——车辆载重（</w:t>
            </w:r>
            <w:r>
              <w:rPr>
                <w:rFonts w:hint="eastAsia" w:ascii="Times New Roman" w:hAnsi="Times New Roman"/>
                <w:color w:val="auto"/>
                <w:sz w:val="24"/>
                <w:highlight w:val="none"/>
                <w:lang w:val="en-US" w:eastAsia="zh-CN"/>
              </w:rPr>
              <w:t>30</w:t>
            </w:r>
            <w:r>
              <w:rPr>
                <w:rFonts w:ascii="Times New Roman" w:hAnsi="Times New Roman"/>
                <w:color w:val="auto"/>
                <w:sz w:val="24"/>
                <w:highlight w:val="none"/>
              </w:rPr>
              <w:t>t/辆）；</w:t>
            </w:r>
          </w:p>
          <w:p w14:paraId="49C885BA">
            <w:pPr>
              <w:keepNext w:val="0"/>
              <w:keepLines w:val="0"/>
              <w:pageBreakBefore w:val="0"/>
              <w:widowControl w:val="0"/>
              <w:kinsoku/>
              <w:wordWrap/>
              <w:overflowPunct/>
              <w:topLinePunct w:val="0"/>
              <w:autoSpaceDN/>
              <w:bidi w:val="0"/>
              <w:adjustRightInd/>
              <w:snapToGrid w:val="0"/>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ascii="Times New Roman" w:hAnsi="Times New Roman"/>
                <w:color w:val="auto"/>
                <w:sz w:val="24"/>
                <w:highlight w:val="none"/>
              </w:rPr>
              <w:drawing>
                <wp:inline distT="0" distB="0" distL="114300" distR="114300">
                  <wp:extent cx="152400" cy="167640"/>
                  <wp:effectExtent l="0" t="0" r="0" b="2540"/>
                  <wp:docPr id="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pic:cNvPicPr>
                            <a:picLocks noChangeAspect="1"/>
                          </pic:cNvPicPr>
                        </pic:nvPicPr>
                        <pic:blipFill>
                          <a:blip r:embed="rId24"/>
                          <a:stretch>
                            <a:fillRect/>
                          </a:stretch>
                        </pic:blipFill>
                        <pic:spPr>
                          <a:xfrm>
                            <a:off x="0" y="0"/>
                            <a:ext cx="152400" cy="167640"/>
                          </a:xfrm>
                          <a:prstGeom prst="rect">
                            <a:avLst/>
                          </a:prstGeom>
                          <a:noFill/>
                          <a:ln>
                            <a:noFill/>
                          </a:ln>
                        </pic:spPr>
                      </pic:pic>
                    </a:graphicData>
                  </a:graphic>
                </wp:inline>
              </w:drawing>
            </w:r>
            <w:r>
              <w:rPr>
                <w:rFonts w:ascii="Times New Roman" w:hAnsi="Times New Roman"/>
                <w:color w:val="auto"/>
                <w:sz w:val="24"/>
                <w:highlight w:val="none"/>
              </w:rPr>
              <w:t>——路面灰尘覆盖量（0.</w:t>
            </w:r>
            <w:r>
              <w:rPr>
                <w:rFonts w:hint="eastAsia" w:ascii="Times New Roman" w:hAnsi="Times New Roman"/>
                <w:color w:val="auto"/>
                <w:sz w:val="24"/>
                <w:highlight w:val="none"/>
              </w:rPr>
              <w:t>2</w:t>
            </w:r>
            <w:r>
              <w:rPr>
                <w:rFonts w:ascii="Times New Roman" w:hAnsi="Times New Roman"/>
                <w:color w:val="auto"/>
                <w:sz w:val="24"/>
                <w:highlight w:val="none"/>
              </w:rPr>
              <w:t>kg/m</w:t>
            </w:r>
            <w:r>
              <w:rPr>
                <w:rFonts w:ascii="Times New Roman" w:hAnsi="Times New Roman"/>
                <w:color w:val="auto"/>
                <w:sz w:val="24"/>
                <w:highlight w:val="none"/>
                <w:vertAlign w:val="superscript"/>
              </w:rPr>
              <w:t>2</w:t>
            </w:r>
            <w:r>
              <w:rPr>
                <w:rFonts w:ascii="Times New Roman" w:hAnsi="Times New Roman"/>
                <w:color w:val="auto"/>
                <w:sz w:val="24"/>
                <w:highlight w:val="none"/>
              </w:rPr>
              <w:t>）；</w:t>
            </w:r>
          </w:p>
          <w:p w14:paraId="6013AFD1">
            <w:pPr>
              <w:keepNext w:val="0"/>
              <w:keepLines w:val="0"/>
              <w:pageBreakBefore w:val="0"/>
              <w:widowControl w:val="0"/>
              <w:kinsoku/>
              <w:wordWrap/>
              <w:overflowPunct/>
              <w:topLinePunct w:val="0"/>
              <w:autoSpaceDN/>
              <w:bidi w:val="0"/>
              <w:adjustRightInd/>
              <w:snapToGrid w:val="0"/>
              <w:spacing w:line="360" w:lineRule="auto"/>
              <w:ind w:firstLine="480" w:firstLineChars="200"/>
              <w:textAlignment w:val="auto"/>
              <w:rPr>
                <w:rFonts w:ascii="Times New Roman" w:hAnsi="Times New Roman"/>
                <w:color w:val="auto"/>
                <w:sz w:val="24"/>
                <w:highlight w:val="none"/>
              </w:rPr>
            </w:pPr>
            <w:r>
              <w:rPr>
                <w:rFonts w:ascii="Times New Roman" w:hAnsi="Times New Roman"/>
                <w:color w:val="auto"/>
                <w:sz w:val="24"/>
                <w:highlight w:val="none"/>
              </w:rPr>
              <w:drawing>
                <wp:inline distT="0" distB="0" distL="114300" distR="114300">
                  <wp:extent cx="137160" cy="167640"/>
                  <wp:effectExtent l="0" t="0" r="15240" b="254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5"/>
                          <a:stretch>
                            <a:fillRect/>
                          </a:stretch>
                        </pic:blipFill>
                        <pic:spPr>
                          <a:xfrm>
                            <a:off x="0" y="0"/>
                            <a:ext cx="137160" cy="167640"/>
                          </a:xfrm>
                          <a:prstGeom prst="rect">
                            <a:avLst/>
                          </a:prstGeom>
                          <a:noFill/>
                          <a:ln>
                            <a:noFill/>
                          </a:ln>
                        </pic:spPr>
                      </pic:pic>
                    </a:graphicData>
                  </a:graphic>
                </wp:inline>
              </w:drawing>
            </w:r>
            <w:r>
              <w:rPr>
                <w:rFonts w:ascii="Times New Roman" w:hAnsi="Times New Roman"/>
                <w:color w:val="auto"/>
                <w:sz w:val="24"/>
                <w:highlight w:val="none"/>
              </w:rPr>
              <w:t>——运距（0.</w:t>
            </w:r>
            <w:r>
              <w:rPr>
                <w:rFonts w:hint="eastAsia" w:ascii="Times New Roman" w:hAnsi="Times New Roman"/>
                <w:color w:val="auto"/>
                <w:sz w:val="24"/>
                <w:highlight w:val="none"/>
              </w:rPr>
              <w:t>1</w:t>
            </w:r>
            <w:r>
              <w:rPr>
                <w:rFonts w:ascii="Times New Roman" w:hAnsi="Times New Roman"/>
                <w:color w:val="auto"/>
                <w:sz w:val="24"/>
                <w:highlight w:val="none"/>
              </w:rPr>
              <w:t>km）；</w:t>
            </w:r>
          </w:p>
          <w:p w14:paraId="7F85407A">
            <w:pPr>
              <w:keepNext w:val="0"/>
              <w:keepLines w:val="0"/>
              <w:pageBreakBefore w:val="0"/>
              <w:widowControl w:val="0"/>
              <w:kinsoku/>
              <w:wordWrap/>
              <w:overflowPunct/>
              <w:topLinePunct w:val="0"/>
              <w:autoSpaceDN/>
              <w:bidi w:val="0"/>
              <w:adjustRightInd/>
              <w:snapToGrid w:val="0"/>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ascii="Times New Roman" w:hAnsi="Times New Roman"/>
                <w:color w:val="auto"/>
                <w:sz w:val="24"/>
                <w:highlight w:val="none"/>
              </w:rPr>
              <w:t>Q——运输量（</w:t>
            </w:r>
            <w:r>
              <w:rPr>
                <w:rFonts w:hint="eastAsia" w:ascii="Times New Roman" w:hAnsi="Times New Roman"/>
                <w:color w:val="auto"/>
                <w:sz w:val="24"/>
                <w:highlight w:val="none"/>
                <w:lang w:val="en-US" w:eastAsia="zh-CN"/>
              </w:rPr>
              <w:t>约50.5</w:t>
            </w:r>
            <w:r>
              <w:rPr>
                <w:rFonts w:hint="eastAsia" w:ascii="Times New Roman" w:hAnsi="Times New Roman"/>
                <w:color w:val="auto"/>
                <w:sz w:val="24"/>
                <w:highlight w:val="none"/>
              </w:rPr>
              <w:t>万</w:t>
            </w:r>
            <w:r>
              <w:rPr>
                <w:rFonts w:ascii="Times New Roman" w:hAnsi="Times New Roman"/>
                <w:color w:val="auto"/>
                <w:sz w:val="24"/>
                <w:highlight w:val="none"/>
              </w:rPr>
              <w:t>t/a）。</w:t>
            </w:r>
          </w:p>
          <w:p w14:paraId="5A5A877F">
            <w:pPr>
              <w:pStyle w:val="19"/>
              <w:keepNext w:val="0"/>
              <w:keepLines w:val="0"/>
              <w:pageBreakBefore w:val="0"/>
              <w:widowControl w:val="0"/>
              <w:kinsoku/>
              <w:wordWrap/>
              <w:overflowPunct/>
              <w:topLinePunct w:val="0"/>
              <w:autoSpaceDN/>
              <w:bidi w:val="0"/>
              <w:adjustRightInd/>
              <w:snapToGrid/>
              <w:spacing w:before="0" w:beforeLines="0" w:after="0" w:afterLines="0" w:line="36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highlight w:val="none"/>
              </w:rPr>
              <w:t>经计算，本</w:t>
            </w:r>
            <w:r>
              <w:rPr>
                <w:rFonts w:hint="eastAsia" w:ascii="Times New Roman" w:hAnsi="Times New Roman"/>
                <w:color w:val="auto"/>
                <w:sz w:val="24"/>
                <w:highlight w:val="none"/>
                <w:lang w:val="en-US" w:eastAsia="zh-CN"/>
              </w:rPr>
              <w:t>工序</w:t>
            </w:r>
            <w:r>
              <w:rPr>
                <w:rFonts w:hint="eastAsia" w:ascii="Times New Roman" w:hAnsi="Times New Roman"/>
                <w:color w:val="auto"/>
                <w:sz w:val="24"/>
                <w:highlight w:val="none"/>
              </w:rPr>
              <w:t>运输道路粉尘产生量共计</w:t>
            </w:r>
            <w:r>
              <w:rPr>
                <w:rFonts w:hint="eastAsia" w:ascii="Times New Roman" w:hAnsi="Times New Roman"/>
                <w:color w:val="auto"/>
                <w:sz w:val="24"/>
                <w:highlight w:val="none"/>
                <w:lang w:val="en-US" w:eastAsia="zh-CN"/>
              </w:rPr>
              <w:t>1.512</w:t>
            </w:r>
            <w:r>
              <w:rPr>
                <w:rFonts w:hint="eastAsia" w:ascii="Times New Roman" w:hAnsi="Times New Roman"/>
                <w:color w:val="auto"/>
                <w:sz w:val="24"/>
                <w:highlight w:val="none"/>
              </w:rPr>
              <w:t>t/a。环评要求项目区内道路硬化，在易起尘路段应减速慢行，</w:t>
            </w:r>
            <w:r>
              <w:rPr>
                <w:rFonts w:hint="eastAsia" w:ascii="Times New Roman" w:hAnsi="Times New Roman"/>
                <w:color w:val="auto"/>
                <w:sz w:val="24"/>
                <w:highlight w:val="none"/>
                <w:lang w:val="en-US" w:eastAsia="zh-CN"/>
              </w:rPr>
              <w:t>运输过程中加盖篷布，限制超载，</w:t>
            </w:r>
            <w:r>
              <w:rPr>
                <w:rFonts w:hint="eastAsia" w:ascii="Times New Roman" w:hAnsi="Times New Roman"/>
                <w:color w:val="auto"/>
                <w:sz w:val="24"/>
                <w:highlight w:val="none"/>
              </w:rPr>
              <w:t>杜绝抛洒；在本项目区内设置一洗车平台，对进出车辆进行清洗，并配置洒水车对</w:t>
            </w:r>
            <w:r>
              <w:rPr>
                <w:rFonts w:hint="eastAsia" w:ascii="Times New Roman" w:hAnsi="Times New Roman"/>
                <w:color w:val="auto"/>
                <w:sz w:val="24"/>
                <w:highlight w:val="none"/>
                <w:lang w:val="en-US" w:eastAsia="zh-CN"/>
              </w:rPr>
              <w:t>厂内</w:t>
            </w:r>
            <w:r>
              <w:rPr>
                <w:rFonts w:hint="eastAsia" w:ascii="Times New Roman" w:hAnsi="Times New Roman"/>
                <w:color w:val="auto"/>
                <w:sz w:val="24"/>
                <w:highlight w:val="none"/>
              </w:rPr>
              <w:t>运输路段定期洒水，保持路面湿润，从而减少运输扬尘的产生。采取以上</w:t>
            </w:r>
            <w:r>
              <w:rPr>
                <w:rFonts w:hint="eastAsia" w:ascii="Times New Roman" w:hAnsi="Times New Roman"/>
                <w:color w:val="auto"/>
                <w:sz w:val="24"/>
                <w:highlight w:val="none"/>
                <w:lang w:val="en-US" w:eastAsia="zh-CN"/>
              </w:rPr>
              <w:t>防治</w:t>
            </w:r>
            <w:r>
              <w:rPr>
                <w:rFonts w:hint="eastAsia" w:ascii="Times New Roman" w:hAnsi="Times New Roman"/>
                <w:color w:val="auto"/>
                <w:sz w:val="24"/>
                <w:highlight w:val="none"/>
              </w:rPr>
              <w:t>措施后，运输扬尘产生量可减少90%，故本项目运输粉尘的排放量为</w:t>
            </w:r>
            <w:r>
              <w:rPr>
                <w:rFonts w:hint="eastAsia" w:ascii="Times New Roman" w:hAnsi="Times New Roman"/>
                <w:color w:val="auto"/>
                <w:sz w:val="24"/>
                <w:highlight w:val="none"/>
                <w:lang w:val="en-US" w:eastAsia="zh-CN"/>
              </w:rPr>
              <w:t>0.151</w:t>
            </w:r>
            <w:r>
              <w:rPr>
                <w:rFonts w:hint="eastAsia" w:ascii="Times New Roman" w:hAnsi="Times New Roman"/>
                <w:color w:val="auto"/>
                <w:sz w:val="24"/>
                <w:highlight w:val="none"/>
              </w:rPr>
              <w:t>t/a。</w:t>
            </w:r>
          </w:p>
          <w:p w14:paraId="01D4B789">
            <w:pPr>
              <w:keepNext w:val="0"/>
              <w:keepLines w:val="0"/>
              <w:pageBreakBefore w:val="0"/>
              <w:widowControl w:val="0"/>
              <w:kinsoku/>
              <w:wordWrap/>
              <w:overflowPunct/>
              <w:topLinePunct w:val="0"/>
              <w:autoSpaceDN/>
              <w:bidi w:val="0"/>
              <w:adjustRightInd/>
              <w:snapToGrid w:val="0"/>
              <w:spacing w:line="360" w:lineRule="auto"/>
              <w:ind w:firstLine="480" w:firstLineChars="200"/>
              <w:textAlignment w:val="auto"/>
              <w:rPr>
                <w:rFonts w:hint="eastAsia" w:ascii="Times New Roman" w:hAnsi="Times New Roman"/>
                <w:color w:val="auto"/>
                <w:sz w:val="24"/>
                <w:highlight w:val="none"/>
                <w:lang w:val="en-US" w:eastAsia="zh-CN"/>
              </w:rPr>
            </w:pPr>
            <w:r>
              <w:rPr>
                <w:rFonts w:hint="eastAsia" w:ascii="Times New Roman" w:hAnsi="Times New Roman"/>
                <w:color w:val="auto"/>
                <w:sz w:val="24"/>
                <w:szCs w:val="24"/>
                <w:highlight w:val="none"/>
                <w:lang w:val="en-US" w:eastAsia="zh-CN"/>
              </w:rPr>
              <w:t>G2：车间内原料装卸</w:t>
            </w:r>
          </w:p>
          <w:p w14:paraId="75918F36">
            <w:pPr>
              <w:pStyle w:val="19"/>
              <w:keepNext w:val="0"/>
              <w:keepLines w:val="0"/>
              <w:pageBreakBefore w:val="0"/>
              <w:widowControl w:val="0"/>
              <w:kinsoku/>
              <w:wordWrap/>
              <w:overflowPunct/>
              <w:topLinePunct w:val="0"/>
              <w:autoSpaceDN/>
              <w:bidi w:val="0"/>
              <w:adjustRightInd/>
              <w:snapToGrid/>
              <w:spacing w:before="0" w:beforeLines="0" w:after="0" w:afterLines="0" w:line="360" w:lineRule="auto"/>
              <w:ind w:firstLine="480" w:firstLineChars="200"/>
              <w:textAlignment w:val="auto"/>
              <w:rPr>
                <w:rFonts w:ascii="Times New Roman" w:hAnsi="Times New Roman"/>
                <w:color w:val="auto"/>
                <w:sz w:val="24"/>
                <w:highlight w:val="none"/>
              </w:rPr>
            </w:pPr>
            <w:r>
              <w:rPr>
                <w:rFonts w:hint="eastAsia" w:ascii="Times New Roman" w:hAnsi="Times New Roman"/>
                <w:color w:val="auto"/>
                <w:sz w:val="24"/>
                <w:highlight w:val="none"/>
                <w:lang w:val="en-US" w:eastAsia="zh-CN"/>
              </w:rPr>
              <w:t>原料装卸时</w:t>
            </w:r>
            <w:r>
              <w:rPr>
                <w:rFonts w:hint="eastAsia" w:ascii="Times New Roman" w:hAnsi="Times New Roman"/>
                <w:color w:val="auto"/>
                <w:sz w:val="24"/>
                <w:highlight w:val="none"/>
              </w:rPr>
              <w:t>产生的粉尘量，依据刘敬严、张良璧等人译著的《逸散性工业粉尘控制技术》中“物料的装卸运输”部分，粒料卸料过程粉尘产生系数为0.01kg/t，本</w:t>
            </w:r>
            <w:r>
              <w:rPr>
                <w:rFonts w:hint="eastAsia" w:ascii="Times New Roman" w:hAnsi="Times New Roman"/>
                <w:color w:val="auto"/>
                <w:sz w:val="24"/>
                <w:highlight w:val="none"/>
                <w:lang w:val="en-US" w:eastAsia="zh-CN"/>
              </w:rPr>
              <w:t>工序外购石子的</w:t>
            </w:r>
            <w:r>
              <w:rPr>
                <w:rFonts w:hint="eastAsia" w:ascii="Times New Roman" w:hAnsi="Times New Roman"/>
                <w:color w:val="auto"/>
                <w:sz w:val="24"/>
                <w:highlight w:val="none"/>
              </w:rPr>
              <w:t>年用量共计</w:t>
            </w:r>
            <w:r>
              <w:rPr>
                <w:rFonts w:hint="eastAsia" w:ascii="Times New Roman" w:hAnsi="Times New Roman"/>
                <w:color w:val="auto"/>
                <w:sz w:val="24"/>
                <w:highlight w:val="none"/>
                <w:lang w:val="en-US" w:eastAsia="zh-CN"/>
              </w:rPr>
              <w:t>50.5005</w:t>
            </w:r>
            <w:r>
              <w:rPr>
                <w:rFonts w:hint="eastAsia" w:ascii="Times New Roman" w:hAnsi="Times New Roman"/>
                <w:color w:val="auto"/>
                <w:sz w:val="24"/>
                <w:highlight w:val="none"/>
              </w:rPr>
              <w:t>万吨，则计算得</w:t>
            </w:r>
            <w:r>
              <w:rPr>
                <w:rFonts w:hint="eastAsia" w:ascii="Times New Roman" w:hAnsi="Times New Roman"/>
                <w:color w:val="auto"/>
                <w:sz w:val="24"/>
                <w:highlight w:val="none"/>
                <w:lang w:val="en-US" w:eastAsia="zh-CN"/>
              </w:rPr>
              <w:t>原料装卸</w:t>
            </w:r>
            <w:r>
              <w:rPr>
                <w:rFonts w:hint="eastAsia" w:ascii="Times New Roman" w:hAnsi="Times New Roman"/>
                <w:color w:val="auto"/>
                <w:sz w:val="24"/>
                <w:highlight w:val="none"/>
              </w:rPr>
              <w:t>粉尘产生量为</w:t>
            </w:r>
            <w:r>
              <w:rPr>
                <w:rFonts w:hint="eastAsia" w:ascii="Times New Roman" w:hAnsi="Times New Roman"/>
                <w:color w:val="auto"/>
                <w:sz w:val="24"/>
                <w:highlight w:val="none"/>
                <w:lang w:val="en-US" w:eastAsia="zh-CN"/>
              </w:rPr>
              <w:t>5.05</w:t>
            </w:r>
            <w:r>
              <w:rPr>
                <w:rFonts w:hint="eastAsia" w:ascii="Times New Roman" w:hAnsi="Times New Roman"/>
                <w:color w:val="auto"/>
                <w:sz w:val="24"/>
                <w:highlight w:val="none"/>
              </w:rPr>
              <w:t>t/a。</w:t>
            </w:r>
          </w:p>
          <w:p w14:paraId="5D265FC5">
            <w:pPr>
              <w:pStyle w:val="19"/>
              <w:keepNext w:val="0"/>
              <w:keepLines w:val="0"/>
              <w:pageBreakBefore w:val="0"/>
              <w:widowControl w:val="0"/>
              <w:kinsoku/>
              <w:wordWrap/>
              <w:overflowPunct/>
              <w:topLinePunct w:val="0"/>
              <w:autoSpaceDN/>
              <w:bidi w:val="0"/>
              <w:adjustRightInd/>
              <w:snapToGrid/>
              <w:spacing w:before="0" w:beforeLines="0" w:after="0" w:afterLines="0" w:line="360" w:lineRule="auto"/>
              <w:ind w:firstLine="480" w:firstLineChars="200"/>
              <w:textAlignment w:val="auto"/>
              <w:rPr>
                <w:rFonts w:ascii="Times New Roman" w:hAnsi="Times New Roman"/>
                <w:color w:val="auto"/>
                <w:sz w:val="24"/>
                <w:highlight w:val="none"/>
              </w:rPr>
            </w:pPr>
            <w:r>
              <w:rPr>
                <w:rFonts w:hint="eastAsia" w:ascii="Times New Roman" w:hAnsi="Times New Roman"/>
                <w:color w:val="auto"/>
                <w:sz w:val="24"/>
                <w:highlight w:val="none"/>
                <w:lang w:val="en-US" w:eastAsia="zh-CN"/>
              </w:rPr>
              <w:t>根据《长治市大气污染防治工作领导组办公室文件〈关于印发长治市工业企业无组织排放治理实施方案的通知〉》（长气防办〔2019〕9号），</w:t>
            </w:r>
            <w:r>
              <w:rPr>
                <w:rFonts w:ascii="Times New Roman" w:hAnsi="Times New Roman"/>
                <w:color w:val="auto"/>
                <w:sz w:val="24"/>
                <w:highlight w:val="none"/>
              </w:rPr>
              <w:t>环评对企业</w:t>
            </w:r>
            <w:r>
              <w:rPr>
                <w:rFonts w:hint="eastAsia" w:ascii="Times New Roman" w:hAnsi="Times New Roman"/>
                <w:color w:val="auto"/>
                <w:sz w:val="24"/>
                <w:highlight w:val="none"/>
                <w:lang w:val="en-US" w:eastAsia="zh-CN"/>
              </w:rPr>
              <w:t>颗粒物无组织排放</w:t>
            </w:r>
            <w:r>
              <w:rPr>
                <w:rFonts w:ascii="Times New Roman" w:hAnsi="Times New Roman"/>
                <w:color w:val="auto"/>
                <w:sz w:val="24"/>
                <w:highlight w:val="none"/>
              </w:rPr>
              <w:t>提出以下</w:t>
            </w:r>
            <w:r>
              <w:rPr>
                <w:rFonts w:hint="eastAsia" w:ascii="Times New Roman" w:hAnsi="Times New Roman"/>
                <w:color w:val="auto"/>
                <w:sz w:val="24"/>
                <w:highlight w:val="none"/>
                <w:lang w:val="en-US" w:eastAsia="zh-CN"/>
              </w:rPr>
              <w:t>要求</w:t>
            </w:r>
            <w:r>
              <w:rPr>
                <w:rFonts w:ascii="Times New Roman" w:hAnsi="Times New Roman"/>
                <w:color w:val="auto"/>
                <w:sz w:val="24"/>
                <w:highlight w:val="none"/>
              </w:rPr>
              <w:t>：</w:t>
            </w:r>
          </w:p>
          <w:p w14:paraId="173D218A">
            <w:pPr>
              <w:pStyle w:val="19"/>
              <w:keepNext w:val="0"/>
              <w:keepLines w:val="0"/>
              <w:pageBreakBefore w:val="0"/>
              <w:widowControl w:val="0"/>
              <w:kinsoku/>
              <w:wordWrap/>
              <w:overflowPunct/>
              <w:topLinePunct w:val="0"/>
              <w:autoSpaceDN/>
              <w:bidi w:val="0"/>
              <w:adjustRightInd/>
              <w:snapToGrid/>
              <w:spacing w:before="0" w:beforeLines="0" w:after="0" w:afterLines="0" w:line="360" w:lineRule="auto"/>
              <w:ind w:firstLine="480" w:firstLineChars="200"/>
              <w:textAlignment w:val="auto"/>
              <w:rPr>
                <w:rFonts w:hint="default" w:ascii="Times New Roman" w:hAnsi="Times New Roman" w:eastAsia="宋体"/>
                <w:color w:val="auto"/>
                <w:sz w:val="24"/>
                <w:highlight w:val="none"/>
                <w:lang w:val="en-US" w:eastAsia="zh-CN"/>
              </w:rPr>
            </w:pPr>
            <w:r>
              <w:rPr>
                <w:rFonts w:hint="eastAsia" w:ascii="Times New Roman" w:hAnsi="Times New Roman"/>
                <w:color w:val="auto"/>
                <w:sz w:val="24"/>
                <w:highlight w:val="none"/>
                <w:lang w:val="en-US" w:eastAsia="zh-CN"/>
              </w:rPr>
              <w:t>①原料必须堆存于全封闭场所内，建筑顶部及四周封闭材料不得存在锈蚀损坏及脱落现象，地面全部硬化并在库顶加装雾化喷淋设施，做到库内抑尘；</w:t>
            </w:r>
          </w:p>
          <w:p w14:paraId="7DC3B708">
            <w:pPr>
              <w:pStyle w:val="19"/>
              <w:keepNext w:val="0"/>
              <w:keepLines w:val="0"/>
              <w:pageBreakBefore w:val="0"/>
              <w:widowControl w:val="0"/>
              <w:kinsoku/>
              <w:wordWrap/>
              <w:overflowPunct/>
              <w:topLinePunct w:val="0"/>
              <w:autoSpaceDN/>
              <w:bidi w:val="0"/>
              <w:adjustRightInd/>
              <w:snapToGrid/>
              <w:spacing w:before="0" w:beforeLines="0" w:after="0" w:afterLines="0" w:line="360" w:lineRule="auto"/>
              <w:ind w:firstLine="480" w:firstLineChars="200"/>
              <w:textAlignment w:val="auto"/>
              <w:rPr>
                <w:rFonts w:hint="default" w:ascii="Times New Roman" w:hAnsi="Times New Roman" w:eastAsia="宋体"/>
                <w:color w:val="auto"/>
                <w:sz w:val="24"/>
                <w:highlight w:val="none"/>
                <w:lang w:val="en-US" w:eastAsia="zh-CN"/>
              </w:rPr>
            </w:pPr>
            <w:r>
              <w:rPr>
                <w:rFonts w:hint="eastAsia" w:ascii="Times New Roman" w:hAnsi="Times New Roman"/>
                <w:color w:val="auto"/>
                <w:sz w:val="24"/>
                <w:highlight w:val="none"/>
                <w:lang w:val="en-US" w:eastAsia="zh-CN"/>
              </w:rPr>
              <w:t>②原料库车辆出入口加装密闭门，密闭门优先选择自动感应门或自动升降帘，有工艺特殊要求时采用手动，保证无车辆出入时处于关闭状态；</w:t>
            </w:r>
          </w:p>
          <w:p w14:paraId="0C8018B0">
            <w:pPr>
              <w:pStyle w:val="19"/>
              <w:keepNext w:val="0"/>
              <w:keepLines w:val="0"/>
              <w:pageBreakBefore w:val="0"/>
              <w:widowControl w:val="0"/>
              <w:kinsoku/>
              <w:wordWrap/>
              <w:overflowPunct/>
              <w:topLinePunct w:val="0"/>
              <w:autoSpaceDN/>
              <w:bidi w:val="0"/>
              <w:adjustRightInd/>
              <w:snapToGrid/>
              <w:spacing w:before="0" w:beforeLines="0" w:after="0" w:afterLines="0" w:line="360" w:lineRule="auto"/>
              <w:ind w:firstLine="480" w:firstLineChars="200"/>
              <w:textAlignment w:val="auto"/>
              <w:rPr>
                <w:rFonts w:hint="default" w:ascii="Times New Roman" w:hAnsi="Times New Roman"/>
                <w:color w:val="auto"/>
                <w:sz w:val="24"/>
                <w:highlight w:val="none"/>
                <w:lang w:val="en-US" w:eastAsia="zh-CN"/>
              </w:rPr>
            </w:pPr>
            <w:r>
              <w:rPr>
                <w:rFonts w:hint="eastAsia" w:ascii="Times New Roman" w:hAnsi="Times New Roman"/>
                <w:color w:val="auto"/>
                <w:sz w:val="24"/>
                <w:highlight w:val="none"/>
                <w:lang w:val="en-US" w:eastAsia="zh-CN"/>
              </w:rPr>
              <w:t>③所用物料装卸必须固定装卸位，严禁随意装卸，生产原料在密闭的料仓内卸车，卸车时开启雾炮喷淋除尘；</w:t>
            </w:r>
          </w:p>
          <w:p w14:paraId="522551F3">
            <w:pPr>
              <w:pStyle w:val="19"/>
              <w:keepNext w:val="0"/>
              <w:keepLines w:val="0"/>
              <w:pageBreakBefore w:val="0"/>
              <w:widowControl w:val="0"/>
              <w:kinsoku/>
              <w:wordWrap/>
              <w:overflowPunct/>
              <w:topLinePunct w:val="0"/>
              <w:autoSpaceDN/>
              <w:bidi w:val="0"/>
              <w:adjustRightInd/>
              <w:snapToGrid/>
              <w:spacing w:before="0" w:beforeLines="0" w:after="0" w:afterLines="0" w:line="360" w:lineRule="auto"/>
              <w:ind w:firstLine="480" w:firstLineChars="200"/>
              <w:textAlignment w:val="auto"/>
              <w:rPr>
                <w:rFonts w:hint="eastAsia" w:ascii="Times New Roman" w:hAnsi="Times New Roman"/>
                <w:color w:val="auto"/>
                <w:sz w:val="24"/>
                <w:highlight w:val="none"/>
              </w:rPr>
            </w:pPr>
            <w:r>
              <w:rPr>
                <w:rFonts w:hint="eastAsia" w:ascii="Times New Roman" w:hAnsi="Times New Roman"/>
                <w:color w:val="auto"/>
                <w:sz w:val="24"/>
                <w:highlight w:val="none"/>
                <w:lang w:val="en-US" w:eastAsia="zh-CN"/>
              </w:rPr>
              <w:t>④库内物料运输多采用全封闭皮带走廊，物料转载、转运跌落点设置吸尘收尘装置，并要降低物料跌落高度。</w:t>
            </w:r>
          </w:p>
          <w:p w14:paraId="23B892AB">
            <w:pPr>
              <w:pStyle w:val="19"/>
              <w:keepNext w:val="0"/>
              <w:keepLines w:val="0"/>
              <w:pageBreakBefore w:val="0"/>
              <w:widowControl w:val="0"/>
              <w:kinsoku/>
              <w:wordWrap/>
              <w:overflowPunct/>
              <w:topLinePunct w:val="0"/>
              <w:autoSpaceDN/>
              <w:bidi w:val="0"/>
              <w:adjustRightInd/>
              <w:snapToGrid/>
              <w:spacing w:before="0" w:beforeLines="0" w:after="0" w:afterLines="0" w:line="36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highlight w:val="none"/>
              </w:rPr>
              <w:t>通过</w:t>
            </w:r>
            <w:r>
              <w:rPr>
                <w:rFonts w:ascii="Times New Roman" w:hAnsi="Times New Roman"/>
                <w:color w:val="auto"/>
                <w:sz w:val="24"/>
                <w:highlight w:val="none"/>
              </w:rPr>
              <w:t>采取以上措施</w:t>
            </w:r>
            <w:r>
              <w:rPr>
                <w:rFonts w:hint="eastAsia" w:ascii="Times New Roman" w:hAnsi="Times New Roman"/>
                <w:color w:val="auto"/>
                <w:sz w:val="24"/>
                <w:highlight w:val="none"/>
              </w:rPr>
              <w:t>，卸料粉尘产生量可</w:t>
            </w:r>
            <w:r>
              <w:rPr>
                <w:rFonts w:ascii="Times New Roman" w:hAnsi="Times New Roman"/>
                <w:color w:val="auto"/>
                <w:sz w:val="24"/>
                <w:highlight w:val="none"/>
              </w:rPr>
              <w:t>减少</w:t>
            </w:r>
            <w:r>
              <w:rPr>
                <w:rFonts w:hint="eastAsia" w:ascii="Times New Roman" w:hAnsi="Times New Roman"/>
                <w:color w:val="auto"/>
                <w:sz w:val="24"/>
                <w:highlight w:val="none"/>
              </w:rPr>
              <w:t>9</w:t>
            </w:r>
            <w:r>
              <w:rPr>
                <w:rFonts w:hint="eastAsia" w:ascii="Times New Roman" w:hAnsi="Times New Roman"/>
                <w:color w:val="auto"/>
                <w:sz w:val="24"/>
                <w:highlight w:val="none"/>
                <w:lang w:val="en-US" w:eastAsia="zh-CN"/>
              </w:rPr>
              <w:t>0</w:t>
            </w:r>
            <w:r>
              <w:rPr>
                <w:rFonts w:ascii="Times New Roman" w:hAnsi="Times New Roman"/>
                <w:color w:val="auto"/>
                <w:sz w:val="24"/>
                <w:highlight w:val="none"/>
              </w:rPr>
              <w:t>%，则</w:t>
            </w:r>
            <w:r>
              <w:rPr>
                <w:rFonts w:hint="eastAsia" w:ascii="Times New Roman" w:hAnsi="Times New Roman"/>
                <w:color w:val="auto"/>
                <w:sz w:val="24"/>
                <w:highlight w:val="none"/>
              </w:rPr>
              <w:t>卸料粉尘排放量</w:t>
            </w:r>
            <w:r>
              <w:rPr>
                <w:rFonts w:ascii="Times New Roman" w:hAnsi="Times New Roman"/>
                <w:color w:val="auto"/>
                <w:sz w:val="24"/>
                <w:highlight w:val="none"/>
              </w:rPr>
              <w:t>为</w:t>
            </w:r>
            <w:r>
              <w:rPr>
                <w:rFonts w:hint="eastAsia" w:ascii="Times New Roman" w:hAnsi="Times New Roman"/>
                <w:color w:val="auto"/>
                <w:sz w:val="24"/>
                <w:highlight w:val="none"/>
                <w:lang w:val="en-US" w:eastAsia="zh-CN"/>
              </w:rPr>
              <w:t>0.5</w:t>
            </w:r>
            <w:r>
              <w:rPr>
                <w:rFonts w:ascii="Times New Roman" w:hAnsi="Times New Roman"/>
                <w:color w:val="auto"/>
                <w:sz w:val="24"/>
                <w:highlight w:val="none"/>
              </w:rPr>
              <w:t>t/a。</w:t>
            </w:r>
          </w:p>
          <w:p w14:paraId="44571CB5">
            <w:pPr>
              <w:keepNext w:val="0"/>
              <w:keepLines w:val="0"/>
              <w:pageBreakBefore w:val="0"/>
              <w:widowControl w:val="0"/>
              <w:kinsoku/>
              <w:wordWrap/>
              <w:overflowPunct/>
              <w:topLinePunct w:val="0"/>
              <w:autoSpaceDN/>
              <w:bidi w:val="0"/>
              <w:adjustRightInd/>
              <w:snapToGrid w:val="0"/>
              <w:spacing w:line="360" w:lineRule="auto"/>
              <w:ind w:firstLine="480" w:firstLineChars="200"/>
              <w:textAlignment w:val="auto"/>
              <w:rPr>
                <w:rFonts w:hint="default"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G3：上料过程中产生的粉尘</w:t>
            </w:r>
          </w:p>
          <w:p w14:paraId="5D2F0F1A">
            <w:pPr>
              <w:pStyle w:val="19"/>
              <w:keepNext w:val="0"/>
              <w:keepLines w:val="0"/>
              <w:pageBreakBefore w:val="0"/>
              <w:widowControl w:val="0"/>
              <w:kinsoku/>
              <w:wordWrap/>
              <w:overflowPunct/>
              <w:topLinePunct w:val="0"/>
              <w:autoSpaceDN/>
              <w:bidi w:val="0"/>
              <w:adjustRightInd/>
              <w:snapToGrid/>
              <w:spacing w:before="0" w:beforeLines="0" w:after="0" w:afterLines="0" w:line="360" w:lineRule="auto"/>
              <w:ind w:firstLine="480" w:firstLineChars="200"/>
              <w:textAlignment w:val="auto"/>
              <w:rPr>
                <w:rFonts w:hint="default" w:ascii="Times New Roman" w:hAnsi="Times New Roman"/>
                <w:color w:val="auto"/>
                <w:sz w:val="24"/>
                <w:highlight w:val="none"/>
                <w:lang w:val="en-US" w:eastAsia="zh-CN"/>
              </w:rPr>
            </w:pPr>
            <w:r>
              <w:rPr>
                <w:rFonts w:hint="eastAsia" w:ascii="Times New Roman" w:hAnsi="Times New Roman"/>
                <w:color w:val="auto"/>
                <w:sz w:val="24"/>
                <w:highlight w:val="none"/>
                <w:lang w:val="en-US" w:eastAsia="zh-CN"/>
              </w:rPr>
              <w:t>本工序上料过程中会产生颗粒物，</w:t>
            </w:r>
            <w:r>
              <w:rPr>
                <w:rFonts w:hint="eastAsia" w:ascii="Times New Roman" w:hAnsi="Times New Roman" w:eastAsia="宋体" w:cs="Times New Roman"/>
                <w:color w:val="auto"/>
                <w:sz w:val="24"/>
                <w:szCs w:val="24"/>
                <w:highlight w:val="none"/>
                <w:lang w:val="en-US" w:eastAsia="zh-CN"/>
              </w:rPr>
              <w:t>参照《第二次全国污染源普查工业污染源产排污系数手册》“3021水泥制品制造（含 3022 砼结构构件、3029 其他水泥类似制品制造）行业系数表”中“</w:t>
            </w:r>
            <w:r>
              <w:rPr>
                <w:rFonts w:hint="eastAsia" w:ascii="Times New Roman" w:hAnsi="Times New Roman" w:cs="Times New Roman"/>
                <w:color w:val="auto"/>
                <w:sz w:val="24"/>
                <w:szCs w:val="24"/>
                <w:highlight w:val="none"/>
                <w:lang w:val="en-US" w:eastAsia="zh-CN"/>
              </w:rPr>
              <w:t>物料输送储存</w:t>
            </w:r>
            <w:r>
              <w:rPr>
                <w:rFonts w:hint="eastAsia" w:ascii="Times New Roman" w:hAnsi="Times New Roman" w:eastAsia="宋体" w:cs="Times New Roman"/>
                <w:color w:val="auto"/>
                <w:sz w:val="24"/>
                <w:szCs w:val="24"/>
                <w:highlight w:val="none"/>
                <w:lang w:val="en-US" w:eastAsia="zh-CN"/>
              </w:rPr>
              <w:t>”过程中</w:t>
            </w:r>
            <w:r>
              <w:rPr>
                <w:rFonts w:hint="eastAsia" w:ascii="Times New Roman" w:hAnsi="Times New Roman" w:cs="Times New Roman"/>
                <w:color w:val="auto"/>
                <w:sz w:val="24"/>
                <w:szCs w:val="24"/>
                <w:highlight w:val="none"/>
                <w:lang w:val="en-US" w:eastAsia="zh-CN"/>
              </w:rPr>
              <w:t>颗粒物</w:t>
            </w:r>
            <w:r>
              <w:rPr>
                <w:rFonts w:hint="eastAsia" w:ascii="Times New Roman" w:hAnsi="Times New Roman" w:eastAsia="宋体" w:cs="Times New Roman"/>
                <w:color w:val="auto"/>
                <w:sz w:val="24"/>
                <w:szCs w:val="24"/>
                <w:highlight w:val="none"/>
                <w:lang w:val="en-US" w:eastAsia="zh-CN"/>
              </w:rPr>
              <w:t>产污系数为</w:t>
            </w:r>
            <w:r>
              <w:rPr>
                <w:rFonts w:hint="eastAsia" w:ascii="Times New Roman" w:hAnsi="Times New Roman" w:cs="Times New Roman"/>
                <w:color w:val="auto"/>
                <w:sz w:val="24"/>
                <w:szCs w:val="24"/>
                <w:highlight w:val="none"/>
                <w:lang w:val="en-US" w:eastAsia="zh-CN"/>
              </w:rPr>
              <w:t>0.19</w:t>
            </w:r>
            <w:r>
              <w:rPr>
                <w:rFonts w:hint="eastAsia" w:ascii="Times New Roman" w:hAnsi="Times New Roman" w:eastAsia="宋体" w:cs="Times New Roman"/>
                <w:color w:val="auto"/>
                <w:sz w:val="24"/>
                <w:szCs w:val="24"/>
                <w:highlight w:val="none"/>
                <w:lang w:val="en-US" w:eastAsia="zh-CN"/>
              </w:rPr>
              <w:t>kg/t-原料</w:t>
            </w:r>
            <w:r>
              <w:rPr>
                <w:rFonts w:hint="eastAsia" w:ascii="Times New Roman" w:hAnsi="Times New Roman"/>
                <w:color w:val="auto"/>
                <w:sz w:val="24"/>
                <w:highlight w:val="none"/>
                <w:lang w:val="en-US" w:eastAsia="zh-CN"/>
              </w:rPr>
              <w:t>计算，进入密闭皮带输送机输送至水洗砂生产线的石子50.5005万t/a，则上料过程中粉尘的产生量为95.95t/a。</w:t>
            </w:r>
          </w:p>
          <w:p w14:paraId="21BD5B1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highlight w:val="none"/>
                <w:lang w:val="en-US" w:eastAsia="zh-CN"/>
              </w:rPr>
              <w:t>环评要求根据生产线设备设置情况在上料口上方设置集尘罩（三面封闭、投料一侧设置软帘），废气经收集后引至1套布袋除尘器（TA001）处理，</w:t>
            </w:r>
            <w:r>
              <w:rPr>
                <w:rFonts w:hint="eastAsia" w:ascii="Times New Roman" w:hAnsi="Times New Roman" w:eastAsia="宋体" w:cs="Times New Roman"/>
                <w:color w:val="auto"/>
                <w:kern w:val="10"/>
                <w:sz w:val="24"/>
                <w:highlight w:val="none"/>
                <w:lang w:val="en-US" w:eastAsia="zh-CN"/>
              </w:rPr>
              <w:t>后</w:t>
            </w:r>
            <w:r>
              <w:rPr>
                <w:rFonts w:hint="default" w:ascii="Times New Roman" w:hAnsi="Times New Roman" w:eastAsia="宋体" w:cs="Times New Roman"/>
                <w:color w:val="auto"/>
                <w:kern w:val="10"/>
                <w:sz w:val="24"/>
                <w:highlight w:val="none"/>
                <w:lang w:val="en-US" w:eastAsia="zh-CN"/>
              </w:rPr>
              <w:t>通过一根</w:t>
            </w:r>
            <w:r>
              <w:rPr>
                <w:rFonts w:hint="eastAsia" w:cs="Times New Roman"/>
                <w:color w:val="auto"/>
                <w:kern w:val="10"/>
                <w:sz w:val="24"/>
                <w:highlight w:val="none"/>
                <w:lang w:val="en-US" w:eastAsia="zh-CN"/>
              </w:rPr>
              <w:t>26</w:t>
            </w:r>
            <w:r>
              <w:rPr>
                <w:rFonts w:hint="default" w:ascii="Times New Roman" w:hAnsi="Times New Roman" w:eastAsia="宋体" w:cs="Times New Roman"/>
                <w:color w:val="auto"/>
                <w:kern w:val="10"/>
                <w:sz w:val="24"/>
                <w:highlight w:val="none"/>
                <w:lang w:val="en-US" w:eastAsia="zh-CN"/>
              </w:rPr>
              <w:t>m高排气筒</w:t>
            </w:r>
            <w:r>
              <w:rPr>
                <w:rFonts w:hint="eastAsia" w:ascii="Times New Roman" w:hAnsi="Times New Roman" w:eastAsia="宋体" w:cs="Times New Roman"/>
                <w:color w:val="auto"/>
                <w:kern w:val="10"/>
                <w:sz w:val="24"/>
                <w:highlight w:val="none"/>
                <w:lang w:val="en-US" w:eastAsia="zh-CN"/>
              </w:rPr>
              <w:t>（DA0</w:t>
            </w:r>
            <w:r>
              <w:rPr>
                <w:rFonts w:hint="eastAsia" w:ascii="Times New Roman" w:hAnsi="Times New Roman" w:cs="Times New Roman"/>
                <w:color w:val="auto"/>
                <w:kern w:val="10"/>
                <w:sz w:val="24"/>
                <w:highlight w:val="none"/>
                <w:lang w:val="en-US" w:eastAsia="zh-CN"/>
              </w:rPr>
              <w:t>01</w:t>
            </w:r>
            <w:r>
              <w:rPr>
                <w:rFonts w:hint="eastAsia" w:ascii="Times New Roman" w:hAnsi="Times New Roman" w:eastAsia="宋体" w:cs="Times New Roman"/>
                <w:color w:val="auto"/>
                <w:kern w:val="10"/>
                <w:sz w:val="24"/>
                <w:highlight w:val="none"/>
                <w:lang w:val="en-US" w:eastAsia="zh-CN"/>
              </w:rPr>
              <w:t>）</w:t>
            </w:r>
            <w:r>
              <w:rPr>
                <w:rFonts w:hint="default" w:ascii="Times New Roman" w:hAnsi="Times New Roman" w:eastAsia="宋体" w:cs="Times New Roman"/>
                <w:color w:val="auto"/>
                <w:kern w:val="10"/>
                <w:sz w:val="24"/>
                <w:highlight w:val="none"/>
                <w:lang w:val="en-US" w:eastAsia="zh-CN"/>
              </w:rPr>
              <w:t>排放。</w:t>
            </w:r>
            <w:r>
              <w:rPr>
                <w:rFonts w:hint="eastAsia" w:ascii="Times New Roman" w:hAnsi="Times New Roman"/>
                <w:color w:val="auto"/>
                <w:sz w:val="24"/>
                <w:szCs w:val="24"/>
                <w:highlight w:val="none"/>
                <w:lang w:val="en-US" w:eastAsia="zh-CN"/>
              </w:rPr>
              <w:t>废气量</w:t>
            </w:r>
            <w:r>
              <w:rPr>
                <w:rFonts w:hint="eastAsia"/>
                <w:color w:val="auto"/>
                <w:sz w:val="24"/>
                <w:lang w:val="en-US" w:eastAsia="zh-CN"/>
              </w:rPr>
              <w:t>根据《排风罩的分类及技术条件》（GB/T 16758-2008）、《局部排风设施控制风速检测与评估技术规范》（AQ/T 4274-2016）等要求，在上料口上部设置顶吸式集尘罩</w:t>
            </w:r>
            <w:r>
              <w:rPr>
                <w:rFonts w:hint="default" w:ascii="Times New Roman" w:hAnsi="Times New Roman"/>
                <w:color w:val="auto"/>
                <w:sz w:val="24"/>
                <w:szCs w:val="24"/>
                <w:highlight w:val="none"/>
                <w:lang w:val="en-US" w:eastAsia="zh-CN"/>
              </w:rPr>
              <w:t>，</w:t>
            </w:r>
            <w:r>
              <w:rPr>
                <w:rFonts w:hint="eastAsia" w:ascii="Times New Roman" w:hAnsi="Times New Roman"/>
                <w:color w:val="auto"/>
                <w:sz w:val="24"/>
                <w:szCs w:val="24"/>
                <w:highlight w:val="none"/>
                <w:lang w:val="en-US" w:eastAsia="zh-CN"/>
              </w:rPr>
              <w:t>具体公式为：</w:t>
            </w:r>
          </w:p>
          <w:p w14:paraId="7CEB222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各产尘点设置的排风罩的排风量按下式计算：</w:t>
            </w:r>
          </w:p>
          <w:p w14:paraId="4E1B927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Q=3600Fv</w:t>
            </w:r>
          </w:p>
          <w:p w14:paraId="552483D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式中：Q—排风量，m</w:t>
            </w:r>
            <w:r>
              <w:rPr>
                <w:rFonts w:hint="default" w:ascii="Times New Roman" w:hAnsi="Times New Roman"/>
                <w:color w:val="auto"/>
                <w:sz w:val="24"/>
                <w:highlight w:val="none"/>
                <w:vertAlign w:val="superscript"/>
                <w:lang w:val="en-US" w:eastAsia="zh-CN"/>
              </w:rPr>
              <w:t>3</w:t>
            </w:r>
            <w:r>
              <w:rPr>
                <w:rFonts w:hint="default" w:ascii="Times New Roman" w:hAnsi="Times New Roman"/>
                <w:color w:val="auto"/>
                <w:sz w:val="24"/>
                <w:highlight w:val="none"/>
                <w:lang w:val="en-US" w:eastAsia="zh-CN"/>
              </w:rPr>
              <w:t>/h；</w:t>
            </w:r>
          </w:p>
          <w:p w14:paraId="5DBA322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v—罩口平均风速，(m/s)；</w:t>
            </w:r>
          </w:p>
          <w:p w14:paraId="3DE1927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F—罩口面积（m</w:t>
            </w:r>
            <w:r>
              <w:rPr>
                <w:rFonts w:hint="default" w:ascii="Times New Roman" w:hAnsi="Times New Roman"/>
                <w:color w:val="auto"/>
                <w:sz w:val="24"/>
                <w:highlight w:val="none"/>
                <w:vertAlign w:val="superscript"/>
                <w:lang w:val="en-US" w:eastAsia="zh-CN"/>
              </w:rPr>
              <w:t>2</w:t>
            </w:r>
            <w:r>
              <w:rPr>
                <w:rFonts w:hint="default" w:ascii="Times New Roman" w:hAnsi="Times New Roman"/>
                <w:color w:val="auto"/>
                <w:sz w:val="24"/>
                <w:highlight w:val="none"/>
                <w:lang w:val="en-US" w:eastAsia="zh-CN"/>
              </w:rPr>
              <w:t>）。</w:t>
            </w:r>
          </w:p>
          <w:p w14:paraId="36480E5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各产尘点排风罩设置类型及各参数取值情况如下表所示：</w:t>
            </w:r>
          </w:p>
          <w:p w14:paraId="2CAF6F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r>
              <w:rPr>
                <w:rFonts w:hint="default"/>
                <w:b/>
                <w:bCs/>
                <w:color w:val="auto"/>
                <w:sz w:val="21"/>
                <w:szCs w:val="21"/>
                <w:highlight w:val="none"/>
                <w:lang w:eastAsia="zh-CN"/>
              </w:rPr>
              <w:t>表</w:t>
            </w:r>
            <w:r>
              <w:rPr>
                <w:rFonts w:hint="default"/>
                <w:b/>
                <w:bCs/>
                <w:color w:val="auto"/>
                <w:sz w:val="21"/>
                <w:szCs w:val="21"/>
                <w:highlight w:val="none"/>
                <w:lang w:val="en-US" w:eastAsia="zh-CN"/>
              </w:rPr>
              <w:t>4-</w:t>
            </w:r>
            <w:r>
              <w:rPr>
                <w:rFonts w:hint="eastAsia"/>
                <w:b/>
                <w:bCs/>
                <w:color w:val="auto"/>
                <w:sz w:val="21"/>
                <w:szCs w:val="21"/>
                <w:highlight w:val="none"/>
                <w:lang w:val="en-US" w:eastAsia="zh-CN"/>
              </w:rPr>
              <w:t>1</w:t>
            </w:r>
            <w:r>
              <w:rPr>
                <w:rFonts w:hint="default"/>
                <w:b/>
                <w:bCs/>
                <w:color w:val="auto"/>
                <w:sz w:val="21"/>
                <w:szCs w:val="21"/>
                <w:highlight w:val="none"/>
                <w:lang w:val="en-US" w:eastAsia="zh-CN"/>
              </w:rPr>
              <w:t xml:space="preserve">  </w:t>
            </w:r>
            <w:r>
              <w:rPr>
                <w:rFonts w:hint="eastAsia"/>
                <w:b/>
                <w:bCs/>
                <w:color w:val="auto"/>
                <w:sz w:val="21"/>
                <w:szCs w:val="21"/>
                <w:highlight w:val="none"/>
                <w:lang w:val="en-US" w:eastAsia="zh-CN"/>
              </w:rPr>
              <w:t>各产尘点罩口设计风量</w:t>
            </w:r>
            <w:r>
              <w:rPr>
                <w:rFonts w:hint="default"/>
                <w:b/>
                <w:bCs/>
                <w:color w:val="auto"/>
                <w:sz w:val="21"/>
                <w:szCs w:val="21"/>
                <w:highlight w:val="none"/>
              </w:rPr>
              <w:t>一览表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1543"/>
              <w:gridCol w:w="1446"/>
              <w:gridCol w:w="1339"/>
              <w:gridCol w:w="1147"/>
              <w:gridCol w:w="2158"/>
            </w:tblGrid>
            <w:tr w14:paraId="60029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6" w:type="pct"/>
                  <w:tcBorders>
                    <w:tl2br w:val="nil"/>
                    <w:tr2bl w:val="nil"/>
                  </w:tcBorders>
                  <w:noWrap w:val="0"/>
                  <w:vAlign w:val="center"/>
                </w:tcPr>
                <w:p w14:paraId="7A8BC91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b w:val="0"/>
                      <w:bCs w:val="0"/>
                      <w:color w:val="auto"/>
                      <w:sz w:val="21"/>
                      <w:szCs w:val="21"/>
                      <w:highlight w:val="none"/>
                      <w:lang w:eastAsia="zh-CN"/>
                    </w:rPr>
                  </w:pPr>
                  <w:r>
                    <w:rPr>
                      <w:rFonts w:hint="eastAsia" w:eastAsia="宋体"/>
                      <w:b w:val="0"/>
                      <w:bCs w:val="0"/>
                      <w:color w:val="auto"/>
                      <w:sz w:val="21"/>
                      <w:szCs w:val="21"/>
                      <w:highlight w:val="none"/>
                      <w:lang w:val="en-US" w:eastAsia="zh-CN"/>
                    </w:rPr>
                    <w:t>产尘点</w:t>
                  </w:r>
                </w:p>
              </w:tc>
              <w:tc>
                <w:tcPr>
                  <w:tcW w:w="896" w:type="pct"/>
                  <w:tcBorders>
                    <w:tl2br w:val="nil"/>
                    <w:tr2bl w:val="nil"/>
                  </w:tcBorders>
                  <w:noWrap w:val="0"/>
                  <w:vAlign w:val="center"/>
                </w:tcPr>
                <w:p w14:paraId="6BA35A7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rPr>
                  </w:pPr>
                  <w:r>
                    <w:rPr>
                      <w:rFonts w:hint="eastAsia" w:eastAsia="宋体"/>
                      <w:b w:val="0"/>
                      <w:bCs w:val="0"/>
                      <w:color w:val="auto"/>
                      <w:sz w:val="21"/>
                      <w:szCs w:val="21"/>
                      <w:highlight w:val="none"/>
                      <w:lang w:val="en-US" w:eastAsia="zh-CN"/>
                    </w:rPr>
                    <w:t>集尘罩截</w:t>
                  </w:r>
                  <w:r>
                    <w:rPr>
                      <w:rFonts w:hint="default" w:eastAsia="宋体"/>
                      <w:b w:val="0"/>
                      <w:bCs w:val="0"/>
                      <w:color w:val="auto"/>
                      <w:sz w:val="21"/>
                      <w:szCs w:val="21"/>
                      <w:highlight w:val="none"/>
                      <w:lang w:eastAsia="zh-CN"/>
                    </w:rPr>
                    <w:t>面积</w:t>
                  </w:r>
                  <w:r>
                    <w:rPr>
                      <w:rFonts w:hint="default" w:eastAsia="宋体"/>
                      <w:b w:val="0"/>
                      <w:bCs w:val="0"/>
                      <w:color w:val="auto"/>
                      <w:sz w:val="21"/>
                      <w:szCs w:val="21"/>
                      <w:highlight w:val="none"/>
                    </w:rPr>
                    <w:t>（m</w:t>
                  </w:r>
                  <w:r>
                    <w:rPr>
                      <w:rFonts w:hint="default" w:eastAsia="宋体"/>
                      <w:b w:val="0"/>
                      <w:bCs w:val="0"/>
                      <w:color w:val="auto"/>
                      <w:sz w:val="21"/>
                      <w:szCs w:val="21"/>
                      <w:highlight w:val="none"/>
                      <w:vertAlign w:val="superscript"/>
                    </w:rPr>
                    <w:t>2</w:t>
                  </w:r>
                  <w:r>
                    <w:rPr>
                      <w:rFonts w:hint="default" w:eastAsia="宋体"/>
                      <w:b w:val="0"/>
                      <w:bCs w:val="0"/>
                      <w:color w:val="auto"/>
                      <w:sz w:val="21"/>
                      <w:szCs w:val="21"/>
                      <w:highlight w:val="none"/>
                    </w:rPr>
                    <w:t>）</w:t>
                  </w:r>
                </w:p>
              </w:tc>
              <w:tc>
                <w:tcPr>
                  <w:tcW w:w="839" w:type="pct"/>
                  <w:tcBorders>
                    <w:tl2br w:val="nil"/>
                    <w:tr2bl w:val="nil"/>
                  </w:tcBorders>
                  <w:noWrap w:val="0"/>
                  <w:vAlign w:val="center"/>
                </w:tcPr>
                <w:p w14:paraId="3F74536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rPr>
                  </w:pPr>
                  <w:r>
                    <w:rPr>
                      <w:rFonts w:hint="eastAsia" w:eastAsia="宋体"/>
                      <w:b w:val="0"/>
                      <w:bCs w:val="0"/>
                      <w:color w:val="auto"/>
                      <w:sz w:val="21"/>
                      <w:szCs w:val="21"/>
                      <w:highlight w:val="none"/>
                      <w:lang w:val="en-US" w:eastAsia="zh-CN"/>
                    </w:rPr>
                    <w:t>罩口控制风速</w:t>
                  </w:r>
                  <w:r>
                    <w:rPr>
                      <w:rFonts w:hint="default" w:eastAsia="宋体"/>
                      <w:b w:val="0"/>
                      <w:bCs w:val="0"/>
                      <w:color w:val="auto"/>
                      <w:sz w:val="21"/>
                      <w:szCs w:val="21"/>
                      <w:highlight w:val="none"/>
                    </w:rPr>
                    <w:t>（m/s）</w:t>
                  </w:r>
                </w:p>
              </w:tc>
              <w:tc>
                <w:tcPr>
                  <w:tcW w:w="777" w:type="pct"/>
                  <w:tcBorders>
                    <w:tl2br w:val="nil"/>
                    <w:tr2bl w:val="nil"/>
                  </w:tcBorders>
                  <w:noWrap w:val="0"/>
                  <w:vAlign w:val="center"/>
                </w:tcPr>
                <w:p w14:paraId="05670F6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rPr>
                  </w:pPr>
                  <w:r>
                    <w:rPr>
                      <w:rFonts w:hint="default" w:eastAsia="宋体"/>
                      <w:b w:val="0"/>
                      <w:bCs w:val="0"/>
                      <w:color w:val="auto"/>
                      <w:sz w:val="21"/>
                      <w:szCs w:val="21"/>
                      <w:highlight w:val="none"/>
                    </w:rPr>
                    <w:t>风量（m</w:t>
                  </w:r>
                  <w:r>
                    <w:rPr>
                      <w:rFonts w:hint="default" w:eastAsia="宋体"/>
                      <w:b w:val="0"/>
                      <w:bCs w:val="0"/>
                      <w:color w:val="auto"/>
                      <w:sz w:val="21"/>
                      <w:szCs w:val="21"/>
                      <w:highlight w:val="none"/>
                      <w:vertAlign w:val="superscript"/>
                    </w:rPr>
                    <w:t>3</w:t>
                  </w:r>
                  <w:r>
                    <w:rPr>
                      <w:rFonts w:hint="default" w:eastAsia="宋体"/>
                      <w:b w:val="0"/>
                      <w:bCs w:val="0"/>
                      <w:color w:val="auto"/>
                      <w:sz w:val="21"/>
                      <w:szCs w:val="21"/>
                      <w:highlight w:val="none"/>
                    </w:rPr>
                    <w:t>/h）</w:t>
                  </w:r>
                </w:p>
              </w:tc>
              <w:tc>
                <w:tcPr>
                  <w:tcW w:w="666" w:type="pct"/>
                  <w:tcBorders>
                    <w:tl2br w:val="nil"/>
                    <w:tr2bl w:val="nil"/>
                  </w:tcBorders>
                  <w:noWrap w:val="0"/>
                  <w:vAlign w:val="center"/>
                </w:tcPr>
                <w:p w14:paraId="2DBB9A0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lang w:val="en-US" w:eastAsia="zh-CN"/>
                    </w:rPr>
                  </w:pPr>
                  <w:r>
                    <w:rPr>
                      <w:rFonts w:hint="eastAsia" w:eastAsia="宋体"/>
                      <w:b w:val="0"/>
                      <w:bCs w:val="0"/>
                      <w:color w:val="auto"/>
                      <w:sz w:val="21"/>
                      <w:szCs w:val="21"/>
                      <w:highlight w:val="none"/>
                      <w:lang w:val="en-US" w:eastAsia="zh-CN"/>
                    </w:rPr>
                    <w:t>集尘罩数量（个）</w:t>
                  </w:r>
                </w:p>
              </w:tc>
              <w:tc>
                <w:tcPr>
                  <w:tcW w:w="1253" w:type="pct"/>
                  <w:tcBorders>
                    <w:tl2br w:val="nil"/>
                    <w:tr2bl w:val="nil"/>
                  </w:tcBorders>
                  <w:noWrap w:val="0"/>
                  <w:vAlign w:val="center"/>
                </w:tcPr>
                <w:p w14:paraId="3744215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lang w:val="en-US" w:eastAsia="zh-CN"/>
                    </w:rPr>
                  </w:pPr>
                  <w:r>
                    <w:rPr>
                      <w:rFonts w:hint="eastAsia" w:eastAsia="宋体"/>
                      <w:b w:val="0"/>
                      <w:bCs w:val="0"/>
                      <w:color w:val="auto"/>
                      <w:sz w:val="21"/>
                      <w:szCs w:val="21"/>
                      <w:highlight w:val="none"/>
                      <w:lang w:val="en-US" w:eastAsia="zh-CN"/>
                    </w:rPr>
                    <w:t>排风罩类型</w:t>
                  </w:r>
                </w:p>
              </w:tc>
            </w:tr>
            <w:tr w14:paraId="58C4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6" w:type="pct"/>
                  <w:tcBorders>
                    <w:tl2br w:val="nil"/>
                    <w:tr2bl w:val="nil"/>
                  </w:tcBorders>
                  <w:noWrap w:val="0"/>
                  <w:vAlign w:val="center"/>
                </w:tcPr>
                <w:p w14:paraId="0BF8967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上料口</w:t>
                  </w:r>
                </w:p>
              </w:tc>
              <w:tc>
                <w:tcPr>
                  <w:tcW w:w="896" w:type="pct"/>
                  <w:tcBorders>
                    <w:tl2br w:val="nil"/>
                    <w:tr2bl w:val="nil"/>
                  </w:tcBorders>
                  <w:noWrap w:val="0"/>
                  <w:vAlign w:val="center"/>
                </w:tcPr>
                <w:p w14:paraId="4CFDF46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vertAlign w:val="baseline"/>
                      <w:lang w:val="en-US" w:eastAsia="zh-CN" w:bidi="ar-SA"/>
                    </w:rPr>
                  </w:pPr>
                  <w:r>
                    <w:rPr>
                      <w:rFonts w:hint="eastAsia" w:eastAsia="宋体"/>
                      <w:color w:val="auto"/>
                      <w:sz w:val="21"/>
                      <w:szCs w:val="21"/>
                      <w:highlight w:val="none"/>
                      <w:lang w:val="en-US" w:eastAsia="zh-CN"/>
                    </w:rPr>
                    <w:t>0.9</w:t>
                  </w:r>
                  <w:r>
                    <w:rPr>
                      <w:rFonts w:hint="default" w:eastAsia="宋体"/>
                      <w:color w:val="auto"/>
                      <w:sz w:val="21"/>
                      <w:szCs w:val="21"/>
                      <w:highlight w:val="none"/>
                      <w:lang w:val="en-US" w:eastAsia="zh-CN"/>
                    </w:rPr>
                    <w:t>×</w:t>
                  </w:r>
                  <w:r>
                    <w:rPr>
                      <w:rFonts w:hint="eastAsia" w:eastAsia="宋体"/>
                      <w:color w:val="auto"/>
                      <w:sz w:val="21"/>
                      <w:szCs w:val="21"/>
                      <w:highlight w:val="none"/>
                      <w:lang w:val="en-US" w:eastAsia="zh-CN"/>
                    </w:rPr>
                    <w:t>0.6</w:t>
                  </w:r>
                </w:p>
              </w:tc>
              <w:tc>
                <w:tcPr>
                  <w:tcW w:w="839" w:type="pct"/>
                  <w:tcBorders>
                    <w:tl2br w:val="nil"/>
                    <w:tr2bl w:val="nil"/>
                  </w:tcBorders>
                  <w:noWrap w:val="0"/>
                  <w:vAlign w:val="center"/>
                </w:tcPr>
                <w:p w14:paraId="7BB349C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1.2</w:t>
                  </w:r>
                </w:p>
              </w:tc>
              <w:tc>
                <w:tcPr>
                  <w:tcW w:w="777" w:type="pct"/>
                  <w:tcBorders>
                    <w:tl2br w:val="nil"/>
                    <w:tr2bl w:val="nil"/>
                  </w:tcBorders>
                  <w:noWrap w:val="0"/>
                  <w:vAlign w:val="center"/>
                </w:tcPr>
                <w:p w14:paraId="790DC81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default" w:eastAsia="宋体"/>
                      <w:color w:val="auto"/>
                      <w:sz w:val="21"/>
                      <w:szCs w:val="21"/>
                      <w:highlight w:val="none"/>
                    </w:rPr>
                    <w:t>≥</w:t>
                  </w:r>
                  <w:r>
                    <w:rPr>
                      <w:rFonts w:hint="eastAsia" w:eastAsia="宋体"/>
                      <w:color w:val="auto"/>
                      <w:sz w:val="21"/>
                      <w:szCs w:val="21"/>
                      <w:highlight w:val="none"/>
                      <w:lang w:val="en-US" w:eastAsia="zh-CN"/>
                    </w:rPr>
                    <w:t>2332.8</w:t>
                  </w:r>
                </w:p>
              </w:tc>
              <w:tc>
                <w:tcPr>
                  <w:tcW w:w="666" w:type="pct"/>
                  <w:tcBorders>
                    <w:tl2br w:val="nil"/>
                    <w:tr2bl w:val="nil"/>
                  </w:tcBorders>
                  <w:noWrap w:val="0"/>
                  <w:vAlign w:val="center"/>
                </w:tcPr>
                <w:p w14:paraId="6FE4D41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1</w:t>
                  </w:r>
                </w:p>
              </w:tc>
              <w:tc>
                <w:tcPr>
                  <w:tcW w:w="1253" w:type="pct"/>
                  <w:tcBorders>
                    <w:tl2br w:val="nil"/>
                    <w:tr2bl w:val="nil"/>
                  </w:tcBorders>
                  <w:noWrap w:val="0"/>
                  <w:vAlign w:val="center"/>
                </w:tcPr>
                <w:p w14:paraId="22B6068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外部排风罩（顶吸式）</w:t>
                  </w:r>
                </w:p>
              </w:tc>
            </w:tr>
          </w:tbl>
          <w:p w14:paraId="37B991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val="en-US" w:eastAsia="zh-CN"/>
              </w:rPr>
            </w:pPr>
            <w:r>
              <w:rPr>
                <w:rFonts w:hint="eastAsia" w:ascii="Times New Roman" w:eastAsia="宋体"/>
                <w:color w:val="auto"/>
                <w:sz w:val="24"/>
                <w:szCs w:val="24"/>
                <w:highlight w:val="none"/>
                <w:lang w:val="en-US" w:eastAsia="zh-CN"/>
              </w:rPr>
              <w:t>经计算，</w:t>
            </w:r>
            <w:r>
              <w:rPr>
                <w:rFonts w:hint="eastAsia"/>
                <w:color w:val="auto"/>
                <w:sz w:val="24"/>
                <w:szCs w:val="24"/>
                <w:highlight w:val="none"/>
                <w:lang w:val="en-US" w:eastAsia="zh-CN"/>
              </w:rPr>
              <w:t>上料口</w:t>
            </w:r>
            <w:r>
              <w:rPr>
                <w:rFonts w:hint="eastAsia" w:ascii="Times New Roman" w:hAnsi="Times New Roman" w:eastAsia="宋体" w:cs="Times New Roman"/>
                <w:color w:val="auto"/>
                <w:kern w:val="2"/>
                <w:sz w:val="24"/>
                <w:szCs w:val="24"/>
                <w:highlight w:val="none"/>
                <w:lang w:val="en-US" w:eastAsia="zh-CN" w:bidi="ar-SA"/>
              </w:rPr>
              <w:t>除尘系统所需的风量为</w:t>
            </w:r>
            <w:r>
              <w:rPr>
                <w:rFonts w:hint="eastAsia" w:cs="Times New Roman"/>
                <w:color w:val="auto"/>
                <w:kern w:val="2"/>
                <w:sz w:val="24"/>
                <w:szCs w:val="24"/>
                <w:highlight w:val="none"/>
                <w:lang w:val="en-US" w:eastAsia="zh-CN" w:bidi="ar-SA"/>
              </w:rPr>
              <w:t>2332.8</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/h。考虑到风力损失，取10%的富裕量，风机风量设计</w:t>
            </w:r>
            <w:r>
              <w:rPr>
                <w:rFonts w:hint="eastAsia" w:cs="Times New Roman"/>
                <w:color w:val="auto"/>
                <w:kern w:val="2"/>
                <w:sz w:val="24"/>
                <w:szCs w:val="24"/>
                <w:highlight w:val="none"/>
                <w:lang w:val="en-US" w:eastAsia="zh-CN" w:bidi="ar-SA"/>
              </w:rPr>
              <w:t>2600</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/h，因此，本项目选取1台风量为</w:t>
            </w:r>
            <w:r>
              <w:rPr>
                <w:rFonts w:hint="eastAsia" w:cs="Times New Roman"/>
                <w:color w:val="auto"/>
                <w:kern w:val="2"/>
                <w:sz w:val="24"/>
                <w:szCs w:val="24"/>
                <w:highlight w:val="none"/>
                <w:lang w:val="en-US" w:eastAsia="zh-CN" w:bidi="ar-SA"/>
              </w:rPr>
              <w:t>2600</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/h的风机，过滤风速0.6m/min，过滤面积</w:t>
            </w:r>
            <w:r>
              <w:rPr>
                <w:rFonts w:hint="eastAsia" w:cs="Times New Roman"/>
                <w:color w:val="auto"/>
                <w:kern w:val="2"/>
                <w:sz w:val="24"/>
                <w:szCs w:val="24"/>
                <w:highlight w:val="none"/>
                <w:lang w:val="en-US" w:eastAsia="zh-CN" w:bidi="ar-SA"/>
              </w:rPr>
              <w:t>72</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2</w:t>
            </w:r>
            <w:r>
              <w:rPr>
                <w:rFonts w:hint="eastAsia" w:ascii="Times New Roman" w:hAnsi="Times New Roman" w:eastAsia="宋体" w:cs="Times New Roman"/>
                <w:color w:val="auto"/>
                <w:kern w:val="2"/>
                <w:sz w:val="24"/>
                <w:szCs w:val="24"/>
                <w:highlight w:val="none"/>
                <w:vertAlign w:val="baseline"/>
                <w:lang w:val="en-US" w:eastAsia="zh-CN" w:bidi="ar-SA"/>
              </w:rPr>
              <w:t>。除尘器出口浓度控制在</w:t>
            </w:r>
            <w:r>
              <w:rPr>
                <w:rFonts w:hint="eastAsia" w:cs="Times New Roman"/>
                <w:color w:val="auto"/>
                <w:kern w:val="2"/>
                <w:sz w:val="24"/>
                <w:szCs w:val="24"/>
                <w:highlight w:val="none"/>
                <w:vertAlign w:val="baseline"/>
                <w:lang w:val="en-US" w:eastAsia="zh-CN" w:bidi="ar-SA"/>
              </w:rPr>
              <w:t>1</w:t>
            </w:r>
            <w:r>
              <w:rPr>
                <w:rFonts w:hint="eastAsia" w:ascii="Times New Roman" w:hAnsi="Times New Roman" w:eastAsia="宋体" w:cs="Times New Roman"/>
                <w:color w:val="auto"/>
                <w:kern w:val="2"/>
                <w:sz w:val="24"/>
                <w:szCs w:val="24"/>
                <w:highlight w:val="none"/>
                <w:vertAlign w:val="baseline"/>
                <w:lang w:val="en-US" w:eastAsia="zh-CN" w:bidi="ar-SA"/>
              </w:rPr>
              <w:t>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以下（本次以</w:t>
            </w:r>
            <w:r>
              <w:rPr>
                <w:rFonts w:hint="eastAsia" w:cs="Times New Roman"/>
                <w:color w:val="auto"/>
                <w:kern w:val="2"/>
                <w:sz w:val="24"/>
                <w:szCs w:val="24"/>
                <w:highlight w:val="none"/>
                <w:vertAlign w:val="baseline"/>
                <w:lang w:val="en-US" w:eastAsia="zh-CN" w:bidi="ar-SA"/>
              </w:rPr>
              <w:t>1</w:t>
            </w:r>
            <w:r>
              <w:rPr>
                <w:rFonts w:hint="eastAsia" w:ascii="Times New Roman" w:hAnsi="Times New Roman" w:eastAsia="宋体" w:cs="Times New Roman"/>
                <w:color w:val="auto"/>
                <w:kern w:val="2"/>
                <w:sz w:val="24"/>
                <w:szCs w:val="24"/>
                <w:highlight w:val="none"/>
                <w:vertAlign w:val="baseline"/>
                <w:lang w:val="en-US" w:eastAsia="zh-CN" w:bidi="ar-SA"/>
              </w:rPr>
              <w:t>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计），则颗粒物排放量=</w:t>
            </w:r>
            <w:r>
              <w:rPr>
                <w:rFonts w:hint="eastAsia" w:cs="Times New Roman"/>
                <w:color w:val="auto"/>
                <w:kern w:val="2"/>
                <w:sz w:val="24"/>
                <w:szCs w:val="24"/>
                <w:highlight w:val="none"/>
                <w:vertAlign w:val="baseline"/>
                <w:lang w:val="en-US" w:eastAsia="zh-CN" w:bidi="ar-SA"/>
              </w:rPr>
              <w:t>2240</w:t>
            </w:r>
            <w:r>
              <w:rPr>
                <w:rFonts w:hint="eastAsia" w:ascii="Times New Roman" w:hAnsi="Times New Roman" w:eastAsia="宋体" w:cs="Times New Roman"/>
                <w:color w:val="auto"/>
                <w:kern w:val="2"/>
                <w:sz w:val="24"/>
                <w:szCs w:val="24"/>
                <w:highlight w:val="none"/>
                <w:vertAlign w:val="baseline"/>
                <w:lang w:val="en-US" w:eastAsia="zh-CN" w:bidi="ar-SA"/>
              </w:rPr>
              <w:t>h×</w:t>
            </w:r>
            <w:r>
              <w:rPr>
                <w:rFonts w:hint="eastAsia" w:cs="Times New Roman"/>
                <w:color w:val="auto"/>
                <w:kern w:val="2"/>
                <w:sz w:val="24"/>
                <w:szCs w:val="24"/>
                <w:highlight w:val="none"/>
                <w:vertAlign w:val="baseline"/>
                <w:lang w:val="en-US" w:eastAsia="zh-CN" w:bidi="ar-SA"/>
              </w:rPr>
              <w:t>2600</w:t>
            </w:r>
            <w:r>
              <w:rPr>
                <w:rFonts w:hint="eastAsia" w:ascii="Times New Roman" w:hAnsi="Times New Roman" w:eastAsia="宋体" w:cs="Times New Roman"/>
                <w:color w:val="auto"/>
                <w:kern w:val="2"/>
                <w:sz w:val="24"/>
                <w:szCs w:val="24"/>
                <w:highlight w:val="none"/>
                <w:vertAlign w:val="baseli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/h×10mg/m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×10</w:t>
            </w:r>
            <w:r>
              <w:rPr>
                <w:rFonts w:hint="eastAsia" w:ascii="Times New Roman" w:hAnsi="Times New Roman" w:eastAsia="宋体" w:cs="Times New Roman"/>
                <w:color w:val="auto"/>
                <w:kern w:val="2"/>
                <w:sz w:val="24"/>
                <w:szCs w:val="24"/>
                <w:highlight w:val="none"/>
                <w:vertAlign w:val="superscript"/>
                <w:lang w:val="en-US" w:eastAsia="zh-CN" w:bidi="ar-SA"/>
              </w:rPr>
              <w:t>-9</w:t>
            </w:r>
            <w:r>
              <w:rPr>
                <w:rFonts w:hint="eastAsia" w:ascii="Times New Roman" w:hAnsi="Times New Roman" w:eastAsia="宋体" w:cs="Times New Roman"/>
                <w:color w:val="auto"/>
                <w:kern w:val="2"/>
                <w:sz w:val="24"/>
                <w:szCs w:val="24"/>
                <w:highlight w:val="none"/>
                <w:vertAlign w:val="baseline"/>
                <w:lang w:val="en-US" w:eastAsia="zh-CN" w:bidi="ar-SA"/>
              </w:rPr>
              <w:t>=</w:t>
            </w:r>
            <w:r>
              <w:rPr>
                <w:rFonts w:hint="eastAsia" w:cs="Times New Roman"/>
                <w:color w:val="auto"/>
                <w:kern w:val="2"/>
                <w:sz w:val="24"/>
                <w:szCs w:val="24"/>
                <w:highlight w:val="none"/>
                <w:vertAlign w:val="baseline"/>
                <w:lang w:val="en-US" w:eastAsia="zh-CN" w:bidi="ar-SA"/>
              </w:rPr>
              <w:t>0.06</w:t>
            </w:r>
            <w:r>
              <w:rPr>
                <w:rFonts w:hint="eastAsia" w:ascii="Times New Roman" w:hAnsi="Times New Roman" w:eastAsia="宋体" w:cs="Times New Roman"/>
                <w:color w:val="auto"/>
                <w:kern w:val="2"/>
                <w:sz w:val="24"/>
                <w:szCs w:val="24"/>
                <w:highlight w:val="none"/>
                <w:vertAlign w:val="baseline"/>
                <w:lang w:val="en-US" w:eastAsia="zh-CN" w:bidi="ar-SA"/>
              </w:rPr>
              <w:t>t/a，</w:t>
            </w:r>
            <w:r>
              <w:rPr>
                <w:rFonts w:hint="default"/>
                <w:color w:val="auto"/>
                <w:highlight w:val="none"/>
                <w:lang w:val="en-US" w:eastAsia="zh-CN"/>
              </w:rPr>
              <w:t>废气收集效率约为</w:t>
            </w:r>
            <w:r>
              <w:rPr>
                <w:rFonts w:hint="eastAsia"/>
                <w:color w:val="auto"/>
                <w:highlight w:val="none"/>
                <w:lang w:val="en-US" w:eastAsia="zh-CN"/>
              </w:rPr>
              <w:t>90</w:t>
            </w:r>
            <w:r>
              <w:rPr>
                <w:rFonts w:hint="default"/>
                <w:color w:val="auto"/>
                <w:highlight w:val="none"/>
                <w:lang w:val="en-US" w:eastAsia="zh-CN"/>
              </w:rPr>
              <w:t>%，</w:t>
            </w:r>
            <w:r>
              <w:rPr>
                <w:rFonts w:hint="eastAsia"/>
                <w:color w:val="auto"/>
                <w:highlight w:val="none"/>
                <w:lang w:val="en-US" w:eastAsia="zh-CN"/>
              </w:rPr>
              <w:t>未收集到的无组织排放量为</w:t>
            </w:r>
            <w:r>
              <w:rPr>
                <w:rFonts w:hint="eastAsia" w:cs="Times New Roman"/>
                <w:color w:val="auto"/>
                <w:kern w:val="2"/>
                <w:sz w:val="24"/>
                <w:szCs w:val="24"/>
                <w:highlight w:val="none"/>
                <w:vertAlign w:val="baseline"/>
                <w:lang w:val="en-US" w:eastAsia="zh-CN" w:bidi="ar-SA"/>
              </w:rPr>
              <w:t>0.006</w:t>
            </w:r>
            <w:r>
              <w:rPr>
                <w:rFonts w:hint="eastAsia" w:ascii="Times New Roman" w:hAnsi="Times New Roman" w:eastAsia="宋体" w:cs="Times New Roman"/>
                <w:color w:val="auto"/>
                <w:kern w:val="2"/>
                <w:sz w:val="24"/>
                <w:szCs w:val="24"/>
                <w:highlight w:val="none"/>
                <w:vertAlign w:val="baseline"/>
                <w:lang w:val="en-US" w:eastAsia="zh-CN" w:bidi="ar-SA"/>
              </w:rPr>
              <w:t>t/a，</w:t>
            </w:r>
            <w:r>
              <w:rPr>
                <w:rFonts w:hint="default" w:ascii="Times New Roman" w:hAnsi="Times New Roman" w:eastAsia="宋体" w:cs="Times New Roman"/>
                <w:color w:val="auto"/>
                <w:kern w:val="10"/>
                <w:sz w:val="24"/>
                <w:highlight w:val="none"/>
                <w:lang w:val="en-US" w:eastAsia="zh-CN"/>
              </w:rPr>
              <w:t>满足《水泥工业大气污染物排放标准》（DB14/3176-2024）</w:t>
            </w:r>
            <w:r>
              <w:rPr>
                <w:rFonts w:hint="eastAsia" w:ascii="Times New Roman" w:hAnsi="Times New Roman" w:eastAsia="宋体" w:cs="Times New Roman"/>
                <w:color w:val="auto"/>
                <w:kern w:val="10"/>
                <w:sz w:val="24"/>
                <w:highlight w:val="none"/>
                <w:lang w:val="en-US" w:eastAsia="zh-CN"/>
              </w:rPr>
              <w:t>中排放</w:t>
            </w:r>
            <w:r>
              <w:rPr>
                <w:rFonts w:hint="default" w:ascii="Times New Roman" w:hAnsi="Times New Roman" w:eastAsia="宋体" w:cs="Times New Roman"/>
                <w:color w:val="auto"/>
                <w:kern w:val="10"/>
                <w:sz w:val="24"/>
                <w:highlight w:val="none"/>
                <w:lang w:val="en-US" w:eastAsia="zh-CN"/>
              </w:rPr>
              <w:t>限值要求</w:t>
            </w:r>
            <w:r>
              <w:rPr>
                <w:rFonts w:hint="eastAsia" w:ascii="Times New Roman" w:hAnsi="Times New Roman" w:eastAsia="宋体" w:cs="Times New Roman"/>
                <w:color w:val="auto"/>
                <w:kern w:val="10"/>
                <w:sz w:val="24"/>
                <w:highlight w:val="none"/>
                <w:lang w:val="en-US" w:eastAsia="zh-CN"/>
              </w:rPr>
              <w:t>。</w:t>
            </w:r>
          </w:p>
          <w:p w14:paraId="02BB211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2）水稳料生产线</w:t>
            </w:r>
          </w:p>
          <w:p w14:paraId="2B723F1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G4：运输扬尘</w:t>
            </w:r>
          </w:p>
          <w:p w14:paraId="72187610">
            <w:pPr>
              <w:pStyle w:val="19"/>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textAlignment w:val="auto"/>
              <w:rPr>
                <w:color w:val="auto"/>
                <w:sz w:val="24"/>
                <w:highlight w:val="none"/>
              </w:rPr>
            </w:pPr>
            <w:r>
              <w:rPr>
                <w:rFonts w:hint="eastAsia"/>
                <w:color w:val="auto"/>
                <w:sz w:val="24"/>
                <w:highlight w:val="none"/>
              </w:rPr>
              <w:t>本</w:t>
            </w:r>
            <w:r>
              <w:rPr>
                <w:rFonts w:hint="eastAsia"/>
                <w:color w:val="auto"/>
                <w:sz w:val="24"/>
                <w:highlight w:val="none"/>
                <w:lang w:val="en-US" w:eastAsia="zh-CN"/>
              </w:rPr>
              <w:t>工序</w:t>
            </w:r>
            <w:r>
              <w:rPr>
                <w:rFonts w:hint="eastAsia"/>
                <w:color w:val="auto"/>
                <w:sz w:val="24"/>
                <w:highlight w:val="none"/>
              </w:rPr>
              <w:t>原料运入厂区及产品运出厂区均会产生道路扬尘，计算公式如下：</w:t>
            </w:r>
          </w:p>
          <w:p w14:paraId="55FDF31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color w:val="auto"/>
                <w:sz w:val="24"/>
                <w:highlight w:val="none"/>
              </w:rPr>
            </w:pPr>
            <w:r>
              <w:rPr>
                <w:color w:val="auto"/>
                <w:sz w:val="24"/>
                <w:highlight w:val="none"/>
              </w:rPr>
              <w:drawing>
                <wp:anchor distT="0" distB="0" distL="114300" distR="114300" simplePos="0" relativeHeight="251663360" behindDoc="0" locked="0" layoutInCell="1" allowOverlap="1">
                  <wp:simplePos x="0" y="0"/>
                  <wp:positionH relativeFrom="column">
                    <wp:posOffset>290195</wp:posOffset>
                  </wp:positionH>
                  <wp:positionV relativeFrom="paragraph">
                    <wp:posOffset>384810</wp:posOffset>
                  </wp:positionV>
                  <wp:extent cx="1196340" cy="243840"/>
                  <wp:effectExtent l="0" t="0" r="0" b="3175"/>
                  <wp:wrapTopAndBottom/>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8"/>
                          <a:stretch>
                            <a:fillRect/>
                          </a:stretch>
                        </pic:blipFill>
                        <pic:spPr>
                          <a:xfrm>
                            <a:off x="0" y="0"/>
                            <a:ext cx="1196340" cy="243840"/>
                          </a:xfrm>
                          <a:prstGeom prst="rect">
                            <a:avLst/>
                          </a:prstGeom>
                          <a:noFill/>
                          <a:ln>
                            <a:noFill/>
                          </a:ln>
                        </pic:spPr>
                      </pic:pic>
                    </a:graphicData>
                  </a:graphic>
                </wp:anchor>
              </w:drawing>
            </w:r>
            <w:r>
              <w:rPr>
                <w:color w:val="auto"/>
                <w:sz w:val="24"/>
                <w:highlight w:val="none"/>
              </w:rPr>
              <w:drawing>
                <wp:anchor distT="0" distB="0" distL="114300" distR="114300" simplePos="0" relativeHeight="251662336" behindDoc="0" locked="0" layoutInCell="1" allowOverlap="1">
                  <wp:simplePos x="0" y="0"/>
                  <wp:positionH relativeFrom="column">
                    <wp:posOffset>290195</wp:posOffset>
                  </wp:positionH>
                  <wp:positionV relativeFrom="paragraph">
                    <wp:posOffset>17145</wp:posOffset>
                  </wp:positionV>
                  <wp:extent cx="1875790" cy="351155"/>
                  <wp:effectExtent l="0" t="0" r="10160" b="11430"/>
                  <wp:wrapTopAndBottom/>
                  <wp:docPr id="25" name="图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96"/>
                          <pic:cNvPicPr>
                            <a:picLocks noChangeAspect="1"/>
                          </pic:cNvPicPr>
                        </pic:nvPicPr>
                        <pic:blipFill>
                          <a:blip r:embed="rId19"/>
                          <a:stretch>
                            <a:fillRect/>
                          </a:stretch>
                        </pic:blipFill>
                        <pic:spPr>
                          <a:xfrm>
                            <a:off x="0" y="0"/>
                            <a:ext cx="1875790" cy="351155"/>
                          </a:xfrm>
                          <a:prstGeom prst="rect">
                            <a:avLst/>
                          </a:prstGeom>
                          <a:noFill/>
                          <a:ln>
                            <a:noFill/>
                          </a:ln>
                        </pic:spPr>
                      </pic:pic>
                    </a:graphicData>
                  </a:graphic>
                </wp:anchor>
              </w:drawing>
            </w:r>
            <w:r>
              <w:rPr>
                <w:color w:val="auto"/>
                <w:sz w:val="24"/>
                <w:highlight w:val="none"/>
              </w:rPr>
              <w:t>式中：</w:t>
            </w:r>
          </w:p>
          <w:p w14:paraId="45A700B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eastAsia="宋体"/>
                <w:color w:val="auto"/>
                <w:sz w:val="24"/>
                <w:highlight w:val="none"/>
                <w:lang w:val="en-US" w:eastAsia="zh-CN"/>
              </w:rPr>
            </w:pPr>
            <w:r>
              <w:rPr>
                <w:color w:val="auto"/>
                <w:sz w:val="24"/>
                <w:highlight w:val="none"/>
              </w:rPr>
              <w:drawing>
                <wp:inline distT="0" distB="0" distL="114300" distR="114300">
                  <wp:extent cx="213360" cy="243840"/>
                  <wp:effectExtent l="0" t="0" r="0" b="3175"/>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pic:cNvPicPr>
                            <a:picLocks noChangeAspect="1"/>
                          </pic:cNvPicPr>
                        </pic:nvPicPr>
                        <pic:blipFill>
                          <a:blip r:embed="rId20"/>
                          <a:stretch>
                            <a:fillRect/>
                          </a:stretch>
                        </pic:blipFill>
                        <pic:spPr>
                          <a:xfrm>
                            <a:off x="0" y="0"/>
                            <a:ext cx="213360" cy="243840"/>
                          </a:xfrm>
                          <a:prstGeom prst="rect">
                            <a:avLst/>
                          </a:prstGeom>
                          <a:noFill/>
                          <a:ln>
                            <a:noFill/>
                          </a:ln>
                        </pic:spPr>
                      </pic:pic>
                    </a:graphicData>
                  </a:graphic>
                </wp:inline>
              </w:drawing>
            </w:r>
            <w:r>
              <w:rPr>
                <w:color w:val="auto"/>
                <w:sz w:val="24"/>
                <w:highlight w:val="none"/>
              </w:rPr>
              <w:t>——道路扬尘量（kg/km·辆）；</w:t>
            </w:r>
          </w:p>
          <w:p w14:paraId="20EA939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eastAsia="宋体"/>
                <w:color w:val="auto"/>
                <w:sz w:val="24"/>
                <w:highlight w:val="none"/>
                <w:lang w:val="en-US" w:eastAsia="zh-CN"/>
              </w:rPr>
            </w:pPr>
            <w:r>
              <w:rPr>
                <w:color w:val="auto"/>
                <w:sz w:val="24"/>
                <w:highlight w:val="none"/>
              </w:rPr>
              <w:drawing>
                <wp:inline distT="0" distB="0" distL="114300" distR="114300">
                  <wp:extent cx="213360" cy="243840"/>
                  <wp:effectExtent l="0" t="0" r="0" b="3175"/>
                  <wp:docPr id="4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1"/>
                          <pic:cNvPicPr>
                            <a:picLocks noChangeAspect="1"/>
                          </pic:cNvPicPr>
                        </pic:nvPicPr>
                        <pic:blipFill>
                          <a:blip r:embed="rId21"/>
                          <a:stretch>
                            <a:fillRect/>
                          </a:stretch>
                        </pic:blipFill>
                        <pic:spPr>
                          <a:xfrm>
                            <a:off x="0" y="0"/>
                            <a:ext cx="213360" cy="243840"/>
                          </a:xfrm>
                          <a:prstGeom prst="rect">
                            <a:avLst/>
                          </a:prstGeom>
                          <a:noFill/>
                          <a:ln>
                            <a:noFill/>
                          </a:ln>
                        </pic:spPr>
                      </pic:pic>
                    </a:graphicData>
                  </a:graphic>
                </wp:inline>
              </w:drawing>
            </w:r>
            <w:r>
              <w:rPr>
                <w:color w:val="auto"/>
                <w:sz w:val="24"/>
                <w:highlight w:val="none"/>
              </w:rPr>
              <w:t>——总扬尘量（kg/a）；</w:t>
            </w:r>
          </w:p>
          <w:p w14:paraId="38C3B70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eastAsia="宋体"/>
                <w:color w:val="auto"/>
                <w:sz w:val="24"/>
                <w:highlight w:val="none"/>
                <w:lang w:val="en-US" w:eastAsia="zh-CN"/>
              </w:rPr>
            </w:pPr>
            <w:r>
              <w:rPr>
                <w:color w:val="auto"/>
                <w:sz w:val="24"/>
                <w:highlight w:val="none"/>
              </w:rPr>
              <w:drawing>
                <wp:inline distT="0" distB="0" distL="114300" distR="114300">
                  <wp:extent cx="152400" cy="175260"/>
                  <wp:effectExtent l="0" t="0" r="0" b="15875"/>
                  <wp:docPr id="4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2"/>
                          <pic:cNvPicPr>
                            <a:picLocks noChangeAspect="1"/>
                          </pic:cNvPicPr>
                        </pic:nvPicPr>
                        <pic:blipFill>
                          <a:blip r:embed="rId22"/>
                          <a:stretch>
                            <a:fillRect/>
                          </a:stretch>
                        </pic:blipFill>
                        <pic:spPr>
                          <a:xfrm>
                            <a:off x="0" y="0"/>
                            <a:ext cx="152400" cy="175260"/>
                          </a:xfrm>
                          <a:prstGeom prst="rect">
                            <a:avLst/>
                          </a:prstGeom>
                          <a:noFill/>
                          <a:ln>
                            <a:noFill/>
                          </a:ln>
                        </pic:spPr>
                      </pic:pic>
                    </a:graphicData>
                  </a:graphic>
                </wp:inline>
              </w:drawing>
            </w:r>
            <w:r>
              <w:rPr>
                <w:color w:val="auto"/>
                <w:sz w:val="24"/>
                <w:highlight w:val="none"/>
              </w:rPr>
              <w:t>——车辆速度（20km/h）；</w:t>
            </w:r>
          </w:p>
          <w:p w14:paraId="06DF0F6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eastAsia="宋体"/>
                <w:color w:val="auto"/>
                <w:sz w:val="24"/>
                <w:highlight w:val="none"/>
                <w:lang w:val="en-US" w:eastAsia="zh-CN"/>
              </w:rPr>
            </w:pPr>
            <w:r>
              <w:rPr>
                <w:color w:val="auto"/>
                <w:sz w:val="24"/>
                <w:highlight w:val="none"/>
              </w:rPr>
              <w:drawing>
                <wp:inline distT="0" distB="0" distL="114300" distR="114300">
                  <wp:extent cx="205740" cy="167640"/>
                  <wp:effectExtent l="0" t="0" r="0" b="2540"/>
                  <wp:docPr id="7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3"/>
                          <pic:cNvPicPr>
                            <a:picLocks noChangeAspect="1"/>
                          </pic:cNvPicPr>
                        </pic:nvPicPr>
                        <pic:blipFill>
                          <a:blip r:embed="rId23"/>
                          <a:stretch>
                            <a:fillRect/>
                          </a:stretch>
                        </pic:blipFill>
                        <pic:spPr>
                          <a:xfrm>
                            <a:off x="0" y="0"/>
                            <a:ext cx="205740" cy="167640"/>
                          </a:xfrm>
                          <a:prstGeom prst="rect">
                            <a:avLst/>
                          </a:prstGeom>
                          <a:noFill/>
                          <a:ln>
                            <a:noFill/>
                          </a:ln>
                        </pic:spPr>
                      </pic:pic>
                    </a:graphicData>
                  </a:graphic>
                </wp:inline>
              </w:drawing>
            </w:r>
            <w:r>
              <w:rPr>
                <w:color w:val="auto"/>
                <w:sz w:val="24"/>
                <w:highlight w:val="none"/>
              </w:rPr>
              <w:t>——车辆载重（</w:t>
            </w:r>
            <w:r>
              <w:rPr>
                <w:rFonts w:hint="eastAsia"/>
                <w:color w:val="auto"/>
                <w:sz w:val="24"/>
                <w:highlight w:val="none"/>
                <w:lang w:val="en-US" w:eastAsia="zh-CN"/>
              </w:rPr>
              <w:t>30</w:t>
            </w:r>
            <w:r>
              <w:rPr>
                <w:color w:val="auto"/>
                <w:sz w:val="24"/>
                <w:highlight w:val="none"/>
              </w:rPr>
              <w:t>t/辆）；</w:t>
            </w:r>
          </w:p>
          <w:p w14:paraId="45CFA27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eastAsia="宋体"/>
                <w:color w:val="auto"/>
                <w:sz w:val="24"/>
                <w:highlight w:val="none"/>
                <w:lang w:val="en-US" w:eastAsia="zh-CN"/>
              </w:rPr>
            </w:pPr>
            <w:r>
              <w:rPr>
                <w:color w:val="auto"/>
                <w:sz w:val="24"/>
                <w:highlight w:val="none"/>
              </w:rPr>
              <w:drawing>
                <wp:inline distT="0" distB="0" distL="114300" distR="114300">
                  <wp:extent cx="152400" cy="167640"/>
                  <wp:effectExtent l="0" t="0" r="0" b="2540"/>
                  <wp:docPr id="7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4"/>
                          <pic:cNvPicPr>
                            <a:picLocks noChangeAspect="1"/>
                          </pic:cNvPicPr>
                        </pic:nvPicPr>
                        <pic:blipFill>
                          <a:blip r:embed="rId24"/>
                          <a:stretch>
                            <a:fillRect/>
                          </a:stretch>
                        </pic:blipFill>
                        <pic:spPr>
                          <a:xfrm>
                            <a:off x="0" y="0"/>
                            <a:ext cx="152400" cy="167640"/>
                          </a:xfrm>
                          <a:prstGeom prst="rect">
                            <a:avLst/>
                          </a:prstGeom>
                          <a:noFill/>
                          <a:ln>
                            <a:noFill/>
                          </a:ln>
                        </pic:spPr>
                      </pic:pic>
                    </a:graphicData>
                  </a:graphic>
                </wp:inline>
              </w:drawing>
            </w:r>
            <w:r>
              <w:rPr>
                <w:color w:val="auto"/>
                <w:sz w:val="24"/>
                <w:highlight w:val="none"/>
              </w:rPr>
              <w:t>——路面灰尘覆盖量（0.</w:t>
            </w:r>
            <w:r>
              <w:rPr>
                <w:rFonts w:hint="eastAsia"/>
                <w:color w:val="auto"/>
                <w:sz w:val="24"/>
                <w:highlight w:val="none"/>
              </w:rPr>
              <w:t>2</w:t>
            </w:r>
            <w:r>
              <w:rPr>
                <w:color w:val="auto"/>
                <w:sz w:val="24"/>
                <w:highlight w:val="none"/>
              </w:rPr>
              <w:t>kg/m</w:t>
            </w:r>
            <w:r>
              <w:rPr>
                <w:color w:val="auto"/>
                <w:sz w:val="24"/>
                <w:highlight w:val="none"/>
                <w:vertAlign w:val="superscript"/>
              </w:rPr>
              <w:t>2</w:t>
            </w:r>
            <w:r>
              <w:rPr>
                <w:color w:val="auto"/>
                <w:sz w:val="24"/>
                <w:highlight w:val="none"/>
              </w:rPr>
              <w:t>）；</w:t>
            </w:r>
          </w:p>
          <w:p w14:paraId="3D8A5B3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color w:val="auto"/>
                <w:sz w:val="24"/>
                <w:highlight w:val="none"/>
              </w:rPr>
            </w:pPr>
            <w:r>
              <w:rPr>
                <w:color w:val="auto"/>
                <w:sz w:val="24"/>
                <w:highlight w:val="none"/>
              </w:rPr>
              <w:drawing>
                <wp:inline distT="0" distB="0" distL="114300" distR="114300">
                  <wp:extent cx="137160" cy="167640"/>
                  <wp:effectExtent l="0" t="0" r="15240" b="254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25"/>
                          <a:stretch>
                            <a:fillRect/>
                          </a:stretch>
                        </pic:blipFill>
                        <pic:spPr>
                          <a:xfrm>
                            <a:off x="0" y="0"/>
                            <a:ext cx="137160" cy="167640"/>
                          </a:xfrm>
                          <a:prstGeom prst="rect">
                            <a:avLst/>
                          </a:prstGeom>
                          <a:noFill/>
                          <a:ln>
                            <a:noFill/>
                          </a:ln>
                        </pic:spPr>
                      </pic:pic>
                    </a:graphicData>
                  </a:graphic>
                </wp:inline>
              </w:drawing>
            </w:r>
            <w:r>
              <w:rPr>
                <w:color w:val="auto"/>
                <w:sz w:val="24"/>
                <w:highlight w:val="none"/>
              </w:rPr>
              <w:t>——运距（0.</w:t>
            </w:r>
            <w:r>
              <w:rPr>
                <w:rFonts w:hint="eastAsia"/>
                <w:color w:val="auto"/>
                <w:sz w:val="24"/>
                <w:highlight w:val="none"/>
              </w:rPr>
              <w:t>1</w:t>
            </w:r>
            <w:r>
              <w:rPr>
                <w:color w:val="auto"/>
                <w:sz w:val="24"/>
                <w:highlight w:val="none"/>
              </w:rPr>
              <w:t>km）；</w:t>
            </w:r>
          </w:p>
          <w:p w14:paraId="0559C1C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eastAsia="宋体"/>
                <w:color w:val="auto"/>
                <w:sz w:val="24"/>
                <w:highlight w:val="none"/>
                <w:lang w:val="en-US" w:eastAsia="zh-CN"/>
              </w:rPr>
            </w:pPr>
            <w:r>
              <w:rPr>
                <w:color w:val="auto"/>
                <w:sz w:val="24"/>
                <w:highlight w:val="none"/>
              </w:rPr>
              <w:t>Q——运输量（</w:t>
            </w:r>
            <w:r>
              <w:rPr>
                <w:rFonts w:hint="eastAsia"/>
                <w:color w:val="auto"/>
                <w:sz w:val="24"/>
                <w:highlight w:val="none"/>
                <w:lang w:val="en-US" w:eastAsia="zh-CN"/>
              </w:rPr>
              <w:t>约30</w:t>
            </w:r>
            <w:r>
              <w:rPr>
                <w:rFonts w:hint="eastAsia"/>
                <w:color w:val="auto"/>
                <w:sz w:val="24"/>
                <w:highlight w:val="none"/>
              </w:rPr>
              <w:t>万</w:t>
            </w:r>
            <w:r>
              <w:rPr>
                <w:color w:val="auto"/>
                <w:sz w:val="24"/>
                <w:highlight w:val="none"/>
              </w:rPr>
              <w:t>t/a）。</w:t>
            </w:r>
          </w:p>
          <w:p w14:paraId="1A5660A5">
            <w:pPr>
              <w:pStyle w:val="19"/>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textAlignment w:val="auto"/>
              <w:rPr>
                <w:color w:val="auto"/>
                <w:sz w:val="24"/>
                <w:highlight w:val="none"/>
              </w:rPr>
            </w:pPr>
            <w:r>
              <w:rPr>
                <w:rFonts w:hint="eastAsia"/>
                <w:color w:val="auto"/>
                <w:sz w:val="24"/>
                <w:highlight w:val="none"/>
              </w:rPr>
              <w:t>经计算，本</w:t>
            </w:r>
            <w:r>
              <w:rPr>
                <w:rFonts w:hint="eastAsia"/>
                <w:color w:val="auto"/>
                <w:sz w:val="24"/>
                <w:highlight w:val="none"/>
                <w:lang w:val="en-US" w:eastAsia="zh-CN"/>
              </w:rPr>
              <w:t>工序</w:t>
            </w:r>
            <w:r>
              <w:rPr>
                <w:rFonts w:hint="eastAsia"/>
                <w:color w:val="auto"/>
                <w:sz w:val="24"/>
                <w:highlight w:val="none"/>
              </w:rPr>
              <w:t>运输道路粉尘产生量共计</w:t>
            </w:r>
            <w:r>
              <w:rPr>
                <w:rFonts w:hint="eastAsia"/>
                <w:color w:val="auto"/>
                <w:sz w:val="24"/>
                <w:highlight w:val="none"/>
                <w:lang w:val="en-US" w:eastAsia="zh-CN"/>
              </w:rPr>
              <w:t>0.9</w:t>
            </w:r>
            <w:r>
              <w:rPr>
                <w:rFonts w:hint="eastAsia"/>
                <w:color w:val="auto"/>
                <w:sz w:val="24"/>
                <w:highlight w:val="none"/>
              </w:rPr>
              <w:t>t/a。环评要求项目区内道路硬化，在易起尘路段应减速慢行，</w:t>
            </w:r>
            <w:r>
              <w:rPr>
                <w:rFonts w:hint="eastAsia"/>
                <w:color w:val="auto"/>
                <w:sz w:val="24"/>
                <w:highlight w:val="none"/>
                <w:lang w:val="en-US" w:eastAsia="zh-CN"/>
              </w:rPr>
              <w:t>运输过程中加盖篷布，限制超载，</w:t>
            </w:r>
            <w:r>
              <w:rPr>
                <w:rFonts w:hint="eastAsia"/>
                <w:color w:val="auto"/>
                <w:sz w:val="24"/>
                <w:highlight w:val="none"/>
              </w:rPr>
              <w:t>杜绝抛洒；在本项目区内设置一洗车平台，对进出车辆进行清洗，并配置洒水车对</w:t>
            </w:r>
            <w:r>
              <w:rPr>
                <w:rFonts w:hint="eastAsia"/>
                <w:color w:val="auto"/>
                <w:sz w:val="24"/>
                <w:highlight w:val="none"/>
                <w:lang w:val="en-US" w:eastAsia="zh-CN"/>
              </w:rPr>
              <w:t>厂内</w:t>
            </w:r>
            <w:r>
              <w:rPr>
                <w:rFonts w:hint="eastAsia"/>
                <w:color w:val="auto"/>
                <w:sz w:val="24"/>
                <w:highlight w:val="none"/>
              </w:rPr>
              <w:t>运输路段定期洒水，保持路面湿润，从而减少运输扬尘的产生。采取以上</w:t>
            </w:r>
            <w:r>
              <w:rPr>
                <w:rFonts w:hint="eastAsia"/>
                <w:color w:val="auto"/>
                <w:sz w:val="24"/>
                <w:highlight w:val="none"/>
                <w:lang w:val="en-US" w:eastAsia="zh-CN"/>
              </w:rPr>
              <w:t>防治</w:t>
            </w:r>
            <w:r>
              <w:rPr>
                <w:rFonts w:hint="eastAsia"/>
                <w:color w:val="auto"/>
                <w:sz w:val="24"/>
                <w:highlight w:val="none"/>
              </w:rPr>
              <w:t>措施后，运输扬尘产生量可减少90%，故本项目运输粉尘的排放量为</w:t>
            </w:r>
            <w:r>
              <w:rPr>
                <w:rFonts w:hint="eastAsia"/>
                <w:color w:val="auto"/>
                <w:sz w:val="24"/>
                <w:highlight w:val="none"/>
                <w:lang w:val="en-US" w:eastAsia="zh-CN"/>
              </w:rPr>
              <w:t>0.09</w:t>
            </w:r>
            <w:r>
              <w:rPr>
                <w:rFonts w:hint="eastAsia"/>
                <w:color w:val="auto"/>
                <w:sz w:val="24"/>
                <w:highlight w:val="none"/>
              </w:rPr>
              <w:t>t/a。</w:t>
            </w:r>
          </w:p>
          <w:p w14:paraId="3A4A9B5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color w:val="auto"/>
                <w:sz w:val="24"/>
                <w:highlight w:val="none"/>
                <w:lang w:val="en-US" w:eastAsia="zh-CN"/>
              </w:rPr>
            </w:pPr>
            <w:r>
              <w:rPr>
                <w:rFonts w:hint="eastAsia"/>
                <w:color w:val="auto"/>
                <w:sz w:val="24"/>
                <w:szCs w:val="24"/>
                <w:highlight w:val="none"/>
                <w:lang w:val="en-US" w:eastAsia="zh-CN"/>
              </w:rPr>
              <w:t>G5：车间内原料装卸</w:t>
            </w:r>
          </w:p>
          <w:p w14:paraId="112E052F">
            <w:pPr>
              <w:pStyle w:val="19"/>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textAlignment w:val="auto"/>
              <w:rPr>
                <w:color w:val="auto"/>
                <w:sz w:val="24"/>
                <w:highlight w:val="none"/>
              </w:rPr>
            </w:pPr>
            <w:r>
              <w:rPr>
                <w:rFonts w:hint="eastAsia"/>
                <w:color w:val="auto"/>
                <w:sz w:val="24"/>
                <w:highlight w:val="none"/>
                <w:lang w:val="en-US" w:eastAsia="zh-CN"/>
              </w:rPr>
              <w:t>原料装卸时</w:t>
            </w:r>
            <w:r>
              <w:rPr>
                <w:rFonts w:hint="eastAsia"/>
                <w:color w:val="auto"/>
                <w:sz w:val="24"/>
                <w:highlight w:val="none"/>
              </w:rPr>
              <w:t>产生的粉尘量，依据刘敬严、张良璧等人译著的《逸散性工业粉尘控制技术》中“物料的装卸运输”部分，粒料卸料过程粉尘产生系数为0.01kg/t，本</w:t>
            </w:r>
            <w:r>
              <w:rPr>
                <w:rFonts w:hint="eastAsia"/>
                <w:color w:val="auto"/>
                <w:sz w:val="24"/>
                <w:highlight w:val="none"/>
                <w:lang w:val="en-US" w:eastAsia="zh-CN"/>
              </w:rPr>
              <w:t>工序外购石子的</w:t>
            </w:r>
            <w:r>
              <w:rPr>
                <w:rFonts w:hint="eastAsia"/>
                <w:color w:val="auto"/>
                <w:sz w:val="24"/>
                <w:highlight w:val="none"/>
              </w:rPr>
              <w:t>年用量共计</w:t>
            </w:r>
            <w:r>
              <w:rPr>
                <w:rFonts w:hint="eastAsia"/>
                <w:color w:val="auto"/>
                <w:sz w:val="24"/>
                <w:highlight w:val="none"/>
                <w:lang w:val="en-US" w:eastAsia="zh-CN"/>
              </w:rPr>
              <w:t>20.1902</w:t>
            </w:r>
            <w:r>
              <w:rPr>
                <w:rFonts w:hint="eastAsia"/>
                <w:color w:val="auto"/>
                <w:sz w:val="24"/>
                <w:highlight w:val="none"/>
              </w:rPr>
              <w:t>万吨</w:t>
            </w:r>
            <w:r>
              <w:rPr>
                <w:rFonts w:hint="eastAsia"/>
                <w:color w:val="auto"/>
                <w:sz w:val="24"/>
                <w:highlight w:val="none"/>
                <w:lang w:eastAsia="zh-CN"/>
              </w:rPr>
              <w:t>，</w:t>
            </w:r>
            <w:r>
              <w:rPr>
                <w:rFonts w:hint="eastAsia"/>
                <w:color w:val="auto"/>
                <w:sz w:val="24"/>
                <w:highlight w:val="none"/>
              </w:rPr>
              <w:t>则计算得</w:t>
            </w:r>
            <w:r>
              <w:rPr>
                <w:rFonts w:hint="eastAsia"/>
                <w:color w:val="auto"/>
                <w:sz w:val="24"/>
                <w:highlight w:val="none"/>
                <w:lang w:val="en-US" w:eastAsia="zh-CN"/>
              </w:rPr>
              <w:t>原料装卸</w:t>
            </w:r>
            <w:r>
              <w:rPr>
                <w:rFonts w:hint="eastAsia"/>
                <w:color w:val="auto"/>
                <w:sz w:val="24"/>
                <w:highlight w:val="none"/>
              </w:rPr>
              <w:t>粉尘产生量为</w:t>
            </w:r>
            <w:r>
              <w:rPr>
                <w:rFonts w:hint="eastAsia"/>
                <w:color w:val="auto"/>
                <w:sz w:val="24"/>
                <w:highlight w:val="none"/>
                <w:lang w:val="en-US" w:eastAsia="zh-CN"/>
              </w:rPr>
              <w:t>2.02</w:t>
            </w:r>
            <w:r>
              <w:rPr>
                <w:rFonts w:hint="eastAsia"/>
                <w:color w:val="auto"/>
                <w:sz w:val="24"/>
                <w:highlight w:val="none"/>
              </w:rPr>
              <w:t>t/a。</w:t>
            </w:r>
          </w:p>
          <w:p w14:paraId="1422A9A4">
            <w:pPr>
              <w:pStyle w:val="19"/>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color w:val="auto"/>
                <w:sz w:val="24"/>
                <w:szCs w:val="24"/>
                <w:highlight w:val="none"/>
                <w:lang w:val="en-US" w:eastAsia="zh-CN"/>
              </w:rPr>
            </w:pPr>
            <w:r>
              <w:rPr>
                <w:rFonts w:hint="eastAsia"/>
                <w:color w:val="auto"/>
                <w:sz w:val="24"/>
                <w:highlight w:val="none"/>
              </w:rPr>
              <w:t>通过</w:t>
            </w:r>
            <w:r>
              <w:rPr>
                <w:color w:val="auto"/>
                <w:sz w:val="24"/>
                <w:highlight w:val="none"/>
              </w:rPr>
              <w:t>采取</w:t>
            </w:r>
            <w:r>
              <w:rPr>
                <w:rFonts w:hint="eastAsia"/>
                <w:color w:val="auto"/>
                <w:sz w:val="24"/>
                <w:highlight w:val="none"/>
                <w:lang w:val="en-US" w:eastAsia="zh-CN"/>
              </w:rPr>
              <w:t>有效</w:t>
            </w:r>
            <w:r>
              <w:rPr>
                <w:color w:val="auto"/>
                <w:sz w:val="24"/>
                <w:highlight w:val="none"/>
              </w:rPr>
              <w:t>措施</w:t>
            </w:r>
            <w:r>
              <w:rPr>
                <w:rFonts w:hint="eastAsia"/>
                <w:color w:val="auto"/>
                <w:sz w:val="24"/>
                <w:highlight w:val="none"/>
              </w:rPr>
              <w:t>，卸料粉尘产生量可</w:t>
            </w:r>
            <w:r>
              <w:rPr>
                <w:color w:val="auto"/>
                <w:sz w:val="24"/>
                <w:highlight w:val="none"/>
              </w:rPr>
              <w:t>减少</w:t>
            </w:r>
            <w:r>
              <w:rPr>
                <w:rFonts w:hint="eastAsia"/>
                <w:color w:val="auto"/>
                <w:sz w:val="24"/>
                <w:highlight w:val="none"/>
              </w:rPr>
              <w:t>90</w:t>
            </w:r>
            <w:r>
              <w:rPr>
                <w:color w:val="auto"/>
                <w:sz w:val="24"/>
                <w:highlight w:val="none"/>
              </w:rPr>
              <w:t>%，则</w:t>
            </w:r>
            <w:r>
              <w:rPr>
                <w:rFonts w:hint="eastAsia"/>
                <w:color w:val="auto"/>
                <w:sz w:val="24"/>
                <w:highlight w:val="none"/>
              </w:rPr>
              <w:t>卸料粉尘排放量</w:t>
            </w:r>
            <w:r>
              <w:rPr>
                <w:color w:val="auto"/>
                <w:sz w:val="24"/>
                <w:highlight w:val="none"/>
              </w:rPr>
              <w:t>为</w:t>
            </w:r>
            <w:r>
              <w:rPr>
                <w:rFonts w:hint="eastAsia"/>
                <w:color w:val="auto"/>
                <w:sz w:val="24"/>
                <w:highlight w:val="none"/>
                <w:lang w:val="en-US" w:eastAsia="zh-CN"/>
              </w:rPr>
              <w:t>0.202</w:t>
            </w:r>
            <w:r>
              <w:rPr>
                <w:color w:val="auto"/>
                <w:sz w:val="24"/>
                <w:highlight w:val="none"/>
              </w:rPr>
              <w:t>t/a。</w:t>
            </w:r>
          </w:p>
          <w:p w14:paraId="682A0F9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G6：上料过程、搅拌机进料中产生的粉尘</w:t>
            </w:r>
          </w:p>
          <w:p w14:paraId="10BB45D1">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本工序石子、水洗砂上料过程中会产生颗粒物，</w:t>
            </w:r>
            <w:r>
              <w:rPr>
                <w:rFonts w:hint="eastAsia" w:ascii="Times New Roman" w:hAnsi="Times New Roman" w:eastAsia="宋体" w:cs="Times New Roman"/>
                <w:color w:val="auto"/>
                <w:sz w:val="24"/>
                <w:szCs w:val="24"/>
                <w:highlight w:val="none"/>
                <w:lang w:val="en-US" w:eastAsia="zh-CN"/>
              </w:rPr>
              <w:t>参照《第二次全国污染源普查工业污染源产排污系数手册》“3021水泥制品制造（含 3022 砼结构构件、3029 其他水泥类似制品制造）行业系数表”中“</w:t>
            </w:r>
            <w:r>
              <w:rPr>
                <w:rFonts w:hint="eastAsia" w:cs="Times New Roman"/>
                <w:color w:val="auto"/>
                <w:sz w:val="24"/>
                <w:szCs w:val="24"/>
                <w:highlight w:val="none"/>
                <w:lang w:val="en-US" w:eastAsia="zh-CN"/>
              </w:rPr>
              <w:t>物料输送储存</w:t>
            </w:r>
            <w:r>
              <w:rPr>
                <w:rFonts w:hint="eastAsia" w:ascii="Times New Roman" w:hAnsi="Times New Roman" w:eastAsia="宋体" w:cs="Times New Roman"/>
                <w:color w:val="auto"/>
                <w:sz w:val="24"/>
                <w:szCs w:val="24"/>
                <w:highlight w:val="none"/>
                <w:lang w:val="en-US" w:eastAsia="zh-CN"/>
              </w:rPr>
              <w:t>”过程中</w:t>
            </w:r>
            <w:r>
              <w:rPr>
                <w:rFonts w:hint="eastAsia" w:cs="Times New Roman"/>
                <w:color w:val="auto"/>
                <w:sz w:val="24"/>
                <w:szCs w:val="24"/>
                <w:highlight w:val="none"/>
                <w:lang w:val="en-US" w:eastAsia="zh-CN"/>
              </w:rPr>
              <w:t>颗粒物</w:t>
            </w:r>
            <w:r>
              <w:rPr>
                <w:rFonts w:hint="eastAsia" w:ascii="Times New Roman" w:hAnsi="Times New Roman" w:eastAsia="宋体" w:cs="Times New Roman"/>
                <w:color w:val="auto"/>
                <w:sz w:val="24"/>
                <w:szCs w:val="24"/>
                <w:highlight w:val="none"/>
                <w:lang w:val="en-US" w:eastAsia="zh-CN"/>
              </w:rPr>
              <w:t>产污系数为</w:t>
            </w:r>
            <w:r>
              <w:rPr>
                <w:rFonts w:hint="eastAsia" w:cs="Times New Roman"/>
                <w:color w:val="auto"/>
                <w:sz w:val="24"/>
                <w:szCs w:val="24"/>
                <w:highlight w:val="none"/>
                <w:lang w:val="en-US" w:eastAsia="zh-CN"/>
              </w:rPr>
              <w:t>0.19</w:t>
            </w:r>
            <w:r>
              <w:rPr>
                <w:rFonts w:hint="eastAsia" w:ascii="Times New Roman" w:hAnsi="Times New Roman" w:eastAsia="宋体" w:cs="Times New Roman"/>
                <w:color w:val="auto"/>
                <w:sz w:val="24"/>
                <w:szCs w:val="24"/>
                <w:highlight w:val="none"/>
                <w:lang w:val="en-US" w:eastAsia="zh-CN"/>
              </w:rPr>
              <w:t>kg/t-原料</w:t>
            </w:r>
            <w:r>
              <w:rPr>
                <w:rFonts w:hint="eastAsia"/>
                <w:color w:val="auto"/>
                <w:sz w:val="24"/>
                <w:highlight w:val="none"/>
                <w:lang w:val="en-US" w:eastAsia="zh-CN"/>
              </w:rPr>
              <w:t>计算，该生产线石子、水洗砂的年用量为28.8302万t/a，则上料过程中粉尘的产生量为54.78t/a。</w:t>
            </w:r>
          </w:p>
          <w:p w14:paraId="30D7AF7E">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firstLine="480" w:firstLineChars="200"/>
              <w:textAlignment w:val="auto"/>
              <w:rPr>
                <w:rFonts w:hint="default"/>
                <w:color w:val="auto"/>
                <w:sz w:val="24"/>
                <w:highlight w:val="none"/>
                <w:lang w:val="en-US" w:eastAsia="zh-CN"/>
              </w:rPr>
            </w:pPr>
            <w:r>
              <w:rPr>
                <w:rFonts w:hint="default"/>
                <w:color w:val="auto"/>
                <w:sz w:val="24"/>
                <w:highlight w:val="none"/>
                <w:lang w:val="en-US" w:eastAsia="zh-CN"/>
              </w:rPr>
              <w:t>针对本项目搅拌机进料时产生的粉尘，参照《第二次全国污染源普查产排污核算系数手册》中“3021水泥制品制造（含 3022 砼结构构件、3029 其他水泥类似制品制造）行业系数表”中“物料混合搅拌”过程中颗粒物产污系数为0.523kg/t-产品，本工序水稳料年产量为30万t，则搅拌粉尘产生量为156.9t/a。</w:t>
            </w:r>
          </w:p>
          <w:p w14:paraId="2A132B6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szCs w:val="24"/>
                <w:highlight w:val="none"/>
                <w:lang w:val="en-US" w:eastAsia="zh-CN"/>
              </w:rPr>
            </w:pPr>
            <w:r>
              <w:rPr>
                <w:rFonts w:hint="eastAsia"/>
                <w:color w:val="auto"/>
                <w:sz w:val="24"/>
                <w:highlight w:val="none"/>
                <w:lang w:val="en-US" w:eastAsia="zh-CN"/>
              </w:rPr>
              <w:t>环评要求根据生产线设备设置情况在搅拌机进料口、上料口上方设置集尘罩（三面封闭、投料一侧设置软帘），废气经收集后引至1套布袋除尘器（TA002）处理，</w:t>
            </w:r>
            <w:r>
              <w:rPr>
                <w:rFonts w:hint="eastAsia" w:ascii="Times New Roman" w:hAnsi="Times New Roman" w:eastAsia="宋体" w:cs="Times New Roman"/>
                <w:color w:val="auto"/>
                <w:kern w:val="10"/>
                <w:sz w:val="24"/>
                <w:highlight w:val="none"/>
                <w:lang w:val="en-US" w:eastAsia="zh-CN"/>
              </w:rPr>
              <w:t>后</w:t>
            </w:r>
            <w:r>
              <w:rPr>
                <w:rFonts w:hint="default" w:ascii="Times New Roman" w:hAnsi="Times New Roman" w:eastAsia="宋体" w:cs="Times New Roman"/>
                <w:color w:val="auto"/>
                <w:kern w:val="10"/>
                <w:sz w:val="24"/>
                <w:highlight w:val="none"/>
                <w:lang w:val="en-US" w:eastAsia="zh-CN"/>
              </w:rPr>
              <w:t>通过一根</w:t>
            </w:r>
            <w:r>
              <w:rPr>
                <w:rFonts w:hint="eastAsia" w:cs="Times New Roman"/>
                <w:color w:val="auto"/>
                <w:kern w:val="10"/>
                <w:sz w:val="24"/>
                <w:highlight w:val="none"/>
                <w:lang w:val="en-US" w:eastAsia="zh-CN"/>
              </w:rPr>
              <w:t>26</w:t>
            </w:r>
            <w:r>
              <w:rPr>
                <w:rFonts w:hint="default" w:ascii="Times New Roman" w:hAnsi="Times New Roman" w:eastAsia="宋体" w:cs="Times New Roman"/>
                <w:color w:val="auto"/>
                <w:kern w:val="10"/>
                <w:sz w:val="24"/>
                <w:highlight w:val="none"/>
                <w:lang w:val="en-US" w:eastAsia="zh-CN"/>
              </w:rPr>
              <w:t>m高排气筒</w:t>
            </w:r>
            <w:r>
              <w:rPr>
                <w:rFonts w:hint="eastAsia" w:ascii="Times New Roman" w:hAnsi="Times New Roman" w:eastAsia="宋体" w:cs="Times New Roman"/>
                <w:color w:val="auto"/>
                <w:kern w:val="10"/>
                <w:sz w:val="24"/>
                <w:highlight w:val="none"/>
                <w:lang w:val="en-US" w:eastAsia="zh-CN"/>
              </w:rPr>
              <w:t>（DA0</w:t>
            </w:r>
            <w:r>
              <w:rPr>
                <w:rFonts w:hint="eastAsia" w:cs="Times New Roman"/>
                <w:color w:val="auto"/>
                <w:kern w:val="10"/>
                <w:sz w:val="24"/>
                <w:highlight w:val="none"/>
                <w:lang w:val="en-US" w:eastAsia="zh-CN"/>
              </w:rPr>
              <w:t>02</w:t>
            </w:r>
            <w:r>
              <w:rPr>
                <w:rFonts w:hint="eastAsia" w:ascii="Times New Roman" w:hAnsi="Times New Roman" w:eastAsia="宋体" w:cs="Times New Roman"/>
                <w:color w:val="auto"/>
                <w:kern w:val="10"/>
                <w:sz w:val="24"/>
                <w:highlight w:val="none"/>
                <w:lang w:val="en-US" w:eastAsia="zh-CN"/>
              </w:rPr>
              <w:t>）</w:t>
            </w:r>
            <w:r>
              <w:rPr>
                <w:rFonts w:hint="default" w:ascii="Times New Roman" w:hAnsi="Times New Roman" w:eastAsia="宋体" w:cs="Times New Roman"/>
                <w:color w:val="auto"/>
                <w:kern w:val="10"/>
                <w:sz w:val="24"/>
                <w:highlight w:val="none"/>
                <w:lang w:val="en-US" w:eastAsia="zh-CN"/>
              </w:rPr>
              <w:t>排放。</w:t>
            </w:r>
            <w:r>
              <w:rPr>
                <w:rFonts w:hint="eastAsia"/>
                <w:color w:val="auto"/>
                <w:sz w:val="24"/>
                <w:szCs w:val="24"/>
                <w:highlight w:val="none"/>
                <w:lang w:val="en-US" w:eastAsia="zh-CN"/>
              </w:rPr>
              <w:t>废气量</w:t>
            </w:r>
            <w:r>
              <w:rPr>
                <w:rFonts w:hint="eastAsia"/>
                <w:color w:val="auto"/>
                <w:sz w:val="24"/>
                <w:lang w:val="en-US" w:eastAsia="zh-CN"/>
              </w:rPr>
              <w:t>根据《排风罩的分类及技术条件》（GB/T 16758-2008）、《局部排风设施控制风速检测与评估技术规范》（AQ/T 4274-2016）等要求，在搅拌机进料口、上料口上部设置顶吸式集尘罩</w:t>
            </w:r>
            <w:r>
              <w:rPr>
                <w:rFonts w:hint="default" w:ascii="Times New Roman" w:hAnsi="Times New Roman"/>
                <w:color w:val="auto"/>
                <w:sz w:val="24"/>
                <w:szCs w:val="24"/>
                <w:highlight w:val="none"/>
                <w:lang w:val="en-US" w:eastAsia="zh-CN"/>
              </w:rPr>
              <w:t>，</w:t>
            </w:r>
            <w:r>
              <w:rPr>
                <w:rFonts w:hint="eastAsia" w:ascii="Times New Roman" w:hAnsi="Times New Roman"/>
                <w:color w:val="auto"/>
                <w:sz w:val="24"/>
                <w:szCs w:val="24"/>
                <w:highlight w:val="none"/>
                <w:lang w:val="en-US" w:eastAsia="zh-CN"/>
              </w:rPr>
              <w:t>具体公式为：</w:t>
            </w:r>
          </w:p>
          <w:p w14:paraId="58DFC17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各产尘点设置的排风罩的排风量按下式计算：</w:t>
            </w:r>
          </w:p>
          <w:p w14:paraId="07C3C53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Q=3600Fv</w:t>
            </w:r>
          </w:p>
          <w:p w14:paraId="7B16A75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式中：Q—排风量，m</w:t>
            </w:r>
            <w:r>
              <w:rPr>
                <w:rFonts w:hint="default" w:ascii="Times New Roman" w:hAnsi="Times New Roman"/>
                <w:color w:val="auto"/>
                <w:sz w:val="24"/>
                <w:highlight w:val="none"/>
                <w:vertAlign w:val="superscript"/>
                <w:lang w:val="en-US" w:eastAsia="zh-CN"/>
              </w:rPr>
              <w:t>3</w:t>
            </w:r>
            <w:r>
              <w:rPr>
                <w:rFonts w:hint="default" w:ascii="Times New Roman" w:hAnsi="Times New Roman"/>
                <w:color w:val="auto"/>
                <w:sz w:val="24"/>
                <w:highlight w:val="none"/>
                <w:lang w:val="en-US" w:eastAsia="zh-CN"/>
              </w:rPr>
              <w:t>/h；</w:t>
            </w:r>
          </w:p>
          <w:p w14:paraId="733B55D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v—罩口平均风速，(m/s)；</w:t>
            </w:r>
          </w:p>
          <w:p w14:paraId="3682FDA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F—罩口面积（m</w:t>
            </w:r>
            <w:r>
              <w:rPr>
                <w:rFonts w:hint="default" w:ascii="Times New Roman" w:hAnsi="Times New Roman"/>
                <w:color w:val="auto"/>
                <w:sz w:val="24"/>
                <w:highlight w:val="none"/>
                <w:vertAlign w:val="superscript"/>
                <w:lang w:val="en-US" w:eastAsia="zh-CN"/>
              </w:rPr>
              <w:t>2</w:t>
            </w:r>
            <w:r>
              <w:rPr>
                <w:rFonts w:hint="default" w:ascii="Times New Roman" w:hAnsi="Times New Roman"/>
                <w:color w:val="auto"/>
                <w:sz w:val="24"/>
                <w:highlight w:val="none"/>
                <w:lang w:val="en-US" w:eastAsia="zh-CN"/>
              </w:rPr>
              <w:t>）。</w:t>
            </w:r>
          </w:p>
          <w:p w14:paraId="47EA077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b/>
                <w:bCs/>
                <w:color w:val="auto"/>
                <w:sz w:val="21"/>
                <w:szCs w:val="21"/>
                <w:highlight w:val="none"/>
                <w:lang w:eastAsia="zh-CN"/>
              </w:rPr>
            </w:pPr>
            <w:r>
              <w:rPr>
                <w:rFonts w:hint="default" w:ascii="Times New Roman" w:hAnsi="Times New Roman"/>
                <w:color w:val="auto"/>
                <w:sz w:val="24"/>
                <w:highlight w:val="none"/>
                <w:lang w:val="en-US" w:eastAsia="zh-CN"/>
              </w:rPr>
              <w:t>各产尘点排风罩设置类型及各参数取值情况如下表所示：</w:t>
            </w:r>
          </w:p>
          <w:p w14:paraId="13438A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r>
              <w:rPr>
                <w:rFonts w:hint="default"/>
                <w:b/>
                <w:bCs/>
                <w:color w:val="auto"/>
                <w:sz w:val="21"/>
                <w:szCs w:val="21"/>
                <w:highlight w:val="none"/>
                <w:lang w:eastAsia="zh-CN"/>
              </w:rPr>
              <w:t>表</w:t>
            </w:r>
            <w:r>
              <w:rPr>
                <w:rFonts w:hint="default"/>
                <w:b/>
                <w:bCs/>
                <w:color w:val="auto"/>
                <w:sz w:val="21"/>
                <w:szCs w:val="21"/>
                <w:highlight w:val="none"/>
                <w:lang w:val="en-US" w:eastAsia="zh-CN"/>
              </w:rPr>
              <w:t>4-</w:t>
            </w:r>
            <w:r>
              <w:rPr>
                <w:rFonts w:hint="eastAsia"/>
                <w:b/>
                <w:bCs/>
                <w:color w:val="auto"/>
                <w:sz w:val="21"/>
                <w:szCs w:val="21"/>
                <w:highlight w:val="none"/>
                <w:lang w:val="en-US" w:eastAsia="zh-CN"/>
              </w:rPr>
              <w:t>2</w:t>
            </w:r>
            <w:r>
              <w:rPr>
                <w:rFonts w:hint="default"/>
                <w:b/>
                <w:bCs/>
                <w:color w:val="auto"/>
                <w:sz w:val="21"/>
                <w:szCs w:val="21"/>
                <w:highlight w:val="none"/>
                <w:lang w:val="en-US" w:eastAsia="zh-CN"/>
              </w:rPr>
              <w:t xml:space="preserve">  </w:t>
            </w:r>
            <w:r>
              <w:rPr>
                <w:rFonts w:hint="eastAsia"/>
                <w:b/>
                <w:bCs/>
                <w:color w:val="auto"/>
                <w:sz w:val="21"/>
                <w:szCs w:val="21"/>
                <w:highlight w:val="none"/>
                <w:lang w:val="en-US" w:eastAsia="zh-CN"/>
              </w:rPr>
              <w:t>各产尘点罩口设计风量</w:t>
            </w:r>
            <w:r>
              <w:rPr>
                <w:rFonts w:hint="default"/>
                <w:b/>
                <w:bCs/>
                <w:color w:val="auto"/>
                <w:sz w:val="21"/>
                <w:szCs w:val="21"/>
                <w:highlight w:val="none"/>
              </w:rPr>
              <w:t>一览表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1759"/>
              <w:gridCol w:w="1265"/>
              <w:gridCol w:w="1228"/>
              <w:gridCol w:w="1098"/>
              <w:gridCol w:w="2148"/>
            </w:tblGrid>
            <w:tr w14:paraId="4A54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5" w:type="pct"/>
                  <w:tcBorders>
                    <w:tl2br w:val="nil"/>
                    <w:tr2bl w:val="nil"/>
                  </w:tcBorders>
                  <w:noWrap w:val="0"/>
                  <w:vAlign w:val="center"/>
                </w:tcPr>
                <w:p w14:paraId="7721A69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b w:val="0"/>
                      <w:bCs w:val="0"/>
                      <w:color w:val="auto"/>
                      <w:sz w:val="21"/>
                      <w:szCs w:val="21"/>
                      <w:highlight w:val="none"/>
                      <w:lang w:eastAsia="zh-CN"/>
                    </w:rPr>
                  </w:pPr>
                  <w:r>
                    <w:rPr>
                      <w:rFonts w:hint="eastAsia" w:eastAsia="宋体"/>
                      <w:b w:val="0"/>
                      <w:bCs w:val="0"/>
                      <w:color w:val="auto"/>
                      <w:sz w:val="21"/>
                      <w:szCs w:val="21"/>
                      <w:highlight w:val="none"/>
                      <w:lang w:val="en-US" w:eastAsia="zh-CN"/>
                    </w:rPr>
                    <w:t>产尘点</w:t>
                  </w:r>
                </w:p>
              </w:tc>
              <w:tc>
                <w:tcPr>
                  <w:tcW w:w="1021" w:type="pct"/>
                  <w:tcBorders>
                    <w:tl2br w:val="nil"/>
                    <w:tr2bl w:val="nil"/>
                  </w:tcBorders>
                  <w:noWrap w:val="0"/>
                  <w:vAlign w:val="center"/>
                </w:tcPr>
                <w:p w14:paraId="039666E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rPr>
                  </w:pPr>
                  <w:r>
                    <w:rPr>
                      <w:rFonts w:hint="eastAsia" w:eastAsia="宋体"/>
                      <w:b w:val="0"/>
                      <w:bCs w:val="0"/>
                      <w:color w:val="auto"/>
                      <w:sz w:val="21"/>
                      <w:szCs w:val="21"/>
                      <w:highlight w:val="none"/>
                      <w:lang w:val="en-US" w:eastAsia="zh-CN"/>
                    </w:rPr>
                    <w:t>集尘罩截</w:t>
                  </w:r>
                  <w:r>
                    <w:rPr>
                      <w:rFonts w:hint="default" w:eastAsia="宋体"/>
                      <w:b w:val="0"/>
                      <w:bCs w:val="0"/>
                      <w:color w:val="auto"/>
                      <w:sz w:val="21"/>
                      <w:szCs w:val="21"/>
                      <w:highlight w:val="none"/>
                      <w:lang w:eastAsia="zh-CN"/>
                    </w:rPr>
                    <w:t>面积</w:t>
                  </w:r>
                  <w:r>
                    <w:rPr>
                      <w:rFonts w:hint="default" w:eastAsia="宋体"/>
                      <w:b w:val="0"/>
                      <w:bCs w:val="0"/>
                      <w:color w:val="auto"/>
                      <w:sz w:val="21"/>
                      <w:szCs w:val="21"/>
                      <w:highlight w:val="none"/>
                    </w:rPr>
                    <w:t>（m</w:t>
                  </w:r>
                  <w:r>
                    <w:rPr>
                      <w:rFonts w:hint="default" w:eastAsia="宋体"/>
                      <w:b w:val="0"/>
                      <w:bCs w:val="0"/>
                      <w:color w:val="auto"/>
                      <w:sz w:val="21"/>
                      <w:szCs w:val="21"/>
                      <w:highlight w:val="none"/>
                      <w:vertAlign w:val="superscript"/>
                    </w:rPr>
                    <w:t>2</w:t>
                  </w:r>
                  <w:r>
                    <w:rPr>
                      <w:rFonts w:hint="default" w:eastAsia="宋体"/>
                      <w:b w:val="0"/>
                      <w:bCs w:val="0"/>
                      <w:color w:val="auto"/>
                      <w:sz w:val="21"/>
                      <w:szCs w:val="21"/>
                      <w:highlight w:val="none"/>
                    </w:rPr>
                    <w:t>）</w:t>
                  </w:r>
                </w:p>
              </w:tc>
              <w:tc>
                <w:tcPr>
                  <w:tcW w:w="734" w:type="pct"/>
                  <w:tcBorders>
                    <w:tl2br w:val="nil"/>
                    <w:tr2bl w:val="nil"/>
                  </w:tcBorders>
                  <w:noWrap w:val="0"/>
                  <w:vAlign w:val="center"/>
                </w:tcPr>
                <w:p w14:paraId="1D83E4E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rPr>
                  </w:pPr>
                  <w:r>
                    <w:rPr>
                      <w:rFonts w:hint="eastAsia" w:eastAsia="宋体"/>
                      <w:b w:val="0"/>
                      <w:bCs w:val="0"/>
                      <w:color w:val="auto"/>
                      <w:sz w:val="21"/>
                      <w:szCs w:val="21"/>
                      <w:highlight w:val="none"/>
                      <w:lang w:val="en-US" w:eastAsia="zh-CN"/>
                    </w:rPr>
                    <w:t>罩口控制风速</w:t>
                  </w:r>
                  <w:r>
                    <w:rPr>
                      <w:rFonts w:hint="default" w:eastAsia="宋体"/>
                      <w:b w:val="0"/>
                      <w:bCs w:val="0"/>
                      <w:color w:val="auto"/>
                      <w:sz w:val="21"/>
                      <w:szCs w:val="21"/>
                      <w:highlight w:val="none"/>
                    </w:rPr>
                    <w:t>（m/s）</w:t>
                  </w:r>
                </w:p>
              </w:tc>
              <w:tc>
                <w:tcPr>
                  <w:tcW w:w="713" w:type="pct"/>
                  <w:tcBorders>
                    <w:tl2br w:val="nil"/>
                    <w:tr2bl w:val="nil"/>
                  </w:tcBorders>
                  <w:noWrap w:val="0"/>
                  <w:vAlign w:val="center"/>
                </w:tcPr>
                <w:p w14:paraId="271C06D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rPr>
                  </w:pPr>
                  <w:r>
                    <w:rPr>
                      <w:rFonts w:hint="default" w:eastAsia="宋体"/>
                      <w:b w:val="0"/>
                      <w:bCs w:val="0"/>
                      <w:color w:val="auto"/>
                      <w:sz w:val="21"/>
                      <w:szCs w:val="21"/>
                      <w:highlight w:val="none"/>
                    </w:rPr>
                    <w:t>风量（m</w:t>
                  </w:r>
                  <w:r>
                    <w:rPr>
                      <w:rFonts w:hint="default" w:eastAsia="宋体"/>
                      <w:b w:val="0"/>
                      <w:bCs w:val="0"/>
                      <w:color w:val="auto"/>
                      <w:sz w:val="21"/>
                      <w:szCs w:val="21"/>
                      <w:highlight w:val="none"/>
                      <w:vertAlign w:val="superscript"/>
                    </w:rPr>
                    <w:t>3</w:t>
                  </w:r>
                  <w:r>
                    <w:rPr>
                      <w:rFonts w:hint="default" w:eastAsia="宋体"/>
                      <w:b w:val="0"/>
                      <w:bCs w:val="0"/>
                      <w:color w:val="auto"/>
                      <w:sz w:val="21"/>
                      <w:szCs w:val="21"/>
                      <w:highlight w:val="none"/>
                    </w:rPr>
                    <w:t>/h）</w:t>
                  </w:r>
                </w:p>
              </w:tc>
              <w:tc>
                <w:tcPr>
                  <w:tcW w:w="637" w:type="pct"/>
                  <w:tcBorders>
                    <w:tl2br w:val="nil"/>
                    <w:tr2bl w:val="nil"/>
                  </w:tcBorders>
                  <w:noWrap w:val="0"/>
                  <w:vAlign w:val="center"/>
                </w:tcPr>
                <w:p w14:paraId="0A9B25B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lang w:val="en-US" w:eastAsia="zh-CN"/>
                    </w:rPr>
                  </w:pPr>
                  <w:r>
                    <w:rPr>
                      <w:rFonts w:hint="eastAsia" w:eastAsia="宋体"/>
                      <w:b w:val="0"/>
                      <w:bCs w:val="0"/>
                      <w:color w:val="auto"/>
                      <w:sz w:val="21"/>
                      <w:szCs w:val="21"/>
                      <w:highlight w:val="none"/>
                      <w:lang w:val="en-US" w:eastAsia="zh-CN"/>
                    </w:rPr>
                    <w:t>集尘罩数量（个）</w:t>
                  </w:r>
                </w:p>
              </w:tc>
              <w:tc>
                <w:tcPr>
                  <w:tcW w:w="1247" w:type="pct"/>
                  <w:tcBorders>
                    <w:tl2br w:val="nil"/>
                    <w:tr2bl w:val="nil"/>
                  </w:tcBorders>
                  <w:noWrap w:val="0"/>
                  <w:vAlign w:val="center"/>
                </w:tcPr>
                <w:p w14:paraId="3CCF08E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lang w:val="en-US" w:eastAsia="zh-CN"/>
                    </w:rPr>
                  </w:pPr>
                  <w:r>
                    <w:rPr>
                      <w:rFonts w:hint="eastAsia" w:eastAsia="宋体"/>
                      <w:b w:val="0"/>
                      <w:bCs w:val="0"/>
                      <w:color w:val="auto"/>
                      <w:sz w:val="21"/>
                      <w:szCs w:val="21"/>
                      <w:highlight w:val="none"/>
                      <w:lang w:val="en-US" w:eastAsia="zh-CN"/>
                    </w:rPr>
                    <w:t>排风罩类型</w:t>
                  </w:r>
                </w:p>
              </w:tc>
            </w:tr>
            <w:tr w14:paraId="394B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5" w:type="pct"/>
                  <w:tcBorders>
                    <w:tl2br w:val="nil"/>
                    <w:tr2bl w:val="nil"/>
                  </w:tcBorders>
                  <w:noWrap w:val="0"/>
                  <w:vAlign w:val="center"/>
                </w:tcPr>
                <w:p w14:paraId="4084C97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石子上料口</w:t>
                  </w:r>
                </w:p>
              </w:tc>
              <w:tc>
                <w:tcPr>
                  <w:tcW w:w="1021" w:type="pct"/>
                  <w:tcBorders>
                    <w:tl2br w:val="nil"/>
                    <w:tr2bl w:val="nil"/>
                  </w:tcBorders>
                  <w:noWrap w:val="0"/>
                  <w:vAlign w:val="center"/>
                </w:tcPr>
                <w:p w14:paraId="42A6739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vertAlign w:val="baseline"/>
                      <w:lang w:val="en-US" w:eastAsia="zh-CN" w:bidi="ar-SA"/>
                    </w:rPr>
                  </w:pPr>
                  <w:r>
                    <w:rPr>
                      <w:rFonts w:hint="eastAsia" w:eastAsia="宋体"/>
                      <w:color w:val="auto"/>
                      <w:sz w:val="21"/>
                      <w:szCs w:val="21"/>
                      <w:highlight w:val="none"/>
                      <w:lang w:val="en-US" w:eastAsia="zh-CN"/>
                    </w:rPr>
                    <w:t>0.9</w:t>
                  </w:r>
                  <w:r>
                    <w:rPr>
                      <w:rFonts w:hint="default" w:eastAsia="宋体"/>
                      <w:color w:val="auto"/>
                      <w:sz w:val="21"/>
                      <w:szCs w:val="21"/>
                      <w:highlight w:val="none"/>
                      <w:lang w:val="en-US" w:eastAsia="zh-CN"/>
                    </w:rPr>
                    <w:t>×</w:t>
                  </w:r>
                  <w:r>
                    <w:rPr>
                      <w:rFonts w:hint="eastAsia" w:eastAsia="宋体"/>
                      <w:color w:val="auto"/>
                      <w:sz w:val="21"/>
                      <w:szCs w:val="21"/>
                      <w:highlight w:val="none"/>
                      <w:lang w:val="en-US" w:eastAsia="zh-CN"/>
                    </w:rPr>
                    <w:t>0.6</w:t>
                  </w:r>
                </w:p>
              </w:tc>
              <w:tc>
                <w:tcPr>
                  <w:tcW w:w="734" w:type="pct"/>
                  <w:tcBorders>
                    <w:tl2br w:val="nil"/>
                    <w:tr2bl w:val="nil"/>
                  </w:tcBorders>
                  <w:noWrap w:val="0"/>
                  <w:vAlign w:val="center"/>
                </w:tcPr>
                <w:p w14:paraId="5438886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1.2</w:t>
                  </w:r>
                </w:p>
              </w:tc>
              <w:tc>
                <w:tcPr>
                  <w:tcW w:w="713" w:type="pct"/>
                  <w:tcBorders>
                    <w:tl2br w:val="nil"/>
                    <w:tr2bl w:val="nil"/>
                  </w:tcBorders>
                  <w:noWrap w:val="0"/>
                  <w:vAlign w:val="center"/>
                </w:tcPr>
                <w:p w14:paraId="27C08DD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default" w:eastAsia="宋体"/>
                      <w:color w:val="auto"/>
                      <w:sz w:val="21"/>
                      <w:szCs w:val="21"/>
                      <w:highlight w:val="none"/>
                    </w:rPr>
                    <w:t>≥</w:t>
                  </w:r>
                  <w:r>
                    <w:rPr>
                      <w:rFonts w:hint="eastAsia" w:eastAsia="宋体"/>
                      <w:color w:val="auto"/>
                      <w:sz w:val="21"/>
                      <w:szCs w:val="21"/>
                      <w:highlight w:val="none"/>
                      <w:lang w:val="en-US" w:eastAsia="zh-CN"/>
                    </w:rPr>
                    <w:t>2332.8</w:t>
                  </w:r>
                </w:p>
              </w:tc>
              <w:tc>
                <w:tcPr>
                  <w:tcW w:w="637" w:type="pct"/>
                  <w:tcBorders>
                    <w:tl2br w:val="nil"/>
                    <w:tr2bl w:val="nil"/>
                  </w:tcBorders>
                  <w:noWrap w:val="0"/>
                  <w:vAlign w:val="center"/>
                </w:tcPr>
                <w:p w14:paraId="1292F35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1</w:t>
                  </w:r>
                </w:p>
              </w:tc>
              <w:tc>
                <w:tcPr>
                  <w:tcW w:w="1247" w:type="pct"/>
                  <w:tcBorders>
                    <w:tl2br w:val="nil"/>
                    <w:tr2bl w:val="nil"/>
                  </w:tcBorders>
                  <w:noWrap w:val="0"/>
                  <w:vAlign w:val="center"/>
                </w:tcPr>
                <w:p w14:paraId="6BB7FA8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外部排风罩（顶吸式）</w:t>
                  </w:r>
                </w:p>
              </w:tc>
            </w:tr>
            <w:tr w14:paraId="15B3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5" w:type="pct"/>
                  <w:tcBorders>
                    <w:tl2br w:val="nil"/>
                    <w:tr2bl w:val="nil"/>
                  </w:tcBorders>
                  <w:noWrap w:val="0"/>
                  <w:vAlign w:val="center"/>
                </w:tcPr>
                <w:p w14:paraId="2088ED3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水洗砂上料口</w:t>
                  </w:r>
                </w:p>
              </w:tc>
              <w:tc>
                <w:tcPr>
                  <w:tcW w:w="1021" w:type="pct"/>
                  <w:tcBorders>
                    <w:tl2br w:val="nil"/>
                    <w:tr2bl w:val="nil"/>
                  </w:tcBorders>
                  <w:noWrap w:val="0"/>
                  <w:vAlign w:val="center"/>
                </w:tcPr>
                <w:p w14:paraId="0EBF87E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0.9</w:t>
                  </w:r>
                  <w:r>
                    <w:rPr>
                      <w:rFonts w:hint="default" w:eastAsia="宋体"/>
                      <w:color w:val="auto"/>
                      <w:sz w:val="21"/>
                      <w:szCs w:val="21"/>
                      <w:highlight w:val="none"/>
                      <w:lang w:val="en-US" w:eastAsia="zh-CN"/>
                    </w:rPr>
                    <w:t>×</w:t>
                  </w:r>
                  <w:r>
                    <w:rPr>
                      <w:rFonts w:hint="eastAsia" w:eastAsia="宋体"/>
                      <w:color w:val="auto"/>
                      <w:sz w:val="21"/>
                      <w:szCs w:val="21"/>
                      <w:highlight w:val="none"/>
                      <w:lang w:val="en-US" w:eastAsia="zh-CN"/>
                    </w:rPr>
                    <w:t>0.6</w:t>
                  </w:r>
                </w:p>
              </w:tc>
              <w:tc>
                <w:tcPr>
                  <w:tcW w:w="734" w:type="pct"/>
                  <w:tcBorders>
                    <w:tl2br w:val="nil"/>
                    <w:tr2bl w:val="nil"/>
                  </w:tcBorders>
                  <w:noWrap w:val="0"/>
                  <w:vAlign w:val="center"/>
                </w:tcPr>
                <w:p w14:paraId="42AC364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1.2</w:t>
                  </w:r>
                </w:p>
              </w:tc>
              <w:tc>
                <w:tcPr>
                  <w:tcW w:w="713" w:type="pct"/>
                  <w:tcBorders>
                    <w:tl2br w:val="nil"/>
                    <w:tr2bl w:val="nil"/>
                  </w:tcBorders>
                  <w:noWrap w:val="0"/>
                  <w:vAlign w:val="center"/>
                </w:tcPr>
                <w:p w14:paraId="6470828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sz w:val="21"/>
                      <w:szCs w:val="21"/>
                      <w:highlight w:val="none"/>
                    </w:rPr>
                  </w:pPr>
                  <w:r>
                    <w:rPr>
                      <w:rFonts w:hint="default" w:eastAsia="宋体"/>
                      <w:color w:val="auto"/>
                      <w:sz w:val="21"/>
                      <w:szCs w:val="21"/>
                      <w:highlight w:val="none"/>
                    </w:rPr>
                    <w:t>≥</w:t>
                  </w:r>
                  <w:r>
                    <w:rPr>
                      <w:rFonts w:hint="eastAsia" w:eastAsia="宋体"/>
                      <w:color w:val="auto"/>
                      <w:sz w:val="21"/>
                      <w:szCs w:val="21"/>
                      <w:highlight w:val="none"/>
                      <w:lang w:val="en-US" w:eastAsia="zh-CN"/>
                    </w:rPr>
                    <w:t>2332.8</w:t>
                  </w:r>
                </w:p>
              </w:tc>
              <w:tc>
                <w:tcPr>
                  <w:tcW w:w="637" w:type="pct"/>
                  <w:tcBorders>
                    <w:tl2br w:val="nil"/>
                    <w:tr2bl w:val="nil"/>
                  </w:tcBorders>
                  <w:noWrap w:val="0"/>
                  <w:vAlign w:val="center"/>
                </w:tcPr>
                <w:p w14:paraId="3EDB859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1</w:t>
                  </w:r>
                </w:p>
              </w:tc>
              <w:tc>
                <w:tcPr>
                  <w:tcW w:w="1247" w:type="pct"/>
                  <w:tcBorders>
                    <w:tl2br w:val="nil"/>
                    <w:tr2bl w:val="nil"/>
                  </w:tcBorders>
                  <w:noWrap w:val="0"/>
                  <w:vAlign w:val="center"/>
                </w:tcPr>
                <w:p w14:paraId="3FA3611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外部排风罩（顶吸式）</w:t>
                  </w:r>
                </w:p>
              </w:tc>
            </w:tr>
            <w:tr w14:paraId="2FBC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5" w:type="pct"/>
                  <w:tcBorders>
                    <w:tl2br w:val="nil"/>
                    <w:tr2bl w:val="nil"/>
                  </w:tcBorders>
                  <w:noWrap w:val="0"/>
                  <w:vAlign w:val="center"/>
                </w:tcPr>
                <w:p w14:paraId="4A30BA1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搅拌机进料口</w:t>
                  </w:r>
                </w:p>
              </w:tc>
              <w:tc>
                <w:tcPr>
                  <w:tcW w:w="1021" w:type="pct"/>
                  <w:tcBorders>
                    <w:tl2br w:val="nil"/>
                    <w:tr2bl w:val="nil"/>
                  </w:tcBorders>
                  <w:noWrap w:val="0"/>
                  <w:vAlign w:val="center"/>
                </w:tcPr>
                <w:p w14:paraId="1E6D5E0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1.7</w:t>
                  </w:r>
                  <w:r>
                    <w:rPr>
                      <w:rFonts w:hint="default" w:eastAsia="宋体"/>
                      <w:color w:val="auto"/>
                      <w:sz w:val="21"/>
                      <w:szCs w:val="21"/>
                      <w:highlight w:val="none"/>
                      <w:lang w:val="en-US" w:eastAsia="zh-CN"/>
                    </w:rPr>
                    <w:t>×</w:t>
                  </w:r>
                  <w:r>
                    <w:rPr>
                      <w:rFonts w:hint="eastAsia" w:eastAsia="宋体"/>
                      <w:color w:val="auto"/>
                      <w:sz w:val="21"/>
                      <w:szCs w:val="21"/>
                      <w:highlight w:val="none"/>
                      <w:lang w:val="en-US" w:eastAsia="zh-CN"/>
                    </w:rPr>
                    <w:t>1.1</w:t>
                  </w:r>
                </w:p>
              </w:tc>
              <w:tc>
                <w:tcPr>
                  <w:tcW w:w="734" w:type="pct"/>
                  <w:tcBorders>
                    <w:tl2br w:val="nil"/>
                    <w:tr2bl w:val="nil"/>
                  </w:tcBorders>
                  <w:noWrap w:val="0"/>
                  <w:vAlign w:val="center"/>
                </w:tcPr>
                <w:p w14:paraId="320ED6B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1.2</w:t>
                  </w:r>
                </w:p>
              </w:tc>
              <w:tc>
                <w:tcPr>
                  <w:tcW w:w="713" w:type="pct"/>
                  <w:tcBorders>
                    <w:tl2br w:val="nil"/>
                    <w:tr2bl w:val="nil"/>
                  </w:tcBorders>
                  <w:noWrap w:val="0"/>
                  <w:vAlign w:val="center"/>
                </w:tcPr>
                <w:p w14:paraId="7C9FF39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sz w:val="21"/>
                      <w:szCs w:val="21"/>
                      <w:highlight w:val="none"/>
                      <w:lang w:val="en-US"/>
                    </w:rPr>
                  </w:pPr>
                  <w:r>
                    <w:rPr>
                      <w:rFonts w:hint="default" w:eastAsia="宋体"/>
                      <w:color w:val="auto"/>
                      <w:sz w:val="21"/>
                      <w:szCs w:val="21"/>
                      <w:highlight w:val="none"/>
                    </w:rPr>
                    <w:t>≥</w:t>
                  </w:r>
                  <w:r>
                    <w:rPr>
                      <w:rFonts w:hint="eastAsia" w:eastAsia="宋体"/>
                      <w:color w:val="auto"/>
                      <w:sz w:val="21"/>
                      <w:szCs w:val="21"/>
                      <w:highlight w:val="none"/>
                      <w:lang w:val="en-US" w:eastAsia="zh-CN"/>
                    </w:rPr>
                    <w:t>8078.4</w:t>
                  </w:r>
                </w:p>
              </w:tc>
              <w:tc>
                <w:tcPr>
                  <w:tcW w:w="637" w:type="pct"/>
                  <w:tcBorders>
                    <w:tl2br w:val="nil"/>
                    <w:tr2bl w:val="nil"/>
                  </w:tcBorders>
                  <w:noWrap w:val="0"/>
                  <w:vAlign w:val="center"/>
                </w:tcPr>
                <w:p w14:paraId="2CFD79D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1</w:t>
                  </w:r>
                </w:p>
              </w:tc>
              <w:tc>
                <w:tcPr>
                  <w:tcW w:w="1247" w:type="pct"/>
                  <w:tcBorders>
                    <w:tl2br w:val="nil"/>
                    <w:tr2bl w:val="nil"/>
                  </w:tcBorders>
                  <w:noWrap w:val="0"/>
                  <w:vAlign w:val="center"/>
                </w:tcPr>
                <w:p w14:paraId="61377BD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外部排风罩（顶吸式）</w:t>
                  </w:r>
                </w:p>
              </w:tc>
            </w:tr>
          </w:tbl>
          <w:p w14:paraId="431AE4F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imes New Roman" w:hAnsi="Times New Roman" w:eastAsia="宋体" w:cs="Times New Roman"/>
                <w:color w:val="auto"/>
                <w:kern w:val="10"/>
                <w:sz w:val="24"/>
                <w:highlight w:val="none"/>
                <w:lang w:val="en-US" w:eastAsia="zh-CN"/>
              </w:rPr>
            </w:pPr>
            <w:r>
              <w:rPr>
                <w:rFonts w:hint="eastAsia" w:ascii="Times New Roman" w:hAnsi="Times New Roman" w:eastAsia="宋体"/>
                <w:color w:val="auto"/>
                <w:sz w:val="24"/>
                <w:szCs w:val="24"/>
                <w:highlight w:val="none"/>
                <w:lang w:val="en-US" w:eastAsia="zh-CN"/>
              </w:rPr>
              <w:t>经计算，</w:t>
            </w:r>
            <w:r>
              <w:rPr>
                <w:rFonts w:hint="eastAsia" w:ascii="Times New Roman" w:hAnsi="Times New Roman"/>
                <w:color w:val="auto"/>
                <w:sz w:val="24"/>
                <w:szCs w:val="24"/>
                <w:highlight w:val="none"/>
                <w:lang w:val="en-US" w:eastAsia="zh-CN"/>
              </w:rPr>
              <w:t>上料口、搅拌机进料口</w:t>
            </w:r>
            <w:r>
              <w:rPr>
                <w:rFonts w:hint="eastAsia" w:ascii="Times New Roman" w:hAnsi="Times New Roman" w:eastAsia="宋体" w:cs="Times New Roman"/>
                <w:color w:val="auto"/>
                <w:kern w:val="2"/>
                <w:sz w:val="24"/>
                <w:szCs w:val="24"/>
                <w:highlight w:val="none"/>
                <w:lang w:val="en-US" w:eastAsia="zh-CN" w:bidi="ar-SA"/>
              </w:rPr>
              <w:t>除尘系统所需的风量</w:t>
            </w:r>
            <w:r>
              <w:rPr>
                <w:rFonts w:hint="eastAsia" w:cs="Times New Roman"/>
                <w:color w:val="auto"/>
                <w:kern w:val="2"/>
                <w:sz w:val="24"/>
                <w:szCs w:val="24"/>
                <w:highlight w:val="none"/>
                <w:lang w:val="en-US" w:eastAsia="zh-CN" w:bidi="ar-SA"/>
              </w:rPr>
              <w:t>总计</w:t>
            </w:r>
            <w:r>
              <w:rPr>
                <w:rFonts w:hint="eastAsia" w:ascii="Times New Roman" w:hAnsi="Times New Roman" w:eastAsia="宋体" w:cs="Times New Roman"/>
                <w:color w:val="auto"/>
                <w:kern w:val="2"/>
                <w:sz w:val="24"/>
                <w:szCs w:val="24"/>
                <w:highlight w:val="none"/>
                <w:lang w:val="en-US" w:eastAsia="zh-CN" w:bidi="ar-SA"/>
              </w:rPr>
              <w:t>为</w:t>
            </w:r>
            <w:r>
              <w:rPr>
                <w:rFonts w:hint="eastAsia" w:cs="Times New Roman"/>
                <w:color w:val="auto"/>
                <w:kern w:val="2"/>
                <w:sz w:val="24"/>
                <w:szCs w:val="24"/>
                <w:highlight w:val="none"/>
                <w:lang w:val="en-US" w:eastAsia="zh-CN" w:bidi="ar-SA"/>
              </w:rPr>
              <w:t>12744</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/h。考虑到风力损失，取10%的富裕量，风机风量设计</w:t>
            </w:r>
            <w:r>
              <w:rPr>
                <w:rFonts w:hint="eastAsia" w:cs="Times New Roman"/>
                <w:color w:val="auto"/>
                <w:kern w:val="2"/>
                <w:sz w:val="24"/>
                <w:szCs w:val="24"/>
                <w:highlight w:val="none"/>
                <w:lang w:val="en-US" w:eastAsia="zh-CN" w:bidi="ar-SA"/>
              </w:rPr>
              <w:t>14100</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/h，因此，本项目选取1台风量为</w:t>
            </w:r>
            <w:r>
              <w:rPr>
                <w:rFonts w:hint="eastAsia" w:cs="Times New Roman"/>
                <w:color w:val="auto"/>
                <w:kern w:val="2"/>
                <w:sz w:val="24"/>
                <w:szCs w:val="24"/>
                <w:highlight w:val="none"/>
                <w:lang w:val="en-US" w:eastAsia="zh-CN" w:bidi="ar-SA"/>
              </w:rPr>
              <w:t>14100</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/h的风机，过滤风速0.6m/min，过滤面积</w:t>
            </w:r>
            <w:r>
              <w:rPr>
                <w:rFonts w:hint="eastAsia" w:cs="Times New Roman"/>
                <w:color w:val="auto"/>
                <w:kern w:val="2"/>
                <w:sz w:val="24"/>
                <w:szCs w:val="24"/>
                <w:highlight w:val="none"/>
                <w:lang w:val="en-US" w:eastAsia="zh-CN" w:bidi="ar-SA"/>
              </w:rPr>
              <w:t>392</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2</w:t>
            </w:r>
            <w:r>
              <w:rPr>
                <w:rFonts w:hint="eastAsia" w:ascii="Times New Roman" w:hAnsi="Times New Roman" w:eastAsia="宋体" w:cs="Times New Roman"/>
                <w:color w:val="auto"/>
                <w:kern w:val="2"/>
                <w:sz w:val="24"/>
                <w:szCs w:val="24"/>
                <w:highlight w:val="none"/>
                <w:vertAlign w:val="baseline"/>
                <w:lang w:val="en-US" w:eastAsia="zh-CN" w:bidi="ar-SA"/>
              </w:rPr>
              <w:t>。除尘器出口浓度控制在10mg/m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以下（本次以</w:t>
            </w:r>
            <w:r>
              <w:rPr>
                <w:rFonts w:hint="eastAsia" w:ascii="Times New Roman" w:hAnsi="Times New Roman" w:cs="Times New Roman"/>
                <w:color w:val="auto"/>
                <w:kern w:val="2"/>
                <w:sz w:val="24"/>
                <w:szCs w:val="24"/>
                <w:highlight w:val="none"/>
                <w:vertAlign w:val="baseline"/>
                <w:lang w:val="en-US" w:eastAsia="zh-CN" w:bidi="ar-SA"/>
              </w:rPr>
              <w:t>1</w:t>
            </w:r>
            <w:r>
              <w:rPr>
                <w:rFonts w:hint="eastAsia" w:ascii="Times New Roman" w:hAnsi="Times New Roman" w:eastAsia="宋体" w:cs="Times New Roman"/>
                <w:color w:val="auto"/>
                <w:kern w:val="2"/>
                <w:sz w:val="24"/>
                <w:szCs w:val="24"/>
                <w:highlight w:val="none"/>
                <w:vertAlign w:val="baseline"/>
                <w:lang w:val="en-US" w:eastAsia="zh-CN" w:bidi="ar-SA"/>
              </w:rPr>
              <w:t>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计），则颗粒物排放量=</w:t>
            </w:r>
            <w:r>
              <w:rPr>
                <w:rFonts w:hint="eastAsia" w:cs="Times New Roman"/>
                <w:color w:val="auto"/>
                <w:kern w:val="2"/>
                <w:sz w:val="24"/>
                <w:szCs w:val="24"/>
                <w:highlight w:val="none"/>
                <w:vertAlign w:val="baseline"/>
                <w:lang w:val="en-US" w:eastAsia="zh-CN" w:bidi="ar-SA"/>
              </w:rPr>
              <w:t>2240</w:t>
            </w:r>
            <w:r>
              <w:rPr>
                <w:rFonts w:hint="eastAsia" w:ascii="Times New Roman" w:hAnsi="Times New Roman" w:eastAsia="宋体" w:cs="Times New Roman"/>
                <w:color w:val="auto"/>
                <w:kern w:val="2"/>
                <w:sz w:val="24"/>
                <w:szCs w:val="24"/>
                <w:highlight w:val="none"/>
                <w:vertAlign w:val="baseline"/>
                <w:lang w:val="en-US" w:eastAsia="zh-CN" w:bidi="ar-SA"/>
              </w:rPr>
              <w:t>h×</w:t>
            </w:r>
            <w:r>
              <w:rPr>
                <w:rFonts w:hint="eastAsia" w:cs="Times New Roman"/>
                <w:color w:val="auto"/>
                <w:kern w:val="2"/>
                <w:sz w:val="24"/>
                <w:szCs w:val="24"/>
                <w:highlight w:val="none"/>
                <w:vertAlign w:val="baseline"/>
                <w:lang w:val="en-US" w:eastAsia="zh-CN" w:bidi="ar-SA"/>
              </w:rPr>
              <w:t>14100</w:t>
            </w:r>
            <w:r>
              <w:rPr>
                <w:rFonts w:hint="eastAsia" w:ascii="Times New Roman" w:hAnsi="Times New Roman" w:eastAsia="宋体" w:cs="Times New Roman"/>
                <w:color w:val="auto"/>
                <w:kern w:val="2"/>
                <w:sz w:val="24"/>
                <w:szCs w:val="24"/>
                <w:highlight w:val="none"/>
                <w:vertAlign w:val="baseli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/h×10mg/m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×10</w:t>
            </w:r>
            <w:r>
              <w:rPr>
                <w:rFonts w:hint="eastAsia" w:ascii="Times New Roman" w:hAnsi="Times New Roman" w:eastAsia="宋体" w:cs="Times New Roman"/>
                <w:color w:val="auto"/>
                <w:kern w:val="2"/>
                <w:sz w:val="24"/>
                <w:szCs w:val="24"/>
                <w:highlight w:val="none"/>
                <w:vertAlign w:val="superscript"/>
                <w:lang w:val="en-US" w:eastAsia="zh-CN" w:bidi="ar-SA"/>
              </w:rPr>
              <w:t>-9</w:t>
            </w:r>
            <w:r>
              <w:rPr>
                <w:rFonts w:hint="eastAsia" w:ascii="Times New Roman" w:hAnsi="Times New Roman" w:eastAsia="宋体" w:cs="Times New Roman"/>
                <w:color w:val="auto"/>
                <w:kern w:val="2"/>
                <w:sz w:val="24"/>
                <w:szCs w:val="24"/>
                <w:highlight w:val="none"/>
                <w:vertAlign w:val="baseline"/>
                <w:lang w:val="en-US" w:eastAsia="zh-CN" w:bidi="ar-SA"/>
              </w:rPr>
              <w:t>=</w:t>
            </w:r>
            <w:r>
              <w:rPr>
                <w:rFonts w:hint="eastAsia" w:ascii="Times New Roman" w:hAnsi="Times New Roman" w:cs="Times New Roman"/>
                <w:color w:val="auto"/>
                <w:kern w:val="2"/>
                <w:sz w:val="24"/>
                <w:szCs w:val="24"/>
                <w:highlight w:val="none"/>
                <w:vertAlign w:val="baseline"/>
                <w:lang w:val="en-US" w:eastAsia="zh-CN" w:bidi="ar-SA"/>
              </w:rPr>
              <w:t>0.</w:t>
            </w:r>
            <w:r>
              <w:rPr>
                <w:rFonts w:hint="eastAsia" w:cs="Times New Roman"/>
                <w:color w:val="auto"/>
                <w:kern w:val="2"/>
                <w:sz w:val="24"/>
                <w:szCs w:val="24"/>
                <w:highlight w:val="none"/>
                <w:vertAlign w:val="baseline"/>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t/a，</w:t>
            </w:r>
            <w:r>
              <w:rPr>
                <w:rFonts w:hint="default" w:ascii="Times New Roman" w:hAnsi="Times New Roman"/>
                <w:color w:val="auto"/>
                <w:sz w:val="24"/>
                <w:highlight w:val="none"/>
                <w:lang w:val="en-US" w:eastAsia="zh-CN"/>
              </w:rPr>
              <w:t>废气收集效率约为</w:t>
            </w:r>
            <w:r>
              <w:rPr>
                <w:rFonts w:hint="eastAsia" w:ascii="Times New Roman" w:hAnsi="Times New Roman"/>
                <w:color w:val="auto"/>
                <w:sz w:val="24"/>
                <w:highlight w:val="none"/>
                <w:lang w:val="en-US" w:eastAsia="zh-CN"/>
              </w:rPr>
              <w:t>90</w:t>
            </w:r>
            <w:r>
              <w:rPr>
                <w:rFonts w:hint="default" w:ascii="Times New Roman" w:hAnsi="Times New Roman"/>
                <w:color w:val="auto"/>
                <w:sz w:val="24"/>
                <w:highlight w:val="none"/>
                <w:lang w:val="en-US" w:eastAsia="zh-CN"/>
              </w:rPr>
              <w:t>%，</w:t>
            </w:r>
            <w:r>
              <w:rPr>
                <w:rFonts w:hint="eastAsia" w:ascii="Times New Roman" w:hAnsi="Times New Roman"/>
                <w:color w:val="auto"/>
                <w:sz w:val="24"/>
                <w:highlight w:val="none"/>
                <w:lang w:val="en-US" w:eastAsia="zh-CN"/>
              </w:rPr>
              <w:t>未收集到的无组织排放量为</w:t>
            </w:r>
            <w:r>
              <w:rPr>
                <w:rFonts w:hint="eastAsia" w:ascii="Times New Roman" w:hAnsi="Times New Roman" w:cs="Times New Roman"/>
                <w:color w:val="auto"/>
                <w:kern w:val="2"/>
                <w:sz w:val="24"/>
                <w:szCs w:val="24"/>
                <w:highlight w:val="none"/>
                <w:vertAlign w:val="baseline"/>
                <w:lang w:val="en-US" w:eastAsia="zh-CN" w:bidi="ar-SA"/>
              </w:rPr>
              <w:t>0.0</w:t>
            </w:r>
            <w:r>
              <w:rPr>
                <w:rFonts w:hint="eastAsia" w:cs="Times New Roman"/>
                <w:color w:val="auto"/>
                <w:kern w:val="2"/>
                <w:sz w:val="24"/>
                <w:szCs w:val="24"/>
                <w:highlight w:val="none"/>
                <w:vertAlign w:val="baseline"/>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t/a，</w:t>
            </w:r>
            <w:r>
              <w:rPr>
                <w:rFonts w:hint="default" w:ascii="Times New Roman" w:hAnsi="Times New Roman" w:eastAsia="宋体" w:cs="Times New Roman"/>
                <w:color w:val="auto"/>
                <w:kern w:val="10"/>
                <w:sz w:val="24"/>
                <w:highlight w:val="none"/>
                <w:lang w:val="en-US" w:eastAsia="zh-CN"/>
              </w:rPr>
              <w:t>满足《水泥工业大气污染物排放标准》（DB14/3176-2024）</w:t>
            </w:r>
            <w:r>
              <w:rPr>
                <w:rFonts w:hint="eastAsia" w:ascii="Times New Roman" w:hAnsi="Times New Roman" w:eastAsia="宋体" w:cs="Times New Roman"/>
                <w:color w:val="auto"/>
                <w:kern w:val="10"/>
                <w:sz w:val="24"/>
                <w:highlight w:val="none"/>
                <w:lang w:val="en-US" w:eastAsia="zh-CN"/>
              </w:rPr>
              <w:t>中排放</w:t>
            </w:r>
            <w:r>
              <w:rPr>
                <w:rFonts w:hint="default" w:ascii="Times New Roman" w:hAnsi="Times New Roman" w:eastAsia="宋体" w:cs="Times New Roman"/>
                <w:color w:val="auto"/>
                <w:kern w:val="10"/>
                <w:sz w:val="24"/>
                <w:highlight w:val="none"/>
                <w:lang w:val="en-US" w:eastAsia="zh-CN"/>
              </w:rPr>
              <w:t>限值要求</w:t>
            </w:r>
            <w:r>
              <w:rPr>
                <w:rFonts w:hint="eastAsia" w:ascii="Times New Roman" w:hAnsi="Times New Roman" w:eastAsia="宋体" w:cs="Times New Roman"/>
                <w:color w:val="auto"/>
                <w:kern w:val="10"/>
                <w:sz w:val="24"/>
                <w:highlight w:val="none"/>
                <w:lang w:val="en-US" w:eastAsia="zh-CN"/>
              </w:rPr>
              <w:t>。</w:t>
            </w:r>
          </w:p>
          <w:p w14:paraId="726D0557">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kern w:val="10"/>
                <w:sz w:val="24"/>
                <w:highlight w:val="none"/>
                <w:lang w:val="en-US" w:eastAsia="zh-CN"/>
              </w:rPr>
            </w:pPr>
            <w:r>
              <w:rPr>
                <w:rFonts w:hint="eastAsia" w:ascii="Times New Roman" w:hAnsi="Times New Roman" w:cs="Times New Roman"/>
                <w:color w:val="auto"/>
                <w:kern w:val="10"/>
                <w:sz w:val="24"/>
                <w:highlight w:val="none"/>
                <w:lang w:val="en-US" w:eastAsia="zh-CN"/>
              </w:rPr>
              <w:t>G7：原料堆存</w:t>
            </w:r>
          </w:p>
          <w:p w14:paraId="73C1F699">
            <w:pPr>
              <w:pStyle w:val="19"/>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Times New Roman" w:hAnsi="Times New Roman" w:eastAsia="宋体" w:cs="Times New Roman"/>
                <w:color w:val="auto"/>
                <w:kern w:val="10"/>
                <w:sz w:val="24"/>
                <w:highlight w:val="none"/>
                <w:lang w:val="en-US" w:eastAsia="zh-CN"/>
              </w:rPr>
            </w:pPr>
            <w:r>
              <w:rPr>
                <w:rFonts w:hint="eastAsia" w:ascii="Times New Roman" w:hAnsi="Times New Roman"/>
                <w:color w:val="auto"/>
                <w:sz w:val="24"/>
                <w:lang w:eastAsia="zh-CN"/>
              </w:rPr>
              <w:t>本</w:t>
            </w:r>
            <w:r>
              <w:rPr>
                <w:rFonts w:hint="eastAsia" w:ascii="Times New Roman" w:hAnsi="Times New Roman"/>
                <w:color w:val="auto"/>
                <w:sz w:val="24"/>
                <w:lang w:val="en-US" w:eastAsia="zh-CN"/>
              </w:rPr>
              <w:t>工序</w:t>
            </w:r>
            <w:r>
              <w:rPr>
                <w:rFonts w:hint="default" w:ascii="Times New Roman" w:hAnsi="Times New Roman"/>
                <w:color w:val="auto"/>
                <w:sz w:val="24"/>
                <w:szCs w:val="24"/>
                <w:lang w:val="en-US" w:eastAsia="zh-CN"/>
              </w:rPr>
              <w:t>外购石</w:t>
            </w:r>
            <w:r>
              <w:rPr>
                <w:rFonts w:hint="eastAsia" w:ascii="Times New Roman" w:hAnsi="Times New Roman"/>
                <w:color w:val="auto"/>
                <w:sz w:val="24"/>
                <w:szCs w:val="24"/>
                <w:lang w:val="en-US" w:eastAsia="zh-CN"/>
              </w:rPr>
              <w:t>子</w:t>
            </w:r>
            <w:r>
              <w:rPr>
                <w:rFonts w:hint="default" w:ascii="Times New Roman" w:hAnsi="Times New Roman"/>
                <w:color w:val="auto"/>
                <w:sz w:val="24"/>
                <w:szCs w:val="24"/>
                <w:lang w:val="en-US" w:eastAsia="zh-CN"/>
              </w:rPr>
              <w:t>，由汽车运至</w:t>
            </w:r>
            <w:r>
              <w:rPr>
                <w:rFonts w:hint="eastAsia" w:ascii="Times New Roman" w:hAnsi="Times New Roman"/>
                <w:color w:val="auto"/>
                <w:sz w:val="24"/>
                <w:szCs w:val="24"/>
                <w:lang w:val="en-US" w:eastAsia="zh-CN"/>
              </w:rPr>
              <w:t>密闭原料棚暂存，</w:t>
            </w:r>
            <w:r>
              <w:rPr>
                <w:rFonts w:hint="eastAsia" w:ascii="Times New Roman" w:hAnsi="Times New Roman"/>
                <w:color w:val="auto"/>
                <w:sz w:val="24"/>
                <w:lang w:eastAsia="zh-CN"/>
              </w:rPr>
              <w:t>年用量</w:t>
            </w:r>
            <w:r>
              <w:rPr>
                <w:rFonts w:hint="eastAsia" w:ascii="Times New Roman" w:hAnsi="Times New Roman"/>
                <w:color w:val="auto"/>
                <w:sz w:val="24"/>
                <w:lang w:val="en-US" w:eastAsia="zh-CN"/>
              </w:rPr>
              <w:t>201600</w:t>
            </w:r>
            <w:r>
              <w:rPr>
                <w:rFonts w:hint="eastAsia" w:ascii="Times New Roman" w:hAnsi="Times New Roman" w:eastAsia="宋体" w:cs="Times New Roman"/>
                <w:color w:val="auto"/>
                <w:kern w:val="2"/>
                <w:sz w:val="24"/>
                <w:szCs w:val="24"/>
                <w:highlight w:val="none"/>
                <w:vertAlign w:val="baseline"/>
                <w:lang w:val="en-US" w:eastAsia="zh-CN" w:bidi="ar-SA"/>
              </w:rPr>
              <w:t>t/a</w:t>
            </w:r>
            <w:r>
              <w:rPr>
                <w:rFonts w:hint="eastAsia" w:ascii="Times New Roman" w:hAnsi="Times New Roman"/>
                <w:color w:val="auto"/>
                <w:sz w:val="24"/>
                <w:lang w:val="en-US" w:eastAsia="zh-CN"/>
              </w:rPr>
              <w:t>。</w:t>
            </w:r>
            <w:r>
              <w:rPr>
                <w:rFonts w:hint="eastAsia" w:ascii="Times New Roman" w:hAnsi="Times New Roman"/>
                <w:color w:val="auto"/>
                <w:sz w:val="24"/>
                <w:lang w:eastAsia="zh-CN"/>
              </w:rPr>
              <w:t>本</w:t>
            </w:r>
            <w:r>
              <w:rPr>
                <w:rFonts w:hint="eastAsia" w:ascii="Times New Roman" w:hAnsi="Times New Roman"/>
                <w:color w:val="auto"/>
                <w:sz w:val="24"/>
                <w:lang w:val="en-US" w:eastAsia="zh-CN"/>
              </w:rPr>
              <w:t>工序石子</w:t>
            </w:r>
            <w:r>
              <w:rPr>
                <w:rFonts w:hint="eastAsia" w:ascii="Times New Roman" w:hAnsi="Times New Roman"/>
                <w:color w:val="auto"/>
                <w:sz w:val="24"/>
                <w:lang w:eastAsia="zh-CN"/>
              </w:rPr>
              <w:t>堆场位于生产厂房内，采用全封闭车间，出入口设置封闭门。由于</w:t>
            </w:r>
            <w:r>
              <w:rPr>
                <w:rFonts w:hint="eastAsia" w:ascii="Times New Roman" w:hAnsi="Times New Roman"/>
                <w:color w:val="auto"/>
                <w:sz w:val="24"/>
                <w:lang w:val="en-US" w:eastAsia="zh-CN"/>
              </w:rPr>
              <w:t>石子</w:t>
            </w:r>
            <w:r>
              <w:rPr>
                <w:rFonts w:hint="eastAsia" w:ascii="Times New Roman" w:hAnsi="Times New Roman"/>
                <w:color w:val="auto"/>
                <w:sz w:val="24"/>
                <w:lang w:eastAsia="zh-CN"/>
              </w:rPr>
              <w:t>堆场位于生产厂房内，风速接近于静风，</w:t>
            </w:r>
            <w:r>
              <w:rPr>
                <w:rFonts w:hint="eastAsia" w:ascii="Times New Roman" w:hAnsi="Times New Roman"/>
                <w:color w:val="auto"/>
                <w:sz w:val="24"/>
                <w:highlight w:val="none"/>
              </w:rPr>
              <w:t>堆场内基本无外界风存在，故堆场扬尘的产生量可忽略不计。</w:t>
            </w:r>
            <w:r>
              <w:rPr>
                <w:rFonts w:hint="eastAsia" w:ascii="Times New Roman" w:hAnsi="Times New Roman"/>
                <w:color w:val="auto"/>
                <w:sz w:val="24"/>
                <w:lang w:val="en-US" w:eastAsia="zh-CN"/>
              </w:rPr>
              <w:t>因此，</w:t>
            </w:r>
            <w:r>
              <w:rPr>
                <w:rFonts w:hint="eastAsia" w:ascii="Times New Roman" w:hAnsi="Times New Roman" w:eastAsia="宋体"/>
                <w:color w:val="auto"/>
                <w:sz w:val="24"/>
                <w:szCs w:val="24"/>
                <w:lang w:val="en-US" w:eastAsia="zh-CN"/>
              </w:rPr>
              <w:t>本工序石子</w:t>
            </w:r>
            <w:r>
              <w:rPr>
                <w:rFonts w:hint="eastAsia" w:ascii="Times New Roman" w:hAnsi="Times New Roman" w:eastAsia="宋体"/>
                <w:color w:val="auto"/>
                <w:sz w:val="24"/>
                <w:szCs w:val="24"/>
              </w:rPr>
              <w:t>扬尘主要考虑装卸环节</w:t>
            </w:r>
            <w:r>
              <w:rPr>
                <w:rFonts w:hint="eastAsia" w:ascii="Times New Roman" w:hAnsi="Times New Roman" w:eastAsia="宋体"/>
                <w:color w:val="auto"/>
                <w:sz w:val="24"/>
                <w:szCs w:val="24"/>
                <w:lang w:eastAsia="zh-CN"/>
              </w:rPr>
              <w:t>。</w:t>
            </w:r>
          </w:p>
          <w:p w14:paraId="2F8E3D2D">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3）湿拌砂浆生产线</w:t>
            </w:r>
          </w:p>
          <w:p w14:paraId="53D5CC4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G8：运输扬尘</w:t>
            </w:r>
          </w:p>
          <w:p w14:paraId="45D79124">
            <w:pPr>
              <w:pStyle w:val="19"/>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textAlignment w:val="auto"/>
              <w:rPr>
                <w:rFonts w:ascii="Times New Roman" w:hAnsi="Times New Roman"/>
                <w:color w:val="auto"/>
                <w:sz w:val="24"/>
                <w:highlight w:val="none"/>
              </w:rPr>
            </w:pPr>
            <w:r>
              <w:rPr>
                <w:rFonts w:hint="eastAsia" w:ascii="Times New Roman" w:hAnsi="Times New Roman"/>
                <w:color w:val="auto"/>
                <w:sz w:val="24"/>
                <w:highlight w:val="none"/>
              </w:rPr>
              <w:t>本</w:t>
            </w:r>
            <w:r>
              <w:rPr>
                <w:rFonts w:hint="eastAsia" w:ascii="Times New Roman" w:hAnsi="Times New Roman"/>
                <w:color w:val="auto"/>
                <w:sz w:val="24"/>
                <w:highlight w:val="none"/>
                <w:lang w:val="en-US" w:eastAsia="zh-CN"/>
              </w:rPr>
              <w:t>工序</w:t>
            </w:r>
            <w:r>
              <w:rPr>
                <w:rFonts w:hint="eastAsia" w:ascii="Times New Roman" w:hAnsi="Times New Roman"/>
                <w:color w:val="auto"/>
                <w:sz w:val="24"/>
                <w:highlight w:val="none"/>
              </w:rPr>
              <w:t>原料运入厂区及产品运出厂区均会产生道路扬尘，计算公式如下：</w:t>
            </w:r>
          </w:p>
          <w:p w14:paraId="4A42775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olor w:val="auto"/>
                <w:sz w:val="24"/>
                <w:highlight w:val="none"/>
              </w:rPr>
            </w:pPr>
            <w:r>
              <w:rPr>
                <w:rFonts w:ascii="Times New Roman" w:hAnsi="Times New Roman"/>
                <w:color w:val="auto"/>
                <w:sz w:val="24"/>
                <w:highlight w:val="none"/>
              </w:rPr>
              <w:drawing>
                <wp:anchor distT="0" distB="0" distL="114300" distR="114300" simplePos="0" relativeHeight="251665408" behindDoc="0" locked="0" layoutInCell="1" allowOverlap="1">
                  <wp:simplePos x="0" y="0"/>
                  <wp:positionH relativeFrom="column">
                    <wp:posOffset>290195</wp:posOffset>
                  </wp:positionH>
                  <wp:positionV relativeFrom="paragraph">
                    <wp:posOffset>384810</wp:posOffset>
                  </wp:positionV>
                  <wp:extent cx="1196340" cy="243840"/>
                  <wp:effectExtent l="0" t="0" r="0" b="3175"/>
                  <wp:wrapTopAndBottom/>
                  <wp:docPr id="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
                          <pic:cNvPicPr>
                            <a:picLocks noChangeAspect="1"/>
                          </pic:cNvPicPr>
                        </pic:nvPicPr>
                        <pic:blipFill>
                          <a:blip r:embed="rId18"/>
                          <a:stretch>
                            <a:fillRect/>
                          </a:stretch>
                        </pic:blipFill>
                        <pic:spPr>
                          <a:xfrm>
                            <a:off x="0" y="0"/>
                            <a:ext cx="1196340" cy="243840"/>
                          </a:xfrm>
                          <a:prstGeom prst="rect">
                            <a:avLst/>
                          </a:prstGeom>
                          <a:noFill/>
                          <a:ln>
                            <a:noFill/>
                          </a:ln>
                        </pic:spPr>
                      </pic:pic>
                    </a:graphicData>
                  </a:graphic>
                </wp:anchor>
              </w:drawing>
            </w:r>
            <w:r>
              <w:rPr>
                <w:rFonts w:ascii="Times New Roman" w:hAnsi="Times New Roman"/>
                <w:color w:val="auto"/>
                <w:sz w:val="24"/>
                <w:highlight w:val="none"/>
              </w:rPr>
              <w:drawing>
                <wp:anchor distT="0" distB="0" distL="114300" distR="114300" simplePos="0" relativeHeight="251664384" behindDoc="0" locked="0" layoutInCell="1" allowOverlap="1">
                  <wp:simplePos x="0" y="0"/>
                  <wp:positionH relativeFrom="column">
                    <wp:posOffset>290195</wp:posOffset>
                  </wp:positionH>
                  <wp:positionV relativeFrom="paragraph">
                    <wp:posOffset>17145</wp:posOffset>
                  </wp:positionV>
                  <wp:extent cx="1875790" cy="351155"/>
                  <wp:effectExtent l="0" t="0" r="10160" b="11430"/>
                  <wp:wrapTopAndBottom/>
                  <wp:docPr id="75" name="图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596"/>
                          <pic:cNvPicPr>
                            <a:picLocks noChangeAspect="1"/>
                          </pic:cNvPicPr>
                        </pic:nvPicPr>
                        <pic:blipFill>
                          <a:blip r:embed="rId19"/>
                          <a:stretch>
                            <a:fillRect/>
                          </a:stretch>
                        </pic:blipFill>
                        <pic:spPr>
                          <a:xfrm>
                            <a:off x="0" y="0"/>
                            <a:ext cx="1875790" cy="351155"/>
                          </a:xfrm>
                          <a:prstGeom prst="rect">
                            <a:avLst/>
                          </a:prstGeom>
                          <a:noFill/>
                          <a:ln>
                            <a:noFill/>
                          </a:ln>
                        </pic:spPr>
                      </pic:pic>
                    </a:graphicData>
                  </a:graphic>
                </wp:anchor>
              </w:drawing>
            </w:r>
            <w:r>
              <w:rPr>
                <w:rFonts w:ascii="Times New Roman" w:hAnsi="Times New Roman"/>
                <w:color w:val="auto"/>
                <w:sz w:val="24"/>
                <w:highlight w:val="none"/>
              </w:rPr>
              <w:t>式中：</w:t>
            </w:r>
          </w:p>
          <w:p w14:paraId="7F88E44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ascii="Times New Roman" w:hAnsi="Times New Roman"/>
                <w:color w:val="auto"/>
                <w:sz w:val="24"/>
                <w:highlight w:val="none"/>
              </w:rPr>
              <w:drawing>
                <wp:inline distT="0" distB="0" distL="114300" distR="114300">
                  <wp:extent cx="213360" cy="243840"/>
                  <wp:effectExtent l="0" t="0" r="0" b="3175"/>
                  <wp:docPr id="7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0"/>
                          <pic:cNvPicPr>
                            <a:picLocks noChangeAspect="1"/>
                          </pic:cNvPicPr>
                        </pic:nvPicPr>
                        <pic:blipFill>
                          <a:blip r:embed="rId20"/>
                          <a:stretch>
                            <a:fillRect/>
                          </a:stretch>
                        </pic:blipFill>
                        <pic:spPr>
                          <a:xfrm>
                            <a:off x="0" y="0"/>
                            <a:ext cx="213360" cy="243840"/>
                          </a:xfrm>
                          <a:prstGeom prst="rect">
                            <a:avLst/>
                          </a:prstGeom>
                          <a:noFill/>
                          <a:ln>
                            <a:noFill/>
                          </a:ln>
                        </pic:spPr>
                      </pic:pic>
                    </a:graphicData>
                  </a:graphic>
                </wp:inline>
              </w:drawing>
            </w:r>
            <w:r>
              <w:rPr>
                <w:rFonts w:ascii="Times New Roman" w:hAnsi="Times New Roman"/>
                <w:color w:val="auto"/>
                <w:sz w:val="24"/>
                <w:highlight w:val="none"/>
              </w:rPr>
              <w:t>——道路扬尘量（kg/km·辆）；</w:t>
            </w:r>
          </w:p>
          <w:p w14:paraId="2E34EF5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ascii="Times New Roman" w:hAnsi="Times New Roman"/>
                <w:color w:val="auto"/>
                <w:sz w:val="24"/>
                <w:highlight w:val="none"/>
              </w:rPr>
              <w:drawing>
                <wp:inline distT="0" distB="0" distL="114300" distR="114300">
                  <wp:extent cx="213360" cy="243840"/>
                  <wp:effectExtent l="0" t="0" r="0" b="3175"/>
                  <wp:docPr id="8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1"/>
                          <pic:cNvPicPr>
                            <a:picLocks noChangeAspect="1"/>
                          </pic:cNvPicPr>
                        </pic:nvPicPr>
                        <pic:blipFill>
                          <a:blip r:embed="rId21"/>
                          <a:stretch>
                            <a:fillRect/>
                          </a:stretch>
                        </pic:blipFill>
                        <pic:spPr>
                          <a:xfrm>
                            <a:off x="0" y="0"/>
                            <a:ext cx="213360" cy="243840"/>
                          </a:xfrm>
                          <a:prstGeom prst="rect">
                            <a:avLst/>
                          </a:prstGeom>
                          <a:noFill/>
                          <a:ln>
                            <a:noFill/>
                          </a:ln>
                        </pic:spPr>
                      </pic:pic>
                    </a:graphicData>
                  </a:graphic>
                </wp:inline>
              </w:drawing>
            </w:r>
            <w:r>
              <w:rPr>
                <w:rFonts w:ascii="Times New Roman" w:hAnsi="Times New Roman"/>
                <w:color w:val="auto"/>
                <w:sz w:val="24"/>
                <w:highlight w:val="none"/>
              </w:rPr>
              <w:t>——总扬尘量（kg/a）；</w:t>
            </w:r>
          </w:p>
          <w:p w14:paraId="1469674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olor w:val="auto"/>
                <w:sz w:val="24"/>
                <w:highlight w:val="none"/>
                <w:lang w:val="en-US" w:eastAsia="zh-CN"/>
              </w:rPr>
            </w:pPr>
            <w:r>
              <w:rPr>
                <w:rFonts w:ascii="Times New Roman" w:hAnsi="Times New Roman"/>
                <w:color w:val="auto"/>
                <w:sz w:val="24"/>
                <w:highlight w:val="none"/>
              </w:rPr>
              <w:drawing>
                <wp:inline distT="0" distB="0" distL="114300" distR="114300">
                  <wp:extent cx="152400" cy="175260"/>
                  <wp:effectExtent l="0" t="0" r="0" b="15875"/>
                  <wp:docPr id="8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2"/>
                          <pic:cNvPicPr>
                            <a:picLocks noChangeAspect="1"/>
                          </pic:cNvPicPr>
                        </pic:nvPicPr>
                        <pic:blipFill>
                          <a:blip r:embed="rId22"/>
                          <a:stretch>
                            <a:fillRect/>
                          </a:stretch>
                        </pic:blipFill>
                        <pic:spPr>
                          <a:xfrm>
                            <a:off x="0" y="0"/>
                            <a:ext cx="152400" cy="175260"/>
                          </a:xfrm>
                          <a:prstGeom prst="rect">
                            <a:avLst/>
                          </a:prstGeom>
                          <a:noFill/>
                          <a:ln>
                            <a:noFill/>
                          </a:ln>
                        </pic:spPr>
                      </pic:pic>
                    </a:graphicData>
                  </a:graphic>
                </wp:inline>
              </w:drawing>
            </w:r>
            <w:r>
              <w:rPr>
                <w:rFonts w:ascii="Times New Roman" w:hAnsi="Times New Roman"/>
                <w:color w:val="auto"/>
                <w:sz w:val="24"/>
                <w:highlight w:val="none"/>
              </w:rPr>
              <w:t>——车辆速度（20km/h）；</w:t>
            </w:r>
          </w:p>
          <w:p w14:paraId="3D0C095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ascii="Times New Roman" w:hAnsi="Times New Roman"/>
                <w:color w:val="auto"/>
                <w:sz w:val="24"/>
                <w:highlight w:val="none"/>
              </w:rPr>
              <w:drawing>
                <wp:inline distT="0" distB="0" distL="114300" distR="114300">
                  <wp:extent cx="205740" cy="167640"/>
                  <wp:effectExtent l="0" t="0" r="0" b="2540"/>
                  <wp:docPr id="8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3"/>
                          <pic:cNvPicPr>
                            <a:picLocks noChangeAspect="1"/>
                          </pic:cNvPicPr>
                        </pic:nvPicPr>
                        <pic:blipFill>
                          <a:blip r:embed="rId23"/>
                          <a:stretch>
                            <a:fillRect/>
                          </a:stretch>
                        </pic:blipFill>
                        <pic:spPr>
                          <a:xfrm>
                            <a:off x="0" y="0"/>
                            <a:ext cx="205740" cy="167640"/>
                          </a:xfrm>
                          <a:prstGeom prst="rect">
                            <a:avLst/>
                          </a:prstGeom>
                          <a:noFill/>
                          <a:ln>
                            <a:noFill/>
                          </a:ln>
                        </pic:spPr>
                      </pic:pic>
                    </a:graphicData>
                  </a:graphic>
                </wp:inline>
              </w:drawing>
            </w:r>
            <w:r>
              <w:rPr>
                <w:rFonts w:ascii="Times New Roman" w:hAnsi="Times New Roman"/>
                <w:color w:val="auto"/>
                <w:sz w:val="24"/>
                <w:highlight w:val="none"/>
              </w:rPr>
              <w:t>——车辆载重（</w:t>
            </w:r>
            <w:r>
              <w:rPr>
                <w:rFonts w:hint="eastAsia" w:ascii="Times New Roman" w:hAnsi="Times New Roman"/>
                <w:color w:val="auto"/>
                <w:sz w:val="24"/>
                <w:highlight w:val="none"/>
                <w:lang w:val="en-US" w:eastAsia="zh-CN"/>
              </w:rPr>
              <w:t>30</w:t>
            </w:r>
            <w:r>
              <w:rPr>
                <w:rFonts w:ascii="Times New Roman" w:hAnsi="Times New Roman"/>
                <w:color w:val="auto"/>
                <w:sz w:val="24"/>
                <w:highlight w:val="none"/>
              </w:rPr>
              <w:t>t/辆）；</w:t>
            </w:r>
          </w:p>
          <w:p w14:paraId="35DF1B2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ascii="Times New Roman" w:hAnsi="Times New Roman"/>
                <w:color w:val="auto"/>
                <w:sz w:val="24"/>
                <w:highlight w:val="none"/>
              </w:rPr>
              <w:drawing>
                <wp:inline distT="0" distB="0" distL="114300" distR="114300">
                  <wp:extent cx="152400" cy="167640"/>
                  <wp:effectExtent l="0" t="0" r="0" b="2540"/>
                  <wp:docPr id="8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4"/>
                          <pic:cNvPicPr>
                            <a:picLocks noChangeAspect="1"/>
                          </pic:cNvPicPr>
                        </pic:nvPicPr>
                        <pic:blipFill>
                          <a:blip r:embed="rId24"/>
                          <a:stretch>
                            <a:fillRect/>
                          </a:stretch>
                        </pic:blipFill>
                        <pic:spPr>
                          <a:xfrm>
                            <a:off x="0" y="0"/>
                            <a:ext cx="152400" cy="167640"/>
                          </a:xfrm>
                          <a:prstGeom prst="rect">
                            <a:avLst/>
                          </a:prstGeom>
                          <a:noFill/>
                          <a:ln>
                            <a:noFill/>
                          </a:ln>
                        </pic:spPr>
                      </pic:pic>
                    </a:graphicData>
                  </a:graphic>
                </wp:inline>
              </w:drawing>
            </w:r>
            <w:r>
              <w:rPr>
                <w:rFonts w:ascii="Times New Roman" w:hAnsi="Times New Roman"/>
                <w:color w:val="auto"/>
                <w:sz w:val="24"/>
                <w:highlight w:val="none"/>
              </w:rPr>
              <w:t>——路面灰尘覆盖量（0.</w:t>
            </w:r>
            <w:r>
              <w:rPr>
                <w:rFonts w:hint="eastAsia" w:ascii="Times New Roman" w:hAnsi="Times New Roman"/>
                <w:color w:val="auto"/>
                <w:sz w:val="24"/>
                <w:highlight w:val="none"/>
              </w:rPr>
              <w:t>2</w:t>
            </w:r>
            <w:r>
              <w:rPr>
                <w:rFonts w:ascii="Times New Roman" w:hAnsi="Times New Roman"/>
                <w:color w:val="auto"/>
                <w:sz w:val="24"/>
                <w:highlight w:val="none"/>
              </w:rPr>
              <w:t>kg/m</w:t>
            </w:r>
            <w:r>
              <w:rPr>
                <w:rFonts w:ascii="Times New Roman" w:hAnsi="Times New Roman"/>
                <w:color w:val="auto"/>
                <w:sz w:val="24"/>
                <w:highlight w:val="none"/>
                <w:vertAlign w:val="superscript"/>
              </w:rPr>
              <w:t>2</w:t>
            </w:r>
            <w:r>
              <w:rPr>
                <w:rFonts w:ascii="Times New Roman" w:hAnsi="Times New Roman"/>
                <w:color w:val="auto"/>
                <w:sz w:val="24"/>
                <w:highlight w:val="none"/>
              </w:rPr>
              <w:t>）；</w:t>
            </w:r>
          </w:p>
          <w:p w14:paraId="2CFAB00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olor w:val="auto"/>
                <w:sz w:val="24"/>
                <w:highlight w:val="none"/>
              </w:rPr>
            </w:pPr>
            <w:r>
              <w:rPr>
                <w:rFonts w:ascii="Times New Roman" w:hAnsi="Times New Roman"/>
                <w:color w:val="auto"/>
                <w:sz w:val="24"/>
                <w:highlight w:val="none"/>
              </w:rPr>
              <w:drawing>
                <wp:inline distT="0" distB="0" distL="114300" distR="114300">
                  <wp:extent cx="137160" cy="167640"/>
                  <wp:effectExtent l="0" t="0" r="15240" b="254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25"/>
                          <a:stretch>
                            <a:fillRect/>
                          </a:stretch>
                        </pic:blipFill>
                        <pic:spPr>
                          <a:xfrm>
                            <a:off x="0" y="0"/>
                            <a:ext cx="137160" cy="167640"/>
                          </a:xfrm>
                          <a:prstGeom prst="rect">
                            <a:avLst/>
                          </a:prstGeom>
                          <a:noFill/>
                          <a:ln>
                            <a:noFill/>
                          </a:ln>
                        </pic:spPr>
                      </pic:pic>
                    </a:graphicData>
                  </a:graphic>
                </wp:inline>
              </w:drawing>
            </w:r>
            <w:r>
              <w:rPr>
                <w:rFonts w:ascii="Times New Roman" w:hAnsi="Times New Roman"/>
                <w:color w:val="auto"/>
                <w:sz w:val="24"/>
                <w:highlight w:val="none"/>
              </w:rPr>
              <w:t>——运距（0.</w:t>
            </w:r>
            <w:r>
              <w:rPr>
                <w:rFonts w:hint="eastAsia" w:ascii="Times New Roman" w:hAnsi="Times New Roman"/>
                <w:color w:val="auto"/>
                <w:sz w:val="24"/>
                <w:highlight w:val="none"/>
              </w:rPr>
              <w:t>1</w:t>
            </w:r>
            <w:r>
              <w:rPr>
                <w:rFonts w:ascii="Times New Roman" w:hAnsi="Times New Roman"/>
                <w:color w:val="auto"/>
                <w:sz w:val="24"/>
                <w:highlight w:val="none"/>
              </w:rPr>
              <w:t>km）；</w:t>
            </w:r>
          </w:p>
          <w:p w14:paraId="331C63E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ascii="Times New Roman" w:hAnsi="Times New Roman"/>
                <w:color w:val="auto"/>
                <w:sz w:val="24"/>
                <w:highlight w:val="none"/>
              </w:rPr>
              <w:t>Q——运输量（</w:t>
            </w:r>
            <w:r>
              <w:rPr>
                <w:rFonts w:hint="eastAsia" w:ascii="Times New Roman" w:hAnsi="Times New Roman"/>
                <w:color w:val="auto"/>
                <w:sz w:val="24"/>
                <w:highlight w:val="none"/>
                <w:lang w:val="en-US" w:eastAsia="zh-CN"/>
              </w:rPr>
              <w:t>约10</w:t>
            </w:r>
            <w:r>
              <w:rPr>
                <w:rFonts w:hint="eastAsia" w:ascii="Times New Roman" w:hAnsi="Times New Roman"/>
                <w:color w:val="auto"/>
                <w:sz w:val="24"/>
                <w:highlight w:val="none"/>
              </w:rPr>
              <w:t>万</w:t>
            </w:r>
            <w:r>
              <w:rPr>
                <w:rFonts w:ascii="Times New Roman" w:hAnsi="Times New Roman"/>
                <w:color w:val="auto"/>
                <w:sz w:val="24"/>
                <w:highlight w:val="none"/>
              </w:rPr>
              <w:t>t/a）。</w:t>
            </w:r>
          </w:p>
          <w:p w14:paraId="08B13A00">
            <w:pPr>
              <w:pStyle w:val="19"/>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Times New Roman" w:hAnsi="Times New Roman"/>
                <w:color w:val="auto"/>
                <w:sz w:val="24"/>
                <w:highlight w:val="none"/>
              </w:rPr>
            </w:pPr>
            <w:r>
              <w:rPr>
                <w:rFonts w:hint="eastAsia" w:ascii="Times New Roman" w:hAnsi="Times New Roman"/>
                <w:color w:val="auto"/>
                <w:sz w:val="24"/>
                <w:highlight w:val="none"/>
              </w:rPr>
              <w:t>经计算，本</w:t>
            </w:r>
            <w:r>
              <w:rPr>
                <w:rFonts w:hint="eastAsia" w:ascii="Times New Roman" w:hAnsi="Times New Roman"/>
                <w:color w:val="auto"/>
                <w:sz w:val="24"/>
                <w:highlight w:val="none"/>
                <w:lang w:val="en-US" w:eastAsia="zh-CN"/>
              </w:rPr>
              <w:t>工序</w:t>
            </w:r>
            <w:r>
              <w:rPr>
                <w:rFonts w:hint="eastAsia" w:ascii="Times New Roman" w:hAnsi="Times New Roman"/>
                <w:color w:val="auto"/>
                <w:sz w:val="24"/>
                <w:highlight w:val="none"/>
              </w:rPr>
              <w:t>运输道路粉尘产生量共计</w:t>
            </w:r>
            <w:r>
              <w:rPr>
                <w:rFonts w:hint="eastAsia" w:ascii="Times New Roman" w:hAnsi="Times New Roman"/>
                <w:color w:val="auto"/>
                <w:sz w:val="24"/>
                <w:highlight w:val="none"/>
                <w:lang w:val="en-US" w:eastAsia="zh-CN"/>
              </w:rPr>
              <w:t>0.3</w:t>
            </w:r>
            <w:r>
              <w:rPr>
                <w:rFonts w:hint="eastAsia" w:ascii="Times New Roman" w:hAnsi="Times New Roman"/>
                <w:color w:val="auto"/>
                <w:sz w:val="24"/>
                <w:highlight w:val="none"/>
              </w:rPr>
              <w:t>t/a。环评要求项目区内道路硬化，在易起尘路段应减速慢行，</w:t>
            </w:r>
            <w:r>
              <w:rPr>
                <w:rFonts w:hint="eastAsia" w:ascii="Times New Roman" w:hAnsi="Times New Roman"/>
                <w:color w:val="auto"/>
                <w:sz w:val="24"/>
                <w:highlight w:val="none"/>
                <w:lang w:val="en-US" w:eastAsia="zh-CN"/>
              </w:rPr>
              <w:t>运输过程中加盖篷布，限制超载，</w:t>
            </w:r>
            <w:r>
              <w:rPr>
                <w:rFonts w:hint="eastAsia" w:ascii="Times New Roman" w:hAnsi="Times New Roman"/>
                <w:color w:val="auto"/>
                <w:sz w:val="24"/>
                <w:highlight w:val="none"/>
              </w:rPr>
              <w:t>杜绝抛洒；在本项目区内设置一洗车平台，对进出车辆进行清洗，并配置洒水车对</w:t>
            </w:r>
            <w:r>
              <w:rPr>
                <w:rFonts w:hint="eastAsia" w:ascii="Times New Roman" w:hAnsi="Times New Roman"/>
                <w:color w:val="auto"/>
                <w:sz w:val="24"/>
                <w:highlight w:val="none"/>
                <w:lang w:val="en-US" w:eastAsia="zh-CN"/>
              </w:rPr>
              <w:t>厂内</w:t>
            </w:r>
            <w:r>
              <w:rPr>
                <w:rFonts w:hint="eastAsia" w:ascii="Times New Roman" w:hAnsi="Times New Roman"/>
                <w:color w:val="auto"/>
                <w:sz w:val="24"/>
                <w:highlight w:val="none"/>
              </w:rPr>
              <w:t>运输路段定期洒水，保持路面湿润，从而减少运输扬尘的产生。采取以上</w:t>
            </w:r>
            <w:r>
              <w:rPr>
                <w:rFonts w:hint="eastAsia" w:ascii="Times New Roman" w:hAnsi="Times New Roman"/>
                <w:color w:val="auto"/>
                <w:sz w:val="24"/>
                <w:highlight w:val="none"/>
                <w:lang w:val="en-US" w:eastAsia="zh-CN"/>
              </w:rPr>
              <w:t>防治</w:t>
            </w:r>
            <w:r>
              <w:rPr>
                <w:rFonts w:hint="eastAsia" w:ascii="Times New Roman" w:hAnsi="Times New Roman"/>
                <w:color w:val="auto"/>
                <w:sz w:val="24"/>
                <w:highlight w:val="none"/>
              </w:rPr>
              <w:t>措施后，运输扬尘产生量可减少90%，故本项目运输粉尘的排放量为</w:t>
            </w:r>
            <w:r>
              <w:rPr>
                <w:rFonts w:hint="eastAsia" w:ascii="Times New Roman" w:hAnsi="Times New Roman"/>
                <w:color w:val="auto"/>
                <w:sz w:val="24"/>
                <w:highlight w:val="none"/>
                <w:lang w:val="en-US" w:eastAsia="zh-CN"/>
              </w:rPr>
              <w:t>0.03</w:t>
            </w:r>
            <w:r>
              <w:rPr>
                <w:rFonts w:hint="eastAsia" w:ascii="Times New Roman" w:hAnsi="Times New Roman"/>
                <w:color w:val="auto"/>
                <w:sz w:val="24"/>
                <w:highlight w:val="none"/>
              </w:rPr>
              <w:t>t/a。</w:t>
            </w:r>
          </w:p>
          <w:p w14:paraId="0CB14A1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G9：上料、搅拌机进料过程中产生的粉尘</w:t>
            </w:r>
          </w:p>
          <w:p w14:paraId="69F2D3E5">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Times New Roman" w:hAnsi="Times New Roman"/>
                <w:color w:val="auto"/>
                <w:sz w:val="24"/>
                <w:highlight w:val="none"/>
              </w:rPr>
            </w:pPr>
            <w:r>
              <w:rPr>
                <w:rFonts w:hint="eastAsia" w:ascii="Times New Roman" w:hAnsi="Times New Roman"/>
                <w:color w:val="auto"/>
                <w:sz w:val="24"/>
                <w:highlight w:val="none"/>
                <w:lang w:val="en-US" w:eastAsia="zh-CN"/>
              </w:rPr>
              <w:t>本工序湿拌砂浆上料过程中会产生颗粒物，</w:t>
            </w:r>
            <w:r>
              <w:rPr>
                <w:rFonts w:hint="eastAsia" w:ascii="Times New Roman" w:hAnsi="Times New Roman" w:eastAsia="宋体" w:cs="Times New Roman"/>
                <w:color w:val="auto"/>
                <w:sz w:val="24"/>
                <w:szCs w:val="24"/>
                <w:highlight w:val="none"/>
                <w:lang w:val="en-US" w:eastAsia="zh-CN"/>
              </w:rPr>
              <w:t>参照《第二次全国污染源普查工业污染源产排污系数手册》“3021水泥制品制造（含 3022 砼结构构件、3029 其他水泥类似制品制造）行业系数表”中“</w:t>
            </w:r>
            <w:r>
              <w:rPr>
                <w:rFonts w:hint="eastAsia" w:ascii="Times New Roman" w:hAnsi="Times New Roman" w:cs="Times New Roman"/>
                <w:color w:val="auto"/>
                <w:sz w:val="24"/>
                <w:szCs w:val="24"/>
                <w:highlight w:val="none"/>
                <w:lang w:val="en-US" w:eastAsia="zh-CN"/>
              </w:rPr>
              <w:t>物料输送储存</w:t>
            </w:r>
            <w:r>
              <w:rPr>
                <w:rFonts w:hint="eastAsia" w:ascii="Times New Roman" w:hAnsi="Times New Roman" w:eastAsia="宋体" w:cs="Times New Roman"/>
                <w:color w:val="auto"/>
                <w:sz w:val="24"/>
                <w:szCs w:val="24"/>
                <w:highlight w:val="none"/>
                <w:lang w:val="en-US" w:eastAsia="zh-CN"/>
              </w:rPr>
              <w:t>”过程中</w:t>
            </w:r>
            <w:r>
              <w:rPr>
                <w:rFonts w:hint="eastAsia" w:ascii="Times New Roman" w:hAnsi="Times New Roman" w:cs="Times New Roman"/>
                <w:color w:val="auto"/>
                <w:sz w:val="24"/>
                <w:szCs w:val="24"/>
                <w:highlight w:val="none"/>
                <w:lang w:val="en-US" w:eastAsia="zh-CN"/>
              </w:rPr>
              <w:t>颗粒物</w:t>
            </w:r>
            <w:r>
              <w:rPr>
                <w:rFonts w:hint="eastAsia" w:ascii="Times New Roman" w:hAnsi="Times New Roman" w:eastAsia="宋体" w:cs="Times New Roman"/>
                <w:color w:val="auto"/>
                <w:sz w:val="24"/>
                <w:szCs w:val="24"/>
                <w:highlight w:val="none"/>
                <w:lang w:val="en-US" w:eastAsia="zh-CN"/>
              </w:rPr>
              <w:t>产污系数为</w:t>
            </w:r>
            <w:r>
              <w:rPr>
                <w:rFonts w:hint="eastAsia" w:ascii="Times New Roman" w:hAnsi="Times New Roman" w:cs="Times New Roman"/>
                <w:color w:val="auto"/>
                <w:sz w:val="24"/>
                <w:szCs w:val="24"/>
                <w:highlight w:val="none"/>
                <w:lang w:val="en-US" w:eastAsia="zh-CN"/>
              </w:rPr>
              <w:t>0.19</w:t>
            </w:r>
            <w:r>
              <w:rPr>
                <w:rFonts w:hint="eastAsia" w:ascii="Times New Roman" w:hAnsi="Times New Roman" w:eastAsia="宋体" w:cs="Times New Roman"/>
                <w:color w:val="auto"/>
                <w:sz w:val="24"/>
                <w:szCs w:val="24"/>
                <w:highlight w:val="none"/>
                <w:lang w:val="en-US" w:eastAsia="zh-CN"/>
              </w:rPr>
              <w:t>kg/t-原料</w:t>
            </w:r>
            <w:r>
              <w:rPr>
                <w:rFonts w:hint="eastAsia" w:ascii="Times New Roman" w:hAnsi="Times New Roman"/>
                <w:color w:val="auto"/>
                <w:sz w:val="24"/>
                <w:highlight w:val="none"/>
                <w:lang w:val="en-US" w:eastAsia="zh-CN"/>
              </w:rPr>
              <w:t>计算，该生产线水洗砂的年用量为7.97万t/a，则上料过程中粉尘的产生量为15.143t/a。</w:t>
            </w:r>
          </w:p>
          <w:p w14:paraId="1DB5AA0B">
            <w:pPr>
              <w:pStyle w:val="19"/>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Times New Roman" w:hAnsi="Times New Roman"/>
                <w:color w:val="auto"/>
                <w:sz w:val="24"/>
                <w:highlight w:val="none"/>
                <w:lang w:val="en-US" w:eastAsia="zh-CN"/>
              </w:rPr>
            </w:pPr>
            <w:r>
              <w:rPr>
                <w:rFonts w:hint="eastAsia" w:ascii="Times New Roman" w:hAnsi="Times New Roman"/>
                <w:color w:val="auto"/>
                <w:sz w:val="24"/>
                <w:highlight w:val="none"/>
              </w:rPr>
              <w:t>针对本</w:t>
            </w:r>
            <w:r>
              <w:rPr>
                <w:rFonts w:hint="eastAsia" w:ascii="Times New Roman" w:hAnsi="Times New Roman"/>
                <w:color w:val="auto"/>
                <w:sz w:val="24"/>
                <w:highlight w:val="none"/>
                <w:lang w:val="en-US" w:eastAsia="zh-CN"/>
              </w:rPr>
              <w:t>工序</w:t>
            </w:r>
            <w:r>
              <w:rPr>
                <w:rFonts w:hint="eastAsia" w:ascii="Times New Roman" w:hAnsi="Times New Roman"/>
                <w:color w:val="auto"/>
                <w:sz w:val="24"/>
                <w:highlight w:val="none"/>
              </w:rPr>
              <w:t>搅拌机</w:t>
            </w:r>
            <w:r>
              <w:rPr>
                <w:rFonts w:hint="eastAsia" w:ascii="Times New Roman" w:hAnsi="Times New Roman"/>
                <w:color w:val="auto"/>
                <w:sz w:val="24"/>
                <w:highlight w:val="none"/>
                <w:lang w:val="en-US" w:eastAsia="zh-CN"/>
              </w:rPr>
              <w:t>进料</w:t>
            </w:r>
            <w:r>
              <w:rPr>
                <w:rFonts w:hint="eastAsia" w:ascii="Times New Roman" w:hAnsi="Times New Roman"/>
                <w:color w:val="auto"/>
                <w:sz w:val="24"/>
                <w:highlight w:val="none"/>
              </w:rPr>
              <w:t>时产生的粉尘，</w:t>
            </w:r>
            <w:r>
              <w:rPr>
                <w:rFonts w:hint="eastAsia" w:ascii="Times New Roman" w:hAnsi="Times New Roman"/>
                <w:color w:val="auto"/>
                <w:sz w:val="24"/>
                <w:highlight w:val="none"/>
                <w:lang w:val="en-US" w:eastAsia="zh-CN"/>
              </w:rPr>
              <w:t>参照</w:t>
            </w:r>
            <w:r>
              <w:rPr>
                <w:rFonts w:hint="eastAsia" w:ascii="Times New Roman" w:hAnsi="Times New Roman"/>
                <w:color w:val="auto"/>
                <w:sz w:val="24"/>
                <w:highlight w:val="none"/>
              </w:rPr>
              <w:t>《第二次全国污染源普查产排污核算系数手册》中“3021水泥制品制造</w:t>
            </w:r>
            <w:r>
              <w:rPr>
                <w:rFonts w:hint="default" w:ascii="Times New Roman" w:hAnsi="Times New Roman" w:eastAsia="宋体" w:cs="Times New Roman"/>
                <w:color w:val="auto"/>
                <w:sz w:val="24"/>
                <w:szCs w:val="24"/>
                <w:highlight w:val="none"/>
                <w:lang w:val="en-US" w:eastAsia="zh-CN"/>
              </w:rPr>
              <w:t>（含 3022 砼结构构件、3029 其他水泥类似制品制造）行业系数表</w:t>
            </w:r>
            <w:r>
              <w:rPr>
                <w:rFonts w:hint="eastAsia" w:ascii="Times New Roman" w:hAnsi="Times New Roman"/>
                <w:color w:val="auto"/>
                <w:sz w:val="24"/>
                <w:highlight w:val="none"/>
              </w:rPr>
              <w:t>”</w:t>
            </w:r>
            <w:r>
              <w:rPr>
                <w:rFonts w:hint="eastAsia" w:ascii="Times New Roman" w:hAnsi="Times New Roman"/>
                <w:color w:val="auto"/>
                <w:sz w:val="24"/>
                <w:highlight w:val="none"/>
                <w:lang w:val="en-US" w:eastAsia="zh-CN"/>
              </w:rPr>
              <w:t>中</w:t>
            </w:r>
            <w:r>
              <w:rPr>
                <w:rFonts w:hint="eastAsia" w:ascii="Times New Roman" w:hAnsi="Times New Roman"/>
                <w:color w:val="auto"/>
                <w:sz w:val="24"/>
                <w:highlight w:val="none"/>
                <w:lang w:eastAsia="zh-CN"/>
              </w:rPr>
              <w:t>“物料混合搅拌”</w:t>
            </w:r>
            <w:r>
              <w:rPr>
                <w:rFonts w:hint="eastAsia" w:ascii="Times New Roman" w:hAnsi="Times New Roman"/>
                <w:color w:val="auto"/>
                <w:sz w:val="24"/>
                <w:highlight w:val="none"/>
                <w:lang w:val="en-US" w:eastAsia="zh-CN"/>
              </w:rPr>
              <w:t>过程中</w:t>
            </w:r>
            <w:r>
              <w:rPr>
                <w:rFonts w:hint="eastAsia" w:ascii="Times New Roman" w:hAnsi="Times New Roman"/>
                <w:color w:val="auto"/>
                <w:sz w:val="24"/>
                <w:highlight w:val="none"/>
              </w:rPr>
              <w:t>颗粒物产污系数为0.</w:t>
            </w:r>
            <w:r>
              <w:rPr>
                <w:rFonts w:hint="eastAsia" w:ascii="Times New Roman" w:hAnsi="Times New Roman"/>
                <w:color w:val="auto"/>
                <w:sz w:val="24"/>
                <w:highlight w:val="none"/>
                <w:lang w:val="en-US" w:eastAsia="zh-CN"/>
              </w:rPr>
              <w:t>523</w:t>
            </w:r>
            <w:r>
              <w:rPr>
                <w:rFonts w:hint="eastAsia" w:ascii="Times New Roman" w:hAnsi="Times New Roman"/>
                <w:color w:val="auto"/>
                <w:sz w:val="24"/>
                <w:highlight w:val="none"/>
              </w:rPr>
              <w:t>kg/t-产品</w:t>
            </w:r>
            <w:r>
              <w:rPr>
                <w:rFonts w:hint="eastAsia" w:ascii="Times New Roman" w:hAnsi="Times New Roman"/>
                <w:color w:val="auto"/>
                <w:sz w:val="24"/>
                <w:highlight w:val="none"/>
                <w:lang w:eastAsia="zh-CN"/>
              </w:rPr>
              <w:t>，</w:t>
            </w:r>
            <w:r>
              <w:rPr>
                <w:rFonts w:hint="eastAsia" w:ascii="Times New Roman" w:hAnsi="Times New Roman"/>
                <w:color w:val="auto"/>
                <w:sz w:val="24"/>
                <w:highlight w:val="none"/>
                <w:lang w:val="en-US" w:eastAsia="zh-CN"/>
              </w:rPr>
              <w:t>本工序湿拌砂浆年产量为1</w:t>
            </w:r>
            <w:r>
              <w:rPr>
                <w:rFonts w:hint="eastAsia" w:ascii="Times New Roman" w:hAnsi="Times New Roman"/>
                <w:color w:val="auto"/>
                <w:sz w:val="24"/>
                <w:highlight w:val="none"/>
                <w:vertAlign w:val="baseline"/>
                <w:lang w:val="en-US" w:eastAsia="zh-CN"/>
              </w:rPr>
              <w:t>0万t</w:t>
            </w:r>
            <w:r>
              <w:rPr>
                <w:rFonts w:hint="eastAsia" w:ascii="Times New Roman" w:hAnsi="Times New Roman"/>
                <w:color w:val="auto"/>
                <w:sz w:val="24"/>
                <w:highlight w:val="none"/>
              </w:rPr>
              <w:t>，则搅拌粉尘产生量为</w:t>
            </w:r>
            <w:r>
              <w:rPr>
                <w:rFonts w:hint="eastAsia" w:ascii="Times New Roman" w:hAnsi="Times New Roman"/>
                <w:color w:val="auto"/>
                <w:sz w:val="24"/>
                <w:highlight w:val="none"/>
                <w:lang w:val="en-US" w:eastAsia="zh-CN"/>
              </w:rPr>
              <w:t>52.3</w:t>
            </w:r>
            <w:r>
              <w:rPr>
                <w:rFonts w:hint="eastAsia" w:ascii="Times New Roman" w:hAnsi="Times New Roman"/>
                <w:color w:val="auto"/>
                <w:sz w:val="24"/>
                <w:highlight w:val="none"/>
              </w:rPr>
              <w:t>t/a。</w:t>
            </w:r>
          </w:p>
          <w:p w14:paraId="76CE9B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highlight w:val="none"/>
                <w:lang w:val="en-US" w:eastAsia="zh-CN"/>
              </w:rPr>
              <w:t>环评要求根据生产线设备设置情况在上料口、搅拌机进料口上方设置集尘罩（三面封闭、投料一侧设置软帘），废气经收集后引至1套布袋除尘器（TA003）处理，</w:t>
            </w:r>
            <w:r>
              <w:rPr>
                <w:rFonts w:hint="eastAsia" w:ascii="Times New Roman" w:hAnsi="Times New Roman" w:eastAsia="宋体" w:cs="Times New Roman"/>
                <w:color w:val="auto"/>
                <w:kern w:val="10"/>
                <w:sz w:val="24"/>
                <w:highlight w:val="none"/>
                <w:lang w:val="en-US" w:eastAsia="zh-CN"/>
              </w:rPr>
              <w:t>后</w:t>
            </w:r>
            <w:r>
              <w:rPr>
                <w:rFonts w:hint="default" w:ascii="Times New Roman" w:hAnsi="Times New Roman" w:eastAsia="宋体" w:cs="Times New Roman"/>
                <w:color w:val="auto"/>
                <w:kern w:val="10"/>
                <w:sz w:val="24"/>
                <w:highlight w:val="none"/>
                <w:lang w:val="en-US" w:eastAsia="zh-CN"/>
              </w:rPr>
              <w:t>通过一根</w:t>
            </w:r>
            <w:r>
              <w:rPr>
                <w:rFonts w:hint="eastAsia" w:cs="Times New Roman"/>
                <w:color w:val="auto"/>
                <w:kern w:val="10"/>
                <w:sz w:val="24"/>
                <w:highlight w:val="none"/>
                <w:lang w:val="en-US" w:eastAsia="zh-CN"/>
              </w:rPr>
              <w:t>26</w:t>
            </w:r>
            <w:r>
              <w:rPr>
                <w:rFonts w:hint="default" w:ascii="Times New Roman" w:hAnsi="Times New Roman" w:eastAsia="宋体" w:cs="Times New Roman"/>
                <w:color w:val="auto"/>
                <w:kern w:val="10"/>
                <w:sz w:val="24"/>
                <w:highlight w:val="none"/>
                <w:lang w:val="en-US" w:eastAsia="zh-CN"/>
              </w:rPr>
              <w:t>m高排气筒</w:t>
            </w:r>
            <w:r>
              <w:rPr>
                <w:rFonts w:hint="eastAsia" w:ascii="Times New Roman" w:hAnsi="Times New Roman" w:eastAsia="宋体" w:cs="Times New Roman"/>
                <w:color w:val="auto"/>
                <w:kern w:val="10"/>
                <w:sz w:val="24"/>
                <w:highlight w:val="none"/>
                <w:lang w:val="en-US" w:eastAsia="zh-CN"/>
              </w:rPr>
              <w:t>（DA0</w:t>
            </w:r>
            <w:r>
              <w:rPr>
                <w:rFonts w:hint="eastAsia" w:ascii="Times New Roman" w:hAnsi="Times New Roman" w:cs="Times New Roman"/>
                <w:color w:val="auto"/>
                <w:kern w:val="10"/>
                <w:sz w:val="24"/>
                <w:highlight w:val="none"/>
                <w:lang w:val="en-US" w:eastAsia="zh-CN"/>
              </w:rPr>
              <w:t>03</w:t>
            </w:r>
            <w:r>
              <w:rPr>
                <w:rFonts w:hint="eastAsia" w:ascii="Times New Roman" w:hAnsi="Times New Roman" w:eastAsia="宋体" w:cs="Times New Roman"/>
                <w:color w:val="auto"/>
                <w:kern w:val="10"/>
                <w:sz w:val="24"/>
                <w:highlight w:val="none"/>
                <w:lang w:val="en-US" w:eastAsia="zh-CN"/>
              </w:rPr>
              <w:t>）</w:t>
            </w:r>
            <w:r>
              <w:rPr>
                <w:rFonts w:hint="default" w:ascii="Times New Roman" w:hAnsi="Times New Roman" w:eastAsia="宋体" w:cs="Times New Roman"/>
                <w:color w:val="auto"/>
                <w:kern w:val="10"/>
                <w:sz w:val="24"/>
                <w:highlight w:val="none"/>
                <w:lang w:val="en-US" w:eastAsia="zh-CN"/>
              </w:rPr>
              <w:t>排放。</w:t>
            </w:r>
            <w:r>
              <w:rPr>
                <w:rFonts w:hint="eastAsia" w:ascii="Times New Roman" w:hAnsi="Times New Roman"/>
                <w:color w:val="auto"/>
                <w:sz w:val="24"/>
                <w:szCs w:val="24"/>
                <w:highlight w:val="none"/>
                <w:lang w:val="en-US" w:eastAsia="zh-CN"/>
              </w:rPr>
              <w:t>废气量</w:t>
            </w:r>
            <w:r>
              <w:rPr>
                <w:rFonts w:hint="eastAsia"/>
                <w:color w:val="auto"/>
                <w:sz w:val="24"/>
                <w:lang w:val="en-US" w:eastAsia="zh-CN"/>
              </w:rPr>
              <w:t>根据《排风罩的分类及技术条件》（GB/T 16758-2008）、《局部排风设施控制风速检测与评估技术规范》（AQ/T 4274-2016）等要求，在上料口、搅拌机进料口上部设置顶吸式集尘罩</w:t>
            </w:r>
            <w:r>
              <w:rPr>
                <w:rFonts w:hint="default" w:ascii="Times New Roman" w:hAnsi="Times New Roman"/>
                <w:color w:val="auto"/>
                <w:sz w:val="24"/>
                <w:szCs w:val="24"/>
                <w:highlight w:val="none"/>
                <w:lang w:val="en-US" w:eastAsia="zh-CN"/>
              </w:rPr>
              <w:t>，</w:t>
            </w:r>
            <w:r>
              <w:rPr>
                <w:rFonts w:hint="eastAsia" w:ascii="Times New Roman" w:hAnsi="Times New Roman"/>
                <w:color w:val="auto"/>
                <w:sz w:val="24"/>
                <w:szCs w:val="24"/>
                <w:highlight w:val="none"/>
                <w:lang w:val="en-US" w:eastAsia="zh-CN"/>
              </w:rPr>
              <w:t>具体公式为：</w:t>
            </w:r>
          </w:p>
          <w:p w14:paraId="10CAE01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各产尘点设置的排风罩的排风量按下式计算：</w:t>
            </w:r>
          </w:p>
          <w:p w14:paraId="1E42562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Q=3600Fv</w:t>
            </w:r>
          </w:p>
          <w:p w14:paraId="59B2997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式中：Q—排风量，m</w:t>
            </w:r>
            <w:r>
              <w:rPr>
                <w:rFonts w:hint="default" w:ascii="Times New Roman" w:hAnsi="Times New Roman"/>
                <w:color w:val="auto"/>
                <w:sz w:val="24"/>
                <w:highlight w:val="none"/>
                <w:vertAlign w:val="superscript"/>
                <w:lang w:val="en-US" w:eastAsia="zh-CN"/>
              </w:rPr>
              <w:t>3</w:t>
            </w:r>
            <w:r>
              <w:rPr>
                <w:rFonts w:hint="default" w:ascii="Times New Roman" w:hAnsi="Times New Roman"/>
                <w:color w:val="auto"/>
                <w:sz w:val="24"/>
                <w:highlight w:val="none"/>
                <w:lang w:val="en-US" w:eastAsia="zh-CN"/>
              </w:rPr>
              <w:t>/h；</w:t>
            </w:r>
          </w:p>
          <w:p w14:paraId="58F3C02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v—罩口平均风速，(m/s)；</w:t>
            </w:r>
          </w:p>
          <w:p w14:paraId="23E92E9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F—罩口面积（m</w:t>
            </w:r>
            <w:r>
              <w:rPr>
                <w:rFonts w:hint="default" w:ascii="Times New Roman" w:hAnsi="Times New Roman"/>
                <w:color w:val="auto"/>
                <w:sz w:val="24"/>
                <w:highlight w:val="none"/>
                <w:vertAlign w:val="superscript"/>
                <w:lang w:val="en-US" w:eastAsia="zh-CN"/>
              </w:rPr>
              <w:t>2</w:t>
            </w:r>
            <w:r>
              <w:rPr>
                <w:rFonts w:hint="default" w:ascii="Times New Roman" w:hAnsi="Times New Roman"/>
                <w:color w:val="auto"/>
                <w:sz w:val="24"/>
                <w:highlight w:val="none"/>
                <w:lang w:val="en-US" w:eastAsia="zh-CN"/>
              </w:rPr>
              <w:t>）。</w:t>
            </w:r>
          </w:p>
          <w:p w14:paraId="4B74D28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b/>
                <w:bCs/>
                <w:color w:val="auto"/>
                <w:sz w:val="24"/>
                <w:szCs w:val="24"/>
                <w:highlight w:val="none"/>
                <w:lang w:eastAsia="zh-CN"/>
              </w:rPr>
            </w:pPr>
            <w:r>
              <w:rPr>
                <w:rFonts w:hint="default" w:ascii="Times New Roman" w:hAnsi="Times New Roman"/>
                <w:color w:val="auto"/>
                <w:sz w:val="24"/>
                <w:highlight w:val="none"/>
                <w:lang w:val="en-US" w:eastAsia="zh-CN"/>
              </w:rPr>
              <w:t>各产尘点排风罩设置类型及各参数取值情况如下表所示：</w:t>
            </w:r>
          </w:p>
          <w:p w14:paraId="53109F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r>
              <w:rPr>
                <w:rFonts w:hint="default"/>
                <w:b/>
                <w:bCs/>
                <w:color w:val="auto"/>
                <w:sz w:val="21"/>
                <w:szCs w:val="21"/>
                <w:highlight w:val="none"/>
                <w:lang w:eastAsia="zh-CN"/>
              </w:rPr>
              <w:t>表</w:t>
            </w:r>
            <w:r>
              <w:rPr>
                <w:rFonts w:hint="default"/>
                <w:b/>
                <w:bCs/>
                <w:color w:val="auto"/>
                <w:sz w:val="21"/>
                <w:szCs w:val="21"/>
                <w:highlight w:val="none"/>
                <w:lang w:val="en-US" w:eastAsia="zh-CN"/>
              </w:rPr>
              <w:t>4-</w:t>
            </w:r>
            <w:r>
              <w:rPr>
                <w:rFonts w:hint="eastAsia"/>
                <w:b/>
                <w:bCs/>
                <w:color w:val="auto"/>
                <w:sz w:val="21"/>
                <w:szCs w:val="21"/>
                <w:highlight w:val="none"/>
                <w:lang w:val="en-US" w:eastAsia="zh-CN"/>
              </w:rPr>
              <w:t>3</w:t>
            </w:r>
            <w:r>
              <w:rPr>
                <w:rFonts w:hint="default"/>
                <w:b/>
                <w:bCs/>
                <w:color w:val="auto"/>
                <w:sz w:val="21"/>
                <w:szCs w:val="21"/>
                <w:highlight w:val="none"/>
                <w:lang w:val="en-US" w:eastAsia="zh-CN"/>
              </w:rPr>
              <w:t xml:space="preserve">  </w:t>
            </w:r>
            <w:r>
              <w:rPr>
                <w:rFonts w:hint="eastAsia"/>
                <w:b/>
                <w:bCs/>
                <w:color w:val="auto"/>
                <w:sz w:val="21"/>
                <w:szCs w:val="21"/>
                <w:highlight w:val="none"/>
                <w:lang w:val="en-US" w:eastAsia="zh-CN"/>
              </w:rPr>
              <w:t>各产尘点罩口设计风量</w:t>
            </w:r>
            <w:r>
              <w:rPr>
                <w:rFonts w:hint="default"/>
                <w:b/>
                <w:bCs/>
                <w:color w:val="auto"/>
                <w:sz w:val="21"/>
                <w:szCs w:val="21"/>
                <w:highlight w:val="none"/>
              </w:rPr>
              <w:t>一览表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1759"/>
              <w:gridCol w:w="1265"/>
              <w:gridCol w:w="1228"/>
              <w:gridCol w:w="1098"/>
              <w:gridCol w:w="2148"/>
            </w:tblGrid>
            <w:tr w14:paraId="764E7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5" w:type="pct"/>
                  <w:tcBorders>
                    <w:tl2br w:val="nil"/>
                    <w:tr2bl w:val="nil"/>
                  </w:tcBorders>
                  <w:noWrap w:val="0"/>
                  <w:vAlign w:val="center"/>
                </w:tcPr>
                <w:p w14:paraId="50A747B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b w:val="0"/>
                      <w:bCs w:val="0"/>
                      <w:color w:val="auto"/>
                      <w:sz w:val="21"/>
                      <w:szCs w:val="21"/>
                      <w:highlight w:val="none"/>
                      <w:lang w:eastAsia="zh-CN"/>
                    </w:rPr>
                  </w:pPr>
                  <w:r>
                    <w:rPr>
                      <w:rFonts w:hint="eastAsia" w:eastAsia="宋体"/>
                      <w:b w:val="0"/>
                      <w:bCs w:val="0"/>
                      <w:color w:val="auto"/>
                      <w:sz w:val="21"/>
                      <w:szCs w:val="21"/>
                      <w:highlight w:val="none"/>
                      <w:lang w:val="en-US" w:eastAsia="zh-CN"/>
                    </w:rPr>
                    <w:t>产尘点</w:t>
                  </w:r>
                </w:p>
              </w:tc>
              <w:tc>
                <w:tcPr>
                  <w:tcW w:w="1021" w:type="pct"/>
                  <w:tcBorders>
                    <w:tl2br w:val="nil"/>
                    <w:tr2bl w:val="nil"/>
                  </w:tcBorders>
                  <w:noWrap w:val="0"/>
                  <w:vAlign w:val="center"/>
                </w:tcPr>
                <w:p w14:paraId="47CD271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rPr>
                  </w:pPr>
                  <w:r>
                    <w:rPr>
                      <w:rFonts w:hint="eastAsia" w:eastAsia="宋体"/>
                      <w:b w:val="0"/>
                      <w:bCs w:val="0"/>
                      <w:color w:val="auto"/>
                      <w:sz w:val="21"/>
                      <w:szCs w:val="21"/>
                      <w:highlight w:val="none"/>
                      <w:lang w:val="en-US" w:eastAsia="zh-CN"/>
                    </w:rPr>
                    <w:t>集尘罩截</w:t>
                  </w:r>
                  <w:r>
                    <w:rPr>
                      <w:rFonts w:hint="default" w:eastAsia="宋体"/>
                      <w:b w:val="0"/>
                      <w:bCs w:val="0"/>
                      <w:color w:val="auto"/>
                      <w:sz w:val="21"/>
                      <w:szCs w:val="21"/>
                      <w:highlight w:val="none"/>
                      <w:lang w:eastAsia="zh-CN"/>
                    </w:rPr>
                    <w:t>面积</w:t>
                  </w:r>
                  <w:r>
                    <w:rPr>
                      <w:rFonts w:hint="default" w:eastAsia="宋体"/>
                      <w:b w:val="0"/>
                      <w:bCs w:val="0"/>
                      <w:color w:val="auto"/>
                      <w:sz w:val="21"/>
                      <w:szCs w:val="21"/>
                      <w:highlight w:val="none"/>
                    </w:rPr>
                    <w:t>（m</w:t>
                  </w:r>
                  <w:r>
                    <w:rPr>
                      <w:rFonts w:hint="default" w:eastAsia="宋体"/>
                      <w:b w:val="0"/>
                      <w:bCs w:val="0"/>
                      <w:color w:val="auto"/>
                      <w:sz w:val="21"/>
                      <w:szCs w:val="21"/>
                      <w:highlight w:val="none"/>
                      <w:vertAlign w:val="superscript"/>
                    </w:rPr>
                    <w:t>2</w:t>
                  </w:r>
                  <w:r>
                    <w:rPr>
                      <w:rFonts w:hint="default" w:eastAsia="宋体"/>
                      <w:b w:val="0"/>
                      <w:bCs w:val="0"/>
                      <w:color w:val="auto"/>
                      <w:sz w:val="21"/>
                      <w:szCs w:val="21"/>
                      <w:highlight w:val="none"/>
                    </w:rPr>
                    <w:t>）</w:t>
                  </w:r>
                </w:p>
              </w:tc>
              <w:tc>
                <w:tcPr>
                  <w:tcW w:w="734" w:type="pct"/>
                  <w:tcBorders>
                    <w:tl2br w:val="nil"/>
                    <w:tr2bl w:val="nil"/>
                  </w:tcBorders>
                  <w:noWrap w:val="0"/>
                  <w:vAlign w:val="center"/>
                </w:tcPr>
                <w:p w14:paraId="3ED66DC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rPr>
                  </w:pPr>
                  <w:r>
                    <w:rPr>
                      <w:rFonts w:hint="eastAsia" w:eastAsia="宋体"/>
                      <w:b w:val="0"/>
                      <w:bCs w:val="0"/>
                      <w:color w:val="auto"/>
                      <w:sz w:val="21"/>
                      <w:szCs w:val="21"/>
                      <w:highlight w:val="none"/>
                      <w:lang w:val="en-US" w:eastAsia="zh-CN"/>
                    </w:rPr>
                    <w:t>罩口控制风速</w:t>
                  </w:r>
                  <w:r>
                    <w:rPr>
                      <w:rFonts w:hint="default" w:eastAsia="宋体"/>
                      <w:b w:val="0"/>
                      <w:bCs w:val="0"/>
                      <w:color w:val="auto"/>
                      <w:sz w:val="21"/>
                      <w:szCs w:val="21"/>
                      <w:highlight w:val="none"/>
                    </w:rPr>
                    <w:t>（m/s）</w:t>
                  </w:r>
                </w:p>
              </w:tc>
              <w:tc>
                <w:tcPr>
                  <w:tcW w:w="713" w:type="pct"/>
                  <w:tcBorders>
                    <w:tl2br w:val="nil"/>
                    <w:tr2bl w:val="nil"/>
                  </w:tcBorders>
                  <w:noWrap w:val="0"/>
                  <w:vAlign w:val="center"/>
                </w:tcPr>
                <w:p w14:paraId="47762D0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rPr>
                  </w:pPr>
                  <w:r>
                    <w:rPr>
                      <w:rFonts w:hint="default" w:eastAsia="宋体"/>
                      <w:b w:val="0"/>
                      <w:bCs w:val="0"/>
                      <w:color w:val="auto"/>
                      <w:sz w:val="21"/>
                      <w:szCs w:val="21"/>
                      <w:highlight w:val="none"/>
                    </w:rPr>
                    <w:t>风量（m</w:t>
                  </w:r>
                  <w:r>
                    <w:rPr>
                      <w:rFonts w:hint="default" w:eastAsia="宋体"/>
                      <w:b w:val="0"/>
                      <w:bCs w:val="0"/>
                      <w:color w:val="auto"/>
                      <w:sz w:val="21"/>
                      <w:szCs w:val="21"/>
                      <w:highlight w:val="none"/>
                      <w:vertAlign w:val="superscript"/>
                    </w:rPr>
                    <w:t>3</w:t>
                  </w:r>
                  <w:r>
                    <w:rPr>
                      <w:rFonts w:hint="default" w:eastAsia="宋体"/>
                      <w:b w:val="0"/>
                      <w:bCs w:val="0"/>
                      <w:color w:val="auto"/>
                      <w:sz w:val="21"/>
                      <w:szCs w:val="21"/>
                      <w:highlight w:val="none"/>
                    </w:rPr>
                    <w:t>/h）</w:t>
                  </w:r>
                </w:p>
              </w:tc>
              <w:tc>
                <w:tcPr>
                  <w:tcW w:w="637" w:type="pct"/>
                  <w:tcBorders>
                    <w:tl2br w:val="nil"/>
                    <w:tr2bl w:val="nil"/>
                  </w:tcBorders>
                  <w:noWrap w:val="0"/>
                  <w:vAlign w:val="center"/>
                </w:tcPr>
                <w:p w14:paraId="2821C9C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lang w:val="en-US" w:eastAsia="zh-CN"/>
                    </w:rPr>
                  </w:pPr>
                  <w:r>
                    <w:rPr>
                      <w:rFonts w:hint="eastAsia" w:eastAsia="宋体"/>
                      <w:b w:val="0"/>
                      <w:bCs w:val="0"/>
                      <w:color w:val="auto"/>
                      <w:sz w:val="21"/>
                      <w:szCs w:val="21"/>
                      <w:highlight w:val="none"/>
                      <w:lang w:val="en-US" w:eastAsia="zh-CN"/>
                    </w:rPr>
                    <w:t>集尘罩数量（个）</w:t>
                  </w:r>
                </w:p>
              </w:tc>
              <w:tc>
                <w:tcPr>
                  <w:tcW w:w="1247" w:type="pct"/>
                  <w:tcBorders>
                    <w:tl2br w:val="nil"/>
                    <w:tr2bl w:val="nil"/>
                  </w:tcBorders>
                  <w:noWrap w:val="0"/>
                  <w:vAlign w:val="center"/>
                </w:tcPr>
                <w:p w14:paraId="509C5D9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lang w:val="en-US" w:eastAsia="zh-CN"/>
                    </w:rPr>
                  </w:pPr>
                  <w:r>
                    <w:rPr>
                      <w:rFonts w:hint="eastAsia" w:eastAsia="宋体"/>
                      <w:b w:val="0"/>
                      <w:bCs w:val="0"/>
                      <w:color w:val="auto"/>
                      <w:sz w:val="21"/>
                      <w:szCs w:val="21"/>
                      <w:highlight w:val="none"/>
                      <w:lang w:val="en-US" w:eastAsia="zh-CN"/>
                    </w:rPr>
                    <w:t>排风罩类型</w:t>
                  </w:r>
                </w:p>
              </w:tc>
            </w:tr>
            <w:tr w14:paraId="4CF6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5" w:type="pct"/>
                  <w:tcBorders>
                    <w:tl2br w:val="nil"/>
                    <w:tr2bl w:val="nil"/>
                  </w:tcBorders>
                  <w:noWrap w:val="0"/>
                  <w:vAlign w:val="center"/>
                </w:tcPr>
                <w:p w14:paraId="4F17E2A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湿拌砂浆上料口</w:t>
                  </w:r>
                </w:p>
              </w:tc>
              <w:tc>
                <w:tcPr>
                  <w:tcW w:w="1021" w:type="pct"/>
                  <w:tcBorders>
                    <w:tl2br w:val="nil"/>
                    <w:tr2bl w:val="nil"/>
                  </w:tcBorders>
                  <w:noWrap w:val="0"/>
                  <w:vAlign w:val="center"/>
                </w:tcPr>
                <w:p w14:paraId="1FF6D97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vertAlign w:val="baseline"/>
                      <w:lang w:val="en-US" w:eastAsia="zh-CN" w:bidi="ar-SA"/>
                    </w:rPr>
                  </w:pPr>
                  <w:r>
                    <w:rPr>
                      <w:rFonts w:hint="eastAsia" w:eastAsia="宋体"/>
                      <w:color w:val="auto"/>
                      <w:sz w:val="21"/>
                      <w:szCs w:val="21"/>
                      <w:highlight w:val="none"/>
                      <w:lang w:val="en-US" w:eastAsia="zh-CN"/>
                    </w:rPr>
                    <w:t>0.9</w:t>
                  </w:r>
                  <w:r>
                    <w:rPr>
                      <w:rFonts w:hint="default" w:eastAsia="宋体"/>
                      <w:color w:val="auto"/>
                      <w:sz w:val="21"/>
                      <w:szCs w:val="21"/>
                      <w:highlight w:val="none"/>
                      <w:lang w:val="en-US" w:eastAsia="zh-CN"/>
                    </w:rPr>
                    <w:t>×</w:t>
                  </w:r>
                  <w:r>
                    <w:rPr>
                      <w:rFonts w:hint="eastAsia" w:eastAsia="宋体"/>
                      <w:color w:val="auto"/>
                      <w:sz w:val="21"/>
                      <w:szCs w:val="21"/>
                      <w:highlight w:val="none"/>
                      <w:lang w:val="en-US" w:eastAsia="zh-CN"/>
                    </w:rPr>
                    <w:t>0.6</w:t>
                  </w:r>
                </w:p>
              </w:tc>
              <w:tc>
                <w:tcPr>
                  <w:tcW w:w="734" w:type="pct"/>
                  <w:tcBorders>
                    <w:tl2br w:val="nil"/>
                    <w:tr2bl w:val="nil"/>
                  </w:tcBorders>
                  <w:noWrap w:val="0"/>
                  <w:vAlign w:val="center"/>
                </w:tcPr>
                <w:p w14:paraId="15A5B1E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1.2</w:t>
                  </w:r>
                </w:p>
              </w:tc>
              <w:tc>
                <w:tcPr>
                  <w:tcW w:w="713" w:type="pct"/>
                  <w:tcBorders>
                    <w:tl2br w:val="nil"/>
                    <w:tr2bl w:val="nil"/>
                  </w:tcBorders>
                  <w:noWrap w:val="0"/>
                  <w:vAlign w:val="center"/>
                </w:tcPr>
                <w:p w14:paraId="1AEB5FF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default" w:eastAsia="宋体"/>
                      <w:color w:val="auto"/>
                      <w:sz w:val="21"/>
                      <w:szCs w:val="21"/>
                      <w:highlight w:val="none"/>
                    </w:rPr>
                    <w:t>≥</w:t>
                  </w:r>
                  <w:r>
                    <w:rPr>
                      <w:rFonts w:hint="eastAsia" w:eastAsia="宋体"/>
                      <w:color w:val="auto"/>
                      <w:sz w:val="21"/>
                      <w:szCs w:val="21"/>
                      <w:highlight w:val="none"/>
                      <w:lang w:val="en-US" w:eastAsia="zh-CN"/>
                    </w:rPr>
                    <w:t>2332.8</w:t>
                  </w:r>
                </w:p>
              </w:tc>
              <w:tc>
                <w:tcPr>
                  <w:tcW w:w="637" w:type="pct"/>
                  <w:tcBorders>
                    <w:tl2br w:val="nil"/>
                    <w:tr2bl w:val="nil"/>
                  </w:tcBorders>
                  <w:noWrap w:val="0"/>
                  <w:vAlign w:val="center"/>
                </w:tcPr>
                <w:p w14:paraId="410042B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1</w:t>
                  </w:r>
                </w:p>
              </w:tc>
              <w:tc>
                <w:tcPr>
                  <w:tcW w:w="1247" w:type="pct"/>
                  <w:tcBorders>
                    <w:tl2br w:val="nil"/>
                    <w:tr2bl w:val="nil"/>
                  </w:tcBorders>
                  <w:noWrap w:val="0"/>
                  <w:vAlign w:val="center"/>
                </w:tcPr>
                <w:p w14:paraId="3D25911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外部排风罩（顶吸式）</w:t>
                  </w:r>
                </w:p>
              </w:tc>
            </w:tr>
            <w:tr w14:paraId="285C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5" w:type="pct"/>
                  <w:tcBorders>
                    <w:tl2br w:val="nil"/>
                    <w:tr2bl w:val="nil"/>
                  </w:tcBorders>
                  <w:noWrap w:val="0"/>
                  <w:vAlign w:val="center"/>
                </w:tcPr>
                <w:p w14:paraId="21003B6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搅拌机进料口</w:t>
                  </w:r>
                </w:p>
              </w:tc>
              <w:tc>
                <w:tcPr>
                  <w:tcW w:w="1021" w:type="pct"/>
                  <w:tcBorders>
                    <w:tl2br w:val="nil"/>
                    <w:tr2bl w:val="nil"/>
                  </w:tcBorders>
                  <w:noWrap w:val="0"/>
                  <w:vAlign w:val="center"/>
                </w:tcPr>
                <w:p w14:paraId="46BE309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1.7</w:t>
                  </w:r>
                  <w:r>
                    <w:rPr>
                      <w:rFonts w:hint="default" w:eastAsia="宋体"/>
                      <w:color w:val="auto"/>
                      <w:sz w:val="21"/>
                      <w:szCs w:val="21"/>
                      <w:highlight w:val="none"/>
                      <w:lang w:val="en-US" w:eastAsia="zh-CN"/>
                    </w:rPr>
                    <w:t>×</w:t>
                  </w:r>
                  <w:r>
                    <w:rPr>
                      <w:rFonts w:hint="eastAsia" w:eastAsia="宋体"/>
                      <w:color w:val="auto"/>
                      <w:sz w:val="21"/>
                      <w:szCs w:val="21"/>
                      <w:highlight w:val="none"/>
                      <w:lang w:val="en-US" w:eastAsia="zh-CN"/>
                    </w:rPr>
                    <w:t>1.1</w:t>
                  </w:r>
                </w:p>
              </w:tc>
              <w:tc>
                <w:tcPr>
                  <w:tcW w:w="734" w:type="pct"/>
                  <w:tcBorders>
                    <w:tl2br w:val="nil"/>
                    <w:tr2bl w:val="nil"/>
                  </w:tcBorders>
                  <w:noWrap w:val="0"/>
                  <w:vAlign w:val="center"/>
                </w:tcPr>
                <w:p w14:paraId="324CFED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1.2</w:t>
                  </w:r>
                </w:p>
              </w:tc>
              <w:tc>
                <w:tcPr>
                  <w:tcW w:w="713" w:type="pct"/>
                  <w:tcBorders>
                    <w:tl2br w:val="nil"/>
                    <w:tr2bl w:val="nil"/>
                  </w:tcBorders>
                  <w:noWrap w:val="0"/>
                  <w:vAlign w:val="center"/>
                </w:tcPr>
                <w:p w14:paraId="738ACFA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sz w:val="21"/>
                      <w:szCs w:val="21"/>
                      <w:highlight w:val="none"/>
                      <w:lang w:val="en-US"/>
                    </w:rPr>
                  </w:pPr>
                  <w:r>
                    <w:rPr>
                      <w:rFonts w:hint="default" w:eastAsia="宋体"/>
                      <w:color w:val="auto"/>
                      <w:sz w:val="21"/>
                      <w:szCs w:val="21"/>
                      <w:highlight w:val="none"/>
                    </w:rPr>
                    <w:t>≥</w:t>
                  </w:r>
                  <w:r>
                    <w:rPr>
                      <w:rFonts w:hint="eastAsia" w:eastAsia="宋体"/>
                      <w:color w:val="auto"/>
                      <w:sz w:val="21"/>
                      <w:szCs w:val="21"/>
                      <w:highlight w:val="none"/>
                      <w:lang w:val="en-US" w:eastAsia="zh-CN"/>
                    </w:rPr>
                    <w:t>8078.4</w:t>
                  </w:r>
                </w:p>
              </w:tc>
              <w:tc>
                <w:tcPr>
                  <w:tcW w:w="637" w:type="pct"/>
                  <w:tcBorders>
                    <w:tl2br w:val="nil"/>
                    <w:tr2bl w:val="nil"/>
                  </w:tcBorders>
                  <w:noWrap w:val="0"/>
                  <w:vAlign w:val="center"/>
                </w:tcPr>
                <w:p w14:paraId="0674B1F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1</w:t>
                  </w:r>
                </w:p>
              </w:tc>
              <w:tc>
                <w:tcPr>
                  <w:tcW w:w="1247" w:type="pct"/>
                  <w:tcBorders>
                    <w:tl2br w:val="nil"/>
                    <w:tr2bl w:val="nil"/>
                  </w:tcBorders>
                  <w:noWrap w:val="0"/>
                  <w:vAlign w:val="center"/>
                </w:tcPr>
                <w:p w14:paraId="17DE5C3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外部排风罩（顶吸式）</w:t>
                  </w:r>
                </w:p>
              </w:tc>
            </w:tr>
          </w:tbl>
          <w:p w14:paraId="69AA8A2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eastAsia="宋体"/>
                <w:color w:val="auto"/>
                <w:sz w:val="24"/>
                <w:szCs w:val="24"/>
                <w:highlight w:val="none"/>
                <w:lang w:val="en-US" w:eastAsia="zh-CN"/>
              </w:rPr>
              <w:t>经计算，</w:t>
            </w:r>
            <w:r>
              <w:rPr>
                <w:rFonts w:hint="eastAsia"/>
                <w:color w:val="auto"/>
                <w:sz w:val="24"/>
                <w:szCs w:val="24"/>
                <w:highlight w:val="none"/>
                <w:lang w:val="en-US" w:eastAsia="zh-CN"/>
              </w:rPr>
              <w:t>湿拌砂浆上料口、</w:t>
            </w:r>
            <w:r>
              <w:rPr>
                <w:rFonts w:hint="eastAsia" w:ascii="Times New Roman" w:hAnsi="Times New Roman"/>
                <w:color w:val="auto"/>
                <w:sz w:val="24"/>
                <w:szCs w:val="24"/>
                <w:highlight w:val="none"/>
                <w:lang w:val="en-US" w:eastAsia="zh-CN"/>
              </w:rPr>
              <w:t>搅拌机进料口</w:t>
            </w:r>
            <w:r>
              <w:rPr>
                <w:rFonts w:hint="eastAsia" w:ascii="Times New Roman" w:hAnsi="Times New Roman" w:eastAsia="宋体" w:cs="Times New Roman"/>
                <w:color w:val="auto"/>
                <w:kern w:val="2"/>
                <w:sz w:val="24"/>
                <w:szCs w:val="24"/>
                <w:highlight w:val="none"/>
                <w:lang w:val="en-US" w:eastAsia="zh-CN" w:bidi="ar-SA"/>
              </w:rPr>
              <w:t>除尘系统所需的风量为</w:t>
            </w:r>
            <w:r>
              <w:rPr>
                <w:rFonts w:hint="eastAsia" w:cs="Times New Roman"/>
                <w:color w:val="auto"/>
                <w:kern w:val="2"/>
                <w:sz w:val="24"/>
                <w:szCs w:val="24"/>
                <w:highlight w:val="none"/>
                <w:lang w:val="en-US" w:eastAsia="zh-CN" w:bidi="ar-SA"/>
              </w:rPr>
              <w:t>10411.2</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/h。考虑到风力损失，取10%的富裕量，风机风量设计</w:t>
            </w:r>
            <w:r>
              <w:rPr>
                <w:rFonts w:hint="eastAsia" w:cs="Times New Roman"/>
                <w:color w:val="auto"/>
                <w:kern w:val="2"/>
                <w:sz w:val="24"/>
                <w:szCs w:val="24"/>
                <w:highlight w:val="none"/>
                <w:lang w:val="en-US" w:eastAsia="zh-CN" w:bidi="ar-SA"/>
              </w:rPr>
              <w:t>1200</w:t>
            </w:r>
            <w:r>
              <w:rPr>
                <w:rFonts w:hint="eastAsia" w:ascii="Times New Roman" w:hAnsi="Times New Roman" w:cs="Times New Roman"/>
                <w:color w:val="auto"/>
                <w:kern w:val="2"/>
                <w:sz w:val="24"/>
                <w:szCs w:val="24"/>
                <w:highlight w:val="none"/>
                <w:lang w:val="en-US" w:eastAsia="zh-CN" w:bidi="ar-SA"/>
              </w:rPr>
              <w:t>0</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/h，因此，本项目选取1台风量为</w:t>
            </w:r>
            <w:r>
              <w:rPr>
                <w:rFonts w:hint="eastAsia" w:cs="Times New Roman"/>
                <w:color w:val="auto"/>
                <w:kern w:val="2"/>
                <w:sz w:val="24"/>
                <w:szCs w:val="24"/>
                <w:highlight w:val="none"/>
                <w:lang w:val="en-US" w:eastAsia="zh-CN" w:bidi="ar-SA"/>
              </w:rPr>
              <w:t>12000</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/h的风机，过滤风速0.6m/min，过滤面积</w:t>
            </w:r>
            <w:r>
              <w:rPr>
                <w:rFonts w:hint="eastAsia" w:cs="Times New Roman"/>
                <w:color w:val="auto"/>
                <w:kern w:val="2"/>
                <w:sz w:val="24"/>
                <w:szCs w:val="24"/>
                <w:highlight w:val="none"/>
                <w:lang w:val="en-US" w:eastAsia="zh-CN" w:bidi="ar-SA"/>
              </w:rPr>
              <w:t>333</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2</w:t>
            </w:r>
            <w:r>
              <w:rPr>
                <w:rFonts w:hint="eastAsia" w:ascii="Times New Roman" w:hAnsi="Times New Roman" w:eastAsia="宋体" w:cs="Times New Roman"/>
                <w:color w:val="auto"/>
                <w:kern w:val="2"/>
                <w:sz w:val="24"/>
                <w:szCs w:val="24"/>
                <w:highlight w:val="none"/>
                <w:vertAlign w:val="baseline"/>
                <w:lang w:val="en-US" w:eastAsia="zh-CN" w:bidi="ar-SA"/>
              </w:rPr>
              <w:t>。除尘器出口浓度控制在10mg/m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以下（本次以</w:t>
            </w:r>
            <w:r>
              <w:rPr>
                <w:rFonts w:hint="eastAsia" w:ascii="Times New Roman" w:hAnsi="Times New Roman" w:cs="Times New Roman"/>
                <w:color w:val="auto"/>
                <w:kern w:val="2"/>
                <w:sz w:val="24"/>
                <w:szCs w:val="24"/>
                <w:highlight w:val="none"/>
                <w:vertAlign w:val="baseline"/>
                <w:lang w:val="en-US" w:eastAsia="zh-CN" w:bidi="ar-SA"/>
              </w:rPr>
              <w:t>1</w:t>
            </w:r>
            <w:r>
              <w:rPr>
                <w:rFonts w:hint="eastAsia" w:ascii="Times New Roman" w:hAnsi="Times New Roman" w:eastAsia="宋体" w:cs="Times New Roman"/>
                <w:color w:val="auto"/>
                <w:kern w:val="2"/>
                <w:sz w:val="24"/>
                <w:szCs w:val="24"/>
                <w:highlight w:val="none"/>
                <w:vertAlign w:val="baseline"/>
                <w:lang w:val="en-US" w:eastAsia="zh-CN" w:bidi="ar-SA"/>
              </w:rPr>
              <w:t>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计），则颗粒物排放量=</w:t>
            </w:r>
            <w:r>
              <w:rPr>
                <w:rFonts w:hint="eastAsia" w:cs="Times New Roman"/>
                <w:color w:val="auto"/>
                <w:kern w:val="2"/>
                <w:sz w:val="24"/>
                <w:szCs w:val="24"/>
                <w:highlight w:val="none"/>
                <w:vertAlign w:val="baseline"/>
                <w:lang w:val="en-US" w:eastAsia="zh-CN" w:bidi="ar-SA"/>
              </w:rPr>
              <w:t>2240</w:t>
            </w:r>
            <w:r>
              <w:rPr>
                <w:rFonts w:hint="eastAsia" w:ascii="Times New Roman" w:hAnsi="Times New Roman" w:eastAsia="宋体" w:cs="Times New Roman"/>
                <w:color w:val="auto"/>
                <w:kern w:val="2"/>
                <w:sz w:val="24"/>
                <w:szCs w:val="24"/>
                <w:highlight w:val="none"/>
                <w:vertAlign w:val="baseline"/>
                <w:lang w:val="en-US" w:eastAsia="zh-CN" w:bidi="ar-SA"/>
              </w:rPr>
              <w:t>h×</w:t>
            </w:r>
            <w:r>
              <w:rPr>
                <w:rFonts w:hint="eastAsia" w:cs="Times New Roman"/>
                <w:color w:val="auto"/>
                <w:kern w:val="2"/>
                <w:sz w:val="24"/>
                <w:szCs w:val="24"/>
                <w:highlight w:val="none"/>
                <w:vertAlign w:val="baseline"/>
                <w:lang w:val="en-US" w:eastAsia="zh-CN" w:bidi="ar-SA"/>
              </w:rPr>
              <w:t>12000</w:t>
            </w:r>
            <w:r>
              <w:rPr>
                <w:rFonts w:hint="eastAsia" w:ascii="Times New Roman" w:hAnsi="Times New Roman" w:eastAsia="宋体" w:cs="Times New Roman"/>
                <w:color w:val="auto"/>
                <w:kern w:val="2"/>
                <w:sz w:val="24"/>
                <w:szCs w:val="24"/>
                <w:highlight w:val="none"/>
                <w:vertAlign w:val="baseli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/h×10mg/m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×10</w:t>
            </w:r>
            <w:r>
              <w:rPr>
                <w:rFonts w:hint="eastAsia" w:ascii="Times New Roman" w:hAnsi="Times New Roman" w:eastAsia="宋体" w:cs="Times New Roman"/>
                <w:color w:val="auto"/>
                <w:kern w:val="2"/>
                <w:sz w:val="24"/>
                <w:szCs w:val="24"/>
                <w:highlight w:val="none"/>
                <w:vertAlign w:val="superscript"/>
                <w:lang w:val="en-US" w:eastAsia="zh-CN" w:bidi="ar-SA"/>
              </w:rPr>
              <w:t>-9</w:t>
            </w:r>
            <w:r>
              <w:rPr>
                <w:rFonts w:hint="eastAsia" w:ascii="Times New Roman" w:hAnsi="Times New Roman" w:eastAsia="宋体" w:cs="Times New Roman"/>
                <w:color w:val="auto"/>
                <w:kern w:val="2"/>
                <w:sz w:val="24"/>
                <w:szCs w:val="24"/>
                <w:highlight w:val="none"/>
                <w:vertAlign w:val="baseline"/>
                <w:lang w:val="en-US" w:eastAsia="zh-CN" w:bidi="ar-SA"/>
              </w:rPr>
              <w:t>=</w:t>
            </w:r>
            <w:r>
              <w:rPr>
                <w:rFonts w:hint="eastAsia" w:ascii="Times New Roman" w:hAnsi="Times New Roman" w:cs="Times New Roman"/>
                <w:color w:val="auto"/>
                <w:kern w:val="2"/>
                <w:sz w:val="24"/>
                <w:szCs w:val="24"/>
                <w:highlight w:val="none"/>
                <w:vertAlign w:val="baseline"/>
                <w:lang w:val="en-US" w:eastAsia="zh-CN" w:bidi="ar-SA"/>
              </w:rPr>
              <w:t>0.</w:t>
            </w:r>
            <w:r>
              <w:rPr>
                <w:rFonts w:hint="eastAsia" w:cs="Times New Roman"/>
                <w:color w:val="auto"/>
                <w:kern w:val="2"/>
                <w:sz w:val="24"/>
                <w:szCs w:val="24"/>
                <w:highlight w:val="none"/>
                <w:vertAlign w:val="baseline"/>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t/a，</w:t>
            </w:r>
            <w:r>
              <w:rPr>
                <w:rFonts w:hint="default" w:ascii="Times New Roman" w:hAnsi="Times New Roman"/>
                <w:color w:val="auto"/>
                <w:sz w:val="24"/>
                <w:highlight w:val="none"/>
                <w:lang w:val="en-US" w:eastAsia="zh-CN"/>
              </w:rPr>
              <w:t>废气收集效率约为</w:t>
            </w:r>
            <w:r>
              <w:rPr>
                <w:rFonts w:hint="eastAsia" w:ascii="Times New Roman" w:hAnsi="Times New Roman"/>
                <w:color w:val="auto"/>
                <w:sz w:val="24"/>
                <w:highlight w:val="none"/>
                <w:lang w:val="en-US" w:eastAsia="zh-CN"/>
              </w:rPr>
              <w:t>90</w:t>
            </w:r>
            <w:r>
              <w:rPr>
                <w:rFonts w:hint="default" w:ascii="Times New Roman" w:hAnsi="Times New Roman"/>
                <w:color w:val="auto"/>
                <w:sz w:val="24"/>
                <w:highlight w:val="none"/>
                <w:lang w:val="en-US" w:eastAsia="zh-CN"/>
              </w:rPr>
              <w:t>%，</w:t>
            </w:r>
            <w:r>
              <w:rPr>
                <w:rFonts w:hint="eastAsia" w:ascii="Times New Roman" w:hAnsi="Times New Roman"/>
                <w:color w:val="auto"/>
                <w:sz w:val="24"/>
                <w:highlight w:val="none"/>
                <w:lang w:val="en-US" w:eastAsia="zh-CN"/>
              </w:rPr>
              <w:t>未收集到的无组织排放量为</w:t>
            </w:r>
            <w:r>
              <w:rPr>
                <w:rFonts w:hint="eastAsia" w:ascii="Times New Roman" w:hAnsi="Times New Roman" w:cs="Times New Roman"/>
                <w:color w:val="auto"/>
                <w:kern w:val="2"/>
                <w:sz w:val="24"/>
                <w:szCs w:val="24"/>
                <w:highlight w:val="none"/>
                <w:vertAlign w:val="baseline"/>
                <w:lang w:val="en-US" w:eastAsia="zh-CN" w:bidi="ar-SA"/>
              </w:rPr>
              <w:t>0.0</w:t>
            </w:r>
            <w:r>
              <w:rPr>
                <w:rFonts w:hint="eastAsia" w:cs="Times New Roman"/>
                <w:color w:val="auto"/>
                <w:kern w:val="2"/>
                <w:sz w:val="24"/>
                <w:szCs w:val="24"/>
                <w:highlight w:val="none"/>
                <w:vertAlign w:val="baseline"/>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t/a，</w:t>
            </w:r>
            <w:r>
              <w:rPr>
                <w:rFonts w:hint="default" w:ascii="Times New Roman" w:hAnsi="Times New Roman" w:eastAsia="宋体" w:cs="Times New Roman"/>
                <w:color w:val="auto"/>
                <w:kern w:val="10"/>
                <w:sz w:val="24"/>
                <w:highlight w:val="none"/>
                <w:lang w:val="en-US" w:eastAsia="zh-CN"/>
              </w:rPr>
              <w:t>满足《水泥工业大气污染物排放标准》（DB14/3176-2024）</w:t>
            </w:r>
            <w:r>
              <w:rPr>
                <w:rFonts w:hint="eastAsia" w:ascii="Times New Roman" w:hAnsi="Times New Roman" w:eastAsia="宋体" w:cs="Times New Roman"/>
                <w:color w:val="auto"/>
                <w:kern w:val="10"/>
                <w:sz w:val="24"/>
                <w:highlight w:val="none"/>
                <w:lang w:val="en-US" w:eastAsia="zh-CN"/>
              </w:rPr>
              <w:t>中排放</w:t>
            </w:r>
            <w:r>
              <w:rPr>
                <w:rFonts w:hint="default" w:ascii="Times New Roman" w:hAnsi="Times New Roman" w:eastAsia="宋体" w:cs="Times New Roman"/>
                <w:color w:val="auto"/>
                <w:kern w:val="10"/>
                <w:sz w:val="24"/>
                <w:highlight w:val="none"/>
                <w:lang w:val="en-US" w:eastAsia="zh-CN"/>
              </w:rPr>
              <w:t>限值要求</w:t>
            </w:r>
            <w:r>
              <w:rPr>
                <w:rFonts w:hint="eastAsia" w:ascii="Times New Roman" w:hAnsi="Times New Roman" w:eastAsia="宋体" w:cs="Times New Roman"/>
                <w:color w:val="auto"/>
                <w:kern w:val="10"/>
                <w:sz w:val="24"/>
                <w:highlight w:val="none"/>
                <w:lang w:val="en-US" w:eastAsia="zh-CN"/>
              </w:rPr>
              <w:t>。</w:t>
            </w:r>
          </w:p>
          <w:p w14:paraId="2CE8DE9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G10：水泥、粉煤灰料仓产生的粉尘</w:t>
            </w:r>
          </w:p>
          <w:p w14:paraId="2C42A0BD">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sz w:val="24"/>
                <w:highlight w:val="none"/>
              </w:rPr>
              <w:t>本</w:t>
            </w:r>
            <w:r>
              <w:rPr>
                <w:rFonts w:hint="eastAsia" w:ascii="Times New Roman" w:hAnsi="Times New Roman" w:cs="Times New Roman"/>
                <w:color w:val="auto"/>
                <w:sz w:val="24"/>
                <w:highlight w:val="none"/>
                <w:lang w:val="en-US" w:eastAsia="zh-CN"/>
              </w:rPr>
              <w:t>项目</w:t>
            </w:r>
            <w:r>
              <w:rPr>
                <w:rFonts w:hint="default" w:ascii="Times New Roman" w:hAnsi="Times New Roman" w:cs="Times New Roman"/>
                <w:color w:val="auto"/>
                <w:sz w:val="24"/>
                <w:highlight w:val="none"/>
              </w:rPr>
              <w:t>设置</w:t>
            </w:r>
            <w:r>
              <w:rPr>
                <w:rFonts w:hint="eastAsia" w:ascii="Times New Roman" w:hAnsi="Times New Roman" w:cs="Times New Roman"/>
                <w:color w:val="auto"/>
                <w:sz w:val="24"/>
                <w:highlight w:val="none"/>
                <w:lang w:val="en-US" w:eastAsia="zh-CN"/>
              </w:rPr>
              <w:t>水泥料仓</w:t>
            </w:r>
            <w:r>
              <w:rPr>
                <w:rFonts w:hint="default"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粉煤灰料仓</w:t>
            </w:r>
            <w:r>
              <w:rPr>
                <w:rFonts w:hint="default" w:ascii="Times New Roman" w:hAnsi="Times New Roman" w:cs="Times New Roman"/>
                <w:color w:val="auto"/>
                <w:sz w:val="24"/>
                <w:highlight w:val="none"/>
                <w:lang w:val="en-US" w:eastAsia="zh-CN"/>
              </w:rPr>
              <w:t>各</w:t>
            </w:r>
            <w:r>
              <w:rPr>
                <w:rFonts w:hint="eastAsia"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rPr>
              <w:t>座，容积</w:t>
            </w:r>
            <w:r>
              <w:rPr>
                <w:rFonts w:hint="eastAsia" w:cs="Times New Roman"/>
                <w:color w:val="auto"/>
                <w:sz w:val="24"/>
                <w:highlight w:val="none"/>
                <w:lang w:val="en-US" w:eastAsia="zh-CN"/>
              </w:rPr>
              <w:t>分别</w:t>
            </w:r>
            <w:r>
              <w:rPr>
                <w:rFonts w:hint="default" w:ascii="Times New Roman" w:hAnsi="Times New Roman" w:cs="Times New Roman"/>
                <w:color w:val="auto"/>
                <w:sz w:val="24"/>
                <w:highlight w:val="none"/>
              </w:rPr>
              <w:t>为</w:t>
            </w:r>
            <w:r>
              <w:rPr>
                <w:rFonts w:hint="eastAsia" w:cs="Times New Roman"/>
                <w:color w:val="auto"/>
                <w:sz w:val="24"/>
                <w:highlight w:val="none"/>
                <w:lang w:val="en-US" w:eastAsia="zh-CN"/>
              </w:rPr>
              <w:t>100t、</w:t>
            </w:r>
            <w:r>
              <w:rPr>
                <w:rFonts w:hint="eastAsia"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00t，在散装</w:t>
            </w:r>
            <w:r>
              <w:rPr>
                <w:rFonts w:hint="default" w:ascii="Times New Roman" w:hAnsi="Times New Roman" w:cs="Times New Roman"/>
                <w:color w:val="auto"/>
                <w:sz w:val="24"/>
                <w:highlight w:val="none"/>
                <w:lang w:val="en-US" w:eastAsia="zh-CN"/>
              </w:rPr>
              <w:t>水泥、</w:t>
            </w:r>
            <w:r>
              <w:rPr>
                <w:rFonts w:hint="eastAsia" w:ascii="Times New Roman" w:hAnsi="Times New Roman" w:cs="Times New Roman"/>
                <w:color w:val="auto"/>
                <w:sz w:val="24"/>
                <w:highlight w:val="none"/>
                <w:lang w:val="en-US" w:eastAsia="zh-CN"/>
              </w:rPr>
              <w:t>粉煤灰</w:t>
            </w:r>
            <w:r>
              <w:rPr>
                <w:rFonts w:hint="default" w:ascii="Times New Roman" w:hAnsi="Times New Roman" w:cs="Times New Roman"/>
                <w:color w:val="auto"/>
                <w:sz w:val="24"/>
                <w:highlight w:val="none"/>
              </w:rPr>
              <w:t>从罐车送至</w:t>
            </w:r>
            <w:r>
              <w:rPr>
                <w:rFonts w:hint="eastAsia" w:ascii="Times New Roman" w:hAnsi="Times New Roman" w:cs="Times New Roman"/>
                <w:color w:val="auto"/>
                <w:sz w:val="24"/>
                <w:highlight w:val="none"/>
                <w:lang w:val="en-US" w:eastAsia="zh-CN"/>
              </w:rPr>
              <w:t>料</w:t>
            </w:r>
            <w:r>
              <w:rPr>
                <w:rFonts w:hint="default" w:ascii="Times New Roman" w:hAnsi="Times New Roman" w:cs="Times New Roman"/>
                <w:color w:val="auto"/>
                <w:sz w:val="24"/>
                <w:highlight w:val="none"/>
              </w:rPr>
              <w:t>仓时，仓顶部呼吸孔会产生粉尘</w:t>
            </w:r>
            <w:r>
              <w:rPr>
                <w:rFonts w:hint="eastAsia" w:ascii="Times New Roman" w:hAnsi="Times New Roman" w:cs="Times New Roman"/>
                <w:color w:val="auto"/>
                <w:sz w:val="24"/>
                <w:highlight w:val="none"/>
                <w:lang w:val="en-US" w:eastAsia="zh-CN"/>
              </w:rPr>
              <w:t>。本项目拟在</w:t>
            </w:r>
            <w:r>
              <w:rPr>
                <w:rFonts w:hint="eastAsia" w:ascii="Times New Roman" w:hAnsi="Times New Roman" w:eastAsia="宋体" w:cs="Times New Roman"/>
                <w:color w:val="auto"/>
                <w:sz w:val="24"/>
                <w:szCs w:val="24"/>
                <w:highlight w:val="none"/>
                <w:lang w:val="en-US" w:eastAsia="zh-CN"/>
              </w:rPr>
              <w:t>每个</w:t>
            </w:r>
            <w:r>
              <w:rPr>
                <w:rFonts w:hint="eastAsia" w:ascii="Times New Roman" w:hAnsi="Times New Roman" w:cs="Times New Roman"/>
                <w:color w:val="auto"/>
                <w:sz w:val="24"/>
                <w:szCs w:val="24"/>
                <w:highlight w:val="none"/>
                <w:lang w:val="en-US" w:eastAsia="zh-CN"/>
              </w:rPr>
              <w:t>料</w:t>
            </w:r>
            <w:r>
              <w:rPr>
                <w:rFonts w:hint="eastAsia" w:ascii="Times New Roman" w:hAnsi="Times New Roman" w:eastAsia="宋体" w:cs="Times New Roman"/>
                <w:color w:val="auto"/>
                <w:sz w:val="24"/>
                <w:szCs w:val="24"/>
                <w:highlight w:val="none"/>
                <w:lang w:val="en-US" w:eastAsia="zh-CN"/>
              </w:rPr>
              <w:t>仓仓顶呼吸孔连接</w:t>
            </w:r>
            <w:r>
              <w:rPr>
                <w:rFonts w:hint="eastAsia" w:ascii="Times New Roman" w:hAnsi="Times New Roman" w:eastAsia="宋体" w:cs="Times New Roman"/>
                <w:color w:val="auto"/>
                <w:sz w:val="24"/>
                <w:szCs w:val="24"/>
                <w:highlight w:val="none"/>
              </w:rPr>
              <w:t>集尘管路</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废气分别经仓顶</w:t>
            </w:r>
            <w:r>
              <w:rPr>
                <w:rFonts w:hint="eastAsia" w:ascii="Times New Roman" w:hAnsi="Times New Roman" w:eastAsia="宋体" w:cs="Times New Roman"/>
                <w:color w:val="auto"/>
                <w:sz w:val="24"/>
                <w:szCs w:val="24"/>
                <w:highlight w:val="none"/>
              </w:rPr>
              <w:t>布袋除尘器</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TA0</w:t>
            </w:r>
            <w:r>
              <w:rPr>
                <w:rFonts w:hint="eastAsia" w:ascii="Times New Roman" w:hAnsi="Times New Roman" w:cs="Times New Roman"/>
                <w:color w:val="auto"/>
                <w:sz w:val="24"/>
                <w:szCs w:val="24"/>
                <w:highlight w:val="none"/>
                <w:lang w:val="en-US" w:eastAsia="zh-CN"/>
              </w:rPr>
              <w:t>04</w:t>
            </w:r>
            <w:r>
              <w:rPr>
                <w:rFonts w:hint="eastAsia" w:ascii="Times New Roman" w:hAnsi="Times New Roman" w:eastAsia="宋体" w:cs="Times New Roman"/>
                <w:color w:val="auto"/>
                <w:sz w:val="24"/>
                <w:szCs w:val="24"/>
                <w:highlight w:val="none"/>
                <w:lang w:val="en-US" w:eastAsia="zh-CN"/>
              </w:rPr>
              <w:t>~TA0</w:t>
            </w:r>
            <w:r>
              <w:rPr>
                <w:rFonts w:hint="eastAsia" w:ascii="Times New Roman" w:hAnsi="Times New Roman" w:cs="Times New Roman"/>
                <w:color w:val="auto"/>
                <w:sz w:val="24"/>
                <w:szCs w:val="24"/>
                <w:highlight w:val="none"/>
                <w:lang w:val="en-US" w:eastAsia="zh-CN"/>
              </w:rPr>
              <w:t>05</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处理后</w:t>
            </w:r>
            <w:r>
              <w:rPr>
                <w:rFonts w:hint="eastAsia" w:ascii="Times New Roman" w:hAnsi="Times New Roman" w:eastAsia="宋体" w:cs="Times New Roman"/>
                <w:color w:val="auto"/>
                <w:sz w:val="24"/>
                <w:szCs w:val="24"/>
                <w:highlight w:val="none"/>
                <w:lang w:val="en-US" w:eastAsia="zh-CN"/>
              </w:rPr>
              <w:t>分别通过1根</w:t>
            </w:r>
            <w:r>
              <w:rPr>
                <w:rFonts w:hint="eastAsia" w:ascii="Times New Roman" w:hAnsi="Times New Roman" w:cs="Times New Roman"/>
                <w:color w:val="auto"/>
                <w:sz w:val="24"/>
                <w:szCs w:val="24"/>
                <w:highlight w:val="none"/>
                <w:lang w:val="en-US" w:eastAsia="zh-CN"/>
              </w:rPr>
              <w:t>15m高的</w:t>
            </w:r>
            <w:r>
              <w:rPr>
                <w:rFonts w:hint="eastAsia" w:ascii="Times New Roman" w:hAnsi="Times New Roman" w:eastAsia="宋体" w:cs="Times New Roman"/>
                <w:color w:val="auto"/>
                <w:sz w:val="24"/>
                <w:szCs w:val="24"/>
                <w:highlight w:val="none"/>
              </w:rPr>
              <w:t>排气筒</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DA0</w:t>
            </w:r>
            <w:r>
              <w:rPr>
                <w:rFonts w:hint="eastAsia" w:ascii="Times New Roman" w:hAnsi="Times New Roman" w:cs="Times New Roman"/>
                <w:color w:val="auto"/>
                <w:sz w:val="24"/>
                <w:szCs w:val="24"/>
                <w:highlight w:val="none"/>
                <w:lang w:val="en-US" w:eastAsia="zh-CN"/>
              </w:rPr>
              <w:t>04</w:t>
            </w:r>
            <w:r>
              <w:rPr>
                <w:rFonts w:hint="eastAsia" w:ascii="Times New Roman" w:hAnsi="Times New Roman" w:eastAsia="宋体" w:cs="Times New Roman"/>
                <w:color w:val="auto"/>
                <w:sz w:val="24"/>
                <w:szCs w:val="24"/>
                <w:highlight w:val="none"/>
                <w:lang w:val="en-US" w:eastAsia="zh-CN"/>
              </w:rPr>
              <w:t>~DA0</w:t>
            </w:r>
            <w:r>
              <w:rPr>
                <w:rFonts w:hint="eastAsia" w:ascii="Times New Roman" w:hAnsi="Times New Roman" w:cs="Times New Roman"/>
                <w:color w:val="auto"/>
                <w:sz w:val="24"/>
                <w:szCs w:val="24"/>
                <w:highlight w:val="none"/>
                <w:lang w:val="en-US" w:eastAsia="zh-CN"/>
              </w:rPr>
              <w:t>05</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排放。</w:t>
            </w:r>
            <w:r>
              <w:rPr>
                <w:rFonts w:hint="default" w:ascii="Times New Roman" w:hAnsi="Times New Roman" w:eastAsia="宋体" w:cs="Times New Roman"/>
                <w:color w:val="auto"/>
                <w:sz w:val="24"/>
                <w:szCs w:val="24"/>
                <w:highlight w:val="none"/>
              </w:rPr>
              <w:t>参照</w:t>
            </w:r>
            <w:r>
              <w:rPr>
                <w:rFonts w:hint="default" w:ascii="Times New Roman" w:hAnsi="Times New Roman" w:eastAsia="宋体" w:cs="Times New Roman"/>
                <w:color w:val="auto"/>
                <w:sz w:val="24"/>
                <w:szCs w:val="24"/>
                <w:highlight w:val="none"/>
                <w:lang w:val="en-US" w:eastAsia="zh-CN"/>
              </w:rPr>
              <w:t>《第二次全国污染源普查工业污染源产排污系数手册》“3021 水泥制品制造（含 3022 砼结构构件、3029 其他水泥类似制品制造）行业系数表”中“物料输送储存”过程中颗粒物产污系数为0.19kg/t，本项目</w:t>
            </w:r>
            <w:r>
              <w:rPr>
                <w:rFonts w:hint="eastAsia" w:ascii="Times New Roman" w:hAnsi="Times New Roman" w:cs="Times New Roman"/>
                <w:color w:val="auto"/>
                <w:sz w:val="24"/>
                <w:szCs w:val="24"/>
                <w:highlight w:val="none"/>
                <w:lang w:val="en-US" w:eastAsia="zh-CN"/>
              </w:rPr>
              <w:t>湿拌砂浆生产线</w:t>
            </w:r>
            <w:r>
              <w:rPr>
                <w:rFonts w:hint="default" w:ascii="Times New Roman" w:hAnsi="Times New Roman" w:eastAsia="宋体" w:cs="Times New Roman"/>
                <w:color w:val="auto"/>
                <w:sz w:val="24"/>
                <w:szCs w:val="24"/>
                <w:highlight w:val="none"/>
                <w:lang w:val="en-US" w:eastAsia="zh-CN"/>
              </w:rPr>
              <w:t>水泥的年用量为</w:t>
            </w:r>
            <w:r>
              <w:rPr>
                <w:rFonts w:hint="eastAsia" w:ascii="Times New Roman" w:hAnsi="Times New Roman" w:cs="Times New Roman"/>
                <w:color w:val="auto"/>
                <w:sz w:val="24"/>
                <w:szCs w:val="24"/>
                <w:highlight w:val="none"/>
                <w:lang w:val="en-US" w:eastAsia="zh-CN"/>
              </w:rPr>
              <w:t>1.2351</w:t>
            </w:r>
            <w:r>
              <w:rPr>
                <w:rFonts w:hint="default" w:ascii="Times New Roman" w:hAnsi="Times New Roman" w:eastAsia="宋体" w:cs="Times New Roman"/>
                <w:color w:val="auto"/>
                <w:sz w:val="24"/>
                <w:szCs w:val="24"/>
                <w:highlight w:val="none"/>
                <w:lang w:val="en-US" w:eastAsia="zh-CN"/>
              </w:rPr>
              <w:t>万t</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则</w:t>
            </w:r>
            <w:r>
              <w:rPr>
                <w:rFonts w:hint="eastAsia" w:ascii="Times New Roman" w:hAnsi="Times New Roman" w:cs="Times New Roman"/>
                <w:color w:val="auto"/>
                <w:sz w:val="24"/>
                <w:szCs w:val="24"/>
                <w:highlight w:val="none"/>
                <w:lang w:val="en-US" w:eastAsia="zh-CN"/>
              </w:rPr>
              <w:t>水泥料仓</w:t>
            </w:r>
            <w:r>
              <w:rPr>
                <w:rFonts w:hint="default" w:ascii="Times New Roman" w:hAnsi="Times New Roman" w:eastAsia="宋体" w:cs="Times New Roman"/>
                <w:color w:val="auto"/>
                <w:sz w:val="24"/>
                <w:szCs w:val="24"/>
                <w:highlight w:val="none"/>
                <w:lang w:val="en-US" w:eastAsia="zh-CN"/>
              </w:rPr>
              <w:t>颗粒物</w:t>
            </w:r>
            <w:r>
              <w:rPr>
                <w:rFonts w:hint="default" w:ascii="Times New Roman" w:hAnsi="Times New Roman" w:eastAsia="宋体" w:cs="Times New Roman"/>
                <w:color w:val="auto"/>
                <w:sz w:val="24"/>
                <w:szCs w:val="24"/>
                <w:highlight w:val="none"/>
              </w:rPr>
              <w:t>的产生量为</w:t>
            </w:r>
            <w:r>
              <w:rPr>
                <w:rFonts w:hint="eastAsia" w:ascii="Times New Roman" w:hAnsi="Times New Roman" w:cs="Times New Roman"/>
                <w:color w:val="auto"/>
                <w:sz w:val="24"/>
                <w:szCs w:val="24"/>
                <w:highlight w:val="none"/>
                <w:lang w:val="en-US" w:eastAsia="zh-CN"/>
              </w:rPr>
              <w:t>2.35</w:t>
            </w:r>
            <w:r>
              <w:rPr>
                <w:rFonts w:hint="default" w:ascii="Times New Roman" w:hAnsi="Times New Roman" w:eastAsia="宋体" w:cs="Times New Roman"/>
                <w:color w:val="auto"/>
                <w:sz w:val="24"/>
                <w:szCs w:val="24"/>
                <w:highlight w:val="none"/>
              </w:rPr>
              <w:t>t/a</w:t>
            </w:r>
            <w:r>
              <w:rPr>
                <w:rFonts w:hint="default" w:ascii="Times New Roman" w:hAnsi="Times New Roman" w:eastAsia="宋体"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粉煤灰</w:t>
            </w:r>
            <w:r>
              <w:rPr>
                <w:rFonts w:hint="default" w:ascii="Times New Roman" w:hAnsi="Times New Roman" w:eastAsia="宋体" w:cs="Times New Roman"/>
                <w:color w:val="auto"/>
                <w:sz w:val="24"/>
                <w:szCs w:val="24"/>
                <w:highlight w:val="none"/>
                <w:lang w:val="en-US" w:eastAsia="zh-CN"/>
              </w:rPr>
              <w:t>的年用量为</w:t>
            </w:r>
            <w:r>
              <w:rPr>
                <w:rFonts w:hint="eastAsia" w:ascii="Times New Roman" w:hAnsi="Times New Roman" w:cs="Times New Roman"/>
                <w:color w:val="auto"/>
                <w:sz w:val="24"/>
                <w:szCs w:val="24"/>
                <w:highlight w:val="none"/>
                <w:lang w:val="en-US" w:eastAsia="zh-CN"/>
              </w:rPr>
              <w:t>0.8251</w:t>
            </w:r>
            <w:r>
              <w:rPr>
                <w:rFonts w:hint="default" w:ascii="Times New Roman" w:hAnsi="Times New Roman" w:eastAsia="宋体" w:cs="Times New Roman"/>
                <w:color w:val="auto"/>
                <w:sz w:val="24"/>
                <w:szCs w:val="24"/>
                <w:highlight w:val="none"/>
                <w:lang w:val="en-US" w:eastAsia="zh-CN"/>
              </w:rPr>
              <w:t>万t，则</w:t>
            </w:r>
            <w:r>
              <w:rPr>
                <w:rFonts w:hint="eastAsia" w:ascii="Times New Roman" w:hAnsi="Times New Roman" w:cs="Times New Roman"/>
                <w:color w:val="auto"/>
                <w:sz w:val="24"/>
                <w:szCs w:val="24"/>
                <w:highlight w:val="none"/>
                <w:lang w:val="en-US" w:eastAsia="zh-CN"/>
              </w:rPr>
              <w:t>粉煤灰料仓</w:t>
            </w:r>
            <w:r>
              <w:rPr>
                <w:rFonts w:hint="default" w:ascii="Times New Roman" w:hAnsi="Times New Roman" w:eastAsia="宋体" w:cs="Times New Roman"/>
                <w:color w:val="auto"/>
                <w:sz w:val="24"/>
                <w:szCs w:val="24"/>
                <w:highlight w:val="none"/>
                <w:lang w:val="en-US" w:eastAsia="zh-CN"/>
              </w:rPr>
              <w:t>颗粒物</w:t>
            </w:r>
            <w:r>
              <w:rPr>
                <w:rFonts w:hint="default" w:ascii="Times New Roman" w:hAnsi="Times New Roman" w:eastAsia="宋体" w:cs="Times New Roman"/>
                <w:color w:val="auto"/>
                <w:sz w:val="24"/>
                <w:szCs w:val="24"/>
                <w:highlight w:val="none"/>
              </w:rPr>
              <w:t>的产生量为</w:t>
            </w:r>
            <w:r>
              <w:rPr>
                <w:rFonts w:hint="eastAsia" w:ascii="Times New Roman" w:hAnsi="Times New Roman" w:cs="Times New Roman"/>
                <w:color w:val="auto"/>
                <w:sz w:val="24"/>
                <w:szCs w:val="24"/>
                <w:highlight w:val="none"/>
                <w:lang w:val="en-US" w:eastAsia="zh-CN"/>
              </w:rPr>
              <w:t>1.57</w:t>
            </w:r>
            <w:r>
              <w:rPr>
                <w:rFonts w:hint="default" w:ascii="Times New Roman" w:hAnsi="Times New Roman" w:eastAsia="宋体" w:cs="Times New Roman"/>
                <w:color w:val="auto"/>
                <w:sz w:val="24"/>
                <w:szCs w:val="24"/>
                <w:highlight w:val="none"/>
              </w:rPr>
              <w:t>t/a</w:t>
            </w:r>
            <w:r>
              <w:rPr>
                <w:rFonts w:hint="default" w:ascii="Times New Roman" w:hAnsi="Times New Roman" w:cs="Times New Roman"/>
                <w:color w:val="auto"/>
                <w:sz w:val="24"/>
                <w:highlight w:val="none"/>
              </w:rPr>
              <w:t>。每100t粉状</w:t>
            </w:r>
            <w:r>
              <w:rPr>
                <w:rFonts w:hint="default" w:ascii="Times New Roman" w:hAnsi="Times New Roman" w:cs="Times New Roman"/>
                <w:color w:val="auto"/>
                <w:sz w:val="24"/>
                <w:highlight w:val="none"/>
                <w:lang w:val="en-US" w:eastAsia="zh-CN"/>
              </w:rPr>
              <w:t>物料从</w:t>
            </w:r>
            <w:r>
              <w:rPr>
                <w:rFonts w:hint="default" w:ascii="Times New Roman" w:hAnsi="Times New Roman" w:cs="Times New Roman"/>
                <w:color w:val="auto"/>
                <w:sz w:val="24"/>
                <w:highlight w:val="none"/>
              </w:rPr>
              <w:t>罐车打入粉料</w:t>
            </w:r>
            <w:r>
              <w:rPr>
                <w:rFonts w:hint="eastAsia" w:ascii="Times New Roman" w:hAnsi="Times New Roman" w:cs="Times New Roman"/>
                <w:color w:val="auto"/>
                <w:sz w:val="24"/>
                <w:highlight w:val="none"/>
                <w:lang w:eastAsia="zh-CN"/>
              </w:rPr>
              <w:t>料仓</w:t>
            </w:r>
            <w:r>
              <w:rPr>
                <w:rFonts w:hint="eastAsia" w:ascii="Times New Roman" w:hAnsi="Times New Roman" w:cs="Times New Roman"/>
                <w:color w:val="auto"/>
                <w:sz w:val="24"/>
                <w:highlight w:val="none"/>
                <w:lang w:val="en-US" w:eastAsia="zh-CN"/>
              </w:rPr>
              <w:t>或出料</w:t>
            </w:r>
            <w:r>
              <w:rPr>
                <w:rFonts w:hint="default" w:ascii="Times New Roman" w:hAnsi="Times New Roman" w:cs="Times New Roman"/>
                <w:color w:val="auto"/>
                <w:sz w:val="24"/>
                <w:highlight w:val="none"/>
              </w:rPr>
              <w:t>用时</w:t>
            </w:r>
            <w:r>
              <w:rPr>
                <w:rFonts w:hint="eastAsia" w:ascii="Times New Roman" w:hAnsi="Times New Roman" w:cs="Times New Roman"/>
                <w:color w:val="auto"/>
                <w:sz w:val="24"/>
                <w:highlight w:val="none"/>
                <w:lang w:val="en-US" w:eastAsia="zh-CN"/>
              </w:rPr>
              <w:t>均为</w:t>
            </w:r>
            <w:r>
              <w:rPr>
                <w:rFonts w:hint="default" w:ascii="Times New Roman" w:hAnsi="Times New Roman" w:cs="Times New Roman"/>
                <w:color w:val="auto"/>
                <w:sz w:val="24"/>
                <w:highlight w:val="none"/>
              </w:rPr>
              <w:t>3h，</w:t>
            </w:r>
            <w:r>
              <w:rPr>
                <w:rFonts w:hint="default" w:ascii="Times New Roman" w:hAnsi="Times New Roman" w:cs="Times New Roman"/>
                <w:color w:val="auto"/>
                <w:sz w:val="24"/>
                <w:highlight w:val="none"/>
                <w:lang w:val="en-US" w:eastAsia="zh-CN"/>
              </w:rPr>
              <w:t>则</w:t>
            </w:r>
            <w:r>
              <w:rPr>
                <w:rFonts w:hint="eastAsia" w:ascii="Times New Roman" w:hAnsi="Times New Roman" w:cs="Times New Roman"/>
                <w:color w:val="auto"/>
                <w:sz w:val="24"/>
                <w:highlight w:val="none"/>
                <w:lang w:val="en-US" w:eastAsia="zh-CN"/>
              </w:rPr>
              <w:t>水泥料仓</w:t>
            </w:r>
            <w:r>
              <w:rPr>
                <w:rFonts w:hint="default" w:ascii="Times New Roman" w:hAnsi="Times New Roman" w:cs="Times New Roman"/>
                <w:color w:val="auto"/>
                <w:sz w:val="24"/>
                <w:highlight w:val="none"/>
                <w:lang w:val="en-US" w:eastAsia="zh-CN"/>
              </w:rPr>
              <w:t>卸料</w:t>
            </w:r>
            <w:r>
              <w:rPr>
                <w:rFonts w:hint="eastAsia" w:ascii="Times New Roman" w:hAnsi="Times New Roman" w:cs="Times New Roman"/>
                <w:color w:val="auto"/>
                <w:sz w:val="24"/>
                <w:highlight w:val="none"/>
                <w:lang w:val="en-US" w:eastAsia="zh-CN"/>
              </w:rPr>
              <w:t>和出料</w:t>
            </w:r>
            <w:r>
              <w:rPr>
                <w:rFonts w:hint="default" w:ascii="Times New Roman" w:hAnsi="Times New Roman" w:cs="Times New Roman"/>
                <w:color w:val="auto"/>
                <w:sz w:val="24"/>
                <w:highlight w:val="none"/>
                <w:lang w:val="en-US" w:eastAsia="zh-CN"/>
              </w:rPr>
              <w:t>时间</w:t>
            </w:r>
            <w:r>
              <w:rPr>
                <w:rFonts w:hint="eastAsia" w:ascii="Times New Roman" w:hAnsi="Times New Roman" w:cs="Times New Roman"/>
                <w:color w:val="auto"/>
                <w:sz w:val="24"/>
                <w:highlight w:val="none"/>
                <w:lang w:val="en-US" w:eastAsia="zh-CN"/>
              </w:rPr>
              <w:t>总计</w:t>
            </w:r>
            <w:r>
              <w:rPr>
                <w:rFonts w:hint="default" w:ascii="Times New Roman" w:hAnsi="Times New Roman" w:cs="Times New Roman"/>
                <w:color w:val="auto"/>
                <w:sz w:val="24"/>
                <w:highlight w:val="none"/>
                <w:lang w:val="en-US" w:eastAsia="zh-CN"/>
              </w:rPr>
              <w:t>为</w:t>
            </w:r>
            <w:r>
              <w:rPr>
                <w:rFonts w:hint="eastAsia" w:ascii="Times New Roman" w:hAnsi="Times New Roman" w:cs="Times New Roman"/>
                <w:color w:val="auto"/>
                <w:sz w:val="24"/>
                <w:highlight w:val="none"/>
                <w:lang w:val="en-US" w:eastAsia="zh-CN"/>
              </w:rPr>
              <w:t>742</w:t>
            </w:r>
            <w:r>
              <w:rPr>
                <w:rFonts w:hint="default" w:ascii="Times New Roman" w:hAnsi="Times New Roman" w:cs="Times New Roman"/>
                <w:color w:val="auto"/>
                <w:sz w:val="24"/>
                <w:highlight w:val="none"/>
                <w:lang w:val="en-US" w:eastAsia="zh-CN"/>
              </w:rPr>
              <w:t>h</w:t>
            </w:r>
            <w:r>
              <w:rPr>
                <w:rFonts w:hint="eastAsia" w:ascii="Times New Roman" w:hAnsi="Times New Roman" w:cs="Times New Roman"/>
                <w:color w:val="auto"/>
                <w:sz w:val="24"/>
                <w:highlight w:val="none"/>
                <w:lang w:val="en-US" w:eastAsia="zh-CN"/>
              </w:rPr>
              <w:t>、粉煤灰料仓</w:t>
            </w:r>
            <w:r>
              <w:rPr>
                <w:rFonts w:hint="default" w:ascii="Times New Roman" w:hAnsi="Times New Roman" w:cs="Times New Roman"/>
                <w:color w:val="auto"/>
                <w:sz w:val="24"/>
                <w:highlight w:val="none"/>
                <w:lang w:val="en-US" w:eastAsia="zh-CN"/>
              </w:rPr>
              <w:t>卸料</w:t>
            </w:r>
            <w:r>
              <w:rPr>
                <w:rFonts w:hint="eastAsia" w:ascii="Times New Roman" w:hAnsi="Times New Roman" w:cs="Times New Roman"/>
                <w:color w:val="auto"/>
                <w:sz w:val="24"/>
                <w:highlight w:val="none"/>
                <w:lang w:val="en-US" w:eastAsia="zh-CN"/>
              </w:rPr>
              <w:t>和出料</w:t>
            </w:r>
            <w:r>
              <w:rPr>
                <w:rFonts w:hint="default" w:ascii="Times New Roman" w:hAnsi="Times New Roman" w:cs="Times New Roman"/>
                <w:color w:val="auto"/>
                <w:sz w:val="24"/>
                <w:highlight w:val="none"/>
                <w:lang w:val="en-US" w:eastAsia="zh-CN"/>
              </w:rPr>
              <w:t>时间</w:t>
            </w:r>
            <w:r>
              <w:rPr>
                <w:rFonts w:hint="eastAsia" w:ascii="Times New Roman" w:hAnsi="Times New Roman" w:cs="Times New Roman"/>
                <w:color w:val="auto"/>
                <w:sz w:val="24"/>
                <w:highlight w:val="none"/>
                <w:lang w:val="en-US" w:eastAsia="zh-CN"/>
              </w:rPr>
              <w:t>总计</w:t>
            </w:r>
            <w:r>
              <w:rPr>
                <w:rFonts w:hint="default" w:ascii="Times New Roman" w:hAnsi="Times New Roman" w:cs="Times New Roman"/>
                <w:color w:val="auto"/>
                <w:sz w:val="24"/>
                <w:highlight w:val="none"/>
                <w:lang w:val="en-US" w:eastAsia="zh-CN"/>
              </w:rPr>
              <w:t>为</w:t>
            </w:r>
            <w:r>
              <w:rPr>
                <w:rFonts w:hint="eastAsia" w:ascii="Times New Roman" w:hAnsi="Times New Roman" w:cs="Times New Roman"/>
                <w:color w:val="auto"/>
                <w:sz w:val="24"/>
                <w:highlight w:val="none"/>
                <w:lang w:val="en-US" w:eastAsia="zh-CN"/>
              </w:rPr>
              <w:t>496</w:t>
            </w:r>
            <w:r>
              <w:rPr>
                <w:rFonts w:hint="default" w:ascii="Times New Roman" w:hAnsi="Times New Roman" w:cs="Times New Roman"/>
                <w:color w:val="auto"/>
                <w:sz w:val="24"/>
                <w:highlight w:val="none"/>
                <w:lang w:val="en-US" w:eastAsia="zh-CN"/>
              </w:rPr>
              <w:t>h</w:t>
            </w:r>
            <w:r>
              <w:rPr>
                <w:rFonts w:hint="eastAsia" w:ascii="Times New Roman" w:hAnsi="Times New Roman" w:cs="Times New Roman"/>
                <w:color w:val="auto"/>
                <w:sz w:val="24"/>
                <w:highlight w:val="none"/>
                <w:lang w:val="en-US" w:eastAsia="zh-CN"/>
              </w:rPr>
              <w:t>。</w:t>
            </w:r>
            <w:r>
              <w:rPr>
                <w:rFonts w:ascii="Times New Roman" w:hAnsi="Times New Roman"/>
                <w:color w:val="auto"/>
                <w:sz w:val="24"/>
                <w:highlight w:val="none"/>
              </w:rPr>
              <w:t>类比同类型</w:t>
            </w:r>
            <w:r>
              <w:rPr>
                <w:rFonts w:hint="eastAsia" w:ascii="Times New Roman" w:hAnsi="Times New Roman"/>
                <w:color w:val="auto"/>
                <w:sz w:val="24"/>
                <w:highlight w:val="none"/>
                <w:lang w:val="en-US" w:eastAsia="zh-CN"/>
              </w:rPr>
              <w:t>料</w:t>
            </w:r>
            <w:r>
              <w:rPr>
                <w:rFonts w:hint="eastAsia" w:ascii="Times New Roman" w:hAnsi="Times New Roman"/>
                <w:color w:val="auto"/>
                <w:sz w:val="24"/>
                <w:highlight w:val="none"/>
              </w:rPr>
              <w:t>仓</w:t>
            </w:r>
            <w:r>
              <w:rPr>
                <w:rFonts w:ascii="Times New Roman" w:hAnsi="Times New Roman"/>
                <w:color w:val="auto"/>
                <w:sz w:val="24"/>
                <w:highlight w:val="none"/>
              </w:rPr>
              <w:t>除尘装置配备情况，</w:t>
            </w:r>
            <w:r>
              <w:rPr>
                <w:rFonts w:hint="eastAsia" w:ascii="Times New Roman" w:hAnsi="Times New Roman" w:eastAsia="宋体" w:cs="Times New Roman"/>
                <w:color w:val="auto"/>
                <w:kern w:val="0"/>
                <w:sz w:val="24"/>
                <w:szCs w:val="24"/>
                <w:highlight w:val="none"/>
                <w:lang w:val="en-US" w:eastAsia="zh-CN"/>
              </w:rPr>
              <w:t>仓顶布袋除尘器设置</w:t>
            </w:r>
            <w:r>
              <w:rPr>
                <w:rFonts w:ascii="Times New Roman" w:hAnsi="Times New Roman" w:eastAsia="宋体" w:cs="Times New Roman"/>
                <w:color w:val="auto"/>
                <w:sz w:val="24"/>
                <w:szCs w:val="24"/>
                <w:highlight w:val="none"/>
              </w:rPr>
              <w:t>风量为</w:t>
            </w:r>
            <w:r>
              <w:rPr>
                <w:rFonts w:hint="eastAsia" w:ascii="Times New Roman" w:hAnsi="Times New Roman" w:eastAsia="宋体" w:cs="Times New Roman"/>
                <w:color w:val="auto"/>
                <w:sz w:val="24"/>
                <w:szCs w:val="24"/>
                <w:highlight w:val="none"/>
                <w:lang w:val="en-US" w:eastAsia="zh-CN"/>
              </w:rPr>
              <w:t>2000N</w:t>
            </w:r>
            <w:r>
              <w:rPr>
                <w:rFonts w:ascii="Times New Roman" w:hAnsi="Times New Roman" w:eastAsia="宋体" w:cs="Times New Roman"/>
                <w:color w:val="auto"/>
                <w:sz w:val="24"/>
                <w:szCs w:val="24"/>
                <w:highlight w:val="none"/>
              </w:rPr>
              <w:t>m</w:t>
            </w:r>
            <w:r>
              <w:rPr>
                <w:rFonts w:ascii="Times New Roman" w:hAnsi="Times New Roman" w:eastAsia="宋体" w:cs="Times New Roman"/>
                <w:color w:val="auto"/>
                <w:sz w:val="24"/>
                <w:szCs w:val="24"/>
                <w:highlight w:val="none"/>
                <w:vertAlign w:val="superscript"/>
              </w:rPr>
              <w:t>3</w:t>
            </w:r>
            <w:r>
              <w:rPr>
                <w:rFonts w:ascii="Times New Roman" w:hAnsi="Times New Roman" w:eastAsia="宋体" w:cs="Times New Roman"/>
                <w:color w:val="auto"/>
                <w:sz w:val="24"/>
                <w:szCs w:val="24"/>
                <w:highlight w:val="none"/>
              </w:rPr>
              <w:t>/h，</w:t>
            </w:r>
            <w:r>
              <w:rPr>
                <w:rFonts w:hint="eastAsia" w:ascii="Times New Roman" w:hAnsi="Times New Roman" w:cs="Times New Roman"/>
                <w:bCs/>
                <w:color w:val="auto"/>
                <w:sz w:val="24"/>
                <w:szCs w:val="24"/>
                <w:highlight w:val="none"/>
              </w:rPr>
              <w:t>过滤面积</w:t>
            </w:r>
            <w:r>
              <w:rPr>
                <w:rFonts w:hint="eastAsia" w:ascii="Times New Roman" w:hAnsi="Times New Roman" w:cs="Times New Roman"/>
                <w:bCs/>
                <w:color w:val="auto"/>
                <w:sz w:val="24"/>
                <w:szCs w:val="24"/>
                <w:highlight w:val="none"/>
                <w:lang w:val="en-US" w:eastAsia="zh-CN"/>
              </w:rPr>
              <w:t>56</w:t>
            </w:r>
            <w:r>
              <w:rPr>
                <w:rFonts w:hint="eastAsia" w:ascii="Times New Roman" w:hAnsi="Times New Roman" w:cs="Times New Roman"/>
                <w:bCs/>
                <w:color w:val="auto"/>
                <w:sz w:val="24"/>
                <w:szCs w:val="24"/>
                <w:highlight w:val="none"/>
              </w:rPr>
              <w:t>m²，风速0.6m/</w:t>
            </w:r>
            <w:r>
              <w:rPr>
                <w:rFonts w:hint="eastAsia" w:ascii="Times New Roman" w:hAnsi="Times New Roman" w:cs="Times New Roman"/>
                <w:color w:val="auto"/>
                <w:sz w:val="24"/>
                <w:szCs w:val="24"/>
                <w:highlight w:val="none"/>
              </w:rPr>
              <w:t>min</w:t>
            </w:r>
            <w:r>
              <w:rPr>
                <w:rFonts w:hint="eastAsia" w:ascii="Times New Roman" w:hAnsi="Times New Roman" w:cs="Times New Roman"/>
                <w:bCs/>
                <w:color w:val="auto"/>
                <w:sz w:val="24"/>
                <w:szCs w:val="24"/>
                <w:highlight w:val="none"/>
                <w:lang w:eastAsia="zh-CN"/>
              </w:rPr>
              <w:t>。</w:t>
            </w:r>
            <w:r>
              <w:rPr>
                <w:rFonts w:hint="eastAsia" w:ascii="Times New Roman" w:hAnsi="Times New Roman" w:eastAsia="宋体" w:cs="Times New Roman"/>
                <w:color w:val="auto"/>
                <w:kern w:val="2"/>
                <w:sz w:val="24"/>
                <w:szCs w:val="24"/>
                <w:highlight w:val="none"/>
                <w:lang w:val="en-US" w:eastAsia="zh-CN" w:bidi="ar-SA"/>
              </w:rPr>
              <w:t>除尘器出口浓度控制在10mg/m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以下（本次以10mg/m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计），则</w:t>
            </w:r>
            <w:r>
              <w:rPr>
                <w:rFonts w:hint="eastAsia" w:ascii="Times New Roman" w:hAnsi="Times New Roman" w:cs="Times New Roman"/>
                <w:color w:val="auto"/>
                <w:kern w:val="2"/>
                <w:sz w:val="24"/>
                <w:szCs w:val="24"/>
                <w:highlight w:val="none"/>
                <w:lang w:val="en-US" w:eastAsia="zh-CN" w:bidi="ar-SA"/>
              </w:rPr>
              <w:t>水泥料仓</w:t>
            </w:r>
            <w:r>
              <w:rPr>
                <w:rFonts w:hint="eastAsia" w:ascii="Times New Roman" w:hAnsi="Times New Roman" w:eastAsia="宋体" w:cs="Times New Roman"/>
                <w:color w:val="auto"/>
                <w:kern w:val="2"/>
                <w:sz w:val="24"/>
                <w:szCs w:val="24"/>
                <w:highlight w:val="none"/>
                <w:lang w:val="en-US" w:eastAsia="zh-CN" w:bidi="ar-SA"/>
              </w:rPr>
              <w:t>颗粒物排放量=</w:t>
            </w:r>
            <w:r>
              <w:rPr>
                <w:rFonts w:hint="eastAsia" w:ascii="Times New Roman" w:hAnsi="Times New Roman" w:cs="Times New Roman"/>
                <w:color w:val="auto"/>
                <w:kern w:val="2"/>
                <w:sz w:val="24"/>
                <w:szCs w:val="24"/>
                <w:highlight w:val="none"/>
                <w:lang w:val="en-US" w:eastAsia="zh-CN" w:bidi="ar-SA"/>
              </w:rPr>
              <w:t>742</w:t>
            </w:r>
            <w:r>
              <w:rPr>
                <w:rFonts w:hint="eastAsia" w:ascii="Times New Roman" w:hAnsi="Times New Roman" w:eastAsia="宋体" w:cs="Times New Roman"/>
                <w:color w:val="auto"/>
                <w:kern w:val="2"/>
                <w:sz w:val="24"/>
                <w:szCs w:val="24"/>
                <w:highlight w:val="none"/>
                <w:lang w:val="en-US" w:eastAsia="zh-CN" w:bidi="ar-SA"/>
              </w:rPr>
              <w:t>h×2000Nm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/h×10mg/m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×10</w:t>
            </w:r>
            <w:r>
              <w:rPr>
                <w:rFonts w:hint="eastAsia" w:ascii="Times New Roman" w:hAnsi="Times New Roman" w:eastAsia="宋体" w:cs="Times New Roman"/>
                <w:color w:val="auto"/>
                <w:kern w:val="2"/>
                <w:sz w:val="24"/>
                <w:szCs w:val="24"/>
                <w:highlight w:val="none"/>
                <w:vertAlign w:val="superscript"/>
                <w:lang w:val="en-US" w:eastAsia="zh-CN" w:bidi="ar-SA"/>
              </w:rPr>
              <w:t>-9</w:t>
            </w:r>
            <w:r>
              <w:rPr>
                <w:rFonts w:hint="eastAsia" w:ascii="Times New Roman" w:hAnsi="Times New Roman" w:eastAsia="宋体" w:cs="Times New Roman"/>
                <w:color w:val="auto"/>
                <w:kern w:val="2"/>
                <w:sz w:val="24"/>
                <w:szCs w:val="24"/>
                <w:highlight w:val="none"/>
                <w:lang w:val="en-US" w:eastAsia="zh-CN" w:bidi="ar-SA"/>
              </w:rPr>
              <w:t>=0.</w:t>
            </w:r>
            <w:r>
              <w:rPr>
                <w:rFonts w:hint="eastAsia" w:ascii="Times New Roman" w:hAnsi="Times New Roman" w:cs="Times New Roman"/>
                <w:color w:val="auto"/>
                <w:kern w:val="2"/>
                <w:sz w:val="24"/>
                <w:szCs w:val="24"/>
                <w:highlight w:val="none"/>
                <w:lang w:val="en-US" w:eastAsia="zh-CN" w:bidi="ar-SA"/>
              </w:rPr>
              <w:t>01</w:t>
            </w:r>
            <w:r>
              <w:rPr>
                <w:rFonts w:hint="eastAsia" w:ascii="Times New Roman" w:hAnsi="Times New Roman" w:eastAsia="宋体" w:cs="Times New Roman"/>
                <w:color w:val="auto"/>
                <w:kern w:val="2"/>
                <w:sz w:val="24"/>
                <w:szCs w:val="24"/>
                <w:highlight w:val="none"/>
                <w:lang w:val="en-US" w:eastAsia="zh-CN" w:bidi="ar-SA"/>
              </w:rPr>
              <w:t>t/a</w:t>
            </w:r>
            <w:r>
              <w:rPr>
                <w:rFonts w:hint="eastAsia" w:ascii="Times New Roman" w:hAnsi="Times New Roman" w:cs="Times New Roman"/>
                <w:color w:val="auto"/>
                <w:kern w:val="2"/>
                <w:sz w:val="24"/>
                <w:szCs w:val="24"/>
                <w:highlight w:val="none"/>
                <w:lang w:val="en-US" w:eastAsia="zh-CN" w:bidi="ar-SA"/>
              </w:rPr>
              <w:t>、粉煤灰料仓</w:t>
            </w:r>
            <w:r>
              <w:rPr>
                <w:rFonts w:hint="eastAsia" w:ascii="Times New Roman" w:hAnsi="Times New Roman" w:eastAsia="宋体" w:cs="Times New Roman"/>
                <w:color w:val="auto"/>
                <w:kern w:val="2"/>
                <w:sz w:val="24"/>
                <w:szCs w:val="24"/>
                <w:highlight w:val="none"/>
                <w:lang w:val="en-US" w:eastAsia="zh-CN" w:bidi="ar-SA"/>
              </w:rPr>
              <w:t>颗粒物排放量=</w:t>
            </w:r>
            <w:r>
              <w:rPr>
                <w:rFonts w:hint="eastAsia" w:ascii="Times New Roman" w:hAnsi="Times New Roman" w:cs="Times New Roman"/>
                <w:color w:val="auto"/>
                <w:sz w:val="24"/>
                <w:highlight w:val="none"/>
                <w:lang w:val="en-US" w:eastAsia="zh-CN"/>
              </w:rPr>
              <w:t>496</w:t>
            </w:r>
            <w:r>
              <w:rPr>
                <w:rFonts w:hint="eastAsia" w:ascii="Times New Roman" w:hAnsi="Times New Roman" w:eastAsia="宋体" w:cs="Times New Roman"/>
                <w:color w:val="auto"/>
                <w:kern w:val="2"/>
                <w:sz w:val="24"/>
                <w:szCs w:val="24"/>
                <w:highlight w:val="none"/>
                <w:lang w:val="en-US" w:eastAsia="zh-CN" w:bidi="ar-SA"/>
              </w:rPr>
              <w:t>h×2000Nm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/h×10mg/m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×10</w:t>
            </w:r>
            <w:r>
              <w:rPr>
                <w:rFonts w:hint="eastAsia" w:ascii="Times New Roman" w:hAnsi="Times New Roman" w:eastAsia="宋体" w:cs="Times New Roman"/>
                <w:color w:val="auto"/>
                <w:kern w:val="2"/>
                <w:sz w:val="24"/>
                <w:szCs w:val="24"/>
                <w:highlight w:val="none"/>
                <w:vertAlign w:val="superscript"/>
                <w:lang w:val="en-US" w:eastAsia="zh-CN" w:bidi="ar-SA"/>
              </w:rPr>
              <w:t>-9</w:t>
            </w:r>
            <w:r>
              <w:rPr>
                <w:rFonts w:hint="eastAsia" w:ascii="Times New Roman" w:hAnsi="Times New Roman" w:eastAsia="宋体" w:cs="Times New Roman"/>
                <w:color w:val="auto"/>
                <w:kern w:val="2"/>
                <w:sz w:val="24"/>
                <w:szCs w:val="24"/>
                <w:highlight w:val="none"/>
                <w:lang w:val="en-US" w:eastAsia="zh-CN" w:bidi="ar-SA"/>
              </w:rPr>
              <w:t>=0.</w:t>
            </w:r>
            <w:r>
              <w:rPr>
                <w:rFonts w:hint="eastAsia" w:ascii="Times New Roman" w:hAnsi="Times New Roman" w:cs="Times New Roman"/>
                <w:color w:val="auto"/>
                <w:kern w:val="2"/>
                <w:sz w:val="24"/>
                <w:szCs w:val="24"/>
                <w:highlight w:val="none"/>
                <w:lang w:val="en-US" w:eastAsia="zh-CN" w:bidi="ar-SA"/>
              </w:rPr>
              <w:t>01</w:t>
            </w:r>
            <w:r>
              <w:rPr>
                <w:rFonts w:hint="eastAsia" w:ascii="Times New Roman" w:hAnsi="Times New Roman" w:eastAsia="宋体" w:cs="Times New Roman"/>
                <w:color w:val="auto"/>
                <w:kern w:val="2"/>
                <w:sz w:val="24"/>
                <w:szCs w:val="24"/>
                <w:highlight w:val="none"/>
                <w:lang w:val="en-US" w:eastAsia="zh-CN" w:bidi="ar-SA"/>
              </w:rPr>
              <w:t>t/a</w:t>
            </w:r>
            <w:r>
              <w:rPr>
                <w:rFonts w:hint="eastAsia"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10"/>
                <w:sz w:val="24"/>
                <w:highlight w:val="none"/>
                <w:lang w:val="en-US" w:eastAsia="zh-CN"/>
              </w:rPr>
              <w:t>满足《水泥工业大气污染物排放标准》（DB14/3176-2024）</w:t>
            </w:r>
            <w:r>
              <w:rPr>
                <w:rFonts w:hint="eastAsia" w:ascii="Times New Roman" w:hAnsi="Times New Roman" w:eastAsia="宋体" w:cs="Times New Roman"/>
                <w:color w:val="auto"/>
                <w:kern w:val="10"/>
                <w:sz w:val="24"/>
                <w:highlight w:val="none"/>
                <w:lang w:val="en-US" w:eastAsia="zh-CN"/>
              </w:rPr>
              <w:t>中排放</w:t>
            </w:r>
            <w:r>
              <w:rPr>
                <w:rFonts w:hint="default" w:ascii="Times New Roman" w:hAnsi="Times New Roman" w:eastAsia="宋体" w:cs="Times New Roman"/>
                <w:color w:val="auto"/>
                <w:kern w:val="10"/>
                <w:sz w:val="24"/>
                <w:highlight w:val="none"/>
                <w:lang w:val="en-US" w:eastAsia="zh-CN"/>
              </w:rPr>
              <w:t>限值要求</w:t>
            </w:r>
            <w:r>
              <w:rPr>
                <w:rFonts w:hint="eastAsia" w:cs="Times New Roman"/>
                <w:color w:val="auto"/>
                <w:kern w:val="2"/>
                <w:sz w:val="24"/>
                <w:szCs w:val="24"/>
                <w:highlight w:val="none"/>
                <w:lang w:val="en-US" w:eastAsia="zh-CN" w:bidi="ar-SA"/>
              </w:rPr>
              <w:t>。</w:t>
            </w:r>
          </w:p>
          <w:p w14:paraId="2880735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4）预制构件生产线</w:t>
            </w:r>
          </w:p>
          <w:p w14:paraId="6F09E61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G11：运输扬尘</w:t>
            </w:r>
          </w:p>
          <w:p w14:paraId="0031F6F0">
            <w:pPr>
              <w:pStyle w:val="19"/>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textAlignment w:val="auto"/>
              <w:rPr>
                <w:rFonts w:ascii="Times New Roman" w:hAnsi="Times New Roman"/>
                <w:color w:val="auto"/>
                <w:sz w:val="24"/>
                <w:highlight w:val="none"/>
              </w:rPr>
            </w:pPr>
            <w:r>
              <w:rPr>
                <w:rFonts w:hint="eastAsia" w:ascii="Times New Roman" w:hAnsi="Times New Roman"/>
                <w:color w:val="auto"/>
                <w:sz w:val="24"/>
                <w:highlight w:val="none"/>
              </w:rPr>
              <w:t>本</w:t>
            </w:r>
            <w:r>
              <w:rPr>
                <w:rFonts w:hint="eastAsia" w:ascii="Times New Roman" w:hAnsi="Times New Roman"/>
                <w:color w:val="auto"/>
                <w:sz w:val="24"/>
                <w:highlight w:val="none"/>
                <w:lang w:val="en-US" w:eastAsia="zh-CN"/>
              </w:rPr>
              <w:t>工序</w:t>
            </w:r>
            <w:r>
              <w:rPr>
                <w:rFonts w:hint="eastAsia" w:ascii="Times New Roman" w:hAnsi="Times New Roman"/>
                <w:color w:val="auto"/>
                <w:sz w:val="24"/>
                <w:highlight w:val="none"/>
              </w:rPr>
              <w:t>原料运入厂区及产品运出厂区均会产生道路扬尘，计算公式如下：</w:t>
            </w:r>
          </w:p>
          <w:p w14:paraId="4DF1CBF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olor w:val="auto"/>
                <w:sz w:val="24"/>
                <w:highlight w:val="none"/>
              </w:rPr>
            </w:pPr>
            <w:r>
              <w:rPr>
                <w:rFonts w:ascii="Times New Roman" w:hAnsi="Times New Roman"/>
                <w:color w:val="auto"/>
                <w:sz w:val="24"/>
                <w:highlight w:val="none"/>
              </w:rPr>
              <w:drawing>
                <wp:anchor distT="0" distB="0" distL="114300" distR="114300" simplePos="0" relativeHeight="251667456" behindDoc="0" locked="0" layoutInCell="1" allowOverlap="1">
                  <wp:simplePos x="0" y="0"/>
                  <wp:positionH relativeFrom="column">
                    <wp:posOffset>290195</wp:posOffset>
                  </wp:positionH>
                  <wp:positionV relativeFrom="paragraph">
                    <wp:posOffset>384810</wp:posOffset>
                  </wp:positionV>
                  <wp:extent cx="1196340" cy="243840"/>
                  <wp:effectExtent l="0" t="0" r="0" b="3175"/>
                  <wp:wrapTopAndBottom/>
                  <wp:docPr id="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
                          <pic:cNvPicPr>
                            <a:picLocks noChangeAspect="1"/>
                          </pic:cNvPicPr>
                        </pic:nvPicPr>
                        <pic:blipFill>
                          <a:blip r:embed="rId18"/>
                          <a:stretch>
                            <a:fillRect/>
                          </a:stretch>
                        </pic:blipFill>
                        <pic:spPr>
                          <a:xfrm>
                            <a:off x="0" y="0"/>
                            <a:ext cx="1196340" cy="243840"/>
                          </a:xfrm>
                          <a:prstGeom prst="rect">
                            <a:avLst/>
                          </a:prstGeom>
                          <a:noFill/>
                          <a:ln>
                            <a:noFill/>
                          </a:ln>
                        </pic:spPr>
                      </pic:pic>
                    </a:graphicData>
                  </a:graphic>
                </wp:anchor>
              </w:drawing>
            </w:r>
            <w:r>
              <w:rPr>
                <w:rFonts w:ascii="Times New Roman" w:hAnsi="Times New Roman"/>
                <w:color w:val="auto"/>
                <w:sz w:val="24"/>
                <w:highlight w:val="none"/>
              </w:rPr>
              <w:drawing>
                <wp:anchor distT="0" distB="0" distL="114300" distR="114300" simplePos="0" relativeHeight="251666432" behindDoc="0" locked="0" layoutInCell="1" allowOverlap="1">
                  <wp:simplePos x="0" y="0"/>
                  <wp:positionH relativeFrom="column">
                    <wp:posOffset>290195</wp:posOffset>
                  </wp:positionH>
                  <wp:positionV relativeFrom="paragraph">
                    <wp:posOffset>17145</wp:posOffset>
                  </wp:positionV>
                  <wp:extent cx="1875790" cy="351155"/>
                  <wp:effectExtent l="0" t="0" r="10160" b="11430"/>
                  <wp:wrapTopAndBottom/>
                  <wp:docPr id="91" name="图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596"/>
                          <pic:cNvPicPr>
                            <a:picLocks noChangeAspect="1"/>
                          </pic:cNvPicPr>
                        </pic:nvPicPr>
                        <pic:blipFill>
                          <a:blip r:embed="rId19"/>
                          <a:stretch>
                            <a:fillRect/>
                          </a:stretch>
                        </pic:blipFill>
                        <pic:spPr>
                          <a:xfrm>
                            <a:off x="0" y="0"/>
                            <a:ext cx="1875790" cy="351155"/>
                          </a:xfrm>
                          <a:prstGeom prst="rect">
                            <a:avLst/>
                          </a:prstGeom>
                          <a:noFill/>
                          <a:ln>
                            <a:noFill/>
                          </a:ln>
                        </pic:spPr>
                      </pic:pic>
                    </a:graphicData>
                  </a:graphic>
                </wp:anchor>
              </w:drawing>
            </w:r>
            <w:r>
              <w:rPr>
                <w:rFonts w:ascii="Times New Roman" w:hAnsi="Times New Roman"/>
                <w:color w:val="auto"/>
                <w:sz w:val="24"/>
                <w:highlight w:val="none"/>
              </w:rPr>
              <w:t>式中：</w:t>
            </w:r>
          </w:p>
          <w:p w14:paraId="4106EA1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ascii="Times New Roman" w:hAnsi="Times New Roman"/>
                <w:color w:val="auto"/>
                <w:sz w:val="24"/>
                <w:highlight w:val="none"/>
              </w:rPr>
              <w:drawing>
                <wp:inline distT="0" distB="0" distL="114300" distR="114300">
                  <wp:extent cx="213360" cy="243840"/>
                  <wp:effectExtent l="0" t="0" r="0" b="3175"/>
                  <wp:docPr id="9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0"/>
                          <pic:cNvPicPr>
                            <a:picLocks noChangeAspect="1"/>
                          </pic:cNvPicPr>
                        </pic:nvPicPr>
                        <pic:blipFill>
                          <a:blip r:embed="rId20"/>
                          <a:stretch>
                            <a:fillRect/>
                          </a:stretch>
                        </pic:blipFill>
                        <pic:spPr>
                          <a:xfrm>
                            <a:off x="0" y="0"/>
                            <a:ext cx="213360" cy="243840"/>
                          </a:xfrm>
                          <a:prstGeom prst="rect">
                            <a:avLst/>
                          </a:prstGeom>
                          <a:noFill/>
                          <a:ln>
                            <a:noFill/>
                          </a:ln>
                        </pic:spPr>
                      </pic:pic>
                    </a:graphicData>
                  </a:graphic>
                </wp:inline>
              </w:drawing>
            </w:r>
            <w:r>
              <w:rPr>
                <w:rFonts w:ascii="Times New Roman" w:hAnsi="Times New Roman"/>
                <w:color w:val="auto"/>
                <w:sz w:val="24"/>
                <w:highlight w:val="none"/>
              </w:rPr>
              <w:t>——道路扬尘量（kg/km·辆）；</w:t>
            </w:r>
          </w:p>
          <w:p w14:paraId="670E331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ascii="Times New Roman" w:hAnsi="Times New Roman"/>
                <w:color w:val="auto"/>
                <w:sz w:val="24"/>
                <w:highlight w:val="none"/>
              </w:rPr>
              <w:drawing>
                <wp:inline distT="0" distB="0" distL="114300" distR="114300">
                  <wp:extent cx="213360" cy="243840"/>
                  <wp:effectExtent l="0" t="0" r="0" b="3175"/>
                  <wp:docPr id="9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1"/>
                          <pic:cNvPicPr>
                            <a:picLocks noChangeAspect="1"/>
                          </pic:cNvPicPr>
                        </pic:nvPicPr>
                        <pic:blipFill>
                          <a:blip r:embed="rId21"/>
                          <a:stretch>
                            <a:fillRect/>
                          </a:stretch>
                        </pic:blipFill>
                        <pic:spPr>
                          <a:xfrm>
                            <a:off x="0" y="0"/>
                            <a:ext cx="213360" cy="243840"/>
                          </a:xfrm>
                          <a:prstGeom prst="rect">
                            <a:avLst/>
                          </a:prstGeom>
                          <a:noFill/>
                          <a:ln>
                            <a:noFill/>
                          </a:ln>
                        </pic:spPr>
                      </pic:pic>
                    </a:graphicData>
                  </a:graphic>
                </wp:inline>
              </w:drawing>
            </w:r>
            <w:r>
              <w:rPr>
                <w:rFonts w:ascii="Times New Roman" w:hAnsi="Times New Roman"/>
                <w:color w:val="auto"/>
                <w:sz w:val="24"/>
                <w:highlight w:val="none"/>
              </w:rPr>
              <w:t>——总扬尘量（kg/a）；</w:t>
            </w:r>
          </w:p>
          <w:p w14:paraId="451FDCF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olor w:val="auto"/>
                <w:sz w:val="24"/>
                <w:highlight w:val="none"/>
                <w:lang w:val="en-US" w:eastAsia="zh-CN"/>
              </w:rPr>
            </w:pPr>
            <w:r>
              <w:rPr>
                <w:rFonts w:ascii="Times New Roman" w:hAnsi="Times New Roman"/>
                <w:color w:val="auto"/>
                <w:sz w:val="24"/>
                <w:highlight w:val="none"/>
              </w:rPr>
              <w:drawing>
                <wp:inline distT="0" distB="0" distL="114300" distR="114300">
                  <wp:extent cx="152400" cy="175260"/>
                  <wp:effectExtent l="0" t="0" r="0" b="15875"/>
                  <wp:docPr id="9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2"/>
                          <pic:cNvPicPr>
                            <a:picLocks noChangeAspect="1"/>
                          </pic:cNvPicPr>
                        </pic:nvPicPr>
                        <pic:blipFill>
                          <a:blip r:embed="rId22"/>
                          <a:stretch>
                            <a:fillRect/>
                          </a:stretch>
                        </pic:blipFill>
                        <pic:spPr>
                          <a:xfrm>
                            <a:off x="0" y="0"/>
                            <a:ext cx="152400" cy="175260"/>
                          </a:xfrm>
                          <a:prstGeom prst="rect">
                            <a:avLst/>
                          </a:prstGeom>
                          <a:noFill/>
                          <a:ln>
                            <a:noFill/>
                          </a:ln>
                        </pic:spPr>
                      </pic:pic>
                    </a:graphicData>
                  </a:graphic>
                </wp:inline>
              </w:drawing>
            </w:r>
            <w:r>
              <w:rPr>
                <w:rFonts w:ascii="Times New Roman" w:hAnsi="Times New Roman"/>
                <w:color w:val="auto"/>
                <w:sz w:val="24"/>
                <w:highlight w:val="none"/>
              </w:rPr>
              <w:t>——车辆速度（20km/h）；</w:t>
            </w:r>
          </w:p>
          <w:p w14:paraId="40B4DD5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ascii="Times New Roman" w:hAnsi="Times New Roman"/>
                <w:color w:val="auto"/>
                <w:sz w:val="24"/>
                <w:highlight w:val="none"/>
              </w:rPr>
              <w:drawing>
                <wp:inline distT="0" distB="0" distL="114300" distR="114300">
                  <wp:extent cx="205740" cy="167640"/>
                  <wp:effectExtent l="0" t="0" r="0" b="2540"/>
                  <wp:docPr id="9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3"/>
                          <pic:cNvPicPr>
                            <a:picLocks noChangeAspect="1"/>
                          </pic:cNvPicPr>
                        </pic:nvPicPr>
                        <pic:blipFill>
                          <a:blip r:embed="rId23"/>
                          <a:stretch>
                            <a:fillRect/>
                          </a:stretch>
                        </pic:blipFill>
                        <pic:spPr>
                          <a:xfrm>
                            <a:off x="0" y="0"/>
                            <a:ext cx="205740" cy="167640"/>
                          </a:xfrm>
                          <a:prstGeom prst="rect">
                            <a:avLst/>
                          </a:prstGeom>
                          <a:noFill/>
                          <a:ln>
                            <a:noFill/>
                          </a:ln>
                        </pic:spPr>
                      </pic:pic>
                    </a:graphicData>
                  </a:graphic>
                </wp:inline>
              </w:drawing>
            </w:r>
            <w:r>
              <w:rPr>
                <w:rFonts w:ascii="Times New Roman" w:hAnsi="Times New Roman"/>
                <w:color w:val="auto"/>
                <w:sz w:val="24"/>
                <w:highlight w:val="none"/>
              </w:rPr>
              <w:t>——车辆载重（</w:t>
            </w:r>
            <w:r>
              <w:rPr>
                <w:rFonts w:hint="eastAsia" w:ascii="Times New Roman" w:hAnsi="Times New Roman"/>
                <w:color w:val="auto"/>
                <w:sz w:val="24"/>
                <w:highlight w:val="none"/>
                <w:lang w:val="en-US" w:eastAsia="zh-CN"/>
              </w:rPr>
              <w:t>30</w:t>
            </w:r>
            <w:r>
              <w:rPr>
                <w:rFonts w:ascii="Times New Roman" w:hAnsi="Times New Roman"/>
                <w:color w:val="auto"/>
                <w:sz w:val="24"/>
                <w:highlight w:val="none"/>
              </w:rPr>
              <w:t>t/辆）；</w:t>
            </w:r>
          </w:p>
          <w:p w14:paraId="5723E9E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ascii="Times New Roman" w:hAnsi="Times New Roman"/>
                <w:color w:val="auto"/>
                <w:sz w:val="24"/>
                <w:highlight w:val="none"/>
              </w:rPr>
              <w:drawing>
                <wp:inline distT="0" distB="0" distL="114300" distR="114300">
                  <wp:extent cx="152400" cy="167640"/>
                  <wp:effectExtent l="0" t="0" r="0" b="2540"/>
                  <wp:docPr id="9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4"/>
                          <pic:cNvPicPr>
                            <a:picLocks noChangeAspect="1"/>
                          </pic:cNvPicPr>
                        </pic:nvPicPr>
                        <pic:blipFill>
                          <a:blip r:embed="rId24"/>
                          <a:stretch>
                            <a:fillRect/>
                          </a:stretch>
                        </pic:blipFill>
                        <pic:spPr>
                          <a:xfrm>
                            <a:off x="0" y="0"/>
                            <a:ext cx="152400" cy="167640"/>
                          </a:xfrm>
                          <a:prstGeom prst="rect">
                            <a:avLst/>
                          </a:prstGeom>
                          <a:noFill/>
                          <a:ln>
                            <a:noFill/>
                          </a:ln>
                        </pic:spPr>
                      </pic:pic>
                    </a:graphicData>
                  </a:graphic>
                </wp:inline>
              </w:drawing>
            </w:r>
            <w:r>
              <w:rPr>
                <w:rFonts w:ascii="Times New Roman" w:hAnsi="Times New Roman"/>
                <w:color w:val="auto"/>
                <w:sz w:val="24"/>
                <w:highlight w:val="none"/>
              </w:rPr>
              <w:t>——路面灰尘覆盖量（0.</w:t>
            </w:r>
            <w:r>
              <w:rPr>
                <w:rFonts w:hint="eastAsia" w:ascii="Times New Roman" w:hAnsi="Times New Roman"/>
                <w:color w:val="auto"/>
                <w:sz w:val="24"/>
                <w:highlight w:val="none"/>
              </w:rPr>
              <w:t>2</w:t>
            </w:r>
            <w:r>
              <w:rPr>
                <w:rFonts w:ascii="Times New Roman" w:hAnsi="Times New Roman"/>
                <w:color w:val="auto"/>
                <w:sz w:val="24"/>
                <w:highlight w:val="none"/>
              </w:rPr>
              <w:t>kg/m</w:t>
            </w:r>
            <w:r>
              <w:rPr>
                <w:rFonts w:ascii="Times New Roman" w:hAnsi="Times New Roman"/>
                <w:color w:val="auto"/>
                <w:sz w:val="24"/>
                <w:highlight w:val="none"/>
                <w:vertAlign w:val="superscript"/>
              </w:rPr>
              <w:t>2</w:t>
            </w:r>
            <w:r>
              <w:rPr>
                <w:rFonts w:ascii="Times New Roman" w:hAnsi="Times New Roman"/>
                <w:color w:val="auto"/>
                <w:sz w:val="24"/>
                <w:highlight w:val="none"/>
              </w:rPr>
              <w:t>）；</w:t>
            </w:r>
          </w:p>
          <w:p w14:paraId="781F04F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olor w:val="auto"/>
                <w:sz w:val="24"/>
                <w:highlight w:val="none"/>
              </w:rPr>
            </w:pPr>
            <w:r>
              <w:rPr>
                <w:rFonts w:ascii="Times New Roman" w:hAnsi="Times New Roman"/>
                <w:color w:val="auto"/>
                <w:sz w:val="24"/>
                <w:highlight w:val="none"/>
              </w:rPr>
              <w:drawing>
                <wp:inline distT="0" distB="0" distL="114300" distR="114300">
                  <wp:extent cx="137160" cy="167640"/>
                  <wp:effectExtent l="0" t="0" r="15240" b="254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25"/>
                          <a:stretch>
                            <a:fillRect/>
                          </a:stretch>
                        </pic:blipFill>
                        <pic:spPr>
                          <a:xfrm>
                            <a:off x="0" y="0"/>
                            <a:ext cx="137160" cy="167640"/>
                          </a:xfrm>
                          <a:prstGeom prst="rect">
                            <a:avLst/>
                          </a:prstGeom>
                          <a:noFill/>
                          <a:ln>
                            <a:noFill/>
                          </a:ln>
                        </pic:spPr>
                      </pic:pic>
                    </a:graphicData>
                  </a:graphic>
                </wp:inline>
              </w:drawing>
            </w:r>
            <w:r>
              <w:rPr>
                <w:rFonts w:ascii="Times New Roman" w:hAnsi="Times New Roman"/>
                <w:color w:val="auto"/>
                <w:sz w:val="24"/>
                <w:highlight w:val="none"/>
              </w:rPr>
              <w:t>——运距（0.</w:t>
            </w:r>
            <w:r>
              <w:rPr>
                <w:rFonts w:hint="eastAsia" w:ascii="Times New Roman" w:hAnsi="Times New Roman"/>
                <w:color w:val="auto"/>
                <w:sz w:val="24"/>
                <w:highlight w:val="none"/>
              </w:rPr>
              <w:t>1</w:t>
            </w:r>
            <w:r>
              <w:rPr>
                <w:rFonts w:ascii="Times New Roman" w:hAnsi="Times New Roman"/>
                <w:color w:val="auto"/>
                <w:sz w:val="24"/>
                <w:highlight w:val="none"/>
              </w:rPr>
              <w:t>km）；</w:t>
            </w:r>
          </w:p>
          <w:p w14:paraId="7D78E1D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ascii="Times New Roman" w:hAnsi="Times New Roman"/>
                <w:color w:val="auto"/>
                <w:sz w:val="24"/>
                <w:highlight w:val="none"/>
              </w:rPr>
              <w:t>Q——运输量（</w:t>
            </w:r>
            <w:r>
              <w:rPr>
                <w:rFonts w:hint="eastAsia" w:ascii="Times New Roman" w:hAnsi="Times New Roman"/>
                <w:color w:val="auto"/>
                <w:sz w:val="24"/>
                <w:highlight w:val="none"/>
                <w:lang w:val="en-US" w:eastAsia="zh-CN"/>
              </w:rPr>
              <w:t>约10</w:t>
            </w:r>
            <w:r>
              <w:rPr>
                <w:rFonts w:hint="eastAsia" w:ascii="Times New Roman" w:hAnsi="Times New Roman"/>
                <w:color w:val="auto"/>
                <w:sz w:val="24"/>
                <w:highlight w:val="none"/>
              </w:rPr>
              <w:t>万</w:t>
            </w:r>
            <w:r>
              <w:rPr>
                <w:rFonts w:ascii="Times New Roman" w:hAnsi="Times New Roman"/>
                <w:color w:val="auto"/>
                <w:sz w:val="24"/>
                <w:highlight w:val="none"/>
              </w:rPr>
              <w:t>t/a）。</w:t>
            </w:r>
          </w:p>
          <w:p w14:paraId="47687E3E">
            <w:pPr>
              <w:pStyle w:val="19"/>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Times New Roman" w:hAnsi="Times New Roman"/>
                <w:color w:val="auto"/>
                <w:sz w:val="24"/>
                <w:highlight w:val="none"/>
              </w:rPr>
            </w:pPr>
            <w:r>
              <w:rPr>
                <w:rFonts w:hint="eastAsia" w:ascii="Times New Roman" w:hAnsi="Times New Roman"/>
                <w:color w:val="auto"/>
                <w:sz w:val="24"/>
                <w:highlight w:val="none"/>
              </w:rPr>
              <w:t>经计算，本</w:t>
            </w:r>
            <w:r>
              <w:rPr>
                <w:rFonts w:hint="eastAsia" w:ascii="Times New Roman" w:hAnsi="Times New Roman"/>
                <w:color w:val="auto"/>
                <w:sz w:val="24"/>
                <w:highlight w:val="none"/>
                <w:lang w:val="en-US" w:eastAsia="zh-CN"/>
              </w:rPr>
              <w:t>工序</w:t>
            </w:r>
            <w:r>
              <w:rPr>
                <w:rFonts w:hint="eastAsia" w:ascii="Times New Roman" w:hAnsi="Times New Roman"/>
                <w:color w:val="auto"/>
                <w:sz w:val="24"/>
                <w:highlight w:val="none"/>
              </w:rPr>
              <w:t>运输道路粉尘产生量共计</w:t>
            </w:r>
            <w:r>
              <w:rPr>
                <w:rFonts w:hint="eastAsia" w:ascii="Times New Roman" w:hAnsi="Times New Roman"/>
                <w:color w:val="auto"/>
                <w:sz w:val="24"/>
                <w:highlight w:val="none"/>
                <w:lang w:val="en-US" w:eastAsia="zh-CN"/>
              </w:rPr>
              <w:t>0.3</w:t>
            </w:r>
            <w:r>
              <w:rPr>
                <w:rFonts w:hint="eastAsia" w:ascii="Times New Roman" w:hAnsi="Times New Roman"/>
                <w:color w:val="auto"/>
                <w:sz w:val="24"/>
                <w:highlight w:val="none"/>
              </w:rPr>
              <w:t>t/a。环评要求项目区内道路硬化，在易起尘路段应减速慢行，</w:t>
            </w:r>
            <w:r>
              <w:rPr>
                <w:rFonts w:hint="eastAsia" w:ascii="Times New Roman" w:hAnsi="Times New Roman"/>
                <w:color w:val="auto"/>
                <w:sz w:val="24"/>
                <w:highlight w:val="none"/>
                <w:lang w:val="en-US" w:eastAsia="zh-CN"/>
              </w:rPr>
              <w:t>运输过程中加盖篷布，限制超载，</w:t>
            </w:r>
            <w:r>
              <w:rPr>
                <w:rFonts w:hint="eastAsia" w:ascii="Times New Roman" w:hAnsi="Times New Roman"/>
                <w:color w:val="auto"/>
                <w:sz w:val="24"/>
                <w:highlight w:val="none"/>
              </w:rPr>
              <w:t>杜绝抛洒；在本项目区内设置一洗车平台，对进出车辆进行清洗，并配置洒水车对</w:t>
            </w:r>
            <w:r>
              <w:rPr>
                <w:rFonts w:hint="eastAsia" w:ascii="Times New Roman" w:hAnsi="Times New Roman"/>
                <w:color w:val="auto"/>
                <w:sz w:val="24"/>
                <w:highlight w:val="none"/>
                <w:lang w:val="en-US" w:eastAsia="zh-CN"/>
              </w:rPr>
              <w:t>厂内</w:t>
            </w:r>
            <w:r>
              <w:rPr>
                <w:rFonts w:hint="eastAsia" w:ascii="Times New Roman" w:hAnsi="Times New Roman"/>
                <w:color w:val="auto"/>
                <w:sz w:val="24"/>
                <w:highlight w:val="none"/>
              </w:rPr>
              <w:t>运输路段定期洒水，保持路面湿润，从而减少运输扬尘的产生。采取以上</w:t>
            </w:r>
            <w:r>
              <w:rPr>
                <w:rFonts w:hint="eastAsia" w:ascii="Times New Roman" w:hAnsi="Times New Roman"/>
                <w:color w:val="auto"/>
                <w:sz w:val="24"/>
                <w:highlight w:val="none"/>
                <w:lang w:val="en-US" w:eastAsia="zh-CN"/>
              </w:rPr>
              <w:t>防治</w:t>
            </w:r>
            <w:r>
              <w:rPr>
                <w:rFonts w:hint="eastAsia" w:ascii="Times New Roman" w:hAnsi="Times New Roman"/>
                <w:color w:val="auto"/>
                <w:sz w:val="24"/>
                <w:highlight w:val="none"/>
              </w:rPr>
              <w:t>措施后，运输扬尘产生量可减少90%，故本项目运输粉尘的排放量为</w:t>
            </w:r>
            <w:r>
              <w:rPr>
                <w:rFonts w:hint="eastAsia" w:ascii="Times New Roman" w:hAnsi="Times New Roman"/>
                <w:color w:val="auto"/>
                <w:sz w:val="24"/>
                <w:highlight w:val="none"/>
                <w:lang w:val="en-US" w:eastAsia="zh-CN"/>
              </w:rPr>
              <w:t>0.03</w:t>
            </w:r>
            <w:r>
              <w:rPr>
                <w:rFonts w:hint="eastAsia" w:ascii="Times New Roman" w:hAnsi="Times New Roman"/>
                <w:color w:val="auto"/>
                <w:sz w:val="24"/>
                <w:highlight w:val="none"/>
              </w:rPr>
              <w:t>t/a。</w:t>
            </w:r>
          </w:p>
          <w:p w14:paraId="3326F2C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highlight w:val="none"/>
                <w:lang w:val="en-US" w:eastAsia="zh-CN"/>
              </w:rPr>
            </w:pPr>
            <w:r>
              <w:rPr>
                <w:rFonts w:hint="eastAsia" w:ascii="Times New Roman" w:hAnsi="Times New Roman"/>
                <w:color w:val="auto"/>
                <w:sz w:val="24"/>
                <w:szCs w:val="24"/>
                <w:highlight w:val="none"/>
                <w:lang w:val="en-US" w:eastAsia="zh-CN"/>
              </w:rPr>
              <w:t>G12：车间内原料装卸</w:t>
            </w:r>
          </w:p>
          <w:p w14:paraId="7D5F5852">
            <w:pPr>
              <w:pStyle w:val="19"/>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textAlignment w:val="auto"/>
              <w:rPr>
                <w:rFonts w:ascii="Times New Roman" w:hAnsi="Times New Roman"/>
                <w:color w:val="auto"/>
                <w:sz w:val="24"/>
                <w:highlight w:val="none"/>
              </w:rPr>
            </w:pPr>
            <w:r>
              <w:rPr>
                <w:rFonts w:hint="eastAsia" w:ascii="Times New Roman" w:hAnsi="Times New Roman"/>
                <w:color w:val="auto"/>
                <w:sz w:val="24"/>
                <w:highlight w:val="none"/>
                <w:lang w:val="en-US" w:eastAsia="zh-CN"/>
              </w:rPr>
              <w:t>原料装卸时</w:t>
            </w:r>
            <w:r>
              <w:rPr>
                <w:rFonts w:hint="eastAsia" w:ascii="Times New Roman" w:hAnsi="Times New Roman"/>
                <w:color w:val="auto"/>
                <w:sz w:val="24"/>
                <w:highlight w:val="none"/>
              </w:rPr>
              <w:t>产生的粉尘量，依据刘敬严、张良璧等人译著的《逸散性工业粉尘控制技术》中“物料的装卸运输”部分，粒料卸料过程粉尘产生系数为0.01kg/t，本</w:t>
            </w:r>
            <w:r>
              <w:rPr>
                <w:rFonts w:hint="eastAsia" w:ascii="Times New Roman" w:hAnsi="Times New Roman"/>
                <w:color w:val="auto"/>
                <w:sz w:val="24"/>
                <w:highlight w:val="none"/>
                <w:lang w:val="en-US" w:eastAsia="zh-CN"/>
              </w:rPr>
              <w:t>工序</w:t>
            </w:r>
            <w:r>
              <w:rPr>
                <w:rFonts w:hint="eastAsia" w:ascii="Times New Roman" w:hAnsi="Times New Roman"/>
                <w:color w:val="auto"/>
                <w:sz w:val="24"/>
                <w:szCs w:val="24"/>
                <w:lang w:val="en-US" w:eastAsia="zh-CN"/>
              </w:rPr>
              <w:t>外购石子的年用量共计5.4</w:t>
            </w:r>
            <w:r>
              <w:rPr>
                <w:rFonts w:hint="eastAsia"/>
                <w:color w:val="auto"/>
                <w:sz w:val="24"/>
                <w:szCs w:val="24"/>
                <w:lang w:val="en-US" w:eastAsia="zh-CN"/>
              </w:rPr>
              <w:t>326</w:t>
            </w:r>
            <w:r>
              <w:rPr>
                <w:rFonts w:hint="eastAsia" w:ascii="Times New Roman" w:hAnsi="Times New Roman"/>
                <w:color w:val="auto"/>
                <w:sz w:val="24"/>
                <w:szCs w:val="24"/>
                <w:lang w:val="en-US" w:eastAsia="zh-CN"/>
              </w:rPr>
              <w:t>万吨，</w:t>
            </w:r>
            <w:r>
              <w:rPr>
                <w:rFonts w:hint="eastAsia" w:ascii="Times New Roman" w:hAnsi="Times New Roman"/>
                <w:color w:val="auto"/>
                <w:sz w:val="24"/>
                <w:highlight w:val="none"/>
              </w:rPr>
              <w:t>则计算得</w:t>
            </w:r>
            <w:r>
              <w:rPr>
                <w:rFonts w:hint="eastAsia" w:ascii="Times New Roman" w:hAnsi="Times New Roman"/>
                <w:color w:val="auto"/>
                <w:sz w:val="24"/>
                <w:highlight w:val="none"/>
                <w:lang w:val="en-US" w:eastAsia="zh-CN"/>
              </w:rPr>
              <w:t>原料装卸</w:t>
            </w:r>
            <w:r>
              <w:rPr>
                <w:rFonts w:hint="eastAsia" w:ascii="Times New Roman" w:hAnsi="Times New Roman"/>
                <w:color w:val="auto"/>
                <w:sz w:val="24"/>
                <w:highlight w:val="none"/>
              </w:rPr>
              <w:t>粉尘产生量为</w:t>
            </w:r>
            <w:r>
              <w:rPr>
                <w:rFonts w:hint="eastAsia" w:ascii="Times New Roman" w:hAnsi="Times New Roman"/>
                <w:color w:val="auto"/>
                <w:sz w:val="24"/>
                <w:highlight w:val="none"/>
                <w:lang w:val="en-US" w:eastAsia="zh-CN"/>
              </w:rPr>
              <w:t>0.54</w:t>
            </w:r>
            <w:r>
              <w:rPr>
                <w:rFonts w:hint="eastAsia"/>
                <w:color w:val="auto"/>
                <w:sz w:val="24"/>
                <w:highlight w:val="none"/>
                <w:lang w:val="en-US" w:eastAsia="zh-CN"/>
              </w:rPr>
              <w:t>3</w:t>
            </w:r>
            <w:r>
              <w:rPr>
                <w:rFonts w:hint="eastAsia" w:ascii="Times New Roman" w:hAnsi="Times New Roman"/>
                <w:color w:val="auto"/>
                <w:sz w:val="24"/>
                <w:highlight w:val="none"/>
              </w:rPr>
              <w:t>t/a。</w:t>
            </w:r>
          </w:p>
          <w:p w14:paraId="2872E7FA">
            <w:pPr>
              <w:pStyle w:val="19"/>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highlight w:val="none"/>
              </w:rPr>
              <w:t>通过</w:t>
            </w:r>
            <w:r>
              <w:rPr>
                <w:rFonts w:ascii="Times New Roman" w:hAnsi="Times New Roman"/>
                <w:color w:val="auto"/>
                <w:sz w:val="24"/>
                <w:highlight w:val="none"/>
              </w:rPr>
              <w:t>采取</w:t>
            </w:r>
            <w:r>
              <w:rPr>
                <w:rFonts w:hint="eastAsia" w:ascii="Times New Roman" w:hAnsi="Times New Roman"/>
                <w:color w:val="auto"/>
                <w:sz w:val="24"/>
                <w:highlight w:val="none"/>
                <w:lang w:val="en-US" w:eastAsia="zh-CN"/>
              </w:rPr>
              <w:t>有效</w:t>
            </w:r>
            <w:r>
              <w:rPr>
                <w:rFonts w:ascii="Times New Roman" w:hAnsi="Times New Roman"/>
                <w:color w:val="auto"/>
                <w:sz w:val="24"/>
                <w:highlight w:val="none"/>
              </w:rPr>
              <w:t>措施</w:t>
            </w:r>
            <w:r>
              <w:rPr>
                <w:rFonts w:hint="eastAsia" w:ascii="Times New Roman" w:hAnsi="Times New Roman"/>
                <w:color w:val="auto"/>
                <w:sz w:val="24"/>
                <w:highlight w:val="none"/>
              </w:rPr>
              <w:t>，卸料粉尘产生量可</w:t>
            </w:r>
            <w:r>
              <w:rPr>
                <w:rFonts w:ascii="Times New Roman" w:hAnsi="Times New Roman"/>
                <w:color w:val="auto"/>
                <w:sz w:val="24"/>
                <w:highlight w:val="none"/>
              </w:rPr>
              <w:t>减少</w:t>
            </w:r>
            <w:r>
              <w:rPr>
                <w:rFonts w:hint="eastAsia" w:ascii="Times New Roman" w:hAnsi="Times New Roman"/>
                <w:color w:val="auto"/>
                <w:sz w:val="24"/>
                <w:highlight w:val="none"/>
              </w:rPr>
              <w:t>90</w:t>
            </w:r>
            <w:r>
              <w:rPr>
                <w:rFonts w:ascii="Times New Roman" w:hAnsi="Times New Roman"/>
                <w:color w:val="auto"/>
                <w:sz w:val="24"/>
                <w:highlight w:val="none"/>
              </w:rPr>
              <w:t>%，则</w:t>
            </w:r>
            <w:r>
              <w:rPr>
                <w:rFonts w:hint="eastAsia" w:ascii="Times New Roman" w:hAnsi="Times New Roman"/>
                <w:color w:val="auto"/>
                <w:sz w:val="24"/>
                <w:highlight w:val="none"/>
              </w:rPr>
              <w:t>卸料粉尘排放量</w:t>
            </w:r>
            <w:r>
              <w:rPr>
                <w:rFonts w:ascii="Times New Roman" w:hAnsi="Times New Roman"/>
                <w:color w:val="auto"/>
                <w:sz w:val="24"/>
                <w:highlight w:val="none"/>
              </w:rPr>
              <w:t>为</w:t>
            </w:r>
            <w:r>
              <w:rPr>
                <w:rFonts w:hint="eastAsia" w:ascii="Times New Roman" w:hAnsi="Times New Roman"/>
                <w:color w:val="auto"/>
                <w:sz w:val="24"/>
                <w:highlight w:val="none"/>
                <w:lang w:val="en-US" w:eastAsia="zh-CN"/>
              </w:rPr>
              <w:t>0.054</w:t>
            </w:r>
            <w:r>
              <w:rPr>
                <w:rFonts w:ascii="Times New Roman" w:hAnsi="Times New Roman"/>
                <w:color w:val="auto"/>
                <w:sz w:val="24"/>
                <w:highlight w:val="none"/>
              </w:rPr>
              <w:t>t/a。</w:t>
            </w:r>
          </w:p>
          <w:p w14:paraId="6054D68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G13：上料、搅拌机进料、焊接过程中产生的粉尘</w:t>
            </w:r>
          </w:p>
          <w:p w14:paraId="46D960F5">
            <w:pPr>
              <w:pStyle w:val="19"/>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textAlignment w:val="auto"/>
              <w:rPr>
                <w:rFonts w:hint="default" w:ascii="Times New Roman" w:hAnsi="Times New Roman"/>
                <w:color w:val="auto"/>
                <w:sz w:val="24"/>
                <w:highlight w:val="none"/>
                <w:lang w:val="en-US" w:eastAsia="zh-CN"/>
              </w:rPr>
            </w:pPr>
            <w:r>
              <w:rPr>
                <w:rFonts w:hint="eastAsia" w:ascii="Times New Roman" w:hAnsi="Times New Roman"/>
                <w:color w:val="auto"/>
                <w:sz w:val="24"/>
                <w:highlight w:val="none"/>
                <w:lang w:val="en-US" w:eastAsia="zh-CN"/>
              </w:rPr>
              <w:t>本工序石子、水洗砂上料过程中会产生颗粒物，</w:t>
            </w:r>
            <w:r>
              <w:rPr>
                <w:rFonts w:hint="eastAsia" w:ascii="Times New Roman" w:hAnsi="Times New Roman" w:eastAsia="宋体" w:cs="Times New Roman"/>
                <w:color w:val="auto"/>
                <w:sz w:val="24"/>
                <w:szCs w:val="24"/>
                <w:highlight w:val="none"/>
                <w:lang w:val="en-US" w:eastAsia="zh-CN"/>
              </w:rPr>
              <w:t>参照《第二次全国污染源普查工业污染源产排污系数手册》“3021水泥制品制造（含 3022 砼结构构件、3029 其他水泥类似制品制造）行业系数表”中“</w:t>
            </w:r>
            <w:r>
              <w:rPr>
                <w:rFonts w:hint="eastAsia" w:ascii="Times New Roman" w:hAnsi="Times New Roman" w:cs="Times New Roman"/>
                <w:color w:val="auto"/>
                <w:sz w:val="24"/>
                <w:szCs w:val="24"/>
                <w:highlight w:val="none"/>
                <w:lang w:val="en-US" w:eastAsia="zh-CN"/>
              </w:rPr>
              <w:t>物料输送储存</w:t>
            </w:r>
            <w:r>
              <w:rPr>
                <w:rFonts w:hint="eastAsia" w:ascii="Times New Roman" w:hAnsi="Times New Roman" w:eastAsia="宋体" w:cs="Times New Roman"/>
                <w:color w:val="auto"/>
                <w:sz w:val="24"/>
                <w:szCs w:val="24"/>
                <w:highlight w:val="none"/>
                <w:lang w:val="en-US" w:eastAsia="zh-CN"/>
              </w:rPr>
              <w:t>”过程中</w:t>
            </w:r>
            <w:r>
              <w:rPr>
                <w:rFonts w:hint="eastAsia" w:ascii="Times New Roman" w:hAnsi="Times New Roman" w:cs="Times New Roman"/>
                <w:color w:val="auto"/>
                <w:sz w:val="24"/>
                <w:szCs w:val="24"/>
                <w:highlight w:val="none"/>
                <w:lang w:val="en-US" w:eastAsia="zh-CN"/>
              </w:rPr>
              <w:t>颗粒物</w:t>
            </w:r>
            <w:r>
              <w:rPr>
                <w:rFonts w:hint="eastAsia" w:ascii="Times New Roman" w:hAnsi="Times New Roman" w:eastAsia="宋体" w:cs="Times New Roman"/>
                <w:color w:val="auto"/>
                <w:sz w:val="24"/>
                <w:szCs w:val="24"/>
                <w:highlight w:val="none"/>
                <w:lang w:val="en-US" w:eastAsia="zh-CN"/>
              </w:rPr>
              <w:t>产污系数为</w:t>
            </w:r>
            <w:r>
              <w:rPr>
                <w:rFonts w:hint="eastAsia" w:ascii="Times New Roman" w:hAnsi="Times New Roman" w:cs="Times New Roman"/>
                <w:color w:val="auto"/>
                <w:sz w:val="24"/>
                <w:szCs w:val="24"/>
                <w:highlight w:val="none"/>
                <w:lang w:val="en-US" w:eastAsia="zh-CN"/>
              </w:rPr>
              <w:t>0.19</w:t>
            </w:r>
            <w:r>
              <w:rPr>
                <w:rFonts w:hint="eastAsia" w:ascii="Times New Roman" w:hAnsi="Times New Roman" w:eastAsia="宋体" w:cs="Times New Roman"/>
                <w:color w:val="auto"/>
                <w:sz w:val="24"/>
                <w:szCs w:val="24"/>
                <w:highlight w:val="none"/>
                <w:lang w:val="en-US" w:eastAsia="zh-CN"/>
              </w:rPr>
              <w:t>kg/t-原料</w:t>
            </w:r>
            <w:r>
              <w:rPr>
                <w:rFonts w:hint="eastAsia" w:ascii="Times New Roman" w:hAnsi="Times New Roman"/>
                <w:color w:val="auto"/>
                <w:sz w:val="24"/>
                <w:highlight w:val="none"/>
                <w:lang w:val="en-US" w:eastAsia="zh-CN"/>
              </w:rPr>
              <w:t>计算，本生产线石子、水洗砂的年用量为8.4</w:t>
            </w:r>
            <w:r>
              <w:rPr>
                <w:rFonts w:hint="eastAsia"/>
                <w:color w:val="auto"/>
                <w:sz w:val="24"/>
                <w:highlight w:val="none"/>
                <w:lang w:val="en-US" w:eastAsia="zh-CN"/>
              </w:rPr>
              <w:t>3</w:t>
            </w:r>
            <w:r>
              <w:rPr>
                <w:rFonts w:hint="eastAsia" w:ascii="Times New Roman" w:hAnsi="Times New Roman"/>
                <w:color w:val="auto"/>
                <w:sz w:val="24"/>
                <w:highlight w:val="none"/>
                <w:lang w:val="en-US" w:eastAsia="zh-CN"/>
              </w:rPr>
              <w:t>5</w:t>
            </w:r>
            <w:r>
              <w:rPr>
                <w:rFonts w:hint="eastAsia"/>
                <w:color w:val="auto"/>
                <w:sz w:val="24"/>
                <w:highlight w:val="none"/>
                <w:lang w:val="en-US" w:eastAsia="zh-CN"/>
              </w:rPr>
              <w:t>1</w:t>
            </w:r>
            <w:r>
              <w:rPr>
                <w:rFonts w:hint="eastAsia" w:ascii="Times New Roman" w:hAnsi="Times New Roman"/>
                <w:color w:val="auto"/>
                <w:sz w:val="24"/>
                <w:highlight w:val="none"/>
                <w:lang w:val="en-US" w:eastAsia="zh-CN"/>
              </w:rPr>
              <w:t>万t，则上料过程中粉尘的产生量为16t/a。</w:t>
            </w:r>
          </w:p>
          <w:p w14:paraId="31C7E7CE">
            <w:pPr>
              <w:pStyle w:val="19"/>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Times New Roman" w:hAnsi="Times New Roman"/>
                <w:color w:val="auto"/>
                <w:sz w:val="24"/>
                <w:highlight w:val="none"/>
                <w:lang w:val="en-US" w:eastAsia="zh-CN"/>
              </w:rPr>
            </w:pPr>
            <w:r>
              <w:rPr>
                <w:rFonts w:hint="eastAsia" w:ascii="Times New Roman" w:hAnsi="Times New Roman"/>
                <w:color w:val="auto"/>
                <w:sz w:val="24"/>
                <w:highlight w:val="none"/>
              </w:rPr>
              <w:t>针对本项目搅拌机</w:t>
            </w:r>
            <w:r>
              <w:rPr>
                <w:rFonts w:hint="eastAsia" w:ascii="Times New Roman" w:hAnsi="Times New Roman"/>
                <w:color w:val="auto"/>
                <w:sz w:val="24"/>
                <w:highlight w:val="none"/>
                <w:lang w:val="en-US" w:eastAsia="zh-CN"/>
              </w:rPr>
              <w:t>进料</w:t>
            </w:r>
            <w:r>
              <w:rPr>
                <w:rFonts w:hint="eastAsia" w:ascii="Times New Roman" w:hAnsi="Times New Roman"/>
                <w:color w:val="auto"/>
                <w:sz w:val="24"/>
                <w:highlight w:val="none"/>
              </w:rPr>
              <w:t>时产生的粉尘，</w:t>
            </w:r>
            <w:r>
              <w:rPr>
                <w:rFonts w:hint="eastAsia" w:ascii="Times New Roman" w:hAnsi="Times New Roman"/>
                <w:color w:val="auto"/>
                <w:sz w:val="24"/>
                <w:highlight w:val="none"/>
                <w:lang w:val="en-US" w:eastAsia="zh-CN"/>
              </w:rPr>
              <w:t>参照</w:t>
            </w:r>
            <w:r>
              <w:rPr>
                <w:rFonts w:hint="eastAsia" w:ascii="Times New Roman" w:hAnsi="Times New Roman"/>
                <w:color w:val="auto"/>
                <w:sz w:val="24"/>
                <w:highlight w:val="none"/>
              </w:rPr>
              <w:t>《第二次全国污染源普查产排污核算系数手册》中“3021水泥制品制造</w:t>
            </w:r>
            <w:r>
              <w:rPr>
                <w:rFonts w:hint="default" w:ascii="Times New Roman" w:hAnsi="Times New Roman" w:eastAsia="宋体" w:cs="Times New Roman"/>
                <w:color w:val="auto"/>
                <w:sz w:val="24"/>
                <w:szCs w:val="24"/>
                <w:highlight w:val="none"/>
                <w:lang w:val="en-US" w:eastAsia="zh-CN"/>
              </w:rPr>
              <w:t>（含 3022 砼结构构件、3029 其他水泥类似制品制造）行业系数表</w:t>
            </w:r>
            <w:r>
              <w:rPr>
                <w:rFonts w:hint="eastAsia" w:ascii="Times New Roman" w:hAnsi="Times New Roman"/>
                <w:color w:val="auto"/>
                <w:sz w:val="24"/>
                <w:highlight w:val="none"/>
              </w:rPr>
              <w:t>”</w:t>
            </w:r>
            <w:r>
              <w:rPr>
                <w:rFonts w:hint="eastAsia" w:ascii="Times New Roman" w:hAnsi="Times New Roman"/>
                <w:color w:val="auto"/>
                <w:sz w:val="24"/>
                <w:highlight w:val="none"/>
                <w:lang w:val="en-US" w:eastAsia="zh-CN"/>
              </w:rPr>
              <w:t>中</w:t>
            </w:r>
            <w:r>
              <w:rPr>
                <w:rFonts w:hint="eastAsia" w:ascii="Times New Roman" w:hAnsi="Times New Roman"/>
                <w:color w:val="auto"/>
                <w:sz w:val="24"/>
                <w:highlight w:val="none"/>
                <w:lang w:eastAsia="zh-CN"/>
              </w:rPr>
              <w:t>“物料混合搅拌”</w:t>
            </w:r>
            <w:r>
              <w:rPr>
                <w:rFonts w:hint="eastAsia" w:ascii="Times New Roman" w:hAnsi="Times New Roman"/>
                <w:color w:val="auto"/>
                <w:sz w:val="24"/>
                <w:highlight w:val="none"/>
                <w:lang w:val="en-US" w:eastAsia="zh-CN"/>
              </w:rPr>
              <w:t>过程中</w:t>
            </w:r>
            <w:r>
              <w:rPr>
                <w:rFonts w:hint="eastAsia" w:ascii="Times New Roman" w:hAnsi="Times New Roman"/>
                <w:color w:val="auto"/>
                <w:sz w:val="24"/>
                <w:highlight w:val="none"/>
              </w:rPr>
              <w:t>颗粒物产污系数为0.</w:t>
            </w:r>
            <w:r>
              <w:rPr>
                <w:rFonts w:hint="eastAsia" w:ascii="Times New Roman" w:hAnsi="Times New Roman"/>
                <w:color w:val="auto"/>
                <w:sz w:val="24"/>
                <w:highlight w:val="none"/>
                <w:lang w:val="en-US" w:eastAsia="zh-CN"/>
              </w:rPr>
              <w:t>523</w:t>
            </w:r>
            <w:r>
              <w:rPr>
                <w:rFonts w:hint="eastAsia" w:ascii="Times New Roman" w:hAnsi="Times New Roman"/>
                <w:color w:val="auto"/>
                <w:sz w:val="24"/>
                <w:highlight w:val="none"/>
              </w:rPr>
              <w:t>kg/t-产品</w:t>
            </w:r>
            <w:r>
              <w:rPr>
                <w:rFonts w:hint="eastAsia" w:ascii="Times New Roman" w:hAnsi="Times New Roman"/>
                <w:color w:val="auto"/>
                <w:sz w:val="24"/>
                <w:highlight w:val="none"/>
                <w:lang w:eastAsia="zh-CN"/>
              </w:rPr>
              <w:t>，</w:t>
            </w:r>
            <w:r>
              <w:rPr>
                <w:rFonts w:hint="eastAsia" w:ascii="Times New Roman" w:hAnsi="Times New Roman"/>
                <w:color w:val="auto"/>
                <w:sz w:val="24"/>
                <w:highlight w:val="none"/>
                <w:lang w:val="en-US" w:eastAsia="zh-CN"/>
              </w:rPr>
              <w:t>本工序预制构件年产量为1</w:t>
            </w:r>
            <w:r>
              <w:rPr>
                <w:rFonts w:hint="eastAsia" w:ascii="Times New Roman" w:hAnsi="Times New Roman"/>
                <w:color w:val="auto"/>
                <w:sz w:val="24"/>
                <w:highlight w:val="none"/>
                <w:vertAlign w:val="baseline"/>
                <w:lang w:val="en-US" w:eastAsia="zh-CN"/>
              </w:rPr>
              <w:t>0万t</w:t>
            </w:r>
            <w:r>
              <w:rPr>
                <w:rFonts w:hint="eastAsia" w:ascii="Times New Roman" w:hAnsi="Times New Roman"/>
                <w:color w:val="auto"/>
                <w:sz w:val="24"/>
                <w:highlight w:val="none"/>
              </w:rPr>
              <w:t>，则搅拌粉尘产生量为</w:t>
            </w:r>
            <w:r>
              <w:rPr>
                <w:rFonts w:hint="eastAsia" w:ascii="Times New Roman" w:hAnsi="Times New Roman"/>
                <w:color w:val="auto"/>
                <w:sz w:val="24"/>
                <w:highlight w:val="none"/>
                <w:lang w:val="en-US" w:eastAsia="zh-CN"/>
              </w:rPr>
              <w:t>52.3</w:t>
            </w:r>
            <w:r>
              <w:rPr>
                <w:rFonts w:hint="eastAsia" w:ascii="Times New Roman" w:hAnsi="Times New Roman"/>
                <w:color w:val="auto"/>
                <w:sz w:val="24"/>
                <w:highlight w:val="none"/>
              </w:rPr>
              <w:t>t/a。</w:t>
            </w:r>
          </w:p>
          <w:p w14:paraId="4F62A17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highlight w:val="none"/>
                <w:lang w:val="en-US" w:eastAsia="zh-CN"/>
              </w:rPr>
            </w:pPr>
            <w:r>
              <w:rPr>
                <w:rFonts w:hint="default" w:ascii="Times New Roman" w:hAnsi="Times New Roman"/>
                <w:color w:val="auto"/>
                <w:sz w:val="24"/>
                <w:szCs w:val="24"/>
                <w:lang w:val="en-US" w:eastAsia="zh-CN"/>
              </w:rPr>
              <w:t>外购钢筋汽车运输进厂，根据生产需要经剪切、折弯、绑扎后加工成预埋件（钢筋笼、钢筋网等），此过程会产生</w:t>
            </w:r>
            <w:r>
              <w:rPr>
                <w:rFonts w:hint="eastAsia" w:ascii="Times New Roman" w:hAnsi="Times New Roman"/>
                <w:color w:val="auto"/>
                <w:sz w:val="24"/>
                <w:szCs w:val="24"/>
                <w:lang w:val="en-US" w:eastAsia="zh-CN"/>
              </w:rPr>
              <w:t>焊接烟尘。</w:t>
            </w:r>
            <w:r>
              <w:rPr>
                <w:rFonts w:ascii="Times New Roman" w:hAnsi="Times New Roman"/>
                <w:color w:val="auto"/>
                <w:kern w:val="10"/>
                <w:sz w:val="24"/>
                <w:highlight w:val="none"/>
              </w:rPr>
              <w:t>焊接工序中，废气的污染性主要表现为烟尘的污染，焊接烟尘主要来自焊</w:t>
            </w:r>
            <w:r>
              <w:rPr>
                <w:rFonts w:hint="eastAsia" w:ascii="Times New Roman" w:hAnsi="Times New Roman"/>
                <w:color w:val="auto"/>
                <w:kern w:val="10"/>
                <w:sz w:val="24"/>
                <w:highlight w:val="none"/>
                <w:lang w:val="en-US" w:eastAsia="zh-CN"/>
              </w:rPr>
              <w:t>材</w:t>
            </w:r>
            <w:r>
              <w:rPr>
                <w:rFonts w:ascii="Times New Roman" w:hAnsi="Times New Roman"/>
                <w:color w:val="auto"/>
                <w:kern w:val="10"/>
                <w:sz w:val="24"/>
                <w:highlight w:val="none"/>
              </w:rPr>
              <w:t>及被焊工件，烟尘中主要含有金属及其氧化物。排污系数参照</w:t>
            </w:r>
            <w:r>
              <w:rPr>
                <w:rFonts w:hint="eastAsia" w:ascii="Times New Roman" w:hAnsi="Times New Roman" w:eastAsia="宋体" w:cs="Times New Roman"/>
                <w:color w:val="auto"/>
                <w:sz w:val="24"/>
                <w:szCs w:val="24"/>
                <w:highlight w:val="none"/>
                <w:lang w:val="en-US" w:eastAsia="zh-CN"/>
              </w:rPr>
              <w:t>《第二次全国污染源普查工业污染源产排污系数手册》“</w:t>
            </w:r>
            <w:r>
              <w:rPr>
                <w:rFonts w:hint="eastAsia" w:ascii="Times New Roman" w:hAnsi="Times New Roman" w:eastAsia="宋体" w:cs="Times New Roman"/>
                <w:color w:val="auto"/>
                <w:kern w:val="10"/>
                <w:sz w:val="24"/>
                <w:szCs w:val="20"/>
                <w:highlight w:val="none"/>
                <w:u w:val="none"/>
                <w:lang w:val="en-US" w:eastAsia="zh-CN" w:bidi="ar-SA"/>
              </w:rPr>
              <w:t>33-37，431-434 机械行业系数手册</w:t>
            </w:r>
            <w:r>
              <w:rPr>
                <w:rFonts w:hint="eastAsia" w:ascii="Times New Roman" w:hAnsi="Times New Roman" w:eastAsia="宋体" w:cs="Times New Roman"/>
                <w:color w:val="auto"/>
                <w:sz w:val="24"/>
                <w:szCs w:val="24"/>
                <w:highlight w:val="none"/>
                <w:lang w:val="en-US" w:eastAsia="zh-CN"/>
              </w:rPr>
              <w:t>”中“09焊接-实芯焊丝”焊接过程中颗粒物产污系数为9.19kg/t-原料。</w:t>
            </w:r>
            <w:r>
              <w:rPr>
                <w:rFonts w:hint="eastAsia" w:ascii="Times New Roman" w:hAnsi="Times New Roman"/>
                <w:color w:val="auto"/>
                <w:sz w:val="24"/>
                <w:szCs w:val="24"/>
                <w:lang w:val="en-US" w:eastAsia="zh-CN"/>
              </w:rPr>
              <w:t>焊接工序设置2台二保焊机，</w:t>
            </w:r>
            <w:r>
              <w:rPr>
                <w:rFonts w:hint="eastAsia" w:ascii="Times New Roman" w:hAnsi="Times New Roman"/>
                <w:color w:val="auto"/>
                <w:sz w:val="24"/>
                <w:szCs w:val="24"/>
                <w:highlight w:val="none"/>
                <w:lang w:val="en-US" w:eastAsia="zh-CN"/>
              </w:rPr>
              <w:t>外购焊条约1.2t/a，</w:t>
            </w:r>
            <w:r>
              <w:rPr>
                <w:rFonts w:hint="eastAsia" w:ascii="Times New Roman" w:hAnsi="Times New Roman"/>
                <w:color w:val="auto"/>
                <w:sz w:val="24"/>
                <w:szCs w:val="24"/>
                <w:lang w:val="en-US" w:eastAsia="zh-CN"/>
              </w:rPr>
              <w:t>故</w:t>
            </w:r>
            <w:r>
              <w:rPr>
                <w:rFonts w:ascii="Times New Roman" w:hAnsi="Times New Roman"/>
                <w:color w:val="auto"/>
                <w:kern w:val="10"/>
                <w:sz w:val="24"/>
                <w:highlight w:val="none"/>
              </w:rPr>
              <w:t>焊接工序烟尘的产生量为</w:t>
            </w:r>
            <w:r>
              <w:rPr>
                <w:rFonts w:hint="eastAsia" w:ascii="Times New Roman" w:hAnsi="Times New Roman"/>
                <w:color w:val="auto"/>
                <w:kern w:val="10"/>
                <w:sz w:val="24"/>
                <w:highlight w:val="none"/>
                <w:lang w:val="en-US" w:eastAsia="zh-CN"/>
              </w:rPr>
              <w:t>0.01</w:t>
            </w:r>
            <w:r>
              <w:rPr>
                <w:rFonts w:ascii="Times New Roman" w:hAnsi="Times New Roman"/>
                <w:color w:val="auto"/>
                <w:kern w:val="10"/>
                <w:sz w:val="24"/>
                <w:highlight w:val="none"/>
              </w:rPr>
              <w:t>t/a。</w:t>
            </w:r>
          </w:p>
          <w:p w14:paraId="5B008A3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highlight w:val="none"/>
                <w:lang w:val="en-US" w:eastAsia="zh-CN"/>
              </w:rPr>
              <w:t>环评要求根据生产线设备设置情况在搅拌机进料口、上料口上方设置集尘罩（三面封闭、投料一侧设置软帘），焊机工位设置移动式集气臂，废气经收集后引至1套布袋除尘器（TA006）处理，</w:t>
            </w:r>
            <w:r>
              <w:rPr>
                <w:rFonts w:hint="eastAsia" w:ascii="Times New Roman" w:hAnsi="Times New Roman" w:eastAsia="宋体" w:cs="Times New Roman"/>
                <w:color w:val="auto"/>
                <w:kern w:val="10"/>
                <w:sz w:val="24"/>
                <w:highlight w:val="none"/>
                <w:lang w:val="en-US" w:eastAsia="zh-CN"/>
              </w:rPr>
              <w:t>后</w:t>
            </w:r>
            <w:r>
              <w:rPr>
                <w:rFonts w:hint="default" w:ascii="Times New Roman" w:hAnsi="Times New Roman" w:eastAsia="宋体" w:cs="Times New Roman"/>
                <w:color w:val="auto"/>
                <w:kern w:val="10"/>
                <w:sz w:val="24"/>
                <w:highlight w:val="none"/>
                <w:lang w:val="en-US" w:eastAsia="zh-CN"/>
              </w:rPr>
              <w:t>通过一根</w:t>
            </w:r>
            <w:r>
              <w:rPr>
                <w:rFonts w:hint="eastAsia" w:ascii="Times New Roman" w:hAnsi="Times New Roman" w:eastAsia="宋体" w:cs="Times New Roman"/>
                <w:color w:val="auto"/>
                <w:kern w:val="10"/>
                <w:sz w:val="24"/>
                <w:highlight w:val="none"/>
                <w:lang w:val="en-US" w:eastAsia="zh-CN"/>
              </w:rPr>
              <w:t>15</w:t>
            </w:r>
            <w:r>
              <w:rPr>
                <w:rFonts w:hint="default" w:ascii="Times New Roman" w:hAnsi="Times New Roman" w:eastAsia="宋体" w:cs="Times New Roman"/>
                <w:color w:val="auto"/>
                <w:kern w:val="10"/>
                <w:sz w:val="24"/>
                <w:highlight w:val="none"/>
                <w:lang w:val="en-US" w:eastAsia="zh-CN"/>
              </w:rPr>
              <w:t>m高排气筒</w:t>
            </w:r>
            <w:r>
              <w:rPr>
                <w:rFonts w:hint="eastAsia" w:ascii="Times New Roman" w:hAnsi="Times New Roman" w:eastAsia="宋体" w:cs="Times New Roman"/>
                <w:color w:val="auto"/>
                <w:kern w:val="10"/>
                <w:sz w:val="24"/>
                <w:highlight w:val="none"/>
                <w:lang w:val="en-US" w:eastAsia="zh-CN"/>
              </w:rPr>
              <w:t>（DA0</w:t>
            </w:r>
            <w:r>
              <w:rPr>
                <w:rFonts w:hint="eastAsia" w:ascii="Times New Roman" w:hAnsi="Times New Roman" w:cs="Times New Roman"/>
                <w:color w:val="auto"/>
                <w:kern w:val="10"/>
                <w:sz w:val="24"/>
                <w:highlight w:val="none"/>
                <w:lang w:val="en-US" w:eastAsia="zh-CN"/>
              </w:rPr>
              <w:t>06</w:t>
            </w:r>
            <w:r>
              <w:rPr>
                <w:rFonts w:hint="eastAsia" w:ascii="Times New Roman" w:hAnsi="Times New Roman" w:eastAsia="宋体" w:cs="Times New Roman"/>
                <w:color w:val="auto"/>
                <w:kern w:val="10"/>
                <w:sz w:val="24"/>
                <w:highlight w:val="none"/>
                <w:lang w:val="en-US" w:eastAsia="zh-CN"/>
              </w:rPr>
              <w:t>）</w:t>
            </w:r>
            <w:r>
              <w:rPr>
                <w:rFonts w:hint="default" w:ascii="Times New Roman" w:hAnsi="Times New Roman" w:eastAsia="宋体" w:cs="Times New Roman"/>
                <w:color w:val="auto"/>
                <w:kern w:val="10"/>
                <w:sz w:val="24"/>
                <w:highlight w:val="none"/>
                <w:lang w:val="en-US" w:eastAsia="zh-CN"/>
              </w:rPr>
              <w:t>排放。</w:t>
            </w:r>
            <w:r>
              <w:rPr>
                <w:rFonts w:hint="eastAsia" w:ascii="Times New Roman" w:hAnsi="Times New Roman"/>
                <w:color w:val="auto"/>
                <w:sz w:val="24"/>
                <w:szCs w:val="24"/>
                <w:highlight w:val="none"/>
                <w:lang w:val="en-US" w:eastAsia="zh-CN"/>
              </w:rPr>
              <w:t>废气量</w:t>
            </w:r>
            <w:r>
              <w:rPr>
                <w:rFonts w:hint="eastAsia"/>
                <w:color w:val="auto"/>
                <w:sz w:val="24"/>
                <w:lang w:val="en-US" w:eastAsia="zh-CN"/>
              </w:rPr>
              <w:t>根据《排风罩的分类及技术条件》（GB/T 16758-2008）、《局部排风设施控制风速检测与评估技术规范》（AQ/T 4274-2016）等要求，在上料口、搅拌机进料口上部设置顶吸式集尘罩</w:t>
            </w:r>
            <w:r>
              <w:rPr>
                <w:rFonts w:hint="default" w:ascii="Times New Roman" w:hAnsi="Times New Roman"/>
                <w:color w:val="auto"/>
                <w:sz w:val="24"/>
                <w:szCs w:val="24"/>
                <w:highlight w:val="none"/>
                <w:lang w:val="en-US" w:eastAsia="zh-CN"/>
              </w:rPr>
              <w:t>，</w:t>
            </w:r>
            <w:r>
              <w:rPr>
                <w:rFonts w:hint="eastAsia" w:ascii="Times New Roman" w:hAnsi="Times New Roman"/>
                <w:color w:val="auto"/>
                <w:sz w:val="24"/>
                <w:szCs w:val="24"/>
                <w:highlight w:val="none"/>
                <w:lang w:val="en-US" w:eastAsia="zh-CN"/>
              </w:rPr>
              <w:t>具体公式为：</w:t>
            </w:r>
          </w:p>
          <w:p w14:paraId="2EA8FB0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各产尘点设置的排风罩的排风量按下式计算：</w:t>
            </w:r>
          </w:p>
          <w:p w14:paraId="1CBEAA7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Q=3600Fv</w:t>
            </w:r>
          </w:p>
          <w:p w14:paraId="41B390B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式中：Q—排风量，m</w:t>
            </w:r>
            <w:r>
              <w:rPr>
                <w:rFonts w:hint="default" w:ascii="Times New Roman" w:hAnsi="Times New Roman"/>
                <w:color w:val="auto"/>
                <w:sz w:val="24"/>
                <w:highlight w:val="none"/>
                <w:vertAlign w:val="superscript"/>
                <w:lang w:val="en-US" w:eastAsia="zh-CN"/>
              </w:rPr>
              <w:t>3</w:t>
            </w:r>
            <w:r>
              <w:rPr>
                <w:rFonts w:hint="default" w:ascii="Times New Roman" w:hAnsi="Times New Roman"/>
                <w:color w:val="auto"/>
                <w:sz w:val="24"/>
                <w:highlight w:val="none"/>
                <w:lang w:val="en-US" w:eastAsia="zh-CN"/>
              </w:rPr>
              <w:t>/h；</w:t>
            </w:r>
          </w:p>
          <w:p w14:paraId="0531536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v—罩口平均风速，(m/s)；</w:t>
            </w:r>
          </w:p>
          <w:p w14:paraId="2E9C25A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F—罩口面积（m</w:t>
            </w:r>
            <w:r>
              <w:rPr>
                <w:rFonts w:hint="default" w:ascii="Times New Roman" w:hAnsi="Times New Roman"/>
                <w:color w:val="auto"/>
                <w:sz w:val="24"/>
                <w:highlight w:val="none"/>
                <w:vertAlign w:val="superscript"/>
                <w:lang w:val="en-US" w:eastAsia="zh-CN"/>
              </w:rPr>
              <w:t>2</w:t>
            </w:r>
            <w:r>
              <w:rPr>
                <w:rFonts w:hint="default" w:ascii="Times New Roman" w:hAnsi="Times New Roman"/>
                <w:color w:val="auto"/>
                <w:sz w:val="24"/>
                <w:highlight w:val="none"/>
                <w:lang w:val="en-US" w:eastAsia="zh-CN"/>
              </w:rPr>
              <w:t>）。</w:t>
            </w:r>
          </w:p>
          <w:p w14:paraId="6F1855C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b/>
                <w:bCs/>
                <w:color w:val="auto"/>
                <w:sz w:val="24"/>
                <w:szCs w:val="24"/>
                <w:highlight w:val="none"/>
                <w:lang w:eastAsia="zh-CN"/>
              </w:rPr>
            </w:pPr>
            <w:r>
              <w:rPr>
                <w:rFonts w:hint="default" w:ascii="Times New Roman" w:hAnsi="Times New Roman"/>
                <w:color w:val="auto"/>
                <w:sz w:val="24"/>
                <w:highlight w:val="none"/>
                <w:lang w:val="en-US" w:eastAsia="zh-CN"/>
              </w:rPr>
              <w:t>各产尘点排风罩设置类型及各参数取值情况如下表所示：</w:t>
            </w:r>
          </w:p>
          <w:p w14:paraId="062180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rPr>
            </w:pPr>
            <w:r>
              <w:rPr>
                <w:rFonts w:hint="default"/>
                <w:b/>
                <w:bCs/>
                <w:color w:val="auto"/>
                <w:sz w:val="21"/>
                <w:szCs w:val="21"/>
                <w:highlight w:val="none"/>
                <w:lang w:eastAsia="zh-CN"/>
              </w:rPr>
              <w:t>表</w:t>
            </w:r>
            <w:r>
              <w:rPr>
                <w:rFonts w:hint="default"/>
                <w:b/>
                <w:bCs/>
                <w:color w:val="auto"/>
                <w:sz w:val="21"/>
                <w:szCs w:val="21"/>
                <w:highlight w:val="none"/>
                <w:lang w:val="en-US" w:eastAsia="zh-CN"/>
              </w:rPr>
              <w:t>4-</w:t>
            </w:r>
            <w:r>
              <w:rPr>
                <w:rFonts w:hint="eastAsia"/>
                <w:b/>
                <w:bCs/>
                <w:color w:val="auto"/>
                <w:sz w:val="21"/>
                <w:szCs w:val="21"/>
                <w:highlight w:val="none"/>
                <w:lang w:val="en-US" w:eastAsia="zh-CN"/>
              </w:rPr>
              <w:t>4</w:t>
            </w:r>
            <w:r>
              <w:rPr>
                <w:rFonts w:hint="default"/>
                <w:b/>
                <w:bCs/>
                <w:color w:val="auto"/>
                <w:sz w:val="21"/>
                <w:szCs w:val="21"/>
                <w:highlight w:val="none"/>
                <w:lang w:val="en-US" w:eastAsia="zh-CN"/>
              </w:rPr>
              <w:t xml:space="preserve">  </w:t>
            </w:r>
            <w:r>
              <w:rPr>
                <w:rFonts w:hint="eastAsia"/>
                <w:b/>
                <w:bCs/>
                <w:color w:val="auto"/>
                <w:sz w:val="21"/>
                <w:szCs w:val="21"/>
                <w:highlight w:val="none"/>
                <w:lang w:val="en-US" w:eastAsia="zh-CN"/>
              </w:rPr>
              <w:t>各产尘点罩口设计风量</w:t>
            </w:r>
            <w:r>
              <w:rPr>
                <w:rFonts w:hint="default"/>
                <w:b/>
                <w:bCs/>
                <w:color w:val="auto"/>
                <w:sz w:val="21"/>
                <w:szCs w:val="21"/>
                <w:highlight w:val="none"/>
              </w:rPr>
              <w:t>一览表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1759"/>
              <w:gridCol w:w="1265"/>
              <w:gridCol w:w="1228"/>
              <w:gridCol w:w="1098"/>
              <w:gridCol w:w="2148"/>
            </w:tblGrid>
            <w:tr w14:paraId="42E6E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5" w:type="pct"/>
                  <w:tcBorders>
                    <w:tl2br w:val="nil"/>
                    <w:tr2bl w:val="nil"/>
                  </w:tcBorders>
                  <w:noWrap w:val="0"/>
                  <w:vAlign w:val="center"/>
                </w:tcPr>
                <w:p w14:paraId="2F4A45D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b w:val="0"/>
                      <w:bCs w:val="0"/>
                      <w:color w:val="auto"/>
                      <w:sz w:val="21"/>
                      <w:szCs w:val="21"/>
                      <w:highlight w:val="none"/>
                      <w:lang w:eastAsia="zh-CN"/>
                    </w:rPr>
                  </w:pPr>
                  <w:r>
                    <w:rPr>
                      <w:rFonts w:hint="eastAsia" w:eastAsia="宋体"/>
                      <w:b w:val="0"/>
                      <w:bCs w:val="0"/>
                      <w:color w:val="auto"/>
                      <w:sz w:val="21"/>
                      <w:szCs w:val="21"/>
                      <w:highlight w:val="none"/>
                      <w:lang w:val="en-US" w:eastAsia="zh-CN"/>
                    </w:rPr>
                    <w:t>产尘点</w:t>
                  </w:r>
                </w:p>
              </w:tc>
              <w:tc>
                <w:tcPr>
                  <w:tcW w:w="1021" w:type="pct"/>
                  <w:tcBorders>
                    <w:tl2br w:val="nil"/>
                    <w:tr2bl w:val="nil"/>
                  </w:tcBorders>
                  <w:noWrap w:val="0"/>
                  <w:vAlign w:val="center"/>
                </w:tcPr>
                <w:p w14:paraId="1DAFD42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rPr>
                  </w:pPr>
                  <w:r>
                    <w:rPr>
                      <w:rFonts w:hint="eastAsia" w:eastAsia="宋体"/>
                      <w:b w:val="0"/>
                      <w:bCs w:val="0"/>
                      <w:color w:val="auto"/>
                      <w:sz w:val="21"/>
                      <w:szCs w:val="21"/>
                      <w:highlight w:val="none"/>
                      <w:lang w:val="en-US" w:eastAsia="zh-CN"/>
                    </w:rPr>
                    <w:t>集尘罩截</w:t>
                  </w:r>
                  <w:r>
                    <w:rPr>
                      <w:rFonts w:hint="default" w:eastAsia="宋体"/>
                      <w:b w:val="0"/>
                      <w:bCs w:val="0"/>
                      <w:color w:val="auto"/>
                      <w:sz w:val="21"/>
                      <w:szCs w:val="21"/>
                      <w:highlight w:val="none"/>
                      <w:lang w:eastAsia="zh-CN"/>
                    </w:rPr>
                    <w:t>面积</w:t>
                  </w:r>
                  <w:r>
                    <w:rPr>
                      <w:rFonts w:hint="default" w:eastAsia="宋体"/>
                      <w:b w:val="0"/>
                      <w:bCs w:val="0"/>
                      <w:color w:val="auto"/>
                      <w:sz w:val="21"/>
                      <w:szCs w:val="21"/>
                      <w:highlight w:val="none"/>
                    </w:rPr>
                    <w:t>（m</w:t>
                  </w:r>
                  <w:r>
                    <w:rPr>
                      <w:rFonts w:hint="default" w:eastAsia="宋体"/>
                      <w:b w:val="0"/>
                      <w:bCs w:val="0"/>
                      <w:color w:val="auto"/>
                      <w:sz w:val="21"/>
                      <w:szCs w:val="21"/>
                      <w:highlight w:val="none"/>
                      <w:vertAlign w:val="superscript"/>
                    </w:rPr>
                    <w:t>2</w:t>
                  </w:r>
                  <w:r>
                    <w:rPr>
                      <w:rFonts w:hint="default" w:eastAsia="宋体"/>
                      <w:b w:val="0"/>
                      <w:bCs w:val="0"/>
                      <w:color w:val="auto"/>
                      <w:sz w:val="21"/>
                      <w:szCs w:val="21"/>
                      <w:highlight w:val="none"/>
                    </w:rPr>
                    <w:t>）</w:t>
                  </w:r>
                </w:p>
              </w:tc>
              <w:tc>
                <w:tcPr>
                  <w:tcW w:w="734" w:type="pct"/>
                  <w:tcBorders>
                    <w:tl2br w:val="nil"/>
                    <w:tr2bl w:val="nil"/>
                  </w:tcBorders>
                  <w:noWrap w:val="0"/>
                  <w:vAlign w:val="center"/>
                </w:tcPr>
                <w:p w14:paraId="3D35404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rPr>
                  </w:pPr>
                  <w:r>
                    <w:rPr>
                      <w:rFonts w:hint="eastAsia" w:eastAsia="宋体"/>
                      <w:b w:val="0"/>
                      <w:bCs w:val="0"/>
                      <w:color w:val="auto"/>
                      <w:sz w:val="21"/>
                      <w:szCs w:val="21"/>
                      <w:highlight w:val="none"/>
                      <w:lang w:val="en-US" w:eastAsia="zh-CN"/>
                    </w:rPr>
                    <w:t>罩口控制风速</w:t>
                  </w:r>
                  <w:r>
                    <w:rPr>
                      <w:rFonts w:hint="default" w:eastAsia="宋体"/>
                      <w:b w:val="0"/>
                      <w:bCs w:val="0"/>
                      <w:color w:val="auto"/>
                      <w:sz w:val="21"/>
                      <w:szCs w:val="21"/>
                      <w:highlight w:val="none"/>
                    </w:rPr>
                    <w:t>（m/s）</w:t>
                  </w:r>
                </w:p>
              </w:tc>
              <w:tc>
                <w:tcPr>
                  <w:tcW w:w="713" w:type="pct"/>
                  <w:tcBorders>
                    <w:tl2br w:val="nil"/>
                    <w:tr2bl w:val="nil"/>
                  </w:tcBorders>
                  <w:noWrap w:val="0"/>
                  <w:vAlign w:val="center"/>
                </w:tcPr>
                <w:p w14:paraId="7835319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rPr>
                  </w:pPr>
                  <w:r>
                    <w:rPr>
                      <w:rFonts w:hint="default" w:eastAsia="宋体"/>
                      <w:b w:val="0"/>
                      <w:bCs w:val="0"/>
                      <w:color w:val="auto"/>
                      <w:sz w:val="21"/>
                      <w:szCs w:val="21"/>
                      <w:highlight w:val="none"/>
                    </w:rPr>
                    <w:t>风量（m</w:t>
                  </w:r>
                  <w:r>
                    <w:rPr>
                      <w:rFonts w:hint="default" w:eastAsia="宋体"/>
                      <w:b w:val="0"/>
                      <w:bCs w:val="0"/>
                      <w:color w:val="auto"/>
                      <w:sz w:val="21"/>
                      <w:szCs w:val="21"/>
                      <w:highlight w:val="none"/>
                      <w:vertAlign w:val="superscript"/>
                    </w:rPr>
                    <w:t>3</w:t>
                  </w:r>
                  <w:r>
                    <w:rPr>
                      <w:rFonts w:hint="default" w:eastAsia="宋体"/>
                      <w:b w:val="0"/>
                      <w:bCs w:val="0"/>
                      <w:color w:val="auto"/>
                      <w:sz w:val="21"/>
                      <w:szCs w:val="21"/>
                      <w:highlight w:val="none"/>
                    </w:rPr>
                    <w:t>/h）</w:t>
                  </w:r>
                </w:p>
              </w:tc>
              <w:tc>
                <w:tcPr>
                  <w:tcW w:w="637" w:type="pct"/>
                  <w:tcBorders>
                    <w:tl2br w:val="nil"/>
                    <w:tr2bl w:val="nil"/>
                  </w:tcBorders>
                  <w:noWrap w:val="0"/>
                  <w:vAlign w:val="center"/>
                </w:tcPr>
                <w:p w14:paraId="443F954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lang w:val="en-US" w:eastAsia="zh-CN"/>
                    </w:rPr>
                  </w:pPr>
                  <w:r>
                    <w:rPr>
                      <w:rFonts w:hint="eastAsia" w:eastAsia="宋体"/>
                      <w:b w:val="0"/>
                      <w:bCs w:val="0"/>
                      <w:color w:val="auto"/>
                      <w:sz w:val="21"/>
                      <w:szCs w:val="21"/>
                      <w:highlight w:val="none"/>
                      <w:lang w:val="en-US" w:eastAsia="zh-CN"/>
                    </w:rPr>
                    <w:t>集尘罩数量（个）</w:t>
                  </w:r>
                </w:p>
              </w:tc>
              <w:tc>
                <w:tcPr>
                  <w:tcW w:w="1247" w:type="pct"/>
                  <w:tcBorders>
                    <w:tl2br w:val="nil"/>
                    <w:tr2bl w:val="nil"/>
                  </w:tcBorders>
                  <w:noWrap w:val="0"/>
                  <w:vAlign w:val="center"/>
                </w:tcPr>
                <w:p w14:paraId="793ECD7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b w:val="0"/>
                      <w:bCs w:val="0"/>
                      <w:color w:val="auto"/>
                      <w:sz w:val="21"/>
                      <w:szCs w:val="21"/>
                      <w:highlight w:val="none"/>
                      <w:lang w:val="en-US" w:eastAsia="zh-CN"/>
                    </w:rPr>
                  </w:pPr>
                  <w:r>
                    <w:rPr>
                      <w:rFonts w:hint="eastAsia" w:eastAsia="宋体"/>
                      <w:b w:val="0"/>
                      <w:bCs w:val="0"/>
                      <w:color w:val="auto"/>
                      <w:sz w:val="21"/>
                      <w:szCs w:val="21"/>
                      <w:highlight w:val="none"/>
                      <w:lang w:val="en-US" w:eastAsia="zh-CN"/>
                    </w:rPr>
                    <w:t>排风罩类型</w:t>
                  </w:r>
                </w:p>
              </w:tc>
            </w:tr>
            <w:tr w14:paraId="5888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5" w:type="pct"/>
                  <w:tcBorders>
                    <w:tl2br w:val="nil"/>
                    <w:tr2bl w:val="nil"/>
                  </w:tcBorders>
                  <w:noWrap w:val="0"/>
                  <w:vAlign w:val="center"/>
                </w:tcPr>
                <w:p w14:paraId="05A7B84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石子上料口</w:t>
                  </w:r>
                </w:p>
              </w:tc>
              <w:tc>
                <w:tcPr>
                  <w:tcW w:w="1021" w:type="pct"/>
                  <w:tcBorders>
                    <w:tl2br w:val="nil"/>
                    <w:tr2bl w:val="nil"/>
                  </w:tcBorders>
                  <w:noWrap w:val="0"/>
                  <w:vAlign w:val="center"/>
                </w:tcPr>
                <w:p w14:paraId="48B7F60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vertAlign w:val="baseline"/>
                      <w:lang w:val="en-US" w:eastAsia="zh-CN" w:bidi="ar-SA"/>
                    </w:rPr>
                  </w:pPr>
                  <w:r>
                    <w:rPr>
                      <w:rFonts w:hint="eastAsia" w:eastAsia="宋体"/>
                      <w:color w:val="auto"/>
                      <w:sz w:val="21"/>
                      <w:szCs w:val="21"/>
                      <w:highlight w:val="none"/>
                      <w:lang w:val="en-US" w:eastAsia="zh-CN"/>
                    </w:rPr>
                    <w:t>0.9</w:t>
                  </w:r>
                  <w:r>
                    <w:rPr>
                      <w:rFonts w:hint="default" w:eastAsia="宋体"/>
                      <w:color w:val="auto"/>
                      <w:sz w:val="21"/>
                      <w:szCs w:val="21"/>
                      <w:highlight w:val="none"/>
                      <w:lang w:val="en-US" w:eastAsia="zh-CN"/>
                    </w:rPr>
                    <w:t>×</w:t>
                  </w:r>
                  <w:r>
                    <w:rPr>
                      <w:rFonts w:hint="eastAsia" w:eastAsia="宋体"/>
                      <w:color w:val="auto"/>
                      <w:sz w:val="21"/>
                      <w:szCs w:val="21"/>
                      <w:highlight w:val="none"/>
                      <w:lang w:val="en-US" w:eastAsia="zh-CN"/>
                    </w:rPr>
                    <w:t>0.6</w:t>
                  </w:r>
                </w:p>
              </w:tc>
              <w:tc>
                <w:tcPr>
                  <w:tcW w:w="734" w:type="pct"/>
                  <w:tcBorders>
                    <w:tl2br w:val="nil"/>
                    <w:tr2bl w:val="nil"/>
                  </w:tcBorders>
                  <w:noWrap w:val="0"/>
                  <w:vAlign w:val="center"/>
                </w:tcPr>
                <w:p w14:paraId="7BDE79B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1.2</w:t>
                  </w:r>
                </w:p>
              </w:tc>
              <w:tc>
                <w:tcPr>
                  <w:tcW w:w="713" w:type="pct"/>
                  <w:tcBorders>
                    <w:tl2br w:val="nil"/>
                    <w:tr2bl w:val="nil"/>
                  </w:tcBorders>
                  <w:noWrap w:val="0"/>
                  <w:vAlign w:val="center"/>
                </w:tcPr>
                <w:p w14:paraId="5F83245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default" w:eastAsia="宋体"/>
                      <w:color w:val="auto"/>
                      <w:sz w:val="21"/>
                      <w:szCs w:val="21"/>
                      <w:highlight w:val="none"/>
                    </w:rPr>
                    <w:t>≥</w:t>
                  </w:r>
                  <w:r>
                    <w:rPr>
                      <w:rFonts w:hint="eastAsia" w:eastAsia="宋体"/>
                      <w:color w:val="auto"/>
                      <w:sz w:val="21"/>
                      <w:szCs w:val="21"/>
                      <w:highlight w:val="none"/>
                      <w:lang w:val="en-US" w:eastAsia="zh-CN"/>
                    </w:rPr>
                    <w:t>2332.8</w:t>
                  </w:r>
                </w:p>
              </w:tc>
              <w:tc>
                <w:tcPr>
                  <w:tcW w:w="637" w:type="pct"/>
                  <w:tcBorders>
                    <w:tl2br w:val="nil"/>
                    <w:tr2bl w:val="nil"/>
                  </w:tcBorders>
                  <w:noWrap w:val="0"/>
                  <w:vAlign w:val="center"/>
                </w:tcPr>
                <w:p w14:paraId="671AFC8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1</w:t>
                  </w:r>
                </w:p>
              </w:tc>
              <w:tc>
                <w:tcPr>
                  <w:tcW w:w="1247" w:type="pct"/>
                  <w:tcBorders>
                    <w:tl2br w:val="nil"/>
                    <w:tr2bl w:val="nil"/>
                  </w:tcBorders>
                  <w:noWrap w:val="0"/>
                  <w:vAlign w:val="center"/>
                </w:tcPr>
                <w:p w14:paraId="33B377F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外部排风罩（顶吸式）</w:t>
                  </w:r>
                </w:p>
              </w:tc>
            </w:tr>
            <w:tr w14:paraId="79C3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5" w:type="pct"/>
                  <w:tcBorders>
                    <w:tl2br w:val="nil"/>
                    <w:tr2bl w:val="nil"/>
                  </w:tcBorders>
                  <w:noWrap w:val="0"/>
                  <w:vAlign w:val="center"/>
                </w:tcPr>
                <w:p w14:paraId="76B0EAE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水洗砂上料口</w:t>
                  </w:r>
                </w:p>
              </w:tc>
              <w:tc>
                <w:tcPr>
                  <w:tcW w:w="1021" w:type="pct"/>
                  <w:tcBorders>
                    <w:tl2br w:val="nil"/>
                    <w:tr2bl w:val="nil"/>
                  </w:tcBorders>
                  <w:noWrap w:val="0"/>
                  <w:vAlign w:val="center"/>
                </w:tcPr>
                <w:p w14:paraId="5797ED4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0.9</w:t>
                  </w:r>
                  <w:r>
                    <w:rPr>
                      <w:rFonts w:hint="default" w:eastAsia="宋体"/>
                      <w:color w:val="auto"/>
                      <w:sz w:val="21"/>
                      <w:szCs w:val="21"/>
                      <w:highlight w:val="none"/>
                      <w:lang w:val="en-US" w:eastAsia="zh-CN"/>
                    </w:rPr>
                    <w:t>×</w:t>
                  </w:r>
                  <w:r>
                    <w:rPr>
                      <w:rFonts w:hint="eastAsia" w:eastAsia="宋体"/>
                      <w:color w:val="auto"/>
                      <w:sz w:val="21"/>
                      <w:szCs w:val="21"/>
                      <w:highlight w:val="none"/>
                      <w:lang w:val="en-US" w:eastAsia="zh-CN"/>
                    </w:rPr>
                    <w:t>0.6</w:t>
                  </w:r>
                </w:p>
              </w:tc>
              <w:tc>
                <w:tcPr>
                  <w:tcW w:w="734" w:type="pct"/>
                  <w:tcBorders>
                    <w:tl2br w:val="nil"/>
                    <w:tr2bl w:val="nil"/>
                  </w:tcBorders>
                  <w:noWrap w:val="0"/>
                  <w:vAlign w:val="center"/>
                </w:tcPr>
                <w:p w14:paraId="776C511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1.2</w:t>
                  </w:r>
                </w:p>
              </w:tc>
              <w:tc>
                <w:tcPr>
                  <w:tcW w:w="713" w:type="pct"/>
                  <w:tcBorders>
                    <w:tl2br w:val="nil"/>
                    <w:tr2bl w:val="nil"/>
                  </w:tcBorders>
                  <w:noWrap w:val="0"/>
                  <w:vAlign w:val="center"/>
                </w:tcPr>
                <w:p w14:paraId="75AD117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sz w:val="21"/>
                      <w:szCs w:val="21"/>
                      <w:highlight w:val="none"/>
                    </w:rPr>
                  </w:pPr>
                  <w:r>
                    <w:rPr>
                      <w:rFonts w:hint="default" w:eastAsia="宋体"/>
                      <w:color w:val="auto"/>
                      <w:sz w:val="21"/>
                      <w:szCs w:val="21"/>
                      <w:highlight w:val="none"/>
                    </w:rPr>
                    <w:t>≥</w:t>
                  </w:r>
                  <w:r>
                    <w:rPr>
                      <w:rFonts w:hint="eastAsia" w:eastAsia="宋体"/>
                      <w:color w:val="auto"/>
                      <w:sz w:val="21"/>
                      <w:szCs w:val="21"/>
                      <w:highlight w:val="none"/>
                      <w:lang w:val="en-US" w:eastAsia="zh-CN"/>
                    </w:rPr>
                    <w:t>2332.8</w:t>
                  </w:r>
                </w:p>
              </w:tc>
              <w:tc>
                <w:tcPr>
                  <w:tcW w:w="637" w:type="pct"/>
                  <w:tcBorders>
                    <w:tl2br w:val="nil"/>
                    <w:tr2bl w:val="nil"/>
                  </w:tcBorders>
                  <w:noWrap w:val="0"/>
                  <w:vAlign w:val="center"/>
                </w:tcPr>
                <w:p w14:paraId="1F08F6C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1</w:t>
                  </w:r>
                </w:p>
              </w:tc>
              <w:tc>
                <w:tcPr>
                  <w:tcW w:w="1247" w:type="pct"/>
                  <w:tcBorders>
                    <w:tl2br w:val="nil"/>
                    <w:tr2bl w:val="nil"/>
                  </w:tcBorders>
                  <w:noWrap w:val="0"/>
                  <w:vAlign w:val="center"/>
                </w:tcPr>
                <w:p w14:paraId="49847FC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外部排风罩（顶吸式）</w:t>
                  </w:r>
                </w:p>
              </w:tc>
            </w:tr>
            <w:tr w14:paraId="0446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5" w:type="pct"/>
                  <w:tcBorders>
                    <w:tl2br w:val="nil"/>
                    <w:tr2bl w:val="nil"/>
                  </w:tcBorders>
                  <w:noWrap w:val="0"/>
                  <w:vAlign w:val="center"/>
                </w:tcPr>
                <w:p w14:paraId="311FDBF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搅拌机进料口</w:t>
                  </w:r>
                </w:p>
              </w:tc>
              <w:tc>
                <w:tcPr>
                  <w:tcW w:w="1021" w:type="pct"/>
                  <w:tcBorders>
                    <w:tl2br w:val="nil"/>
                    <w:tr2bl w:val="nil"/>
                  </w:tcBorders>
                  <w:noWrap w:val="0"/>
                  <w:vAlign w:val="center"/>
                </w:tcPr>
                <w:p w14:paraId="3C4107D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1.7</w:t>
                  </w:r>
                  <w:r>
                    <w:rPr>
                      <w:rFonts w:hint="default" w:eastAsia="宋体"/>
                      <w:color w:val="auto"/>
                      <w:sz w:val="21"/>
                      <w:szCs w:val="21"/>
                      <w:highlight w:val="none"/>
                      <w:lang w:val="en-US" w:eastAsia="zh-CN"/>
                    </w:rPr>
                    <w:t>×</w:t>
                  </w:r>
                  <w:r>
                    <w:rPr>
                      <w:rFonts w:hint="eastAsia" w:eastAsia="宋体"/>
                      <w:color w:val="auto"/>
                      <w:sz w:val="21"/>
                      <w:szCs w:val="21"/>
                      <w:highlight w:val="none"/>
                      <w:lang w:val="en-US" w:eastAsia="zh-CN"/>
                    </w:rPr>
                    <w:t>1.1</w:t>
                  </w:r>
                </w:p>
              </w:tc>
              <w:tc>
                <w:tcPr>
                  <w:tcW w:w="734" w:type="pct"/>
                  <w:tcBorders>
                    <w:tl2br w:val="nil"/>
                    <w:tr2bl w:val="nil"/>
                  </w:tcBorders>
                  <w:noWrap w:val="0"/>
                  <w:vAlign w:val="center"/>
                </w:tcPr>
                <w:p w14:paraId="30E526B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1.2</w:t>
                  </w:r>
                </w:p>
              </w:tc>
              <w:tc>
                <w:tcPr>
                  <w:tcW w:w="713" w:type="pct"/>
                  <w:tcBorders>
                    <w:tl2br w:val="nil"/>
                    <w:tr2bl w:val="nil"/>
                  </w:tcBorders>
                  <w:noWrap w:val="0"/>
                  <w:vAlign w:val="center"/>
                </w:tcPr>
                <w:p w14:paraId="26FAA5C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sz w:val="21"/>
                      <w:szCs w:val="21"/>
                      <w:highlight w:val="none"/>
                      <w:lang w:val="en-US"/>
                    </w:rPr>
                  </w:pPr>
                  <w:r>
                    <w:rPr>
                      <w:rFonts w:hint="default" w:eastAsia="宋体"/>
                      <w:color w:val="auto"/>
                      <w:sz w:val="21"/>
                      <w:szCs w:val="21"/>
                      <w:highlight w:val="none"/>
                    </w:rPr>
                    <w:t>≥</w:t>
                  </w:r>
                  <w:r>
                    <w:rPr>
                      <w:rFonts w:hint="eastAsia" w:eastAsia="宋体"/>
                      <w:color w:val="auto"/>
                      <w:sz w:val="21"/>
                      <w:szCs w:val="21"/>
                      <w:highlight w:val="none"/>
                      <w:lang w:val="en-US" w:eastAsia="zh-CN"/>
                    </w:rPr>
                    <w:t>8078.4</w:t>
                  </w:r>
                </w:p>
              </w:tc>
              <w:tc>
                <w:tcPr>
                  <w:tcW w:w="637" w:type="pct"/>
                  <w:tcBorders>
                    <w:tl2br w:val="nil"/>
                    <w:tr2bl w:val="nil"/>
                  </w:tcBorders>
                  <w:noWrap w:val="0"/>
                  <w:vAlign w:val="center"/>
                </w:tcPr>
                <w:p w14:paraId="4E0DB45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1</w:t>
                  </w:r>
                </w:p>
              </w:tc>
              <w:tc>
                <w:tcPr>
                  <w:tcW w:w="1247" w:type="pct"/>
                  <w:tcBorders>
                    <w:tl2br w:val="nil"/>
                    <w:tr2bl w:val="nil"/>
                  </w:tcBorders>
                  <w:noWrap w:val="0"/>
                  <w:vAlign w:val="center"/>
                </w:tcPr>
                <w:p w14:paraId="695883D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外部排风罩（顶吸式）</w:t>
                  </w:r>
                </w:p>
              </w:tc>
            </w:tr>
            <w:tr w14:paraId="258B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5" w:type="pct"/>
                  <w:tcBorders>
                    <w:tl2br w:val="nil"/>
                    <w:tr2bl w:val="nil"/>
                  </w:tcBorders>
                  <w:noWrap w:val="0"/>
                  <w:vAlign w:val="center"/>
                </w:tcPr>
                <w:p w14:paraId="1DFAAD2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焊接</w:t>
                  </w:r>
                </w:p>
              </w:tc>
              <w:tc>
                <w:tcPr>
                  <w:tcW w:w="1021" w:type="pct"/>
                  <w:tcBorders>
                    <w:tl2br w:val="nil"/>
                    <w:tr2bl w:val="nil"/>
                  </w:tcBorders>
                  <w:noWrap w:val="0"/>
                  <w:vAlign w:val="center"/>
                </w:tcPr>
                <w:p w14:paraId="1A20587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π</w:t>
                  </w:r>
                  <w:r>
                    <w:rPr>
                      <w:rFonts w:hint="eastAsia" w:ascii="Times New Roman" w:hAnsi="Times New Roman" w:eastAsia="宋体" w:cs="Times New Roman"/>
                      <w:color w:val="auto"/>
                      <w:kern w:val="2"/>
                      <w:sz w:val="21"/>
                      <w:szCs w:val="21"/>
                      <w:highlight w:val="none"/>
                      <w:vertAlign w:val="baseline"/>
                      <w:lang w:val="en-US" w:eastAsia="zh-CN" w:bidi="ar-SA"/>
                    </w:rPr>
                    <w:t>(0.15+0.25×0.2)</w:t>
                  </w:r>
                  <w:r>
                    <w:rPr>
                      <w:rFonts w:hint="eastAsia" w:ascii="Times New Roman" w:hAnsi="Times New Roman" w:eastAsia="宋体" w:cs="Times New Roman"/>
                      <w:color w:val="auto"/>
                      <w:kern w:val="2"/>
                      <w:sz w:val="21"/>
                      <w:szCs w:val="21"/>
                      <w:highlight w:val="none"/>
                      <w:vertAlign w:val="superscript"/>
                      <w:lang w:val="en-US" w:eastAsia="zh-CN" w:bidi="ar-SA"/>
                    </w:rPr>
                    <w:t>2</w:t>
                  </w:r>
                </w:p>
              </w:tc>
              <w:tc>
                <w:tcPr>
                  <w:tcW w:w="734" w:type="pct"/>
                  <w:tcBorders>
                    <w:tl2br w:val="nil"/>
                    <w:tr2bl w:val="nil"/>
                  </w:tcBorders>
                  <w:noWrap w:val="0"/>
                  <w:vAlign w:val="center"/>
                </w:tcPr>
                <w:p w14:paraId="318ADC2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1.2</w:t>
                  </w:r>
                </w:p>
              </w:tc>
              <w:tc>
                <w:tcPr>
                  <w:tcW w:w="713" w:type="pct"/>
                  <w:tcBorders>
                    <w:tl2br w:val="nil"/>
                    <w:tr2bl w:val="nil"/>
                  </w:tcBorders>
                  <w:noWrap w:val="0"/>
                  <w:vAlign w:val="center"/>
                </w:tcPr>
                <w:p w14:paraId="0D0A892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sz w:val="21"/>
                      <w:szCs w:val="21"/>
                      <w:highlight w:val="none"/>
                      <w:lang w:val="en-US" w:eastAsia="zh-CN"/>
                    </w:rPr>
                  </w:pPr>
                  <w:r>
                    <w:rPr>
                      <w:rFonts w:hint="default" w:eastAsia="宋体"/>
                      <w:color w:val="auto"/>
                      <w:sz w:val="21"/>
                      <w:szCs w:val="21"/>
                      <w:highlight w:val="none"/>
                    </w:rPr>
                    <w:t>≥</w:t>
                  </w:r>
                  <w:r>
                    <w:rPr>
                      <w:rFonts w:hint="eastAsia" w:eastAsia="宋体"/>
                      <w:color w:val="auto"/>
                      <w:sz w:val="21"/>
                      <w:szCs w:val="21"/>
                      <w:highlight w:val="none"/>
                      <w:lang w:val="en-US" w:eastAsia="zh-CN"/>
                    </w:rPr>
                    <w:t>542.59</w:t>
                  </w:r>
                </w:p>
              </w:tc>
              <w:tc>
                <w:tcPr>
                  <w:tcW w:w="637" w:type="pct"/>
                  <w:tcBorders>
                    <w:tl2br w:val="nil"/>
                    <w:tr2bl w:val="nil"/>
                  </w:tcBorders>
                  <w:noWrap w:val="0"/>
                  <w:vAlign w:val="center"/>
                </w:tcPr>
                <w:p w14:paraId="572E73D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2</w:t>
                  </w:r>
                </w:p>
              </w:tc>
              <w:tc>
                <w:tcPr>
                  <w:tcW w:w="1247" w:type="pct"/>
                  <w:tcBorders>
                    <w:tl2br w:val="nil"/>
                    <w:tr2bl w:val="nil"/>
                  </w:tcBorders>
                  <w:noWrap w:val="0"/>
                  <w:vAlign w:val="center"/>
                </w:tcPr>
                <w:p w14:paraId="39006D8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外部排风罩（顶吸式）</w:t>
                  </w:r>
                </w:p>
              </w:tc>
            </w:tr>
          </w:tbl>
          <w:p w14:paraId="28754D8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imes New Roman" w:hAnsi="Times New Roman"/>
                <w:color w:val="auto"/>
                <w:sz w:val="24"/>
                <w:szCs w:val="24"/>
                <w:highlight w:val="none"/>
                <w:shd w:val="clear" w:color="auto" w:fill="auto"/>
                <w:lang w:val="en-US" w:eastAsia="zh-CN"/>
              </w:rPr>
            </w:pPr>
            <w:r>
              <w:rPr>
                <w:rFonts w:hint="eastAsia" w:ascii="Times New Roman" w:hAnsi="Times New Roman" w:eastAsia="宋体"/>
                <w:color w:val="auto"/>
                <w:sz w:val="24"/>
                <w:szCs w:val="24"/>
                <w:highlight w:val="none"/>
                <w:shd w:val="clear" w:color="auto" w:fill="auto"/>
                <w:lang w:val="en-US" w:eastAsia="zh-CN"/>
              </w:rPr>
              <w:t>经计算，</w:t>
            </w:r>
            <w:r>
              <w:rPr>
                <w:rFonts w:hint="eastAsia" w:ascii="Times New Roman" w:hAnsi="Times New Roman"/>
                <w:color w:val="auto"/>
                <w:sz w:val="24"/>
                <w:szCs w:val="24"/>
                <w:highlight w:val="none"/>
                <w:shd w:val="clear" w:color="auto" w:fill="auto"/>
                <w:lang w:val="en-US" w:eastAsia="zh-CN"/>
              </w:rPr>
              <w:t>上料口、搅拌机进料口、焊接工序</w:t>
            </w:r>
            <w:r>
              <w:rPr>
                <w:rFonts w:hint="eastAsia" w:ascii="Times New Roman" w:hAnsi="Times New Roman" w:eastAsia="宋体" w:cs="Times New Roman"/>
                <w:color w:val="auto"/>
                <w:kern w:val="2"/>
                <w:sz w:val="24"/>
                <w:szCs w:val="24"/>
                <w:highlight w:val="none"/>
                <w:shd w:val="clear" w:color="auto" w:fill="auto"/>
                <w:lang w:val="en-US" w:eastAsia="zh-CN" w:bidi="ar-SA"/>
              </w:rPr>
              <w:t>除尘系统所需的风量为</w:t>
            </w:r>
            <w:r>
              <w:rPr>
                <w:rFonts w:hint="eastAsia" w:cs="Times New Roman"/>
                <w:color w:val="auto"/>
                <w:kern w:val="2"/>
                <w:sz w:val="24"/>
                <w:szCs w:val="24"/>
                <w:highlight w:val="none"/>
                <w:shd w:val="clear" w:color="auto" w:fill="auto"/>
                <w:lang w:val="en-US" w:eastAsia="zh-CN" w:bidi="ar-SA"/>
              </w:rPr>
              <w:t>13829.18</w:t>
            </w:r>
            <w:r>
              <w:rPr>
                <w:rFonts w:hint="eastAsia" w:ascii="Times New Roman" w:hAnsi="Times New Roman" w:eastAsia="宋体" w:cs="Times New Roman"/>
                <w:color w:val="auto"/>
                <w:kern w:val="2"/>
                <w:sz w:val="24"/>
                <w:szCs w:val="24"/>
                <w:highlight w:val="none"/>
                <w:shd w:val="clear" w:color="auto" w:fill="auto"/>
                <w:lang w:val="en-US" w:eastAsia="zh-CN" w:bidi="ar-SA"/>
              </w:rPr>
              <w:t>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3</w:t>
            </w:r>
            <w:r>
              <w:rPr>
                <w:rFonts w:hint="eastAsia" w:ascii="Times New Roman" w:hAnsi="Times New Roman" w:eastAsia="宋体" w:cs="Times New Roman"/>
                <w:color w:val="auto"/>
                <w:kern w:val="2"/>
                <w:sz w:val="24"/>
                <w:szCs w:val="24"/>
                <w:highlight w:val="none"/>
                <w:shd w:val="clear" w:color="auto" w:fill="auto"/>
                <w:lang w:val="en-US" w:eastAsia="zh-CN" w:bidi="ar-SA"/>
              </w:rPr>
              <w:t>/h。考虑到风力损失，取10%的富裕量，风机风量设计</w:t>
            </w:r>
            <w:r>
              <w:rPr>
                <w:rFonts w:hint="eastAsia" w:cs="Times New Roman"/>
                <w:color w:val="auto"/>
                <w:kern w:val="2"/>
                <w:sz w:val="24"/>
                <w:szCs w:val="24"/>
                <w:highlight w:val="none"/>
                <w:shd w:val="clear" w:color="auto" w:fill="auto"/>
                <w:lang w:val="en-US" w:eastAsia="zh-CN" w:bidi="ar-SA"/>
              </w:rPr>
              <w:t>16000</w:t>
            </w:r>
            <w:r>
              <w:rPr>
                <w:rFonts w:hint="eastAsia" w:ascii="Times New Roman" w:hAnsi="Times New Roman" w:eastAsia="宋体" w:cs="Times New Roman"/>
                <w:color w:val="auto"/>
                <w:kern w:val="2"/>
                <w:sz w:val="24"/>
                <w:szCs w:val="24"/>
                <w:highlight w:val="none"/>
                <w:shd w:val="clear" w:color="auto" w:fill="auto"/>
                <w:lang w:val="en-US" w:eastAsia="zh-CN" w:bidi="ar-SA"/>
              </w:rPr>
              <w:t>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3</w:t>
            </w:r>
            <w:r>
              <w:rPr>
                <w:rFonts w:hint="eastAsia" w:ascii="Times New Roman" w:hAnsi="Times New Roman" w:eastAsia="宋体" w:cs="Times New Roman"/>
                <w:color w:val="auto"/>
                <w:kern w:val="2"/>
                <w:sz w:val="24"/>
                <w:szCs w:val="24"/>
                <w:highlight w:val="none"/>
                <w:shd w:val="clear" w:color="auto" w:fill="auto"/>
                <w:lang w:val="en-US" w:eastAsia="zh-CN" w:bidi="ar-SA"/>
              </w:rPr>
              <w:t>/h，因此，本项目选取1台风量为</w:t>
            </w:r>
            <w:r>
              <w:rPr>
                <w:rFonts w:hint="eastAsia" w:cs="Times New Roman"/>
                <w:color w:val="auto"/>
                <w:kern w:val="2"/>
                <w:sz w:val="24"/>
                <w:szCs w:val="24"/>
                <w:highlight w:val="none"/>
                <w:shd w:val="clear" w:color="auto" w:fill="auto"/>
                <w:lang w:val="en-US" w:eastAsia="zh-CN" w:bidi="ar-SA"/>
              </w:rPr>
              <w:t>16</w:t>
            </w:r>
            <w:r>
              <w:rPr>
                <w:rFonts w:hint="eastAsia" w:ascii="Times New Roman" w:hAnsi="Times New Roman" w:cs="Times New Roman"/>
                <w:color w:val="auto"/>
                <w:kern w:val="2"/>
                <w:sz w:val="24"/>
                <w:szCs w:val="24"/>
                <w:highlight w:val="none"/>
                <w:shd w:val="clear" w:color="auto" w:fill="auto"/>
                <w:lang w:val="en-US" w:eastAsia="zh-CN" w:bidi="ar-SA"/>
              </w:rPr>
              <w:t>000</w:t>
            </w:r>
            <w:r>
              <w:rPr>
                <w:rFonts w:hint="eastAsia" w:ascii="Times New Roman" w:hAnsi="Times New Roman" w:eastAsia="宋体" w:cs="Times New Roman"/>
                <w:color w:val="auto"/>
                <w:kern w:val="2"/>
                <w:sz w:val="24"/>
                <w:szCs w:val="24"/>
                <w:highlight w:val="none"/>
                <w:shd w:val="clear" w:color="auto" w:fill="auto"/>
                <w:lang w:val="en-US" w:eastAsia="zh-CN" w:bidi="ar-SA"/>
              </w:rPr>
              <w:t>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3</w:t>
            </w:r>
            <w:r>
              <w:rPr>
                <w:rFonts w:hint="eastAsia" w:ascii="Times New Roman" w:hAnsi="Times New Roman" w:eastAsia="宋体" w:cs="Times New Roman"/>
                <w:color w:val="auto"/>
                <w:kern w:val="2"/>
                <w:sz w:val="24"/>
                <w:szCs w:val="24"/>
                <w:highlight w:val="none"/>
                <w:shd w:val="clear" w:color="auto" w:fill="auto"/>
                <w:lang w:val="en-US" w:eastAsia="zh-CN" w:bidi="ar-SA"/>
              </w:rPr>
              <w:t>/h的风机，过滤风速0.6m/min，过滤面积</w:t>
            </w:r>
            <w:r>
              <w:rPr>
                <w:rFonts w:hint="eastAsia" w:cs="Times New Roman"/>
                <w:color w:val="auto"/>
                <w:kern w:val="2"/>
                <w:sz w:val="24"/>
                <w:szCs w:val="24"/>
                <w:highlight w:val="none"/>
                <w:shd w:val="clear" w:color="auto" w:fill="auto"/>
                <w:lang w:val="en-US" w:eastAsia="zh-CN" w:bidi="ar-SA"/>
              </w:rPr>
              <w:t>444</w:t>
            </w:r>
            <w:r>
              <w:rPr>
                <w:rFonts w:hint="eastAsia" w:ascii="Times New Roman" w:hAnsi="Times New Roman" w:eastAsia="宋体" w:cs="Times New Roman"/>
                <w:color w:val="auto"/>
                <w:kern w:val="2"/>
                <w:sz w:val="24"/>
                <w:szCs w:val="24"/>
                <w:highlight w:val="none"/>
                <w:shd w:val="clear" w:color="auto" w:fill="auto"/>
                <w:lang w:val="en-US" w:eastAsia="zh-CN" w:bidi="ar-SA"/>
              </w:rPr>
              <w:t>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2</w:t>
            </w:r>
            <w:r>
              <w:rPr>
                <w:rFonts w:hint="eastAsia" w:ascii="Times New Roman" w:hAnsi="Times New Roman" w:eastAsia="宋体" w:cs="Times New Roman"/>
                <w:color w:val="auto"/>
                <w:kern w:val="2"/>
                <w:sz w:val="24"/>
                <w:szCs w:val="24"/>
                <w:highlight w:val="none"/>
                <w:shd w:val="clear" w:color="auto" w:fill="auto"/>
                <w:vertAlign w:val="baseline"/>
                <w:lang w:val="en-US" w:eastAsia="zh-CN" w:bidi="ar-SA"/>
              </w:rPr>
              <w:t>。除尘器出口浓度控制在10mg/m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3</w:t>
            </w:r>
            <w:r>
              <w:rPr>
                <w:rFonts w:hint="eastAsia" w:ascii="Times New Roman" w:hAnsi="Times New Roman" w:eastAsia="宋体" w:cs="Times New Roman"/>
                <w:color w:val="auto"/>
                <w:kern w:val="2"/>
                <w:sz w:val="24"/>
                <w:szCs w:val="24"/>
                <w:highlight w:val="none"/>
                <w:shd w:val="clear" w:color="auto" w:fill="auto"/>
                <w:vertAlign w:val="baseline"/>
                <w:lang w:val="en-US" w:eastAsia="zh-CN" w:bidi="ar-SA"/>
              </w:rPr>
              <w:t>以下（本次以</w:t>
            </w:r>
            <w:r>
              <w:rPr>
                <w:rFonts w:hint="eastAsia" w:ascii="Times New Roman" w:hAnsi="Times New Roman" w:cs="Times New Roman"/>
                <w:color w:val="auto"/>
                <w:kern w:val="2"/>
                <w:sz w:val="24"/>
                <w:szCs w:val="24"/>
                <w:highlight w:val="none"/>
                <w:shd w:val="clear" w:color="auto" w:fill="auto"/>
                <w:vertAlign w:val="baseline"/>
                <w:lang w:val="en-US" w:eastAsia="zh-CN" w:bidi="ar-SA"/>
              </w:rPr>
              <w:t>1</w:t>
            </w:r>
            <w:r>
              <w:rPr>
                <w:rFonts w:hint="eastAsia" w:ascii="Times New Roman" w:hAnsi="Times New Roman" w:eastAsia="宋体" w:cs="Times New Roman"/>
                <w:color w:val="auto"/>
                <w:kern w:val="2"/>
                <w:sz w:val="24"/>
                <w:szCs w:val="24"/>
                <w:highlight w:val="none"/>
                <w:shd w:val="clear" w:color="auto" w:fill="auto"/>
                <w:vertAlign w:val="baseline"/>
                <w:lang w:val="en-US" w:eastAsia="zh-CN" w:bidi="ar-SA"/>
              </w:rPr>
              <w:t>0mg/m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3</w:t>
            </w:r>
            <w:r>
              <w:rPr>
                <w:rFonts w:hint="eastAsia" w:ascii="Times New Roman" w:hAnsi="Times New Roman" w:eastAsia="宋体" w:cs="Times New Roman"/>
                <w:color w:val="auto"/>
                <w:kern w:val="2"/>
                <w:sz w:val="24"/>
                <w:szCs w:val="24"/>
                <w:highlight w:val="none"/>
                <w:shd w:val="clear" w:color="auto" w:fill="auto"/>
                <w:vertAlign w:val="baseline"/>
                <w:lang w:val="en-US" w:eastAsia="zh-CN" w:bidi="ar-SA"/>
              </w:rPr>
              <w:t>计），则颗粒物排放量=</w:t>
            </w:r>
            <w:r>
              <w:rPr>
                <w:rFonts w:hint="eastAsia" w:cs="Times New Roman"/>
                <w:color w:val="auto"/>
                <w:kern w:val="2"/>
                <w:sz w:val="24"/>
                <w:szCs w:val="24"/>
                <w:highlight w:val="none"/>
                <w:shd w:val="clear" w:color="auto" w:fill="auto"/>
                <w:vertAlign w:val="baseline"/>
                <w:lang w:val="en-US" w:eastAsia="zh-CN" w:bidi="ar-SA"/>
              </w:rPr>
              <w:t>2240</w:t>
            </w:r>
            <w:r>
              <w:rPr>
                <w:rFonts w:hint="eastAsia" w:ascii="Times New Roman" w:hAnsi="Times New Roman" w:eastAsia="宋体" w:cs="Times New Roman"/>
                <w:color w:val="auto"/>
                <w:kern w:val="2"/>
                <w:sz w:val="24"/>
                <w:szCs w:val="24"/>
                <w:highlight w:val="none"/>
                <w:shd w:val="clear" w:color="auto" w:fill="auto"/>
                <w:vertAlign w:val="baseline"/>
                <w:lang w:val="en-US" w:eastAsia="zh-CN" w:bidi="ar-SA"/>
              </w:rPr>
              <w:t>h×</w:t>
            </w:r>
            <w:r>
              <w:rPr>
                <w:rFonts w:hint="eastAsia" w:cs="Times New Roman"/>
                <w:color w:val="auto"/>
                <w:kern w:val="2"/>
                <w:sz w:val="24"/>
                <w:szCs w:val="24"/>
                <w:highlight w:val="none"/>
                <w:shd w:val="clear" w:color="auto" w:fill="auto"/>
                <w:vertAlign w:val="baseline"/>
                <w:lang w:val="en-US" w:eastAsia="zh-CN" w:bidi="ar-SA"/>
              </w:rPr>
              <w:t>16</w:t>
            </w:r>
            <w:r>
              <w:rPr>
                <w:rFonts w:hint="eastAsia" w:ascii="Times New Roman" w:hAnsi="Times New Roman" w:cs="Times New Roman"/>
                <w:color w:val="auto"/>
                <w:kern w:val="2"/>
                <w:sz w:val="24"/>
                <w:szCs w:val="24"/>
                <w:highlight w:val="none"/>
                <w:shd w:val="clear" w:color="auto" w:fill="auto"/>
                <w:vertAlign w:val="baseline"/>
                <w:lang w:val="en-US" w:eastAsia="zh-CN" w:bidi="ar-SA"/>
              </w:rPr>
              <w:t>000</w:t>
            </w:r>
            <w:r>
              <w:rPr>
                <w:rFonts w:hint="eastAsia" w:ascii="Times New Roman" w:hAnsi="Times New Roman" w:eastAsia="宋体" w:cs="Times New Roman"/>
                <w:color w:val="auto"/>
                <w:kern w:val="2"/>
                <w:sz w:val="24"/>
                <w:szCs w:val="24"/>
                <w:highlight w:val="none"/>
                <w:shd w:val="clear" w:color="auto" w:fill="auto"/>
                <w:vertAlign w:val="baseline"/>
                <w:lang w:val="en-US" w:eastAsia="zh-CN" w:bidi="ar-SA"/>
              </w:rPr>
              <w:t>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3</w:t>
            </w:r>
            <w:r>
              <w:rPr>
                <w:rFonts w:hint="eastAsia" w:ascii="Times New Roman" w:hAnsi="Times New Roman" w:eastAsia="宋体" w:cs="Times New Roman"/>
                <w:color w:val="auto"/>
                <w:kern w:val="2"/>
                <w:sz w:val="24"/>
                <w:szCs w:val="24"/>
                <w:highlight w:val="none"/>
                <w:shd w:val="clear" w:color="auto" w:fill="auto"/>
                <w:vertAlign w:val="baseline"/>
                <w:lang w:val="en-US" w:eastAsia="zh-CN" w:bidi="ar-SA"/>
              </w:rPr>
              <w:t>/h×10mg/m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3</w:t>
            </w:r>
            <w:r>
              <w:rPr>
                <w:rFonts w:hint="eastAsia" w:ascii="Times New Roman" w:hAnsi="Times New Roman" w:eastAsia="宋体" w:cs="Times New Roman"/>
                <w:color w:val="auto"/>
                <w:kern w:val="2"/>
                <w:sz w:val="24"/>
                <w:szCs w:val="24"/>
                <w:highlight w:val="none"/>
                <w:shd w:val="clear" w:color="auto" w:fill="auto"/>
                <w:vertAlign w:val="baseline"/>
                <w:lang w:val="en-US" w:eastAsia="zh-CN" w:bidi="ar-SA"/>
              </w:rPr>
              <w:t>×10</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-9</w:t>
            </w:r>
            <w:r>
              <w:rPr>
                <w:rFonts w:hint="eastAsia" w:ascii="Times New Roman" w:hAnsi="Times New Roman" w:eastAsia="宋体" w:cs="Times New Roman"/>
                <w:color w:val="auto"/>
                <w:kern w:val="2"/>
                <w:sz w:val="24"/>
                <w:szCs w:val="24"/>
                <w:highlight w:val="none"/>
                <w:shd w:val="clear" w:color="auto" w:fill="auto"/>
                <w:vertAlign w:val="baseline"/>
                <w:lang w:val="en-US" w:eastAsia="zh-CN" w:bidi="ar-SA"/>
              </w:rPr>
              <w:t>=</w:t>
            </w:r>
            <w:r>
              <w:rPr>
                <w:rFonts w:hint="eastAsia" w:ascii="Times New Roman" w:hAnsi="Times New Roman" w:cs="Times New Roman"/>
                <w:color w:val="auto"/>
                <w:kern w:val="2"/>
                <w:sz w:val="24"/>
                <w:szCs w:val="24"/>
                <w:highlight w:val="none"/>
                <w:shd w:val="clear" w:color="auto" w:fill="auto"/>
                <w:vertAlign w:val="baseline"/>
                <w:lang w:val="en-US" w:eastAsia="zh-CN" w:bidi="ar-SA"/>
              </w:rPr>
              <w:t>0.</w:t>
            </w:r>
            <w:r>
              <w:rPr>
                <w:rFonts w:hint="eastAsia" w:cs="Times New Roman"/>
                <w:color w:val="auto"/>
                <w:kern w:val="2"/>
                <w:sz w:val="24"/>
                <w:szCs w:val="24"/>
                <w:highlight w:val="none"/>
                <w:shd w:val="clear" w:color="auto" w:fill="auto"/>
                <w:vertAlign w:val="baseline"/>
                <w:lang w:val="en-US" w:eastAsia="zh-CN" w:bidi="ar-SA"/>
              </w:rPr>
              <w:t>4</w:t>
            </w:r>
            <w:r>
              <w:rPr>
                <w:rFonts w:hint="eastAsia" w:ascii="Times New Roman" w:hAnsi="Times New Roman" w:eastAsia="宋体" w:cs="Times New Roman"/>
                <w:color w:val="auto"/>
                <w:kern w:val="2"/>
                <w:sz w:val="24"/>
                <w:szCs w:val="24"/>
                <w:highlight w:val="none"/>
                <w:shd w:val="clear" w:color="auto" w:fill="auto"/>
                <w:vertAlign w:val="baseline"/>
                <w:lang w:val="en-US" w:eastAsia="zh-CN" w:bidi="ar-SA"/>
              </w:rPr>
              <w:t>t/a，</w:t>
            </w:r>
            <w:r>
              <w:rPr>
                <w:rFonts w:hint="default" w:ascii="Times New Roman" w:hAnsi="Times New Roman"/>
                <w:color w:val="auto"/>
                <w:sz w:val="24"/>
                <w:highlight w:val="none"/>
                <w:shd w:val="clear" w:color="auto" w:fill="auto"/>
                <w:lang w:val="en-US" w:eastAsia="zh-CN"/>
              </w:rPr>
              <w:t>废气收集效率约为</w:t>
            </w:r>
            <w:r>
              <w:rPr>
                <w:rFonts w:hint="eastAsia" w:ascii="Times New Roman" w:hAnsi="Times New Roman"/>
                <w:color w:val="auto"/>
                <w:sz w:val="24"/>
                <w:highlight w:val="none"/>
                <w:shd w:val="clear" w:color="auto" w:fill="auto"/>
                <w:lang w:val="en-US" w:eastAsia="zh-CN"/>
              </w:rPr>
              <w:t>90</w:t>
            </w:r>
            <w:r>
              <w:rPr>
                <w:rFonts w:hint="default" w:ascii="Times New Roman" w:hAnsi="Times New Roman"/>
                <w:color w:val="auto"/>
                <w:sz w:val="24"/>
                <w:highlight w:val="none"/>
                <w:shd w:val="clear" w:color="auto" w:fill="auto"/>
                <w:lang w:val="en-US" w:eastAsia="zh-CN"/>
              </w:rPr>
              <w:t>%，</w:t>
            </w:r>
            <w:r>
              <w:rPr>
                <w:rFonts w:hint="eastAsia" w:ascii="Times New Roman" w:hAnsi="Times New Roman"/>
                <w:color w:val="auto"/>
                <w:sz w:val="24"/>
                <w:highlight w:val="none"/>
                <w:shd w:val="clear" w:color="auto" w:fill="auto"/>
                <w:lang w:val="en-US" w:eastAsia="zh-CN"/>
              </w:rPr>
              <w:t>未收集到的无组织排放量为</w:t>
            </w:r>
            <w:r>
              <w:rPr>
                <w:rFonts w:hint="eastAsia" w:ascii="Times New Roman" w:hAnsi="Times New Roman" w:cs="Times New Roman"/>
                <w:color w:val="auto"/>
                <w:kern w:val="2"/>
                <w:sz w:val="24"/>
                <w:szCs w:val="24"/>
                <w:highlight w:val="none"/>
                <w:shd w:val="clear" w:color="auto" w:fill="auto"/>
                <w:vertAlign w:val="baseline"/>
                <w:lang w:val="en-US" w:eastAsia="zh-CN" w:bidi="ar-SA"/>
              </w:rPr>
              <w:t>0.0</w:t>
            </w:r>
            <w:r>
              <w:rPr>
                <w:rFonts w:hint="eastAsia" w:cs="Times New Roman"/>
                <w:color w:val="auto"/>
                <w:kern w:val="2"/>
                <w:sz w:val="24"/>
                <w:szCs w:val="24"/>
                <w:highlight w:val="none"/>
                <w:shd w:val="clear" w:color="auto" w:fill="auto"/>
                <w:vertAlign w:val="baseline"/>
                <w:lang w:val="en-US" w:eastAsia="zh-CN" w:bidi="ar-SA"/>
              </w:rPr>
              <w:t>4</w:t>
            </w:r>
            <w:r>
              <w:rPr>
                <w:rFonts w:hint="eastAsia" w:ascii="Times New Roman" w:hAnsi="Times New Roman" w:eastAsia="宋体" w:cs="Times New Roman"/>
                <w:color w:val="auto"/>
                <w:kern w:val="2"/>
                <w:sz w:val="24"/>
                <w:szCs w:val="24"/>
                <w:highlight w:val="none"/>
                <w:shd w:val="clear" w:color="auto" w:fill="auto"/>
                <w:vertAlign w:val="baseline"/>
                <w:lang w:val="en-US" w:eastAsia="zh-CN" w:bidi="ar-SA"/>
              </w:rPr>
              <w:t>t/a，</w:t>
            </w:r>
            <w:r>
              <w:rPr>
                <w:rFonts w:hint="default" w:ascii="Times New Roman" w:hAnsi="Times New Roman" w:eastAsia="宋体" w:cs="Times New Roman"/>
                <w:color w:val="auto"/>
                <w:kern w:val="10"/>
                <w:sz w:val="24"/>
                <w:highlight w:val="none"/>
                <w:lang w:val="en-US" w:eastAsia="zh-CN"/>
              </w:rPr>
              <w:t>满足《水泥工业大气污染物排放标准》（DB14/3176-2024）</w:t>
            </w:r>
            <w:r>
              <w:rPr>
                <w:rFonts w:hint="eastAsia" w:ascii="Times New Roman" w:hAnsi="Times New Roman" w:eastAsia="宋体" w:cs="Times New Roman"/>
                <w:color w:val="auto"/>
                <w:kern w:val="10"/>
                <w:sz w:val="24"/>
                <w:highlight w:val="none"/>
                <w:lang w:val="en-US" w:eastAsia="zh-CN"/>
              </w:rPr>
              <w:t>中排放</w:t>
            </w:r>
            <w:r>
              <w:rPr>
                <w:rFonts w:hint="default" w:ascii="Times New Roman" w:hAnsi="Times New Roman" w:eastAsia="宋体" w:cs="Times New Roman"/>
                <w:color w:val="auto"/>
                <w:kern w:val="10"/>
                <w:sz w:val="24"/>
                <w:highlight w:val="none"/>
                <w:lang w:val="en-US" w:eastAsia="zh-CN"/>
              </w:rPr>
              <w:t>限值要求</w:t>
            </w:r>
            <w:r>
              <w:rPr>
                <w:rFonts w:hint="eastAsia" w:cs="Times New Roman"/>
                <w:color w:val="auto"/>
                <w:kern w:val="2"/>
                <w:sz w:val="24"/>
                <w:szCs w:val="24"/>
                <w:highlight w:val="none"/>
                <w:lang w:val="en-US" w:eastAsia="zh-CN" w:bidi="ar-SA"/>
              </w:rPr>
              <w:t>。</w:t>
            </w:r>
          </w:p>
          <w:p w14:paraId="3AD1C63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szCs w:val="24"/>
                <w:highlight w:val="none"/>
                <w:shd w:val="clear" w:color="auto" w:fill="auto"/>
                <w:lang w:val="en-US" w:eastAsia="zh-CN"/>
              </w:rPr>
            </w:pPr>
            <w:r>
              <w:rPr>
                <w:rFonts w:hint="eastAsia" w:ascii="Times New Roman" w:hAnsi="Times New Roman"/>
                <w:color w:val="auto"/>
                <w:sz w:val="24"/>
                <w:szCs w:val="24"/>
                <w:highlight w:val="none"/>
                <w:shd w:val="clear" w:color="auto" w:fill="auto"/>
                <w:lang w:val="en-US" w:eastAsia="zh-CN"/>
              </w:rPr>
              <w:t>G14：水泥料仓、粉煤灰料仓产生的粉尘</w:t>
            </w:r>
          </w:p>
          <w:p w14:paraId="0FB44020">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imes New Roman" w:hAnsi="Times New Roman"/>
                <w:color w:val="auto"/>
                <w:sz w:val="24"/>
                <w:szCs w:val="24"/>
                <w:highlight w:val="none"/>
                <w:shd w:val="clear" w:color="auto" w:fill="auto"/>
                <w:lang w:val="en-US" w:eastAsia="zh-CN"/>
              </w:rPr>
            </w:pPr>
            <w:r>
              <w:rPr>
                <w:rFonts w:hint="default" w:ascii="Times New Roman" w:hAnsi="Times New Roman" w:cs="Times New Roman"/>
                <w:color w:val="auto"/>
                <w:sz w:val="24"/>
                <w:highlight w:val="none"/>
                <w:shd w:val="clear" w:color="auto" w:fill="auto"/>
              </w:rPr>
              <w:t>本</w:t>
            </w:r>
            <w:r>
              <w:rPr>
                <w:rFonts w:hint="eastAsia" w:ascii="Times New Roman" w:hAnsi="Times New Roman" w:cs="Times New Roman"/>
                <w:color w:val="auto"/>
                <w:sz w:val="24"/>
                <w:highlight w:val="none"/>
                <w:shd w:val="clear" w:color="auto" w:fill="auto"/>
                <w:lang w:val="en-US" w:eastAsia="zh-CN"/>
              </w:rPr>
              <w:t>工序</w:t>
            </w:r>
            <w:r>
              <w:rPr>
                <w:rFonts w:hint="default" w:ascii="Times New Roman" w:hAnsi="Times New Roman" w:cs="Times New Roman"/>
                <w:color w:val="auto"/>
                <w:sz w:val="24"/>
                <w:highlight w:val="none"/>
                <w:shd w:val="clear" w:color="auto" w:fill="auto"/>
              </w:rPr>
              <w:t>设置</w:t>
            </w:r>
            <w:r>
              <w:rPr>
                <w:rFonts w:hint="eastAsia" w:ascii="Times New Roman" w:hAnsi="Times New Roman" w:cs="Times New Roman"/>
                <w:color w:val="auto"/>
                <w:sz w:val="24"/>
                <w:highlight w:val="none"/>
                <w:shd w:val="clear" w:color="auto" w:fill="auto"/>
                <w:lang w:val="en-US" w:eastAsia="zh-CN"/>
              </w:rPr>
              <w:t>水泥料仓和粉煤灰料仓各1</w:t>
            </w:r>
            <w:r>
              <w:rPr>
                <w:rFonts w:hint="default" w:ascii="Times New Roman" w:hAnsi="Times New Roman" w:cs="Times New Roman"/>
                <w:color w:val="auto"/>
                <w:sz w:val="24"/>
                <w:highlight w:val="none"/>
                <w:shd w:val="clear" w:color="auto" w:fill="auto"/>
              </w:rPr>
              <w:t>座，容积</w:t>
            </w:r>
            <w:r>
              <w:rPr>
                <w:rFonts w:hint="eastAsia" w:cs="Times New Roman"/>
                <w:color w:val="auto"/>
                <w:sz w:val="24"/>
                <w:highlight w:val="none"/>
                <w:shd w:val="clear" w:color="auto" w:fill="auto"/>
                <w:lang w:val="en-US" w:eastAsia="zh-CN"/>
              </w:rPr>
              <w:t>分别</w:t>
            </w:r>
            <w:r>
              <w:rPr>
                <w:rFonts w:hint="default" w:ascii="Times New Roman" w:hAnsi="Times New Roman" w:cs="Times New Roman"/>
                <w:color w:val="auto"/>
                <w:sz w:val="24"/>
                <w:highlight w:val="none"/>
                <w:shd w:val="clear" w:color="auto" w:fill="auto"/>
              </w:rPr>
              <w:t>为</w:t>
            </w:r>
            <w:r>
              <w:rPr>
                <w:rFonts w:hint="eastAsia" w:cs="Times New Roman"/>
                <w:color w:val="auto"/>
                <w:sz w:val="24"/>
                <w:highlight w:val="none"/>
                <w:shd w:val="clear" w:color="auto" w:fill="auto"/>
                <w:lang w:val="en-US" w:eastAsia="zh-CN"/>
              </w:rPr>
              <w:t>2</w:t>
            </w:r>
            <w:r>
              <w:rPr>
                <w:rFonts w:hint="default" w:ascii="Times New Roman" w:hAnsi="Times New Roman" w:cs="Times New Roman"/>
                <w:color w:val="auto"/>
                <w:sz w:val="24"/>
                <w:highlight w:val="none"/>
                <w:shd w:val="clear" w:color="auto" w:fill="auto"/>
              </w:rPr>
              <w:t>00t</w:t>
            </w:r>
            <w:r>
              <w:rPr>
                <w:rFonts w:hint="eastAsia" w:cs="Times New Roman"/>
                <w:color w:val="auto"/>
                <w:sz w:val="24"/>
                <w:highlight w:val="none"/>
                <w:shd w:val="clear" w:color="auto" w:fill="auto"/>
                <w:lang w:eastAsia="zh-CN"/>
              </w:rPr>
              <w:t>、</w:t>
            </w:r>
            <w:r>
              <w:rPr>
                <w:rFonts w:hint="eastAsia" w:cs="Times New Roman"/>
                <w:color w:val="auto"/>
                <w:sz w:val="24"/>
                <w:highlight w:val="none"/>
                <w:shd w:val="clear" w:color="auto" w:fill="auto"/>
                <w:lang w:val="en-US" w:eastAsia="zh-CN"/>
              </w:rPr>
              <w:t>100t</w:t>
            </w:r>
            <w:r>
              <w:rPr>
                <w:rFonts w:hint="default" w:ascii="Times New Roman" w:hAnsi="Times New Roman" w:cs="Times New Roman"/>
                <w:color w:val="auto"/>
                <w:sz w:val="24"/>
                <w:highlight w:val="none"/>
                <w:shd w:val="clear" w:color="auto" w:fill="auto"/>
              </w:rPr>
              <w:t>，在散装</w:t>
            </w:r>
            <w:r>
              <w:rPr>
                <w:rFonts w:hint="default" w:ascii="Times New Roman" w:hAnsi="Times New Roman" w:cs="Times New Roman"/>
                <w:color w:val="auto"/>
                <w:sz w:val="24"/>
                <w:highlight w:val="none"/>
                <w:shd w:val="clear" w:color="auto" w:fill="auto"/>
                <w:lang w:val="en-US" w:eastAsia="zh-CN"/>
              </w:rPr>
              <w:t>水泥、</w:t>
            </w:r>
            <w:r>
              <w:rPr>
                <w:rFonts w:hint="eastAsia" w:ascii="Times New Roman" w:hAnsi="Times New Roman" w:cs="Times New Roman"/>
                <w:color w:val="auto"/>
                <w:sz w:val="24"/>
                <w:highlight w:val="none"/>
                <w:shd w:val="clear" w:color="auto" w:fill="auto"/>
                <w:lang w:val="en-US" w:eastAsia="zh-CN"/>
              </w:rPr>
              <w:t>粉煤灰</w:t>
            </w:r>
            <w:r>
              <w:rPr>
                <w:rFonts w:hint="default" w:ascii="Times New Roman" w:hAnsi="Times New Roman" w:cs="Times New Roman"/>
                <w:color w:val="auto"/>
                <w:sz w:val="24"/>
                <w:highlight w:val="none"/>
                <w:shd w:val="clear" w:color="auto" w:fill="auto"/>
              </w:rPr>
              <w:t>从罐车送至</w:t>
            </w:r>
            <w:r>
              <w:rPr>
                <w:rFonts w:hint="eastAsia" w:ascii="Times New Roman" w:hAnsi="Times New Roman" w:cs="Times New Roman"/>
                <w:color w:val="auto"/>
                <w:sz w:val="24"/>
                <w:highlight w:val="none"/>
                <w:shd w:val="clear" w:color="auto" w:fill="auto"/>
                <w:lang w:val="en-US" w:eastAsia="zh-CN"/>
              </w:rPr>
              <w:t>料</w:t>
            </w:r>
            <w:r>
              <w:rPr>
                <w:rFonts w:hint="default" w:ascii="Times New Roman" w:hAnsi="Times New Roman" w:cs="Times New Roman"/>
                <w:color w:val="auto"/>
                <w:sz w:val="24"/>
                <w:highlight w:val="none"/>
                <w:shd w:val="clear" w:color="auto" w:fill="auto"/>
              </w:rPr>
              <w:t>仓时，仓顶部呼吸孔会产生粉尘</w:t>
            </w:r>
            <w:r>
              <w:rPr>
                <w:rFonts w:hint="eastAsia" w:cs="Times New Roman"/>
                <w:color w:val="auto"/>
                <w:sz w:val="24"/>
                <w:highlight w:val="none"/>
                <w:shd w:val="clear" w:color="auto" w:fill="auto"/>
                <w:lang w:eastAsia="zh-CN"/>
              </w:rPr>
              <w:t>，</w:t>
            </w:r>
            <w:r>
              <w:rPr>
                <w:rFonts w:hint="eastAsia" w:cs="Times New Roman"/>
                <w:color w:val="auto"/>
                <w:sz w:val="24"/>
                <w:highlight w:val="none"/>
                <w:shd w:val="clear" w:color="auto" w:fill="auto"/>
                <w:lang w:val="en-US" w:eastAsia="zh-CN"/>
              </w:rPr>
              <w:t>与水稳料生产线共用1座水泥料仓</w:t>
            </w:r>
            <w:r>
              <w:rPr>
                <w:rFonts w:hint="default" w:ascii="Times New Roman" w:hAnsi="Times New Roman" w:cs="Times New Roman"/>
                <w:color w:val="auto"/>
                <w:sz w:val="24"/>
                <w:highlight w:val="none"/>
                <w:shd w:val="clear" w:color="auto" w:fill="auto"/>
              </w:rPr>
              <w:t>。</w:t>
            </w:r>
            <w:r>
              <w:rPr>
                <w:rFonts w:hint="eastAsia" w:ascii="Times New Roman" w:hAnsi="Times New Roman" w:cs="Times New Roman"/>
                <w:color w:val="auto"/>
                <w:sz w:val="24"/>
                <w:highlight w:val="none"/>
                <w:shd w:val="clear" w:color="auto" w:fill="auto"/>
                <w:lang w:val="en-US" w:eastAsia="zh-CN"/>
              </w:rPr>
              <w:t>本项目拟在</w:t>
            </w:r>
            <w:r>
              <w:rPr>
                <w:rFonts w:hint="eastAsia" w:ascii="Times New Roman" w:hAnsi="Times New Roman" w:eastAsia="宋体" w:cs="Times New Roman"/>
                <w:color w:val="auto"/>
                <w:sz w:val="24"/>
                <w:szCs w:val="24"/>
                <w:highlight w:val="none"/>
                <w:shd w:val="clear" w:color="auto" w:fill="auto"/>
                <w:lang w:val="en-US" w:eastAsia="zh-CN"/>
              </w:rPr>
              <w:t>每个</w:t>
            </w:r>
            <w:r>
              <w:rPr>
                <w:rFonts w:hint="eastAsia" w:ascii="Times New Roman" w:hAnsi="Times New Roman" w:cs="Times New Roman"/>
                <w:color w:val="auto"/>
                <w:sz w:val="24"/>
                <w:szCs w:val="24"/>
                <w:highlight w:val="none"/>
                <w:shd w:val="clear" w:color="auto" w:fill="auto"/>
                <w:lang w:val="en-US" w:eastAsia="zh-CN"/>
              </w:rPr>
              <w:t>料</w:t>
            </w:r>
            <w:r>
              <w:rPr>
                <w:rFonts w:hint="eastAsia" w:ascii="Times New Roman" w:hAnsi="Times New Roman" w:eastAsia="宋体" w:cs="Times New Roman"/>
                <w:color w:val="auto"/>
                <w:sz w:val="24"/>
                <w:szCs w:val="24"/>
                <w:highlight w:val="none"/>
                <w:shd w:val="clear" w:color="auto" w:fill="auto"/>
                <w:lang w:val="en-US" w:eastAsia="zh-CN"/>
              </w:rPr>
              <w:t>仓仓顶呼吸孔连接</w:t>
            </w:r>
            <w:r>
              <w:rPr>
                <w:rFonts w:hint="eastAsia" w:ascii="Times New Roman" w:hAnsi="Times New Roman" w:eastAsia="宋体" w:cs="Times New Roman"/>
                <w:color w:val="auto"/>
                <w:sz w:val="24"/>
                <w:szCs w:val="24"/>
                <w:highlight w:val="none"/>
                <w:shd w:val="clear" w:color="auto" w:fill="auto"/>
              </w:rPr>
              <w:t>集尘管路</w:t>
            </w:r>
            <w:r>
              <w:rPr>
                <w:rFonts w:hint="eastAsia" w:ascii="Times New Roman" w:hAnsi="Times New Roman" w:eastAsia="宋体"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val="en-US" w:eastAsia="zh-CN"/>
              </w:rPr>
              <w:t>废气分别经仓顶</w:t>
            </w:r>
            <w:r>
              <w:rPr>
                <w:rFonts w:hint="eastAsia" w:ascii="Times New Roman" w:hAnsi="Times New Roman" w:eastAsia="宋体" w:cs="Times New Roman"/>
                <w:color w:val="auto"/>
                <w:sz w:val="24"/>
                <w:szCs w:val="24"/>
                <w:highlight w:val="none"/>
                <w:shd w:val="clear" w:color="auto" w:fill="auto"/>
              </w:rPr>
              <w:t>布袋除尘器</w:t>
            </w:r>
            <w:r>
              <w:rPr>
                <w:rFonts w:hint="eastAsia" w:ascii="Times New Roman" w:hAnsi="Times New Roman" w:eastAsia="宋体"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val="en-US" w:eastAsia="zh-CN"/>
              </w:rPr>
              <w:t>TA0</w:t>
            </w:r>
            <w:r>
              <w:rPr>
                <w:rFonts w:hint="eastAsia" w:ascii="Times New Roman" w:hAnsi="Times New Roman" w:cs="Times New Roman"/>
                <w:color w:val="auto"/>
                <w:sz w:val="24"/>
                <w:szCs w:val="24"/>
                <w:highlight w:val="none"/>
                <w:shd w:val="clear" w:color="auto" w:fill="auto"/>
                <w:lang w:val="en-US" w:eastAsia="zh-CN"/>
              </w:rPr>
              <w:t>07-TA008</w:t>
            </w:r>
            <w:r>
              <w:rPr>
                <w:rFonts w:hint="eastAsia" w:ascii="Times New Roman" w:hAnsi="Times New Roman" w:eastAsia="宋体"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rPr>
              <w:t>处理后</w:t>
            </w:r>
            <w:r>
              <w:rPr>
                <w:rFonts w:hint="eastAsia" w:ascii="Times New Roman" w:hAnsi="Times New Roman" w:eastAsia="宋体" w:cs="Times New Roman"/>
                <w:color w:val="auto"/>
                <w:sz w:val="24"/>
                <w:szCs w:val="24"/>
                <w:highlight w:val="none"/>
                <w:shd w:val="clear" w:color="auto" w:fill="auto"/>
                <w:lang w:val="en-US" w:eastAsia="zh-CN"/>
              </w:rPr>
              <w:t>分别通过1根</w:t>
            </w:r>
            <w:r>
              <w:rPr>
                <w:rFonts w:hint="eastAsia" w:ascii="Times New Roman" w:hAnsi="Times New Roman" w:cs="Times New Roman"/>
                <w:color w:val="auto"/>
                <w:sz w:val="24"/>
                <w:szCs w:val="24"/>
                <w:highlight w:val="none"/>
                <w:shd w:val="clear" w:color="auto" w:fill="auto"/>
                <w:lang w:val="en-US" w:eastAsia="zh-CN"/>
              </w:rPr>
              <w:t>15m高的</w:t>
            </w:r>
            <w:r>
              <w:rPr>
                <w:rFonts w:hint="eastAsia" w:ascii="Times New Roman" w:hAnsi="Times New Roman" w:eastAsia="宋体" w:cs="Times New Roman"/>
                <w:color w:val="auto"/>
                <w:sz w:val="24"/>
                <w:szCs w:val="24"/>
                <w:highlight w:val="none"/>
                <w:shd w:val="clear" w:color="auto" w:fill="auto"/>
              </w:rPr>
              <w:t>排气筒</w:t>
            </w:r>
            <w:r>
              <w:rPr>
                <w:rFonts w:hint="eastAsia" w:ascii="Times New Roman" w:hAnsi="Times New Roman" w:eastAsia="宋体"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lang w:val="en-US" w:eastAsia="zh-CN"/>
              </w:rPr>
              <w:t>DA0</w:t>
            </w:r>
            <w:r>
              <w:rPr>
                <w:rFonts w:hint="eastAsia" w:ascii="Times New Roman" w:hAnsi="Times New Roman" w:cs="Times New Roman"/>
                <w:color w:val="auto"/>
                <w:sz w:val="24"/>
                <w:szCs w:val="24"/>
                <w:highlight w:val="none"/>
                <w:shd w:val="clear" w:color="auto" w:fill="auto"/>
                <w:lang w:val="en-US" w:eastAsia="zh-CN"/>
              </w:rPr>
              <w:t>07-DA008</w:t>
            </w:r>
            <w:r>
              <w:rPr>
                <w:rFonts w:hint="eastAsia" w:ascii="Times New Roman" w:hAnsi="Times New Roman" w:eastAsia="宋体" w:cs="Times New Roman"/>
                <w:color w:val="auto"/>
                <w:sz w:val="24"/>
                <w:szCs w:val="24"/>
                <w:highlight w:val="none"/>
                <w:shd w:val="clear" w:color="auto" w:fill="auto"/>
                <w:lang w:eastAsia="zh-CN"/>
              </w:rPr>
              <w:t>）</w:t>
            </w:r>
            <w:r>
              <w:rPr>
                <w:rFonts w:hint="eastAsia" w:ascii="Times New Roman" w:hAnsi="Times New Roman" w:eastAsia="宋体" w:cs="Times New Roman"/>
                <w:color w:val="auto"/>
                <w:sz w:val="24"/>
                <w:szCs w:val="24"/>
                <w:highlight w:val="none"/>
                <w:shd w:val="clear" w:color="auto" w:fill="auto"/>
              </w:rPr>
              <w:t>排放。</w:t>
            </w:r>
            <w:r>
              <w:rPr>
                <w:rFonts w:hint="default" w:ascii="Times New Roman" w:hAnsi="Times New Roman" w:eastAsia="宋体" w:cs="Times New Roman"/>
                <w:color w:val="auto"/>
                <w:sz w:val="24"/>
                <w:szCs w:val="24"/>
                <w:highlight w:val="none"/>
                <w:shd w:val="clear" w:color="auto" w:fill="auto"/>
              </w:rPr>
              <w:t>参照</w:t>
            </w:r>
            <w:r>
              <w:rPr>
                <w:rFonts w:hint="default" w:ascii="Times New Roman" w:hAnsi="Times New Roman" w:eastAsia="宋体" w:cs="Times New Roman"/>
                <w:color w:val="auto"/>
                <w:sz w:val="24"/>
                <w:szCs w:val="24"/>
                <w:highlight w:val="none"/>
                <w:shd w:val="clear" w:color="auto" w:fill="auto"/>
                <w:lang w:val="en-US" w:eastAsia="zh-CN"/>
              </w:rPr>
              <w:t>《第二次全国污染源普查工业污染源产排污系数手册》“3021 水泥制品制造（含 3022 砼结构构件、3029 其他水泥类似制品制造）行业系数表”中“物料输送储存”过程中颗粒物产污系数为0.19kg/t，本项目水泥的年用量为</w:t>
            </w:r>
            <w:r>
              <w:rPr>
                <w:rFonts w:hint="eastAsia" w:ascii="Times New Roman" w:hAnsi="Times New Roman" w:cs="Times New Roman"/>
                <w:color w:val="auto"/>
                <w:sz w:val="24"/>
                <w:szCs w:val="24"/>
                <w:highlight w:val="none"/>
                <w:shd w:val="clear" w:color="auto" w:fill="auto"/>
                <w:lang w:val="en-US" w:eastAsia="zh-CN"/>
              </w:rPr>
              <w:t>12625</w:t>
            </w:r>
            <w:r>
              <w:rPr>
                <w:rFonts w:hint="default" w:ascii="Times New Roman" w:hAnsi="Times New Roman" w:eastAsia="宋体" w:cs="Times New Roman"/>
                <w:color w:val="auto"/>
                <w:sz w:val="24"/>
                <w:szCs w:val="24"/>
                <w:highlight w:val="none"/>
                <w:shd w:val="clear" w:color="auto" w:fill="auto"/>
                <w:lang w:val="en-US" w:eastAsia="zh-CN"/>
              </w:rPr>
              <w:t>t</w:t>
            </w:r>
            <w:r>
              <w:rPr>
                <w:rFonts w:hint="default" w:ascii="Times New Roman" w:hAnsi="Times New Roman" w:eastAsia="宋体" w:cs="Times New Roman"/>
                <w:color w:val="auto"/>
                <w:sz w:val="24"/>
                <w:szCs w:val="24"/>
                <w:highlight w:val="none"/>
                <w:shd w:val="clear" w:color="auto" w:fill="auto"/>
              </w:rPr>
              <w:t>，</w:t>
            </w:r>
            <w:r>
              <w:rPr>
                <w:rFonts w:hint="default" w:ascii="Times New Roman" w:hAnsi="Times New Roman" w:eastAsia="宋体" w:cs="Times New Roman"/>
                <w:color w:val="auto"/>
                <w:sz w:val="24"/>
                <w:szCs w:val="24"/>
                <w:highlight w:val="none"/>
                <w:shd w:val="clear" w:color="auto" w:fill="auto"/>
                <w:lang w:val="en-US" w:eastAsia="zh-CN"/>
              </w:rPr>
              <w:t>则</w:t>
            </w:r>
            <w:r>
              <w:rPr>
                <w:rFonts w:hint="eastAsia" w:ascii="Times New Roman" w:hAnsi="Times New Roman" w:cs="Times New Roman"/>
                <w:color w:val="auto"/>
                <w:sz w:val="24"/>
                <w:szCs w:val="24"/>
                <w:highlight w:val="none"/>
                <w:shd w:val="clear" w:color="auto" w:fill="auto"/>
                <w:lang w:val="en-US" w:eastAsia="zh-CN"/>
              </w:rPr>
              <w:t>水泥料仓</w:t>
            </w:r>
            <w:r>
              <w:rPr>
                <w:rFonts w:hint="default" w:ascii="Times New Roman" w:hAnsi="Times New Roman" w:eastAsia="宋体" w:cs="Times New Roman"/>
                <w:color w:val="auto"/>
                <w:sz w:val="24"/>
                <w:szCs w:val="24"/>
                <w:highlight w:val="none"/>
                <w:shd w:val="clear" w:color="auto" w:fill="auto"/>
                <w:lang w:val="en-US" w:eastAsia="zh-CN"/>
              </w:rPr>
              <w:t>颗粒物</w:t>
            </w:r>
            <w:r>
              <w:rPr>
                <w:rFonts w:hint="default" w:ascii="Times New Roman" w:hAnsi="Times New Roman" w:eastAsia="宋体" w:cs="Times New Roman"/>
                <w:color w:val="auto"/>
                <w:sz w:val="24"/>
                <w:szCs w:val="24"/>
                <w:highlight w:val="none"/>
                <w:shd w:val="clear" w:color="auto" w:fill="auto"/>
              </w:rPr>
              <w:t>的产生量为</w:t>
            </w:r>
            <w:r>
              <w:rPr>
                <w:rFonts w:hint="eastAsia" w:ascii="Times New Roman" w:hAnsi="Times New Roman" w:cs="Times New Roman"/>
                <w:color w:val="auto"/>
                <w:sz w:val="24"/>
                <w:szCs w:val="24"/>
                <w:highlight w:val="none"/>
                <w:shd w:val="clear" w:color="auto" w:fill="auto"/>
                <w:lang w:val="en-US" w:eastAsia="zh-CN"/>
              </w:rPr>
              <w:t>2.4</w:t>
            </w:r>
            <w:r>
              <w:rPr>
                <w:rFonts w:hint="default" w:ascii="Times New Roman" w:hAnsi="Times New Roman" w:eastAsia="宋体" w:cs="Times New Roman"/>
                <w:color w:val="auto"/>
                <w:sz w:val="24"/>
                <w:szCs w:val="24"/>
                <w:highlight w:val="none"/>
                <w:shd w:val="clear" w:color="auto" w:fill="auto"/>
              </w:rPr>
              <w:t>t/a</w:t>
            </w:r>
            <w:r>
              <w:rPr>
                <w:rFonts w:hint="eastAsia" w:ascii="Times New Roman" w:hAnsi="Times New Roman" w:cs="Times New Roman"/>
                <w:color w:val="auto"/>
                <w:sz w:val="24"/>
                <w:szCs w:val="24"/>
                <w:highlight w:val="none"/>
                <w:shd w:val="clear" w:color="auto" w:fill="auto"/>
                <w:lang w:eastAsia="zh-CN"/>
              </w:rPr>
              <w:t>，</w:t>
            </w:r>
            <w:r>
              <w:rPr>
                <w:rFonts w:hint="default" w:ascii="Times New Roman" w:hAnsi="Times New Roman" w:cs="Times New Roman"/>
                <w:color w:val="auto"/>
                <w:sz w:val="24"/>
                <w:highlight w:val="none"/>
                <w:shd w:val="clear" w:color="auto" w:fill="auto"/>
              </w:rPr>
              <w:t>每100t粉状</w:t>
            </w:r>
            <w:r>
              <w:rPr>
                <w:rFonts w:hint="default" w:ascii="Times New Roman" w:hAnsi="Times New Roman" w:cs="Times New Roman"/>
                <w:color w:val="auto"/>
                <w:sz w:val="24"/>
                <w:highlight w:val="none"/>
                <w:shd w:val="clear" w:color="auto" w:fill="auto"/>
                <w:lang w:val="en-US" w:eastAsia="zh-CN"/>
              </w:rPr>
              <w:t>物料从</w:t>
            </w:r>
            <w:r>
              <w:rPr>
                <w:rFonts w:hint="default" w:ascii="Times New Roman" w:hAnsi="Times New Roman" w:cs="Times New Roman"/>
                <w:color w:val="auto"/>
                <w:sz w:val="24"/>
                <w:highlight w:val="none"/>
                <w:shd w:val="clear" w:color="auto" w:fill="auto"/>
              </w:rPr>
              <w:t>罐车打入粉料</w:t>
            </w:r>
            <w:r>
              <w:rPr>
                <w:rFonts w:hint="eastAsia" w:ascii="Times New Roman" w:hAnsi="Times New Roman" w:cs="Times New Roman"/>
                <w:color w:val="auto"/>
                <w:sz w:val="24"/>
                <w:highlight w:val="none"/>
                <w:shd w:val="clear" w:color="auto" w:fill="auto"/>
                <w:lang w:eastAsia="zh-CN"/>
              </w:rPr>
              <w:t>料仓</w:t>
            </w:r>
            <w:r>
              <w:rPr>
                <w:rFonts w:hint="eastAsia" w:ascii="Times New Roman" w:hAnsi="Times New Roman" w:cs="Times New Roman"/>
                <w:color w:val="auto"/>
                <w:sz w:val="24"/>
                <w:highlight w:val="none"/>
                <w:shd w:val="clear" w:color="auto" w:fill="auto"/>
                <w:lang w:val="en-US" w:eastAsia="zh-CN"/>
              </w:rPr>
              <w:t>和出料</w:t>
            </w:r>
            <w:r>
              <w:rPr>
                <w:rFonts w:hint="default" w:ascii="Times New Roman" w:hAnsi="Times New Roman" w:cs="Times New Roman"/>
                <w:color w:val="auto"/>
                <w:sz w:val="24"/>
                <w:highlight w:val="none"/>
                <w:shd w:val="clear" w:color="auto" w:fill="auto"/>
              </w:rPr>
              <w:t>用时</w:t>
            </w:r>
            <w:r>
              <w:rPr>
                <w:rFonts w:hint="eastAsia" w:ascii="Times New Roman" w:hAnsi="Times New Roman" w:cs="Times New Roman"/>
                <w:color w:val="auto"/>
                <w:sz w:val="24"/>
                <w:highlight w:val="none"/>
                <w:shd w:val="clear" w:color="auto" w:fill="auto"/>
                <w:lang w:val="en-US" w:eastAsia="zh-CN"/>
              </w:rPr>
              <w:t>均为</w:t>
            </w:r>
            <w:r>
              <w:rPr>
                <w:rFonts w:hint="default" w:ascii="Times New Roman" w:hAnsi="Times New Roman" w:cs="Times New Roman"/>
                <w:color w:val="auto"/>
                <w:sz w:val="24"/>
                <w:highlight w:val="none"/>
                <w:shd w:val="clear" w:color="auto" w:fill="auto"/>
              </w:rPr>
              <w:t>3h，</w:t>
            </w:r>
            <w:r>
              <w:rPr>
                <w:rFonts w:hint="default" w:ascii="Times New Roman" w:hAnsi="Times New Roman" w:cs="Times New Roman"/>
                <w:color w:val="auto"/>
                <w:sz w:val="24"/>
                <w:highlight w:val="none"/>
                <w:shd w:val="clear" w:color="auto" w:fill="auto"/>
                <w:lang w:val="en-US" w:eastAsia="zh-CN"/>
              </w:rPr>
              <w:t>则</w:t>
            </w:r>
            <w:r>
              <w:rPr>
                <w:rFonts w:hint="eastAsia" w:ascii="Times New Roman" w:hAnsi="Times New Roman" w:cs="Times New Roman"/>
                <w:color w:val="auto"/>
                <w:sz w:val="24"/>
                <w:highlight w:val="none"/>
                <w:shd w:val="clear" w:color="auto" w:fill="auto"/>
                <w:lang w:val="en-US" w:eastAsia="zh-CN"/>
              </w:rPr>
              <w:t>水泥料仓</w:t>
            </w:r>
            <w:r>
              <w:rPr>
                <w:rFonts w:hint="default" w:ascii="Times New Roman" w:hAnsi="Times New Roman" w:cs="Times New Roman"/>
                <w:color w:val="auto"/>
                <w:sz w:val="24"/>
                <w:highlight w:val="none"/>
                <w:shd w:val="clear" w:color="auto" w:fill="auto"/>
                <w:lang w:val="en-US" w:eastAsia="zh-CN"/>
              </w:rPr>
              <w:t>卸料时间</w:t>
            </w:r>
            <w:r>
              <w:rPr>
                <w:rFonts w:hint="eastAsia" w:ascii="Times New Roman" w:hAnsi="Times New Roman" w:cs="Times New Roman"/>
                <w:color w:val="auto"/>
                <w:sz w:val="24"/>
                <w:highlight w:val="none"/>
                <w:shd w:val="clear" w:color="auto" w:fill="auto"/>
                <w:lang w:val="en-US" w:eastAsia="zh-CN"/>
              </w:rPr>
              <w:t>总计</w:t>
            </w:r>
            <w:r>
              <w:rPr>
                <w:rFonts w:hint="default" w:ascii="Times New Roman" w:hAnsi="Times New Roman" w:cs="Times New Roman"/>
                <w:color w:val="auto"/>
                <w:sz w:val="24"/>
                <w:highlight w:val="none"/>
                <w:shd w:val="clear" w:color="auto" w:fill="auto"/>
                <w:lang w:val="en-US" w:eastAsia="zh-CN"/>
              </w:rPr>
              <w:t>为</w:t>
            </w:r>
            <w:r>
              <w:rPr>
                <w:rFonts w:hint="eastAsia" w:ascii="Times New Roman" w:hAnsi="Times New Roman" w:cs="Times New Roman"/>
                <w:color w:val="auto"/>
                <w:sz w:val="24"/>
                <w:highlight w:val="none"/>
                <w:shd w:val="clear" w:color="auto" w:fill="auto"/>
                <w:lang w:val="en-US" w:eastAsia="zh-CN"/>
              </w:rPr>
              <w:t>758</w:t>
            </w:r>
            <w:r>
              <w:rPr>
                <w:rFonts w:hint="default" w:ascii="Times New Roman" w:hAnsi="Times New Roman" w:cs="Times New Roman"/>
                <w:color w:val="auto"/>
                <w:sz w:val="24"/>
                <w:highlight w:val="none"/>
                <w:shd w:val="clear" w:color="auto" w:fill="auto"/>
                <w:lang w:val="en-US" w:eastAsia="zh-CN"/>
              </w:rPr>
              <w:t>h</w:t>
            </w:r>
            <w:r>
              <w:rPr>
                <w:rFonts w:hint="eastAsia" w:ascii="Times New Roman" w:hAnsi="Times New Roman" w:cs="Times New Roman"/>
                <w:color w:val="auto"/>
                <w:sz w:val="24"/>
                <w:highlight w:val="none"/>
                <w:shd w:val="clear" w:color="auto" w:fill="auto"/>
                <w:lang w:val="en-US" w:eastAsia="zh-CN"/>
              </w:rPr>
              <w:t>，</w:t>
            </w:r>
            <w:r>
              <w:rPr>
                <w:rFonts w:ascii="Times New Roman" w:hAnsi="Times New Roman"/>
                <w:color w:val="auto"/>
                <w:sz w:val="24"/>
                <w:highlight w:val="none"/>
                <w:shd w:val="clear" w:color="auto" w:fill="auto"/>
              </w:rPr>
              <w:t>类比同类型</w:t>
            </w:r>
            <w:r>
              <w:rPr>
                <w:rFonts w:hint="eastAsia" w:ascii="Times New Roman" w:hAnsi="Times New Roman"/>
                <w:color w:val="auto"/>
                <w:sz w:val="24"/>
                <w:highlight w:val="none"/>
                <w:shd w:val="clear" w:color="auto" w:fill="auto"/>
                <w:lang w:eastAsia="zh-CN"/>
              </w:rPr>
              <w:t>料仓</w:t>
            </w:r>
            <w:r>
              <w:rPr>
                <w:rFonts w:ascii="Times New Roman" w:hAnsi="Times New Roman"/>
                <w:color w:val="auto"/>
                <w:sz w:val="24"/>
                <w:highlight w:val="none"/>
                <w:shd w:val="clear" w:color="auto" w:fill="auto"/>
              </w:rPr>
              <w:t>除尘装置配备情况，</w:t>
            </w:r>
            <w:r>
              <w:rPr>
                <w:rFonts w:hint="eastAsia" w:ascii="Times New Roman" w:hAnsi="Times New Roman" w:eastAsia="宋体" w:cs="Times New Roman"/>
                <w:color w:val="auto"/>
                <w:kern w:val="0"/>
                <w:sz w:val="24"/>
                <w:szCs w:val="24"/>
                <w:highlight w:val="none"/>
                <w:shd w:val="clear" w:color="auto" w:fill="auto"/>
                <w:lang w:val="en-US" w:eastAsia="zh-CN"/>
              </w:rPr>
              <w:t>仓顶布袋除尘器设置</w:t>
            </w:r>
            <w:r>
              <w:rPr>
                <w:rFonts w:ascii="Times New Roman" w:hAnsi="Times New Roman" w:eastAsia="宋体" w:cs="Times New Roman"/>
                <w:color w:val="auto"/>
                <w:sz w:val="24"/>
                <w:szCs w:val="24"/>
                <w:highlight w:val="none"/>
                <w:shd w:val="clear" w:color="auto" w:fill="auto"/>
              </w:rPr>
              <w:t>风量为</w:t>
            </w:r>
            <w:r>
              <w:rPr>
                <w:rFonts w:hint="eastAsia" w:ascii="Times New Roman" w:hAnsi="Times New Roman" w:eastAsia="宋体" w:cs="Times New Roman"/>
                <w:color w:val="auto"/>
                <w:sz w:val="24"/>
                <w:szCs w:val="24"/>
                <w:highlight w:val="none"/>
                <w:shd w:val="clear" w:color="auto" w:fill="auto"/>
                <w:lang w:val="en-US" w:eastAsia="zh-CN"/>
              </w:rPr>
              <w:t>2000N</w:t>
            </w:r>
            <w:r>
              <w:rPr>
                <w:rFonts w:ascii="Times New Roman" w:hAnsi="Times New Roman" w:eastAsia="宋体" w:cs="Times New Roman"/>
                <w:color w:val="auto"/>
                <w:sz w:val="24"/>
                <w:szCs w:val="24"/>
                <w:highlight w:val="none"/>
                <w:shd w:val="clear" w:color="auto" w:fill="auto"/>
              </w:rPr>
              <w:t>m</w:t>
            </w:r>
            <w:r>
              <w:rPr>
                <w:rFonts w:ascii="Times New Roman" w:hAnsi="Times New Roman" w:eastAsia="宋体" w:cs="Times New Roman"/>
                <w:color w:val="auto"/>
                <w:sz w:val="24"/>
                <w:szCs w:val="24"/>
                <w:highlight w:val="none"/>
                <w:shd w:val="clear" w:color="auto" w:fill="auto"/>
                <w:vertAlign w:val="superscript"/>
              </w:rPr>
              <w:t>3</w:t>
            </w:r>
            <w:r>
              <w:rPr>
                <w:rFonts w:ascii="Times New Roman" w:hAnsi="Times New Roman" w:eastAsia="宋体" w:cs="Times New Roman"/>
                <w:color w:val="auto"/>
                <w:sz w:val="24"/>
                <w:szCs w:val="24"/>
                <w:highlight w:val="none"/>
                <w:shd w:val="clear" w:color="auto" w:fill="auto"/>
              </w:rPr>
              <w:t>/h，</w:t>
            </w:r>
            <w:r>
              <w:rPr>
                <w:rFonts w:hint="eastAsia" w:ascii="Times New Roman" w:hAnsi="Times New Roman" w:cs="Times New Roman"/>
                <w:bCs/>
                <w:color w:val="auto"/>
                <w:sz w:val="24"/>
                <w:szCs w:val="24"/>
                <w:highlight w:val="none"/>
                <w:shd w:val="clear" w:color="auto" w:fill="auto"/>
              </w:rPr>
              <w:t>过滤面积</w:t>
            </w:r>
            <w:r>
              <w:rPr>
                <w:rFonts w:hint="eastAsia" w:ascii="Times New Roman" w:hAnsi="Times New Roman" w:cs="Times New Roman"/>
                <w:bCs/>
                <w:color w:val="auto"/>
                <w:sz w:val="24"/>
                <w:szCs w:val="24"/>
                <w:highlight w:val="none"/>
                <w:shd w:val="clear" w:color="auto" w:fill="auto"/>
                <w:lang w:val="en-US" w:eastAsia="zh-CN"/>
              </w:rPr>
              <w:t>56</w:t>
            </w:r>
            <w:r>
              <w:rPr>
                <w:rFonts w:hint="eastAsia" w:ascii="Times New Roman" w:hAnsi="Times New Roman" w:cs="Times New Roman"/>
                <w:bCs/>
                <w:color w:val="auto"/>
                <w:sz w:val="24"/>
                <w:szCs w:val="24"/>
                <w:highlight w:val="none"/>
                <w:shd w:val="clear" w:color="auto" w:fill="auto"/>
              </w:rPr>
              <w:t>m²，风速0.6m/</w:t>
            </w:r>
            <w:r>
              <w:rPr>
                <w:rFonts w:hint="eastAsia" w:ascii="Times New Roman" w:hAnsi="Times New Roman" w:cs="Times New Roman"/>
                <w:color w:val="auto"/>
                <w:sz w:val="24"/>
                <w:szCs w:val="24"/>
                <w:highlight w:val="none"/>
                <w:shd w:val="clear" w:color="auto" w:fill="auto"/>
              </w:rPr>
              <w:t>min</w:t>
            </w:r>
            <w:r>
              <w:rPr>
                <w:rFonts w:hint="eastAsia" w:ascii="Times New Roman" w:hAnsi="Times New Roman" w:cs="Times New Roman"/>
                <w:bCs/>
                <w:color w:val="auto"/>
                <w:sz w:val="24"/>
                <w:szCs w:val="24"/>
                <w:highlight w:val="none"/>
                <w:shd w:val="clear" w:color="auto" w:fill="auto"/>
                <w:lang w:eastAsia="zh-CN"/>
              </w:rPr>
              <w:t>。</w:t>
            </w:r>
            <w:r>
              <w:rPr>
                <w:rFonts w:hint="eastAsia" w:ascii="Times New Roman" w:hAnsi="Times New Roman" w:eastAsia="宋体" w:cs="Times New Roman"/>
                <w:color w:val="auto"/>
                <w:kern w:val="2"/>
                <w:sz w:val="24"/>
                <w:szCs w:val="24"/>
                <w:highlight w:val="none"/>
                <w:shd w:val="clear" w:color="auto" w:fill="auto"/>
                <w:lang w:val="en-US" w:eastAsia="zh-CN" w:bidi="ar-SA"/>
              </w:rPr>
              <w:t>除尘器出口浓度控制在10mg/m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3</w:t>
            </w:r>
            <w:r>
              <w:rPr>
                <w:rFonts w:hint="eastAsia" w:ascii="Times New Roman" w:hAnsi="Times New Roman" w:eastAsia="宋体" w:cs="Times New Roman"/>
                <w:color w:val="auto"/>
                <w:kern w:val="2"/>
                <w:sz w:val="24"/>
                <w:szCs w:val="24"/>
                <w:highlight w:val="none"/>
                <w:shd w:val="clear" w:color="auto" w:fill="auto"/>
                <w:lang w:val="en-US" w:eastAsia="zh-CN" w:bidi="ar-SA"/>
              </w:rPr>
              <w:t>以下（本次以10mg/m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3</w:t>
            </w:r>
            <w:r>
              <w:rPr>
                <w:rFonts w:hint="eastAsia" w:ascii="Times New Roman" w:hAnsi="Times New Roman" w:eastAsia="宋体" w:cs="Times New Roman"/>
                <w:color w:val="auto"/>
                <w:kern w:val="2"/>
                <w:sz w:val="24"/>
                <w:szCs w:val="24"/>
                <w:highlight w:val="none"/>
                <w:shd w:val="clear" w:color="auto" w:fill="auto"/>
                <w:lang w:val="en-US" w:eastAsia="zh-CN" w:bidi="ar-SA"/>
              </w:rPr>
              <w:t>计），则</w:t>
            </w:r>
            <w:r>
              <w:rPr>
                <w:rFonts w:hint="eastAsia" w:ascii="Times New Roman" w:hAnsi="Times New Roman" w:cs="Times New Roman"/>
                <w:color w:val="auto"/>
                <w:kern w:val="2"/>
                <w:sz w:val="24"/>
                <w:szCs w:val="24"/>
                <w:highlight w:val="none"/>
                <w:shd w:val="clear" w:color="auto" w:fill="auto"/>
                <w:lang w:val="en-US" w:eastAsia="zh-CN" w:bidi="ar-SA"/>
              </w:rPr>
              <w:t>水泥料仓</w:t>
            </w:r>
            <w:r>
              <w:rPr>
                <w:rFonts w:hint="eastAsia" w:ascii="Times New Roman" w:hAnsi="Times New Roman" w:eastAsia="宋体" w:cs="Times New Roman"/>
                <w:color w:val="auto"/>
                <w:kern w:val="2"/>
                <w:sz w:val="24"/>
                <w:szCs w:val="24"/>
                <w:highlight w:val="none"/>
                <w:shd w:val="clear" w:color="auto" w:fill="auto"/>
                <w:lang w:val="en-US" w:eastAsia="zh-CN" w:bidi="ar-SA"/>
              </w:rPr>
              <w:t>颗粒物排放量=</w:t>
            </w:r>
            <w:r>
              <w:rPr>
                <w:rFonts w:hint="eastAsia" w:ascii="Times New Roman" w:hAnsi="Times New Roman" w:cs="Times New Roman"/>
                <w:color w:val="auto"/>
                <w:sz w:val="24"/>
                <w:highlight w:val="none"/>
                <w:shd w:val="clear" w:color="auto" w:fill="auto"/>
                <w:lang w:val="en-US" w:eastAsia="zh-CN"/>
              </w:rPr>
              <w:t>758</w:t>
            </w:r>
            <w:r>
              <w:rPr>
                <w:rFonts w:hint="eastAsia" w:ascii="Times New Roman" w:hAnsi="Times New Roman" w:eastAsia="宋体" w:cs="Times New Roman"/>
                <w:color w:val="auto"/>
                <w:kern w:val="2"/>
                <w:sz w:val="24"/>
                <w:szCs w:val="24"/>
                <w:highlight w:val="none"/>
                <w:shd w:val="clear" w:color="auto" w:fill="auto"/>
                <w:lang w:val="en-US" w:eastAsia="zh-CN" w:bidi="ar-SA"/>
              </w:rPr>
              <w:t>h×2000Nm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3</w:t>
            </w:r>
            <w:r>
              <w:rPr>
                <w:rFonts w:hint="eastAsia" w:ascii="Times New Roman" w:hAnsi="Times New Roman" w:eastAsia="宋体" w:cs="Times New Roman"/>
                <w:color w:val="auto"/>
                <w:kern w:val="2"/>
                <w:sz w:val="24"/>
                <w:szCs w:val="24"/>
                <w:highlight w:val="none"/>
                <w:shd w:val="clear" w:color="auto" w:fill="auto"/>
                <w:lang w:val="en-US" w:eastAsia="zh-CN" w:bidi="ar-SA"/>
              </w:rPr>
              <w:t>/h×10mg/m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3</w:t>
            </w:r>
            <w:r>
              <w:rPr>
                <w:rFonts w:hint="eastAsia" w:ascii="Times New Roman" w:hAnsi="Times New Roman" w:eastAsia="宋体" w:cs="Times New Roman"/>
                <w:color w:val="auto"/>
                <w:kern w:val="2"/>
                <w:sz w:val="24"/>
                <w:szCs w:val="24"/>
                <w:highlight w:val="none"/>
                <w:shd w:val="clear" w:color="auto" w:fill="auto"/>
                <w:vertAlign w:val="baseline"/>
                <w:lang w:val="en-US" w:eastAsia="zh-CN" w:bidi="ar-SA"/>
              </w:rPr>
              <w:t>×10</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-9</w:t>
            </w:r>
            <w:r>
              <w:rPr>
                <w:rFonts w:hint="eastAsia" w:ascii="Times New Roman" w:hAnsi="Times New Roman" w:eastAsia="宋体" w:cs="Times New Roman"/>
                <w:color w:val="auto"/>
                <w:kern w:val="2"/>
                <w:sz w:val="24"/>
                <w:szCs w:val="24"/>
                <w:highlight w:val="none"/>
                <w:shd w:val="clear" w:color="auto" w:fill="auto"/>
                <w:lang w:val="en-US" w:eastAsia="zh-CN" w:bidi="ar-SA"/>
              </w:rPr>
              <w:t>=0.</w:t>
            </w:r>
            <w:r>
              <w:rPr>
                <w:rFonts w:hint="eastAsia" w:ascii="Times New Roman" w:hAnsi="Times New Roman" w:cs="Times New Roman"/>
                <w:color w:val="auto"/>
                <w:kern w:val="2"/>
                <w:sz w:val="24"/>
                <w:szCs w:val="24"/>
                <w:highlight w:val="none"/>
                <w:shd w:val="clear" w:color="auto" w:fill="auto"/>
                <w:lang w:val="en-US" w:eastAsia="zh-CN" w:bidi="ar-SA"/>
              </w:rPr>
              <w:t>015</w:t>
            </w:r>
            <w:r>
              <w:rPr>
                <w:rFonts w:hint="eastAsia" w:ascii="Times New Roman" w:hAnsi="Times New Roman" w:eastAsia="宋体" w:cs="Times New Roman"/>
                <w:color w:val="auto"/>
                <w:kern w:val="2"/>
                <w:sz w:val="24"/>
                <w:szCs w:val="24"/>
                <w:highlight w:val="none"/>
                <w:shd w:val="clear" w:color="auto" w:fill="auto"/>
                <w:lang w:val="en-US" w:eastAsia="zh-CN" w:bidi="ar-SA"/>
              </w:rPr>
              <w:t>t/a，</w:t>
            </w:r>
            <w:r>
              <w:rPr>
                <w:rFonts w:hint="default" w:ascii="Times New Roman" w:hAnsi="Times New Roman" w:eastAsia="宋体" w:cs="Times New Roman"/>
                <w:color w:val="auto"/>
                <w:kern w:val="10"/>
                <w:sz w:val="24"/>
                <w:highlight w:val="none"/>
                <w:lang w:val="en-US" w:eastAsia="zh-CN"/>
              </w:rPr>
              <w:t>满足《水泥工业大气污染物排放标准》（DB14/3176-2024）</w:t>
            </w:r>
            <w:r>
              <w:rPr>
                <w:rFonts w:hint="eastAsia" w:ascii="Times New Roman" w:hAnsi="Times New Roman" w:eastAsia="宋体" w:cs="Times New Roman"/>
                <w:color w:val="auto"/>
                <w:kern w:val="10"/>
                <w:sz w:val="24"/>
                <w:highlight w:val="none"/>
                <w:lang w:val="en-US" w:eastAsia="zh-CN"/>
              </w:rPr>
              <w:t>中排放</w:t>
            </w:r>
            <w:r>
              <w:rPr>
                <w:rFonts w:hint="default" w:ascii="Times New Roman" w:hAnsi="Times New Roman" w:eastAsia="宋体" w:cs="Times New Roman"/>
                <w:color w:val="auto"/>
                <w:kern w:val="10"/>
                <w:sz w:val="24"/>
                <w:highlight w:val="none"/>
                <w:lang w:val="en-US" w:eastAsia="zh-CN"/>
              </w:rPr>
              <w:t>限值要求</w:t>
            </w:r>
            <w:r>
              <w:rPr>
                <w:rFonts w:hint="eastAsia" w:cs="Times New Roman"/>
                <w:color w:val="auto"/>
                <w:kern w:val="2"/>
                <w:sz w:val="24"/>
                <w:szCs w:val="24"/>
                <w:highlight w:val="none"/>
                <w:lang w:val="en-US" w:eastAsia="zh-CN" w:bidi="ar-SA"/>
              </w:rPr>
              <w:t>。</w:t>
            </w:r>
          </w:p>
          <w:p w14:paraId="72A2CAC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imes New Roman" w:hAnsi="Times New Roman" w:eastAsia="宋体" w:cs="Times New Roman"/>
                <w:color w:val="auto"/>
                <w:kern w:val="2"/>
                <w:sz w:val="24"/>
                <w:szCs w:val="24"/>
                <w:highlight w:val="none"/>
                <w:shd w:val="clear" w:color="auto" w:fill="auto"/>
                <w:lang w:val="en-US" w:eastAsia="zh-CN" w:bidi="ar-SA"/>
              </w:rPr>
            </w:pPr>
            <w:r>
              <w:rPr>
                <w:rFonts w:hint="eastAsia" w:ascii="Times New Roman" w:hAnsi="Times New Roman" w:cs="Times New Roman"/>
                <w:color w:val="auto"/>
                <w:sz w:val="24"/>
                <w:szCs w:val="24"/>
                <w:highlight w:val="none"/>
                <w:shd w:val="clear" w:color="auto" w:fill="auto"/>
                <w:lang w:val="en-US" w:eastAsia="zh-CN"/>
              </w:rPr>
              <w:t>粉煤灰</w:t>
            </w:r>
            <w:r>
              <w:rPr>
                <w:rFonts w:hint="default" w:ascii="Times New Roman" w:hAnsi="Times New Roman" w:eastAsia="宋体" w:cs="Times New Roman"/>
                <w:color w:val="auto"/>
                <w:sz w:val="24"/>
                <w:szCs w:val="24"/>
                <w:highlight w:val="none"/>
                <w:shd w:val="clear" w:color="auto" w:fill="auto"/>
                <w:lang w:val="en-US" w:eastAsia="zh-CN"/>
              </w:rPr>
              <w:t>的年用量为</w:t>
            </w:r>
            <w:r>
              <w:rPr>
                <w:rFonts w:hint="eastAsia" w:ascii="Times New Roman" w:hAnsi="Times New Roman" w:cs="Times New Roman"/>
                <w:color w:val="auto"/>
                <w:sz w:val="24"/>
                <w:szCs w:val="24"/>
                <w:highlight w:val="none"/>
                <w:shd w:val="clear" w:color="auto" w:fill="auto"/>
                <w:lang w:val="en-US" w:eastAsia="zh-CN"/>
              </w:rPr>
              <w:t>3326</w:t>
            </w:r>
            <w:r>
              <w:rPr>
                <w:rFonts w:hint="default" w:ascii="Times New Roman" w:hAnsi="Times New Roman" w:eastAsia="宋体" w:cs="Times New Roman"/>
                <w:color w:val="auto"/>
                <w:sz w:val="24"/>
                <w:szCs w:val="24"/>
                <w:highlight w:val="none"/>
                <w:shd w:val="clear" w:color="auto" w:fill="auto"/>
                <w:lang w:val="en-US" w:eastAsia="zh-CN"/>
              </w:rPr>
              <w:t>t，则</w:t>
            </w:r>
            <w:r>
              <w:rPr>
                <w:rFonts w:hint="eastAsia" w:ascii="Times New Roman" w:hAnsi="Times New Roman" w:cs="Times New Roman"/>
                <w:color w:val="auto"/>
                <w:sz w:val="24"/>
                <w:szCs w:val="24"/>
                <w:highlight w:val="none"/>
                <w:shd w:val="clear" w:color="auto" w:fill="auto"/>
                <w:lang w:val="en-US" w:eastAsia="zh-CN"/>
              </w:rPr>
              <w:t>粉煤灰料仓</w:t>
            </w:r>
            <w:r>
              <w:rPr>
                <w:rFonts w:hint="default" w:ascii="Times New Roman" w:hAnsi="Times New Roman" w:eastAsia="宋体" w:cs="Times New Roman"/>
                <w:color w:val="auto"/>
                <w:sz w:val="24"/>
                <w:szCs w:val="24"/>
                <w:highlight w:val="none"/>
                <w:shd w:val="clear" w:color="auto" w:fill="auto"/>
                <w:lang w:val="en-US" w:eastAsia="zh-CN"/>
              </w:rPr>
              <w:t>颗粒物</w:t>
            </w:r>
            <w:r>
              <w:rPr>
                <w:rFonts w:hint="default" w:ascii="Times New Roman" w:hAnsi="Times New Roman" w:eastAsia="宋体" w:cs="Times New Roman"/>
                <w:color w:val="auto"/>
                <w:sz w:val="24"/>
                <w:szCs w:val="24"/>
                <w:highlight w:val="none"/>
                <w:shd w:val="clear" w:color="auto" w:fill="auto"/>
              </w:rPr>
              <w:t>的产生量为</w:t>
            </w:r>
            <w:r>
              <w:rPr>
                <w:rFonts w:hint="eastAsia" w:ascii="Times New Roman" w:hAnsi="Times New Roman" w:cs="Times New Roman"/>
                <w:color w:val="auto"/>
                <w:sz w:val="24"/>
                <w:szCs w:val="24"/>
                <w:highlight w:val="none"/>
                <w:shd w:val="clear" w:color="auto" w:fill="auto"/>
                <w:lang w:val="en-US" w:eastAsia="zh-CN"/>
              </w:rPr>
              <w:t>0.63</w:t>
            </w:r>
            <w:r>
              <w:rPr>
                <w:rFonts w:hint="default" w:ascii="Times New Roman" w:hAnsi="Times New Roman" w:eastAsia="宋体" w:cs="Times New Roman"/>
                <w:color w:val="auto"/>
                <w:sz w:val="24"/>
                <w:szCs w:val="24"/>
                <w:highlight w:val="none"/>
                <w:shd w:val="clear" w:color="auto" w:fill="auto"/>
              </w:rPr>
              <w:t>t/a</w:t>
            </w:r>
            <w:r>
              <w:rPr>
                <w:rFonts w:hint="eastAsia" w:ascii="Times New Roman" w:hAnsi="Times New Roman" w:cs="Times New Roman"/>
                <w:color w:val="auto"/>
                <w:sz w:val="24"/>
                <w:szCs w:val="24"/>
                <w:highlight w:val="none"/>
                <w:shd w:val="clear" w:color="auto" w:fill="auto"/>
                <w:lang w:eastAsia="zh-CN"/>
              </w:rPr>
              <w:t>，</w:t>
            </w:r>
            <w:r>
              <w:rPr>
                <w:rFonts w:hint="default" w:ascii="Times New Roman" w:hAnsi="Times New Roman" w:cs="Times New Roman"/>
                <w:color w:val="auto"/>
                <w:sz w:val="24"/>
                <w:highlight w:val="none"/>
                <w:shd w:val="clear" w:color="auto" w:fill="auto"/>
              </w:rPr>
              <w:t>每100t粉状</w:t>
            </w:r>
            <w:r>
              <w:rPr>
                <w:rFonts w:hint="default" w:ascii="Times New Roman" w:hAnsi="Times New Roman" w:cs="Times New Roman"/>
                <w:color w:val="auto"/>
                <w:sz w:val="24"/>
                <w:highlight w:val="none"/>
                <w:shd w:val="clear" w:color="auto" w:fill="auto"/>
                <w:lang w:val="en-US" w:eastAsia="zh-CN"/>
              </w:rPr>
              <w:t>物料从</w:t>
            </w:r>
            <w:r>
              <w:rPr>
                <w:rFonts w:hint="default" w:ascii="Times New Roman" w:hAnsi="Times New Roman" w:cs="Times New Roman"/>
                <w:color w:val="auto"/>
                <w:sz w:val="24"/>
                <w:highlight w:val="none"/>
                <w:shd w:val="clear" w:color="auto" w:fill="auto"/>
              </w:rPr>
              <w:t>罐车打入粉料</w:t>
            </w:r>
            <w:r>
              <w:rPr>
                <w:rFonts w:hint="eastAsia" w:ascii="Times New Roman" w:hAnsi="Times New Roman" w:cs="Times New Roman"/>
                <w:color w:val="auto"/>
                <w:sz w:val="24"/>
                <w:highlight w:val="none"/>
                <w:shd w:val="clear" w:color="auto" w:fill="auto"/>
                <w:lang w:eastAsia="zh-CN"/>
              </w:rPr>
              <w:t>料仓</w:t>
            </w:r>
            <w:r>
              <w:rPr>
                <w:rFonts w:hint="eastAsia" w:ascii="Times New Roman" w:hAnsi="Times New Roman" w:cs="Times New Roman"/>
                <w:color w:val="auto"/>
                <w:sz w:val="24"/>
                <w:highlight w:val="none"/>
                <w:shd w:val="clear" w:color="auto" w:fill="auto"/>
                <w:lang w:val="en-US" w:eastAsia="zh-CN"/>
              </w:rPr>
              <w:t>和出料</w:t>
            </w:r>
            <w:r>
              <w:rPr>
                <w:rFonts w:hint="default" w:ascii="Times New Roman" w:hAnsi="Times New Roman" w:cs="Times New Roman"/>
                <w:color w:val="auto"/>
                <w:sz w:val="24"/>
                <w:highlight w:val="none"/>
                <w:shd w:val="clear" w:color="auto" w:fill="auto"/>
              </w:rPr>
              <w:t>用时</w:t>
            </w:r>
            <w:r>
              <w:rPr>
                <w:rFonts w:hint="eastAsia" w:ascii="Times New Roman" w:hAnsi="Times New Roman" w:cs="Times New Roman"/>
                <w:color w:val="auto"/>
                <w:sz w:val="24"/>
                <w:highlight w:val="none"/>
                <w:shd w:val="clear" w:color="auto" w:fill="auto"/>
                <w:lang w:val="en-US" w:eastAsia="zh-CN"/>
              </w:rPr>
              <w:t>均为</w:t>
            </w:r>
            <w:r>
              <w:rPr>
                <w:rFonts w:hint="default" w:ascii="Times New Roman" w:hAnsi="Times New Roman" w:cs="Times New Roman"/>
                <w:color w:val="auto"/>
                <w:sz w:val="24"/>
                <w:highlight w:val="none"/>
                <w:shd w:val="clear" w:color="auto" w:fill="auto"/>
              </w:rPr>
              <w:t>3h，</w:t>
            </w:r>
            <w:r>
              <w:rPr>
                <w:rFonts w:hint="eastAsia" w:ascii="Times New Roman" w:hAnsi="Times New Roman" w:cs="Times New Roman"/>
                <w:color w:val="auto"/>
                <w:sz w:val="24"/>
                <w:szCs w:val="24"/>
                <w:highlight w:val="none"/>
                <w:shd w:val="clear" w:color="auto" w:fill="auto"/>
                <w:lang w:val="en-US" w:eastAsia="zh-CN"/>
              </w:rPr>
              <w:t>则</w:t>
            </w:r>
            <w:r>
              <w:rPr>
                <w:rFonts w:hint="eastAsia" w:ascii="Times New Roman" w:hAnsi="Times New Roman" w:cs="Times New Roman"/>
                <w:color w:val="auto"/>
                <w:sz w:val="24"/>
                <w:highlight w:val="none"/>
                <w:shd w:val="clear" w:color="auto" w:fill="auto"/>
                <w:lang w:val="en-US" w:eastAsia="zh-CN"/>
              </w:rPr>
              <w:t>粉煤灰料仓</w:t>
            </w:r>
            <w:r>
              <w:rPr>
                <w:rFonts w:hint="default" w:ascii="Times New Roman" w:hAnsi="Times New Roman" w:cs="Times New Roman"/>
                <w:color w:val="auto"/>
                <w:sz w:val="24"/>
                <w:highlight w:val="none"/>
                <w:shd w:val="clear" w:color="auto" w:fill="auto"/>
                <w:lang w:val="en-US" w:eastAsia="zh-CN"/>
              </w:rPr>
              <w:t>卸料时间</w:t>
            </w:r>
            <w:r>
              <w:rPr>
                <w:rFonts w:hint="eastAsia" w:ascii="Times New Roman" w:hAnsi="Times New Roman" w:cs="Times New Roman"/>
                <w:color w:val="auto"/>
                <w:sz w:val="24"/>
                <w:highlight w:val="none"/>
                <w:shd w:val="clear" w:color="auto" w:fill="auto"/>
                <w:lang w:val="en-US" w:eastAsia="zh-CN"/>
              </w:rPr>
              <w:t>总计</w:t>
            </w:r>
            <w:r>
              <w:rPr>
                <w:rFonts w:hint="default" w:ascii="Times New Roman" w:hAnsi="Times New Roman" w:cs="Times New Roman"/>
                <w:color w:val="auto"/>
                <w:sz w:val="24"/>
                <w:highlight w:val="none"/>
                <w:shd w:val="clear" w:color="auto" w:fill="auto"/>
                <w:lang w:val="en-US" w:eastAsia="zh-CN"/>
              </w:rPr>
              <w:t>为</w:t>
            </w:r>
            <w:r>
              <w:rPr>
                <w:rFonts w:hint="eastAsia" w:ascii="Times New Roman" w:hAnsi="Times New Roman" w:cs="Times New Roman"/>
                <w:color w:val="auto"/>
                <w:sz w:val="24"/>
                <w:highlight w:val="none"/>
                <w:shd w:val="clear" w:color="auto" w:fill="auto"/>
                <w:lang w:val="en-US" w:eastAsia="zh-CN"/>
              </w:rPr>
              <w:t>200</w:t>
            </w:r>
            <w:r>
              <w:rPr>
                <w:rFonts w:hint="default" w:ascii="Times New Roman" w:hAnsi="Times New Roman" w:cs="Times New Roman"/>
                <w:color w:val="auto"/>
                <w:sz w:val="24"/>
                <w:highlight w:val="none"/>
                <w:shd w:val="clear" w:color="auto" w:fill="auto"/>
                <w:lang w:val="en-US" w:eastAsia="zh-CN"/>
              </w:rPr>
              <w:t>h</w:t>
            </w:r>
            <w:r>
              <w:rPr>
                <w:rFonts w:hint="eastAsia" w:ascii="Times New Roman" w:hAnsi="Times New Roman" w:cs="Times New Roman"/>
                <w:color w:val="auto"/>
                <w:sz w:val="24"/>
                <w:highlight w:val="none"/>
                <w:shd w:val="clear" w:color="auto" w:fill="auto"/>
                <w:lang w:val="en-US" w:eastAsia="zh-CN"/>
              </w:rPr>
              <w:t>。</w:t>
            </w:r>
            <w:r>
              <w:rPr>
                <w:rFonts w:ascii="Times New Roman" w:hAnsi="Times New Roman"/>
                <w:color w:val="auto"/>
                <w:sz w:val="24"/>
                <w:highlight w:val="none"/>
                <w:shd w:val="clear" w:color="auto" w:fill="auto"/>
              </w:rPr>
              <w:t>类比同类型</w:t>
            </w:r>
            <w:r>
              <w:rPr>
                <w:rFonts w:hint="eastAsia" w:ascii="Times New Roman" w:hAnsi="Times New Roman"/>
                <w:color w:val="auto"/>
                <w:sz w:val="24"/>
                <w:highlight w:val="none"/>
                <w:shd w:val="clear" w:color="auto" w:fill="auto"/>
                <w:lang w:eastAsia="zh-CN"/>
              </w:rPr>
              <w:t>料仓</w:t>
            </w:r>
            <w:r>
              <w:rPr>
                <w:rFonts w:ascii="Times New Roman" w:hAnsi="Times New Roman"/>
                <w:color w:val="auto"/>
                <w:sz w:val="24"/>
                <w:highlight w:val="none"/>
                <w:shd w:val="clear" w:color="auto" w:fill="auto"/>
              </w:rPr>
              <w:t>除尘装置配备情况，</w:t>
            </w:r>
            <w:r>
              <w:rPr>
                <w:rFonts w:hint="eastAsia" w:ascii="Times New Roman" w:hAnsi="Times New Roman" w:eastAsia="宋体" w:cs="Times New Roman"/>
                <w:color w:val="auto"/>
                <w:kern w:val="0"/>
                <w:sz w:val="24"/>
                <w:szCs w:val="24"/>
                <w:highlight w:val="none"/>
                <w:shd w:val="clear" w:color="auto" w:fill="auto"/>
                <w:lang w:val="en-US" w:eastAsia="zh-CN"/>
              </w:rPr>
              <w:t>仓顶布袋除尘器设置</w:t>
            </w:r>
            <w:r>
              <w:rPr>
                <w:rFonts w:ascii="Times New Roman" w:hAnsi="Times New Roman" w:eastAsia="宋体" w:cs="Times New Roman"/>
                <w:color w:val="auto"/>
                <w:sz w:val="24"/>
                <w:szCs w:val="24"/>
                <w:highlight w:val="none"/>
                <w:shd w:val="clear" w:color="auto" w:fill="auto"/>
              </w:rPr>
              <w:t>风量为</w:t>
            </w:r>
            <w:r>
              <w:rPr>
                <w:rFonts w:hint="eastAsia" w:ascii="Times New Roman" w:hAnsi="Times New Roman" w:eastAsia="宋体" w:cs="Times New Roman"/>
                <w:color w:val="auto"/>
                <w:sz w:val="24"/>
                <w:szCs w:val="24"/>
                <w:highlight w:val="none"/>
                <w:shd w:val="clear" w:color="auto" w:fill="auto"/>
                <w:lang w:val="en-US" w:eastAsia="zh-CN"/>
              </w:rPr>
              <w:t>2000N</w:t>
            </w:r>
            <w:r>
              <w:rPr>
                <w:rFonts w:ascii="Times New Roman" w:hAnsi="Times New Roman" w:eastAsia="宋体" w:cs="Times New Roman"/>
                <w:color w:val="auto"/>
                <w:sz w:val="24"/>
                <w:szCs w:val="24"/>
                <w:highlight w:val="none"/>
                <w:shd w:val="clear" w:color="auto" w:fill="auto"/>
              </w:rPr>
              <w:t>m</w:t>
            </w:r>
            <w:r>
              <w:rPr>
                <w:rFonts w:ascii="Times New Roman" w:hAnsi="Times New Roman" w:eastAsia="宋体" w:cs="Times New Roman"/>
                <w:color w:val="auto"/>
                <w:sz w:val="24"/>
                <w:szCs w:val="24"/>
                <w:highlight w:val="none"/>
                <w:shd w:val="clear" w:color="auto" w:fill="auto"/>
                <w:vertAlign w:val="superscript"/>
              </w:rPr>
              <w:t>3</w:t>
            </w:r>
            <w:r>
              <w:rPr>
                <w:rFonts w:ascii="Times New Roman" w:hAnsi="Times New Roman" w:eastAsia="宋体" w:cs="Times New Roman"/>
                <w:color w:val="auto"/>
                <w:sz w:val="24"/>
                <w:szCs w:val="24"/>
                <w:highlight w:val="none"/>
                <w:shd w:val="clear" w:color="auto" w:fill="auto"/>
              </w:rPr>
              <w:t>/h，</w:t>
            </w:r>
            <w:r>
              <w:rPr>
                <w:rFonts w:hint="eastAsia" w:ascii="Times New Roman" w:hAnsi="Times New Roman" w:cs="Times New Roman"/>
                <w:bCs/>
                <w:color w:val="auto"/>
                <w:sz w:val="24"/>
                <w:szCs w:val="24"/>
                <w:highlight w:val="none"/>
                <w:shd w:val="clear" w:color="auto" w:fill="auto"/>
              </w:rPr>
              <w:t>过滤面积</w:t>
            </w:r>
            <w:r>
              <w:rPr>
                <w:rFonts w:hint="eastAsia" w:ascii="Times New Roman" w:hAnsi="Times New Roman" w:cs="Times New Roman"/>
                <w:bCs/>
                <w:color w:val="auto"/>
                <w:sz w:val="24"/>
                <w:szCs w:val="24"/>
                <w:highlight w:val="none"/>
                <w:shd w:val="clear" w:color="auto" w:fill="auto"/>
                <w:lang w:val="en-US" w:eastAsia="zh-CN"/>
              </w:rPr>
              <w:t>56</w:t>
            </w:r>
            <w:r>
              <w:rPr>
                <w:rFonts w:hint="eastAsia" w:ascii="Times New Roman" w:hAnsi="Times New Roman" w:cs="Times New Roman"/>
                <w:bCs/>
                <w:color w:val="auto"/>
                <w:sz w:val="24"/>
                <w:szCs w:val="24"/>
                <w:highlight w:val="none"/>
                <w:shd w:val="clear" w:color="auto" w:fill="auto"/>
              </w:rPr>
              <w:t>m²，风速0.6m/</w:t>
            </w:r>
            <w:r>
              <w:rPr>
                <w:rFonts w:hint="eastAsia" w:ascii="Times New Roman" w:hAnsi="Times New Roman" w:cs="Times New Roman"/>
                <w:color w:val="auto"/>
                <w:sz w:val="24"/>
                <w:szCs w:val="24"/>
                <w:highlight w:val="none"/>
                <w:shd w:val="clear" w:color="auto" w:fill="auto"/>
              </w:rPr>
              <w:t>min</w:t>
            </w:r>
            <w:r>
              <w:rPr>
                <w:rFonts w:hint="eastAsia" w:ascii="Times New Roman" w:hAnsi="Times New Roman" w:cs="Times New Roman"/>
                <w:bCs/>
                <w:color w:val="auto"/>
                <w:sz w:val="24"/>
                <w:szCs w:val="24"/>
                <w:highlight w:val="none"/>
                <w:shd w:val="clear" w:color="auto" w:fill="auto"/>
                <w:lang w:eastAsia="zh-CN"/>
              </w:rPr>
              <w:t>。</w:t>
            </w:r>
            <w:r>
              <w:rPr>
                <w:rFonts w:hint="eastAsia" w:ascii="Times New Roman" w:hAnsi="Times New Roman" w:eastAsia="宋体" w:cs="Times New Roman"/>
                <w:color w:val="auto"/>
                <w:kern w:val="2"/>
                <w:sz w:val="24"/>
                <w:szCs w:val="24"/>
                <w:highlight w:val="none"/>
                <w:shd w:val="clear" w:color="auto" w:fill="auto"/>
                <w:lang w:val="en-US" w:eastAsia="zh-CN" w:bidi="ar-SA"/>
              </w:rPr>
              <w:t>除尘器出口浓度控制在10mg/m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3</w:t>
            </w:r>
            <w:r>
              <w:rPr>
                <w:rFonts w:hint="eastAsia" w:ascii="Times New Roman" w:hAnsi="Times New Roman" w:eastAsia="宋体" w:cs="Times New Roman"/>
                <w:color w:val="auto"/>
                <w:kern w:val="2"/>
                <w:sz w:val="24"/>
                <w:szCs w:val="24"/>
                <w:highlight w:val="none"/>
                <w:shd w:val="clear" w:color="auto" w:fill="auto"/>
                <w:lang w:val="en-US" w:eastAsia="zh-CN" w:bidi="ar-SA"/>
              </w:rPr>
              <w:t>以下（本次以10mg/m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3</w:t>
            </w:r>
            <w:r>
              <w:rPr>
                <w:rFonts w:hint="eastAsia" w:ascii="Times New Roman" w:hAnsi="Times New Roman" w:eastAsia="宋体" w:cs="Times New Roman"/>
                <w:color w:val="auto"/>
                <w:kern w:val="2"/>
                <w:sz w:val="24"/>
                <w:szCs w:val="24"/>
                <w:highlight w:val="none"/>
                <w:shd w:val="clear" w:color="auto" w:fill="auto"/>
                <w:lang w:val="en-US" w:eastAsia="zh-CN" w:bidi="ar-SA"/>
              </w:rPr>
              <w:t>计），则</w:t>
            </w:r>
            <w:r>
              <w:rPr>
                <w:rFonts w:hint="eastAsia" w:ascii="Times New Roman" w:hAnsi="Times New Roman" w:cs="Times New Roman"/>
                <w:color w:val="auto"/>
                <w:kern w:val="2"/>
                <w:sz w:val="24"/>
                <w:szCs w:val="24"/>
                <w:highlight w:val="none"/>
                <w:shd w:val="clear" w:color="auto" w:fill="auto"/>
                <w:lang w:val="en-US" w:eastAsia="zh-CN" w:bidi="ar-SA"/>
              </w:rPr>
              <w:t>粉煤灰料仓</w:t>
            </w:r>
            <w:r>
              <w:rPr>
                <w:rFonts w:hint="eastAsia" w:ascii="Times New Roman" w:hAnsi="Times New Roman" w:eastAsia="宋体" w:cs="Times New Roman"/>
                <w:color w:val="auto"/>
                <w:kern w:val="2"/>
                <w:sz w:val="24"/>
                <w:szCs w:val="24"/>
                <w:highlight w:val="none"/>
                <w:shd w:val="clear" w:color="auto" w:fill="auto"/>
                <w:lang w:val="en-US" w:eastAsia="zh-CN" w:bidi="ar-SA"/>
              </w:rPr>
              <w:t>颗粒物排放量=</w:t>
            </w:r>
            <w:r>
              <w:rPr>
                <w:rFonts w:hint="eastAsia" w:ascii="Times New Roman" w:hAnsi="Times New Roman" w:cs="Times New Roman"/>
                <w:color w:val="auto"/>
                <w:sz w:val="24"/>
                <w:highlight w:val="none"/>
                <w:shd w:val="clear" w:color="auto" w:fill="auto"/>
                <w:lang w:val="en-US" w:eastAsia="zh-CN"/>
              </w:rPr>
              <w:t>200</w:t>
            </w:r>
            <w:r>
              <w:rPr>
                <w:rFonts w:hint="eastAsia" w:ascii="Times New Roman" w:hAnsi="Times New Roman" w:eastAsia="宋体" w:cs="Times New Roman"/>
                <w:color w:val="auto"/>
                <w:kern w:val="2"/>
                <w:sz w:val="24"/>
                <w:szCs w:val="24"/>
                <w:highlight w:val="none"/>
                <w:shd w:val="clear" w:color="auto" w:fill="auto"/>
                <w:lang w:val="en-US" w:eastAsia="zh-CN" w:bidi="ar-SA"/>
              </w:rPr>
              <w:t>h×2000Nm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3</w:t>
            </w:r>
            <w:r>
              <w:rPr>
                <w:rFonts w:hint="eastAsia" w:ascii="Times New Roman" w:hAnsi="Times New Roman" w:eastAsia="宋体" w:cs="Times New Roman"/>
                <w:color w:val="auto"/>
                <w:kern w:val="2"/>
                <w:sz w:val="24"/>
                <w:szCs w:val="24"/>
                <w:highlight w:val="none"/>
                <w:shd w:val="clear" w:color="auto" w:fill="auto"/>
                <w:lang w:val="en-US" w:eastAsia="zh-CN" w:bidi="ar-SA"/>
              </w:rPr>
              <w:t>/h×10mg/m</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3</w:t>
            </w:r>
            <w:r>
              <w:rPr>
                <w:rFonts w:hint="eastAsia" w:ascii="Times New Roman" w:hAnsi="Times New Roman" w:eastAsia="宋体" w:cs="Times New Roman"/>
                <w:color w:val="auto"/>
                <w:kern w:val="2"/>
                <w:sz w:val="24"/>
                <w:szCs w:val="24"/>
                <w:highlight w:val="none"/>
                <w:shd w:val="clear" w:color="auto" w:fill="auto"/>
                <w:vertAlign w:val="baseline"/>
                <w:lang w:val="en-US" w:eastAsia="zh-CN" w:bidi="ar-SA"/>
              </w:rPr>
              <w:t>×10</w:t>
            </w:r>
            <w:r>
              <w:rPr>
                <w:rFonts w:hint="eastAsia" w:ascii="Times New Roman" w:hAnsi="Times New Roman" w:eastAsia="宋体" w:cs="Times New Roman"/>
                <w:color w:val="auto"/>
                <w:kern w:val="2"/>
                <w:sz w:val="24"/>
                <w:szCs w:val="24"/>
                <w:highlight w:val="none"/>
                <w:shd w:val="clear" w:color="auto" w:fill="auto"/>
                <w:vertAlign w:val="superscript"/>
                <w:lang w:val="en-US" w:eastAsia="zh-CN" w:bidi="ar-SA"/>
              </w:rPr>
              <w:t>-9</w:t>
            </w:r>
            <w:r>
              <w:rPr>
                <w:rFonts w:hint="eastAsia" w:ascii="Times New Roman" w:hAnsi="Times New Roman" w:eastAsia="宋体" w:cs="Times New Roman"/>
                <w:color w:val="auto"/>
                <w:kern w:val="2"/>
                <w:sz w:val="24"/>
                <w:szCs w:val="24"/>
                <w:highlight w:val="none"/>
                <w:shd w:val="clear" w:color="auto" w:fill="auto"/>
                <w:lang w:val="en-US" w:eastAsia="zh-CN" w:bidi="ar-SA"/>
              </w:rPr>
              <w:t>=0.</w:t>
            </w:r>
            <w:r>
              <w:rPr>
                <w:rFonts w:hint="eastAsia" w:ascii="Times New Roman" w:hAnsi="Times New Roman" w:cs="Times New Roman"/>
                <w:color w:val="auto"/>
                <w:kern w:val="2"/>
                <w:sz w:val="24"/>
                <w:szCs w:val="24"/>
                <w:highlight w:val="none"/>
                <w:shd w:val="clear" w:color="auto" w:fill="auto"/>
                <w:lang w:val="en-US" w:eastAsia="zh-CN" w:bidi="ar-SA"/>
              </w:rPr>
              <w:t>004</w:t>
            </w:r>
            <w:r>
              <w:rPr>
                <w:rFonts w:hint="eastAsia" w:ascii="Times New Roman" w:hAnsi="Times New Roman" w:eastAsia="宋体" w:cs="Times New Roman"/>
                <w:color w:val="auto"/>
                <w:kern w:val="2"/>
                <w:sz w:val="24"/>
                <w:szCs w:val="24"/>
                <w:highlight w:val="none"/>
                <w:shd w:val="clear" w:color="auto" w:fill="auto"/>
                <w:lang w:val="en-US" w:eastAsia="zh-CN" w:bidi="ar-SA"/>
              </w:rPr>
              <w:t>t/a，</w:t>
            </w:r>
            <w:r>
              <w:rPr>
                <w:rFonts w:hint="default" w:ascii="Times New Roman" w:hAnsi="Times New Roman" w:eastAsia="宋体" w:cs="Times New Roman"/>
                <w:color w:val="auto"/>
                <w:kern w:val="10"/>
                <w:sz w:val="24"/>
                <w:highlight w:val="none"/>
                <w:lang w:val="en-US" w:eastAsia="zh-CN"/>
              </w:rPr>
              <w:t>满足《水泥工业大气污染物排放标准》（DB14/3176-2024）</w:t>
            </w:r>
            <w:r>
              <w:rPr>
                <w:rFonts w:hint="eastAsia" w:ascii="Times New Roman" w:hAnsi="Times New Roman" w:eastAsia="宋体" w:cs="Times New Roman"/>
                <w:color w:val="auto"/>
                <w:kern w:val="10"/>
                <w:sz w:val="24"/>
                <w:highlight w:val="none"/>
                <w:lang w:val="en-US" w:eastAsia="zh-CN"/>
              </w:rPr>
              <w:t>中排放</w:t>
            </w:r>
            <w:r>
              <w:rPr>
                <w:rFonts w:hint="default" w:ascii="Times New Roman" w:hAnsi="Times New Roman" w:eastAsia="宋体" w:cs="Times New Roman"/>
                <w:color w:val="auto"/>
                <w:kern w:val="10"/>
                <w:sz w:val="24"/>
                <w:highlight w:val="none"/>
                <w:lang w:val="en-US" w:eastAsia="zh-CN"/>
              </w:rPr>
              <w:t>限值要求</w:t>
            </w:r>
            <w:r>
              <w:rPr>
                <w:rFonts w:hint="eastAsia" w:cs="Times New Roman"/>
                <w:color w:val="auto"/>
                <w:kern w:val="2"/>
                <w:sz w:val="24"/>
                <w:szCs w:val="24"/>
                <w:highlight w:val="none"/>
                <w:lang w:val="en-US" w:eastAsia="zh-CN" w:bidi="ar-SA"/>
              </w:rPr>
              <w:t>。</w:t>
            </w:r>
          </w:p>
          <w:p w14:paraId="5E062B1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Times New Roman" w:hAnsi="Times New Roman"/>
                <w:color w:val="auto"/>
                <w:sz w:val="24"/>
                <w:szCs w:val="24"/>
                <w:highlight w:val="none"/>
                <w:shd w:val="clear" w:color="auto" w:fill="auto"/>
                <w:lang w:eastAsia="zh-CN"/>
              </w:rPr>
            </w:pPr>
            <w:r>
              <w:rPr>
                <w:rFonts w:hint="eastAsia" w:ascii="Times New Roman" w:hAnsi="Times New Roman" w:cs="Times New Roman"/>
                <w:color w:val="auto"/>
                <w:kern w:val="2"/>
                <w:sz w:val="24"/>
                <w:szCs w:val="24"/>
                <w:highlight w:val="none"/>
                <w:lang w:val="en-US" w:eastAsia="zh-CN" w:bidi="ar-SA"/>
              </w:rPr>
              <w:t>水稳料生产线</w:t>
            </w:r>
            <w:r>
              <w:rPr>
                <w:rFonts w:hint="default" w:ascii="Times New Roman" w:hAnsi="Times New Roman" w:eastAsia="宋体" w:cs="Times New Roman"/>
                <w:color w:val="auto"/>
                <w:sz w:val="24"/>
                <w:szCs w:val="24"/>
                <w:highlight w:val="none"/>
                <w:lang w:val="en-US" w:eastAsia="zh-CN"/>
              </w:rPr>
              <w:t>水泥的年用量为</w:t>
            </w:r>
            <w:r>
              <w:rPr>
                <w:rFonts w:hint="eastAsia" w:ascii="Times New Roman" w:hAnsi="Times New Roman" w:cs="Times New Roman"/>
                <w:color w:val="auto"/>
                <w:sz w:val="24"/>
                <w:szCs w:val="24"/>
                <w:highlight w:val="none"/>
                <w:lang w:val="en-US" w:eastAsia="zh-CN"/>
              </w:rPr>
              <w:t>1.2302</w:t>
            </w:r>
            <w:r>
              <w:rPr>
                <w:rFonts w:hint="default" w:ascii="Times New Roman" w:hAnsi="Times New Roman" w:eastAsia="宋体" w:cs="Times New Roman"/>
                <w:color w:val="auto"/>
                <w:sz w:val="24"/>
                <w:szCs w:val="24"/>
                <w:highlight w:val="none"/>
                <w:lang w:val="en-US" w:eastAsia="zh-CN"/>
              </w:rPr>
              <w:t>万t</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则</w:t>
            </w:r>
            <w:r>
              <w:rPr>
                <w:rFonts w:hint="eastAsia" w:ascii="Times New Roman" w:hAnsi="Times New Roman" w:cs="Times New Roman"/>
                <w:color w:val="auto"/>
                <w:sz w:val="24"/>
                <w:szCs w:val="24"/>
                <w:highlight w:val="none"/>
                <w:lang w:val="en-US" w:eastAsia="zh-CN"/>
              </w:rPr>
              <w:t>水泥料仓</w:t>
            </w:r>
            <w:r>
              <w:rPr>
                <w:rFonts w:hint="default" w:ascii="Times New Roman" w:hAnsi="Times New Roman" w:eastAsia="宋体" w:cs="Times New Roman"/>
                <w:color w:val="auto"/>
                <w:sz w:val="24"/>
                <w:szCs w:val="24"/>
                <w:highlight w:val="none"/>
                <w:lang w:val="en-US" w:eastAsia="zh-CN"/>
              </w:rPr>
              <w:t>颗粒物</w:t>
            </w:r>
            <w:r>
              <w:rPr>
                <w:rFonts w:hint="default" w:ascii="Times New Roman" w:hAnsi="Times New Roman" w:eastAsia="宋体" w:cs="Times New Roman"/>
                <w:color w:val="auto"/>
                <w:sz w:val="24"/>
                <w:szCs w:val="24"/>
                <w:highlight w:val="none"/>
              </w:rPr>
              <w:t>的产生量为</w:t>
            </w:r>
            <w:r>
              <w:rPr>
                <w:rFonts w:hint="eastAsia" w:ascii="Times New Roman" w:hAnsi="Times New Roman" w:cs="Times New Roman"/>
                <w:color w:val="auto"/>
                <w:sz w:val="24"/>
                <w:szCs w:val="24"/>
                <w:highlight w:val="none"/>
                <w:lang w:val="en-US" w:eastAsia="zh-CN"/>
              </w:rPr>
              <w:t>2.33</w:t>
            </w:r>
            <w:r>
              <w:rPr>
                <w:rFonts w:hint="default" w:ascii="Times New Roman" w:hAnsi="Times New Roman" w:eastAsia="宋体" w:cs="Times New Roman"/>
                <w:color w:val="auto"/>
                <w:sz w:val="24"/>
                <w:szCs w:val="24"/>
                <w:highlight w:val="none"/>
              </w:rPr>
              <w:t>t/a</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highlight w:val="none"/>
              </w:rPr>
              <w:t>每100t粉状</w:t>
            </w:r>
            <w:r>
              <w:rPr>
                <w:rFonts w:hint="default" w:ascii="Times New Roman" w:hAnsi="Times New Roman" w:cs="Times New Roman"/>
                <w:color w:val="auto"/>
                <w:sz w:val="24"/>
                <w:highlight w:val="none"/>
                <w:lang w:val="en-US" w:eastAsia="zh-CN"/>
              </w:rPr>
              <w:t>物料从</w:t>
            </w:r>
            <w:r>
              <w:rPr>
                <w:rFonts w:hint="default" w:ascii="Times New Roman" w:hAnsi="Times New Roman" w:cs="Times New Roman"/>
                <w:color w:val="auto"/>
                <w:sz w:val="24"/>
                <w:highlight w:val="none"/>
              </w:rPr>
              <w:t>罐车打入粉料</w:t>
            </w:r>
            <w:r>
              <w:rPr>
                <w:rFonts w:hint="eastAsia" w:ascii="Times New Roman" w:hAnsi="Times New Roman" w:cs="Times New Roman"/>
                <w:color w:val="auto"/>
                <w:sz w:val="24"/>
                <w:highlight w:val="none"/>
                <w:lang w:eastAsia="zh-CN"/>
              </w:rPr>
              <w:t>料仓</w:t>
            </w:r>
            <w:r>
              <w:rPr>
                <w:rFonts w:hint="eastAsia" w:ascii="Times New Roman" w:hAnsi="Times New Roman" w:cs="Times New Roman"/>
                <w:color w:val="auto"/>
                <w:sz w:val="24"/>
                <w:highlight w:val="none"/>
                <w:lang w:val="en-US" w:eastAsia="zh-CN"/>
              </w:rPr>
              <w:t>或出料</w:t>
            </w:r>
            <w:r>
              <w:rPr>
                <w:rFonts w:hint="default" w:ascii="Times New Roman" w:hAnsi="Times New Roman" w:cs="Times New Roman"/>
                <w:color w:val="auto"/>
                <w:sz w:val="24"/>
                <w:highlight w:val="none"/>
              </w:rPr>
              <w:t>用时</w:t>
            </w:r>
            <w:r>
              <w:rPr>
                <w:rFonts w:hint="eastAsia" w:ascii="Times New Roman" w:hAnsi="Times New Roman" w:cs="Times New Roman"/>
                <w:color w:val="auto"/>
                <w:sz w:val="24"/>
                <w:highlight w:val="none"/>
                <w:lang w:val="en-US" w:eastAsia="zh-CN"/>
              </w:rPr>
              <w:t>均为</w:t>
            </w:r>
            <w:r>
              <w:rPr>
                <w:rFonts w:hint="default" w:ascii="Times New Roman" w:hAnsi="Times New Roman" w:cs="Times New Roman"/>
                <w:color w:val="auto"/>
                <w:sz w:val="24"/>
                <w:highlight w:val="none"/>
              </w:rPr>
              <w:t>3h，</w:t>
            </w:r>
            <w:r>
              <w:rPr>
                <w:rFonts w:hint="default" w:ascii="Times New Roman" w:hAnsi="Times New Roman" w:cs="Times New Roman"/>
                <w:color w:val="auto"/>
                <w:sz w:val="24"/>
                <w:highlight w:val="none"/>
                <w:lang w:val="en-US" w:eastAsia="zh-CN"/>
              </w:rPr>
              <w:t>则</w:t>
            </w:r>
            <w:r>
              <w:rPr>
                <w:rFonts w:hint="eastAsia" w:ascii="Times New Roman" w:hAnsi="Times New Roman" w:cs="Times New Roman"/>
                <w:color w:val="auto"/>
                <w:sz w:val="24"/>
                <w:highlight w:val="none"/>
                <w:lang w:val="en-US" w:eastAsia="zh-CN"/>
              </w:rPr>
              <w:t>水泥料仓</w:t>
            </w:r>
            <w:r>
              <w:rPr>
                <w:rFonts w:hint="default" w:ascii="Times New Roman" w:hAnsi="Times New Roman" w:cs="Times New Roman"/>
                <w:color w:val="auto"/>
                <w:sz w:val="24"/>
                <w:highlight w:val="none"/>
                <w:lang w:val="en-US" w:eastAsia="zh-CN"/>
              </w:rPr>
              <w:t>卸料</w:t>
            </w:r>
            <w:r>
              <w:rPr>
                <w:rFonts w:hint="eastAsia" w:ascii="Times New Roman" w:hAnsi="Times New Roman" w:cs="Times New Roman"/>
                <w:color w:val="auto"/>
                <w:sz w:val="24"/>
                <w:highlight w:val="none"/>
                <w:lang w:val="en-US" w:eastAsia="zh-CN"/>
              </w:rPr>
              <w:t>和出料</w:t>
            </w:r>
            <w:r>
              <w:rPr>
                <w:rFonts w:hint="default" w:ascii="Times New Roman" w:hAnsi="Times New Roman" w:cs="Times New Roman"/>
                <w:color w:val="auto"/>
                <w:sz w:val="24"/>
                <w:highlight w:val="none"/>
                <w:lang w:val="en-US" w:eastAsia="zh-CN"/>
              </w:rPr>
              <w:t>时间</w:t>
            </w:r>
            <w:r>
              <w:rPr>
                <w:rFonts w:hint="eastAsia" w:ascii="Times New Roman" w:hAnsi="Times New Roman" w:cs="Times New Roman"/>
                <w:color w:val="auto"/>
                <w:sz w:val="24"/>
                <w:highlight w:val="none"/>
                <w:lang w:val="en-US" w:eastAsia="zh-CN"/>
              </w:rPr>
              <w:t>总计</w:t>
            </w:r>
            <w:r>
              <w:rPr>
                <w:rFonts w:hint="default" w:ascii="Times New Roman" w:hAnsi="Times New Roman" w:cs="Times New Roman"/>
                <w:color w:val="auto"/>
                <w:sz w:val="24"/>
                <w:highlight w:val="none"/>
                <w:lang w:val="en-US" w:eastAsia="zh-CN"/>
              </w:rPr>
              <w:t>为</w:t>
            </w:r>
            <w:r>
              <w:rPr>
                <w:rFonts w:hint="eastAsia" w:ascii="Times New Roman" w:hAnsi="Times New Roman" w:cs="Times New Roman"/>
                <w:color w:val="auto"/>
                <w:sz w:val="24"/>
                <w:highlight w:val="none"/>
                <w:lang w:val="en-US" w:eastAsia="zh-CN"/>
              </w:rPr>
              <w:t>739</w:t>
            </w:r>
            <w:r>
              <w:rPr>
                <w:rFonts w:hint="default" w:ascii="Times New Roman" w:hAnsi="Times New Roman" w:cs="Times New Roman"/>
                <w:color w:val="auto"/>
                <w:sz w:val="24"/>
                <w:highlight w:val="none"/>
                <w:lang w:val="en-US" w:eastAsia="zh-CN"/>
              </w:rPr>
              <w:t>h</w:t>
            </w:r>
            <w:r>
              <w:rPr>
                <w:rFonts w:hint="eastAsia" w:ascii="Times New Roman" w:hAnsi="Times New Roman" w:cs="Times New Roman"/>
                <w:color w:val="auto"/>
                <w:sz w:val="24"/>
                <w:highlight w:val="none"/>
                <w:lang w:val="en-US" w:eastAsia="zh-CN"/>
              </w:rPr>
              <w:t>，</w:t>
            </w:r>
            <w:r>
              <w:rPr>
                <w:rFonts w:ascii="Times New Roman" w:hAnsi="Times New Roman"/>
                <w:color w:val="auto"/>
                <w:sz w:val="24"/>
                <w:highlight w:val="none"/>
              </w:rPr>
              <w:t>类比同类型</w:t>
            </w:r>
            <w:r>
              <w:rPr>
                <w:rFonts w:hint="eastAsia" w:ascii="Times New Roman" w:hAnsi="Times New Roman"/>
                <w:color w:val="auto"/>
                <w:sz w:val="24"/>
                <w:highlight w:val="none"/>
                <w:lang w:val="en-US" w:eastAsia="zh-CN"/>
              </w:rPr>
              <w:t>料</w:t>
            </w:r>
            <w:r>
              <w:rPr>
                <w:rFonts w:hint="eastAsia" w:ascii="Times New Roman" w:hAnsi="Times New Roman"/>
                <w:color w:val="auto"/>
                <w:sz w:val="24"/>
                <w:highlight w:val="none"/>
              </w:rPr>
              <w:t>仓</w:t>
            </w:r>
            <w:r>
              <w:rPr>
                <w:rFonts w:ascii="Times New Roman" w:hAnsi="Times New Roman"/>
                <w:color w:val="auto"/>
                <w:sz w:val="24"/>
                <w:highlight w:val="none"/>
              </w:rPr>
              <w:t>除尘装置配备情况，</w:t>
            </w:r>
            <w:r>
              <w:rPr>
                <w:rFonts w:hint="eastAsia" w:ascii="Times New Roman" w:hAnsi="Times New Roman" w:eastAsia="宋体" w:cs="Times New Roman"/>
                <w:color w:val="auto"/>
                <w:kern w:val="0"/>
                <w:sz w:val="24"/>
                <w:szCs w:val="24"/>
                <w:highlight w:val="none"/>
                <w:lang w:val="en-US" w:eastAsia="zh-CN"/>
              </w:rPr>
              <w:t>仓顶布袋除尘器设置</w:t>
            </w:r>
            <w:r>
              <w:rPr>
                <w:rFonts w:ascii="Times New Roman" w:hAnsi="Times New Roman" w:eastAsia="宋体" w:cs="Times New Roman"/>
                <w:color w:val="auto"/>
                <w:sz w:val="24"/>
                <w:szCs w:val="24"/>
                <w:highlight w:val="none"/>
              </w:rPr>
              <w:t>风量为</w:t>
            </w:r>
            <w:r>
              <w:rPr>
                <w:rFonts w:hint="eastAsia" w:ascii="Times New Roman" w:hAnsi="Times New Roman" w:eastAsia="宋体" w:cs="Times New Roman"/>
                <w:color w:val="auto"/>
                <w:sz w:val="24"/>
                <w:szCs w:val="24"/>
                <w:highlight w:val="none"/>
                <w:lang w:val="en-US" w:eastAsia="zh-CN"/>
              </w:rPr>
              <w:t>2000N</w:t>
            </w:r>
            <w:r>
              <w:rPr>
                <w:rFonts w:ascii="Times New Roman" w:hAnsi="Times New Roman" w:eastAsia="宋体" w:cs="Times New Roman"/>
                <w:color w:val="auto"/>
                <w:sz w:val="24"/>
                <w:szCs w:val="24"/>
                <w:highlight w:val="none"/>
              </w:rPr>
              <w:t>m</w:t>
            </w:r>
            <w:r>
              <w:rPr>
                <w:rFonts w:ascii="Times New Roman" w:hAnsi="Times New Roman" w:eastAsia="宋体" w:cs="Times New Roman"/>
                <w:color w:val="auto"/>
                <w:sz w:val="24"/>
                <w:szCs w:val="24"/>
                <w:highlight w:val="none"/>
                <w:vertAlign w:val="superscript"/>
              </w:rPr>
              <w:t>3</w:t>
            </w:r>
            <w:r>
              <w:rPr>
                <w:rFonts w:ascii="Times New Roman" w:hAnsi="Times New Roman" w:eastAsia="宋体" w:cs="Times New Roman"/>
                <w:color w:val="auto"/>
                <w:sz w:val="24"/>
                <w:szCs w:val="24"/>
                <w:highlight w:val="none"/>
              </w:rPr>
              <w:t>/h，</w:t>
            </w:r>
            <w:r>
              <w:rPr>
                <w:rFonts w:hint="eastAsia" w:ascii="Times New Roman" w:hAnsi="Times New Roman" w:cs="Times New Roman"/>
                <w:bCs/>
                <w:color w:val="auto"/>
                <w:sz w:val="24"/>
                <w:szCs w:val="24"/>
                <w:highlight w:val="none"/>
              </w:rPr>
              <w:t>过滤面积</w:t>
            </w:r>
            <w:r>
              <w:rPr>
                <w:rFonts w:hint="eastAsia" w:ascii="Times New Roman" w:hAnsi="Times New Roman" w:cs="Times New Roman"/>
                <w:bCs/>
                <w:color w:val="auto"/>
                <w:sz w:val="24"/>
                <w:szCs w:val="24"/>
                <w:highlight w:val="none"/>
                <w:lang w:val="en-US" w:eastAsia="zh-CN"/>
              </w:rPr>
              <w:t>56</w:t>
            </w:r>
            <w:r>
              <w:rPr>
                <w:rFonts w:hint="eastAsia" w:ascii="Times New Roman" w:hAnsi="Times New Roman" w:cs="Times New Roman"/>
                <w:bCs/>
                <w:color w:val="auto"/>
                <w:sz w:val="24"/>
                <w:szCs w:val="24"/>
                <w:highlight w:val="none"/>
              </w:rPr>
              <w:t>m²，风速0.6m/</w:t>
            </w:r>
            <w:r>
              <w:rPr>
                <w:rFonts w:hint="eastAsia" w:ascii="Times New Roman" w:hAnsi="Times New Roman" w:cs="Times New Roman"/>
                <w:color w:val="auto"/>
                <w:sz w:val="24"/>
                <w:szCs w:val="24"/>
                <w:highlight w:val="none"/>
              </w:rPr>
              <w:t>min</w:t>
            </w:r>
            <w:r>
              <w:rPr>
                <w:rFonts w:hint="eastAsia" w:ascii="Times New Roman" w:hAnsi="Times New Roman" w:cs="Times New Roman"/>
                <w:bCs/>
                <w:color w:val="auto"/>
                <w:sz w:val="24"/>
                <w:szCs w:val="24"/>
                <w:highlight w:val="none"/>
                <w:lang w:eastAsia="zh-CN"/>
              </w:rPr>
              <w:t>。</w:t>
            </w:r>
            <w:r>
              <w:rPr>
                <w:rFonts w:hint="eastAsia" w:ascii="Times New Roman" w:hAnsi="Times New Roman" w:eastAsia="宋体" w:cs="Times New Roman"/>
                <w:color w:val="auto"/>
                <w:kern w:val="2"/>
                <w:sz w:val="24"/>
                <w:szCs w:val="24"/>
                <w:highlight w:val="none"/>
                <w:lang w:val="en-US" w:eastAsia="zh-CN" w:bidi="ar-SA"/>
              </w:rPr>
              <w:t>除尘器出口浓度控制在10mg/m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以下（本次以10mg/m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计），则</w:t>
            </w:r>
            <w:r>
              <w:rPr>
                <w:rFonts w:hint="eastAsia" w:ascii="Times New Roman" w:hAnsi="Times New Roman" w:cs="Times New Roman"/>
                <w:color w:val="auto"/>
                <w:kern w:val="2"/>
                <w:sz w:val="24"/>
                <w:szCs w:val="24"/>
                <w:highlight w:val="none"/>
                <w:lang w:val="en-US" w:eastAsia="zh-CN" w:bidi="ar-SA"/>
              </w:rPr>
              <w:t>水泥料仓</w:t>
            </w:r>
            <w:r>
              <w:rPr>
                <w:rFonts w:hint="eastAsia" w:ascii="Times New Roman" w:hAnsi="Times New Roman" w:eastAsia="宋体" w:cs="Times New Roman"/>
                <w:color w:val="auto"/>
                <w:kern w:val="2"/>
                <w:sz w:val="24"/>
                <w:szCs w:val="24"/>
                <w:highlight w:val="none"/>
                <w:lang w:val="en-US" w:eastAsia="zh-CN" w:bidi="ar-SA"/>
              </w:rPr>
              <w:t>颗粒物排放量=</w:t>
            </w:r>
            <w:r>
              <w:rPr>
                <w:rFonts w:hint="eastAsia" w:ascii="Times New Roman" w:hAnsi="Times New Roman" w:cs="Times New Roman"/>
                <w:color w:val="auto"/>
                <w:sz w:val="24"/>
                <w:highlight w:val="none"/>
                <w:lang w:val="en-US" w:eastAsia="zh-CN"/>
              </w:rPr>
              <w:t>739</w:t>
            </w:r>
            <w:r>
              <w:rPr>
                <w:rFonts w:hint="eastAsia" w:ascii="Times New Roman" w:hAnsi="Times New Roman" w:eastAsia="宋体" w:cs="Times New Roman"/>
                <w:color w:val="auto"/>
                <w:kern w:val="2"/>
                <w:sz w:val="24"/>
                <w:szCs w:val="24"/>
                <w:highlight w:val="none"/>
                <w:lang w:val="en-US" w:eastAsia="zh-CN" w:bidi="ar-SA"/>
              </w:rPr>
              <w:t>h×2000Nm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/h×10mg/m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×10</w:t>
            </w:r>
            <w:r>
              <w:rPr>
                <w:rFonts w:hint="eastAsia" w:ascii="Times New Roman" w:hAnsi="Times New Roman" w:eastAsia="宋体" w:cs="Times New Roman"/>
                <w:color w:val="auto"/>
                <w:kern w:val="2"/>
                <w:sz w:val="24"/>
                <w:szCs w:val="24"/>
                <w:highlight w:val="none"/>
                <w:vertAlign w:val="superscript"/>
                <w:lang w:val="en-US" w:eastAsia="zh-CN" w:bidi="ar-SA"/>
              </w:rPr>
              <w:t>-9</w:t>
            </w:r>
            <w:r>
              <w:rPr>
                <w:rFonts w:hint="eastAsia" w:ascii="Times New Roman" w:hAnsi="Times New Roman" w:eastAsia="宋体" w:cs="Times New Roman"/>
                <w:color w:val="auto"/>
                <w:kern w:val="2"/>
                <w:sz w:val="24"/>
                <w:szCs w:val="24"/>
                <w:highlight w:val="none"/>
                <w:lang w:val="en-US" w:eastAsia="zh-CN" w:bidi="ar-SA"/>
              </w:rPr>
              <w:t>=0.</w:t>
            </w:r>
            <w:r>
              <w:rPr>
                <w:rFonts w:hint="eastAsia" w:ascii="Times New Roman" w:hAnsi="Times New Roman" w:cs="Times New Roman"/>
                <w:color w:val="auto"/>
                <w:kern w:val="2"/>
                <w:sz w:val="24"/>
                <w:szCs w:val="24"/>
                <w:highlight w:val="none"/>
                <w:lang w:val="en-US" w:eastAsia="zh-CN" w:bidi="ar-SA"/>
              </w:rPr>
              <w:t>015</w:t>
            </w:r>
            <w:r>
              <w:rPr>
                <w:rFonts w:hint="eastAsia" w:ascii="Times New Roman" w:hAnsi="Times New Roman" w:eastAsia="宋体" w:cs="Times New Roman"/>
                <w:color w:val="auto"/>
                <w:kern w:val="2"/>
                <w:sz w:val="24"/>
                <w:szCs w:val="24"/>
                <w:highlight w:val="none"/>
                <w:lang w:val="en-US" w:eastAsia="zh-CN" w:bidi="ar-SA"/>
              </w:rPr>
              <w:t>t/a</w:t>
            </w:r>
            <w:r>
              <w:rPr>
                <w:rFonts w:hint="eastAsia" w:ascii="Times New Roman" w:hAnsi="Times New Roman" w:cs="Times New Roman"/>
                <w:color w:val="auto"/>
                <w:kern w:val="2"/>
                <w:sz w:val="24"/>
                <w:szCs w:val="24"/>
                <w:highlight w:val="none"/>
                <w:lang w:val="en-US" w:eastAsia="zh-CN" w:bidi="ar-SA"/>
              </w:rPr>
              <w:t>，两条生产线水泥料仓颗粒物排放量总计0.0</w:t>
            </w:r>
            <w:r>
              <w:rPr>
                <w:rFonts w:hint="eastAsia" w:cs="Times New Roman"/>
                <w:color w:val="auto"/>
                <w:kern w:val="2"/>
                <w:sz w:val="24"/>
                <w:szCs w:val="24"/>
                <w:highlight w:val="none"/>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t/a</w:t>
            </w:r>
            <w:r>
              <w:rPr>
                <w:rFonts w:hint="eastAsia" w:ascii="Times New Roman" w:hAns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10"/>
                <w:sz w:val="24"/>
                <w:highlight w:val="none"/>
                <w:lang w:val="en-US" w:eastAsia="zh-CN"/>
              </w:rPr>
              <w:t>满足《水泥工业大气污染物排放标准》（DB14/3176-2024）</w:t>
            </w:r>
            <w:r>
              <w:rPr>
                <w:rFonts w:hint="eastAsia" w:ascii="Times New Roman" w:hAnsi="Times New Roman" w:eastAsia="宋体" w:cs="Times New Roman"/>
                <w:color w:val="auto"/>
                <w:kern w:val="10"/>
                <w:sz w:val="24"/>
                <w:highlight w:val="none"/>
                <w:lang w:val="en-US" w:eastAsia="zh-CN"/>
              </w:rPr>
              <w:t>中排放</w:t>
            </w:r>
            <w:r>
              <w:rPr>
                <w:rFonts w:hint="default" w:ascii="Times New Roman" w:hAnsi="Times New Roman" w:eastAsia="宋体" w:cs="Times New Roman"/>
                <w:color w:val="auto"/>
                <w:kern w:val="10"/>
                <w:sz w:val="24"/>
                <w:highlight w:val="none"/>
                <w:lang w:val="en-US" w:eastAsia="zh-CN"/>
              </w:rPr>
              <w:t>限值要求</w:t>
            </w:r>
            <w:r>
              <w:rPr>
                <w:rFonts w:hint="eastAsia" w:cs="Times New Roman"/>
                <w:color w:val="auto"/>
                <w:kern w:val="2"/>
                <w:sz w:val="24"/>
                <w:szCs w:val="24"/>
                <w:highlight w:val="none"/>
                <w:lang w:val="en-US" w:eastAsia="zh-CN" w:bidi="ar-SA"/>
              </w:rPr>
              <w:t>。</w:t>
            </w:r>
          </w:p>
          <w:p w14:paraId="5EA8E53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olor w:val="auto"/>
                <w:sz w:val="24"/>
                <w:szCs w:val="24"/>
                <w:highlight w:val="none"/>
                <w:shd w:val="clear" w:color="auto" w:fill="auto"/>
                <w:lang w:val="en-US" w:eastAsia="zh-CN"/>
              </w:rPr>
            </w:pPr>
            <w:r>
              <w:rPr>
                <w:rFonts w:hint="eastAsia" w:ascii="Times New Roman" w:hAnsi="Times New Roman"/>
                <w:color w:val="auto"/>
                <w:sz w:val="24"/>
                <w:szCs w:val="24"/>
                <w:highlight w:val="none"/>
                <w:shd w:val="clear" w:color="auto" w:fill="auto"/>
                <w:lang w:eastAsia="zh-CN"/>
              </w:rPr>
              <w:t>（</w:t>
            </w:r>
            <w:r>
              <w:rPr>
                <w:rFonts w:hint="eastAsia" w:ascii="Times New Roman" w:hAnsi="Times New Roman"/>
                <w:color w:val="auto"/>
                <w:sz w:val="24"/>
                <w:szCs w:val="24"/>
                <w:highlight w:val="none"/>
                <w:shd w:val="clear" w:color="auto" w:fill="auto"/>
                <w:lang w:val="en-US" w:eastAsia="zh-CN"/>
              </w:rPr>
              <w:t>2</w:t>
            </w:r>
            <w:r>
              <w:rPr>
                <w:rFonts w:hint="eastAsia" w:ascii="Times New Roman" w:hAnsi="Times New Roman"/>
                <w:color w:val="auto"/>
                <w:sz w:val="24"/>
                <w:szCs w:val="24"/>
                <w:highlight w:val="none"/>
                <w:shd w:val="clear" w:color="auto" w:fill="auto"/>
                <w:lang w:eastAsia="zh-CN"/>
              </w:rPr>
              <w:t>）</w:t>
            </w:r>
            <w:r>
              <w:rPr>
                <w:rFonts w:hint="eastAsia" w:ascii="Times New Roman" w:hAnsi="Times New Roman"/>
                <w:color w:val="auto"/>
                <w:sz w:val="24"/>
                <w:szCs w:val="24"/>
                <w:highlight w:val="none"/>
                <w:shd w:val="clear" w:color="auto" w:fill="auto"/>
                <w:lang w:val="en-US" w:eastAsia="zh-CN"/>
              </w:rPr>
              <w:t>无组织粉尘的</w:t>
            </w:r>
            <w:r>
              <w:rPr>
                <w:rFonts w:hint="eastAsia"/>
                <w:color w:val="auto"/>
                <w:sz w:val="24"/>
                <w:szCs w:val="24"/>
                <w:highlight w:val="none"/>
                <w:shd w:val="clear" w:color="auto" w:fill="auto"/>
                <w:lang w:val="en-US" w:eastAsia="zh-CN"/>
              </w:rPr>
              <w:t>收集和排放</w:t>
            </w:r>
            <w:r>
              <w:rPr>
                <w:rFonts w:hint="eastAsia" w:ascii="Times New Roman" w:hAnsi="Times New Roman"/>
                <w:color w:val="auto"/>
                <w:sz w:val="24"/>
                <w:szCs w:val="24"/>
                <w:highlight w:val="none"/>
                <w:shd w:val="clear" w:color="auto" w:fill="auto"/>
                <w:lang w:val="en-US" w:eastAsia="zh-CN"/>
              </w:rPr>
              <w:t>控制措施</w:t>
            </w:r>
          </w:p>
          <w:p w14:paraId="1991E10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szCs w:val="24"/>
                <w:highlight w:val="none"/>
                <w:shd w:val="clear" w:color="auto" w:fill="auto"/>
              </w:rPr>
            </w:pPr>
            <w:r>
              <w:rPr>
                <w:rFonts w:hint="eastAsia"/>
                <w:color w:val="auto"/>
                <w:sz w:val="24"/>
                <w:szCs w:val="24"/>
                <w:highlight w:val="none"/>
                <w:shd w:val="clear" w:color="auto" w:fill="auto"/>
                <w:lang w:val="en-US" w:eastAsia="zh-CN"/>
              </w:rPr>
              <w:t>根据长气防办〔2019〕9号文件《关于印发长治市工业企业无组织排放治理实施方案的通知》，</w:t>
            </w:r>
            <w:r>
              <w:rPr>
                <w:rFonts w:hint="eastAsia" w:ascii="Times New Roman" w:hAnsi="Times New Roman"/>
                <w:color w:val="auto"/>
                <w:sz w:val="24"/>
                <w:szCs w:val="24"/>
                <w:highlight w:val="none"/>
                <w:shd w:val="clear" w:color="auto" w:fill="auto"/>
              </w:rPr>
              <w:t>本项目厂区物料转运、皮带输送机转载点产生的无组织粉尘，</w:t>
            </w:r>
            <w:r>
              <w:rPr>
                <w:rFonts w:hint="eastAsia"/>
                <w:color w:val="auto"/>
                <w:sz w:val="24"/>
                <w:szCs w:val="24"/>
                <w:highlight w:val="none"/>
                <w:shd w:val="clear" w:color="auto" w:fill="auto"/>
                <w:lang w:val="en-US" w:eastAsia="zh-CN"/>
              </w:rPr>
              <w:t>环评要求</w:t>
            </w:r>
            <w:r>
              <w:rPr>
                <w:rFonts w:hint="eastAsia" w:ascii="Times New Roman" w:hAnsi="Times New Roman"/>
                <w:color w:val="auto"/>
                <w:sz w:val="24"/>
                <w:szCs w:val="24"/>
                <w:highlight w:val="none"/>
                <w:shd w:val="clear" w:color="auto" w:fill="auto"/>
              </w:rPr>
              <w:t>采取全密闭输送、密闭集尘、喷淋降尘、地面清扫洒水、车辆管控等综合防控措施：</w:t>
            </w:r>
          </w:p>
          <w:p w14:paraId="0F62BAA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szCs w:val="24"/>
                <w:highlight w:val="none"/>
                <w:shd w:val="clear" w:color="auto" w:fill="auto"/>
              </w:rPr>
            </w:pPr>
            <w:r>
              <w:rPr>
                <w:rFonts w:hint="eastAsia" w:ascii="Times New Roman" w:hAnsi="Times New Roman"/>
                <w:color w:val="auto"/>
                <w:sz w:val="24"/>
                <w:szCs w:val="24"/>
                <w:highlight w:val="none"/>
                <w:shd w:val="clear" w:color="auto" w:fill="auto"/>
                <w:lang w:val="en-US" w:eastAsia="zh-CN"/>
              </w:rPr>
              <w:t>1）</w:t>
            </w:r>
            <w:r>
              <w:rPr>
                <w:rFonts w:hint="eastAsia" w:ascii="Times New Roman" w:hAnsi="Times New Roman"/>
                <w:color w:val="auto"/>
                <w:sz w:val="24"/>
                <w:szCs w:val="24"/>
                <w:highlight w:val="none"/>
                <w:shd w:val="clear" w:color="auto" w:fill="auto"/>
              </w:rPr>
              <w:t>皮带输送</w:t>
            </w:r>
            <w:r>
              <w:rPr>
                <w:rFonts w:hint="eastAsia" w:ascii="Times New Roman" w:hAnsi="Times New Roman"/>
                <w:color w:val="auto"/>
                <w:sz w:val="24"/>
                <w:szCs w:val="24"/>
                <w:highlight w:val="none"/>
                <w:shd w:val="clear" w:color="auto" w:fill="auto"/>
                <w:lang w:val="en-US" w:eastAsia="zh-CN"/>
              </w:rPr>
              <w:t>机</w:t>
            </w:r>
            <w:r>
              <w:rPr>
                <w:rFonts w:hint="eastAsia" w:ascii="Times New Roman" w:hAnsi="Times New Roman"/>
                <w:color w:val="auto"/>
                <w:sz w:val="24"/>
                <w:szCs w:val="24"/>
                <w:highlight w:val="none"/>
                <w:shd w:val="clear" w:color="auto" w:fill="auto"/>
              </w:rPr>
              <w:t>系统密闭防控：项目所有物料输送</w:t>
            </w:r>
            <w:r>
              <w:rPr>
                <w:rFonts w:hint="eastAsia" w:ascii="Times New Roman" w:hAnsi="Times New Roman"/>
                <w:color w:val="auto"/>
                <w:sz w:val="24"/>
                <w:szCs w:val="24"/>
                <w:highlight w:val="none"/>
                <w:shd w:val="clear" w:color="auto" w:fill="auto"/>
                <w:lang w:val="en-US" w:eastAsia="zh-CN"/>
              </w:rPr>
              <w:t>机</w:t>
            </w:r>
            <w:r>
              <w:rPr>
                <w:rFonts w:hint="eastAsia" w:ascii="Times New Roman" w:hAnsi="Times New Roman"/>
                <w:color w:val="auto"/>
                <w:sz w:val="24"/>
                <w:szCs w:val="24"/>
                <w:highlight w:val="none"/>
                <w:shd w:val="clear" w:color="auto" w:fill="auto"/>
              </w:rPr>
              <w:t>均采用全封闭彩钢通廊包覆密闭，通廊接口、检修口采用密封胶密封，杜绝输送过程中粉尘从缝隙逸散。</w:t>
            </w:r>
          </w:p>
          <w:p w14:paraId="50B4296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szCs w:val="24"/>
                <w:highlight w:val="none"/>
                <w:shd w:val="clear" w:color="auto" w:fill="auto"/>
              </w:rPr>
            </w:pPr>
            <w:r>
              <w:rPr>
                <w:rFonts w:hint="eastAsia" w:ascii="Times New Roman" w:hAnsi="Times New Roman"/>
                <w:color w:val="auto"/>
                <w:sz w:val="24"/>
                <w:szCs w:val="24"/>
                <w:highlight w:val="none"/>
                <w:shd w:val="clear" w:color="auto" w:fill="auto"/>
                <w:lang w:val="en-US" w:eastAsia="zh-CN"/>
              </w:rPr>
              <w:t>2）</w:t>
            </w:r>
            <w:r>
              <w:rPr>
                <w:rFonts w:hint="eastAsia" w:ascii="Times New Roman" w:hAnsi="Times New Roman"/>
                <w:color w:val="auto"/>
                <w:sz w:val="24"/>
                <w:szCs w:val="24"/>
                <w:highlight w:val="none"/>
                <w:shd w:val="clear" w:color="auto" w:fill="auto"/>
              </w:rPr>
              <w:t>同时在转载点通过雾化洒水增湿物料表面，降低粉尘起尘量，从过程中抑制粉尘飞扬，实现水资源循环。</w:t>
            </w:r>
          </w:p>
          <w:p w14:paraId="611DF73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szCs w:val="24"/>
                <w:highlight w:val="none"/>
                <w:shd w:val="clear" w:color="auto" w:fill="auto"/>
              </w:rPr>
            </w:pPr>
            <w:r>
              <w:rPr>
                <w:rFonts w:hint="eastAsia" w:ascii="Times New Roman" w:hAnsi="Times New Roman"/>
                <w:color w:val="auto"/>
                <w:sz w:val="24"/>
                <w:szCs w:val="24"/>
                <w:highlight w:val="none"/>
                <w:shd w:val="clear" w:color="auto" w:fill="auto"/>
                <w:lang w:val="en-US" w:eastAsia="zh-CN"/>
              </w:rPr>
              <w:t>3）</w:t>
            </w:r>
            <w:r>
              <w:rPr>
                <w:rFonts w:hint="eastAsia" w:ascii="Times New Roman" w:hAnsi="Times New Roman"/>
                <w:color w:val="auto"/>
                <w:sz w:val="24"/>
                <w:szCs w:val="24"/>
                <w:highlight w:val="none"/>
                <w:shd w:val="clear" w:color="auto" w:fill="auto"/>
              </w:rPr>
              <w:t>物料转运过程防控：厂区内物料铲车倒运均在密闭原料</w:t>
            </w:r>
            <w:r>
              <w:rPr>
                <w:rFonts w:hint="eastAsia" w:ascii="Times New Roman" w:hAnsi="Times New Roman"/>
                <w:color w:val="auto"/>
                <w:sz w:val="24"/>
                <w:szCs w:val="24"/>
                <w:highlight w:val="none"/>
                <w:shd w:val="clear" w:color="auto" w:fill="auto"/>
                <w:lang w:val="en-US" w:eastAsia="zh-CN"/>
              </w:rPr>
              <w:t>仓</w:t>
            </w:r>
            <w:r>
              <w:rPr>
                <w:rFonts w:hint="eastAsia" w:ascii="Times New Roman" w:hAnsi="Times New Roman"/>
                <w:color w:val="auto"/>
                <w:sz w:val="24"/>
                <w:szCs w:val="24"/>
                <w:highlight w:val="none"/>
                <w:shd w:val="clear" w:color="auto" w:fill="auto"/>
              </w:rPr>
              <w:t>、成品</w:t>
            </w:r>
            <w:r>
              <w:rPr>
                <w:rFonts w:hint="eastAsia" w:ascii="Times New Roman" w:hAnsi="Times New Roman"/>
                <w:color w:val="auto"/>
                <w:sz w:val="24"/>
                <w:szCs w:val="24"/>
                <w:highlight w:val="none"/>
                <w:shd w:val="clear" w:color="auto" w:fill="auto"/>
                <w:lang w:val="en-US" w:eastAsia="zh-CN"/>
              </w:rPr>
              <w:t>堆场</w:t>
            </w:r>
            <w:r>
              <w:rPr>
                <w:rFonts w:hint="eastAsia" w:ascii="Times New Roman" w:hAnsi="Times New Roman"/>
                <w:color w:val="auto"/>
                <w:sz w:val="24"/>
                <w:szCs w:val="24"/>
                <w:highlight w:val="none"/>
                <w:shd w:val="clear" w:color="auto" w:fill="auto"/>
              </w:rPr>
              <w:t>内进行，严禁露天倒运；铲车作业时低速行驶，减少物料抛洒，作业完毕后及时清理棚内散落物料，避免二次起尘；物料转运车辆采用密闭式运输车，车厢全覆盖苫盖，出场前冲洗车轮及车身，防止带泥带尘上路</w:t>
            </w:r>
            <w:r>
              <w:rPr>
                <w:rFonts w:hint="eastAsia"/>
                <w:color w:val="auto"/>
                <w:sz w:val="24"/>
                <w:szCs w:val="24"/>
                <w:highlight w:val="none"/>
                <w:shd w:val="clear" w:color="auto" w:fill="auto"/>
                <w:lang w:eastAsia="zh-CN"/>
              </w:rPr>
              <w:t>；</w:t>
            </w:r>
            <w:r>
              <w:rPr>
                <w:rFonts w:hint="eastAsia"/>
                <w:color w:val="auto"/>
                <w:sz w:val="24"/>
                <w:szCs w:val="24"/>
                <w:highlight w:val="none"/>
                <w:shd w:val="clear" w:color="auto" w:fill="auto"/>
                <w:lang w:val="en-US" w:eastAsia="zh-CN"/>
              </w:rPr>
              <w:t>高污染设施尽可能远离敏感点</w:t>
            </w:r>
            <w:r>
              <w:rPr>
                <w:rFonts w:hint="eastAsia" w:ascii="Times New Roman" w:hAnsi="Times New Roman"/>
                <w:color w:val="auto"/>
                <w:sz w:val="24"/>
                <w:szCs w:val="24"/>
                <w:highlight w:val="none"/>
                <w:shd w:val="clear" w:color="auto" w:fill="auto"/>
              </w:rPr>
              <w:t>。</w:t>
            </w:r>
          </w:p>
          <w:p w14:paraId="7C97AC4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szCs w:val="24"/>
                <w:highlight w:val="none"/>
                <w:shd w:val="clear" w:color="auto" w:fill="auto"/>
              </w:rPr>
            </w:pPr>
            <w:r>
              <w:rPr>
                <w:rFonts w:hint="eastAsia" w:ascii="Times New Roman" w:hAnsi="Times New Roman"/>
                <w:color w:val="auto"/>
                <w:sz w:val="24"/>
                <w:szCs w:val="24"/>
                <w:highlight w:val="none"/>
                <w:shd w:val="clear" w:color="auto" w:fill="auto"/>
                <w:lang w:val="en-US" w:eastAsia="zh-CN"/>
              </w:rPr>
              <w:t>4）</w:t>
            </w:r>
            <w:r>
              <w:rPr>
                <w:rFonts w:hint="eastAsia" w:ascii="Times New Roman" w:hAnsi="Times New Roman"/>
                <w:color w:val="auto"/>
                <w:sz w:val="24"/>
                <w:szCs w:val="24"/>
                <w:highlight w:val="none"/>
                <w:shd w:val="clear" w:color="auto" w:fill="auto"/>
              </w:rPr>
              <w:t>场区综合抑尘措施：厂区内所有物料均存放于密闭仓储设施内，做到全覆盖、无裸露；场内转运道路、作业区域全部采用混凝土硬化处理，划分专门的物料转运路线，每日洒水降尘，杜绝道路扬尘。</w:t>
            </w:r>
          </w:p>
          <w:p w14:paraId="00080C6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color w:val="auto"/>
                <w:sz w:val="24"/>
                <w:szCs w:val="24"/>
                <w:highlight w:val="none"/>
                <w:shd w:val="clear" w:color="auto" w:fill="auto"/>
              </w:rPr>
            </w:pPr>
            <w:r>
              <w:rPr>
                <w:rFonts w:hint="eastAsia" w:ascii="Times New Roman" w:hAnsi="Times New Roman"/>
                <w:color w:val="auto"/>
                <w:sz w:val="24"/>
                <w:szCs w:val="24"/>
                <w:highlight w:val="none"/>
                <w:shd w:val="clear" w:color="auto" w:fill="auto"/>
                <w:lang w:val="en-US" w:eastAsia="zh-CN"/>
              </w:rPr>
              <w:t>5）</w:t>
            </w:r>
            <w:r>
              <w:rPr>
                <w:rFonts w:hint="eastAsia" w:ascii="Times New Roman" w:hAnsi="Times New Roman"/>
                <w:color w:val="auto"/>
                <w:sz w:val="24"/>
                <w:szCs w:val="24"/>
                <w:highlight w:val="none"/>
                <w:shd w:val="clear" w:color="auto" w:fill="auto"/>
              </w:rPr>
              <w:t>运维及应急管控：建立无组织粉尘防控日常运维台账，定期检查</w:t>
            </w:r>
            <w:r>
              <w:rPr>
                <w:rFonts w:hint="eastAsia" w:ascii="Times New Roman" w:hAnsi="Times New Roman"/>
                <w:color w:val="auto"/>
                <w:sz w:val="24"/>
                <w:szCs w:val="24"/>
                <w:highlight w:val="none"/>
                <w:shd w:val="clear" w:color="auto" w:fill="auto"/>
                <w:lang w:val="en-US" w:eastAsia="zh-CN"/>
              </w:rPr>
              <w:t>输送机</w:t>
            </w:r>
            <w:r>
              <w:rPr>
                <w:rFonts w:hint="eastAsia" w:ascii="Times New Roman" w:hAnsi="Times New Roman"/>
                <w:color w:val="auto"/>
                <w:sz w:val="24"/>
                <w:szCs w:val="24"/>
                <w:highlight w:val="none"/>
                <w:shd w:val="clear" w:color="auto" w:fill="auto"/>
              </w:rPr>
              <w:t>密闭通廊、集气罩、布袋除尘器运行情况，及时更换破损密封件、布袋，确保设备稳定运行；遇到大风、干燥等易起尘天气，暂停露天转运作业，加大喷淋降尘频次，进一步降低无组织粉尘扩散风险；定期对厂区无组织粉尘浓度进行监测，确保厂界颗粒物浓度满足</w:t>
            </w:r>
            <w:r>
              <w:rPr>
                <w:rFonts w:hint="eastAsia"/>
                <w:color w:val="auto"/>
                <w:sz w:val="24"/>
                <w:szCs w:val="24"/>
                <w:highlight w:val="none"/>
                <w:shd w:val="clear" w:color="auto" w:fill="auto"/>
                <w:lang w:val="en-US" w:eastAsia="zh-CN"/>
              </w:rPr>
              <w:t>排放限值</w:t>
            </w:r>
            <w:r>
              <w:rPr>
                <w:rFonts w:hint="eastAsia" w:ascii="Times New Roman" w:hAnsi="Times New Roman"/>
                <w:color w:val="auto"/>
                <w:sz w:val="24"/>
                <w:szCs w:val="24"/>
                <w:highlight w:val="none"/>
                <w:shd w:val="clear" w:color="auto" w:fill="auto"/>
              </w:rPr>
              <w:t>要求。</w:t>
            </w:r>
          </w:p>
          <w:p w14:paraId="0B4DCF6B">
            <w:pPr>
              <w:pStyle w:val="19"/>
              <w:keepNext w:val="0"/>
              <w:keepLines w:val="0"/>
              <w:pageBreakBefore w:val="0"/>
              <w:widowControl w:val="0"/>
              <w:kinsoku/>
              <w:wordWrap/>
              <w:overflowPunct/>
              <w:topLinePunct w:val="0"/>
              <w:autoSpaceDN/>
              <w:bidi w:val="0"/>
              <w:adjustRightInd/>
              <w:snapToGrid/>
              <w:spacing w:before="0" w:beforeLines="0" w:after="0" w:afterLines="0" w:line="360" w:lineRule="auto"/>
              <w:ind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（3）运输车辆管理要求</w:t>
            </w:r>
          </w:p>
          <w:p w14:paraId="0EBC2EF3">
            <w:pPr>
              <w:pStyle w:val="19"/>
              <w:keepNext w:val="0"/>
              <w:keepLines w:val="0"/>
              <w:pageBreakBefore w:val="0"/>
              <w:widowControl w:val="0"/>
              <w:kinsoku/>
              <w:wordWrap/>
              <w:overflowPunct/>
              <w:topLinePunct w:val="0"/>
              <w:autoSpaceDN/>
              <w:bidi w:val="0"/>
              <w:adjustRightInd/>
              <w:snapToGrid/>
              <w:spacing w:before="0" w:beforeLines="0" w:after="0" w:afterLines="0" w:line="360" w:lineRule="auto"/>
              <w:ind w:firstLine="480" w:firstLineChars="200"/>
              <w:textAlignment w:val="auto"/>
              <w:rPr>
                <w:rFonts w:ascii="Times New Roman" w:hAnsi="Times New Roman"/>
                <w:color w:val="auto"/>
                <w:sz w:val="24"/>
                <w:highlight w:val="none"/>
              </w:rPr>
            </w:pPr>
            <w:r>
              <w:rPr>
                <w:rFonts w:hint="eastAsia"/>
                <w:color w:val="auto"/>
                <w:sz w:val="24"/>
                <w:highlight w:val="none"/>
                <w:lang w:val="en-US" w:eastAsia="zh-CN"/>
              </w:rPr>
              <w:t>a.</w:t>
            </w:r>
            <w:r>
              <w:rPr>
                <w:rFonts w:hint="eastAsia" w:ascii="Times New Roman" w:hAnsi="Times New Roman"/>
                <w:color w:val="auto"/>
                <w:sz w:val="24"/>
                <w:highlight w:val="none"/>
                <w:lang w:val="en-US" w:eastAsia="zh-CN"/>
              </w:rPr>
              <w:t>厂内运输车辆及非道路移动机械管理要求：在运输车辆和厂内非道路移动机械方面，环评要求公路运输车辆要使用达到国</w:t>
            </w:r>
            <w:r>
              <w:rPr>
                <w:rFonts w:hint="eastAsia"/>
                <w:color w:val="auto"/>
                <w:sz w:val="24"/>
                <w:highlight w:val="none"/>
                <w:lang w:val="en-US" w:eastAsia="zh-CN"/>
              </w:rPr>
              <w:t>六</w:t>
            </w:r>
            <w:r>
              <w:rPr>
                <w:rFonts w:hint="eastAsia" w:ascii="Times New Roman" w:hAnsi="Times New Roman"/>
                <w:color w:val="auto"/>
                <w:sz w:val="24"/>
                <w:highlight w:val="none"/>
                <w:lang w:val="en-US" w:eastAsia="zh-CN"/>
              </w:rPr>
              <w:t>及以上排放标准的重型载货车辆或新能源车辆；厂内非道路移动机械需达到国三以上排放标准或使用新能源机械。</w:t>
            </w:r>
          </w:p>
          <w:p w14:paraId="3A107ECE">
            <w:pPr>
              <w:bidi w:val="0"/>
              <w:rPr>
                <w:rFonts w:hint="default"/>
                <w:color w:val="auto"/>
                <w:lang w:val="en-US" w:eastAsia="zh-CN"/>
              </w:rPr>
            </w:pPr>
            <w:r>
              <w:rPr>
                <w:rFonts w:hint="default"/>
                <w:color w:val="auto"/>
                <w:lang w:val="en-US" w:eastAsia="zh-CN"/>
              </w:rPr>
              <w:t>加强非道路移动机械的维修、保养，使其保持良好的技术状态</w:t>
            </w:r>
            <w:r>
              <w:rPr>
                <w:rFonts w:hint="eastAsia"/>
                <w:color w:val="auto"/>
                <w:lang w:val="en-US" w:eastAsia="zh-CN"/>
              </w:rPr>
              <w:t>；</w:t>
            </w:r>
            <w:r>
              <w:rPr>
                <w:rFonts w:hint="default"/>
                <w:color w:val="auto"/>
                <w:lang w:val="en-US" w:eastAsia="zh-CN"/>
              </w:rPr>
              <w:t>经检测排放不达标的非道路移动机械，应强制进行维修、保养，保证非道路移动机械及其污染控制装置处于正常技术状态。</w:t>
            </w:r>
          </w:p>
          <w:p w14:paraId="2D4AB9AA">
            <w:pPr>
              <w:bidi w:val="0"/>
              <w:rPr>
                <w:rFonts w:hint="eastAsia" w:ascii="Times New Roman" w:hAnsi="Times New Roman"/>
                <w:color w:val="auto"/>
                <w:sz w:val="24"/>
                <w:szCs w:val="24"/>
                <w:highlight w:val="none"/>
                <w:lang w:val="en-US" w:eastAsia="zh-CN"/>
              </w:rPr>
            </w:pPr>
            <w:r>
              <w:rPr>
                <w:rFonts w:hint="default"/>
                <w:color w:val="auto"/>
                <w:lang w:val="en-US" w:eastAsia="zh-CN"/>
              </w:rPr>
              <w:t>加强非道路移动机械的噪声控制。禁止任何单位或个人擅自拆除弃用非道路移动机械的消声、隔声和吸声装置，加强对噪声控制装置的维护保养。</w:t>
            </w:r>
          </w:p>
          <w:p w14:paraId="5414614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olor w:val="auto"/>
                <w:sz w:val="24"/>
                <w:szCs w:val="24"/>
                <w:highlight w:val="none"/>
                <w:shd w:val="clear" w:color="auto" w:fill="auto"/>
              </w:rPr>
            </w:pPr>
            <w:r>
              <w:rPr>
                <w:rFonts w:hint="eastAsia"/>
                <w:color w:val="auto"/>
                <w:sz w:val="24"/>
                <w:szCs w:val="24"/>
                <w:highlight w:val="none"/>
                <w:lang w:val="en-US" w:eastAsia="zh-CN"/>
              </w:rPr>
              <w:t>b.车辆出入厂监控的建设要求：根据</w:t>
            </w:r>
            <w:r>
              <w:rPr>
                <w:rFonts w:hint="eastAsia" w:ascii="Times New Roman" w:hAnsi="Times New Roman"/>
                <w:color w:val="auto"/>
                <w:sz w:val="24"/>
                <w:szCs w:val="24"/>
                <w:highlight w:val="none"/>
                <w:lang w:val="en-US" w:eastAsia="zh-CN"/>
              </w:rPr>
              <w:t>《重点用车单位移动源大气污染防治门禁视频系统建设要求》（DB14/T2539-2022）在厂区货运出入口建设门禁道闸系统，规范设置道闸并编号，配套防砸装置，保障车辆有序进出</w:t>
            </w:r>
            <w:r>
              <w:rPr>
                <w:rFonts w:hint="eastAsia"/>
                <w:color w:val="auto"/>
                <w:sz w:val="24"/>
                <w:szCs w:val="24"/>
                <w:highlight w:val="none"/>
                <w:lang w:val="en-US" w:eastAsia="zh-CN"/>
              </w:rPr>
              <w:t>；</w:t>
            </w:r>
            <w:r>
              <w:rPr>
                <w:rFonts w:hint="eastAsia" w:ascii="Times New Roman" w:hAnsi="Times New Roman"/>
                <w:color w:val="auto"/>
                <w:sz w:val="24"/>
                <w:szCs w:val="24"/>
                <w:highlight w:val="none"/>
                <w:lang w:val="en-US" w:eastAsia="zh-CN"/>
              </w:rPr>
              <w:t>安装高清视频监控、车辆号牌识别设备，分辨率不低于720p，实现进出厂车辆自动识别、抓拍存档</w:t>
            </w:r>
            <w:r>
              <w:rPr>
                <w:rFonts w:hint="eastAsia"/>
                <w:color w:val="auto"/>
                <w:sz w:val="24"/>
                <w:szCs w:val="24"/>
                <w:highlight w:val="none"/>
                <w:lang w:val="en-US" w:eastAsia="zh-CN"/>
              </w:rPr>
              <w:t>；</w:t>
            </w:r>
            <w:r>
              <w:rPr>
                <w:rFonts w:hint="eastAsia" w:ascii="Times New Roman" w:hAnsi="Times New Roman"/>
                <w:color w:val="auto"/>
                <w:sz w:val="24"/>
                <w:szCs w:val="24"/>
                <w:highlight w:val="none"/>
                <w:lang w:val="en-US" w:eastAsia="zh-CN"/>
              </w:rPr>
              <w:t>配置 UPS 不间断电源、数据存储设备，视频保存不少于</w:t>
            </w:r>
            <w:r>
              <w:rPr>
                <w:rFonts w:hint="eastAsia"/>
                <w:color w:val="auto"/>
                <w:sz w:val="24"/>
                <w:szCs w:val="24"/>
                <w:highlight w:val="none"/>
                <w:lang w:val="en-US" w:eastAsia="zh-CN"/>
              </w:rPr>
              <w:t>6</w:t>
            </w:r>
            <w:r>
              <w:rPr>
                <w:rFonts w:hint="eastAsia" w:ascii="Times New Roman" w:hAnsi="Times New Roman"/>
                <w:color w:val="auto"/>
                <w:sz w:val="24"/>
                <w:szCs w:val="24"/>
                <w:highlight w:val="none"/>
                <w:lang w:val="en-US" w:eastAsia="zh-CN"/>
              </w:rPr>
              <w:t>个月，车辆台账、通行记录保存不少于</w:t>
            </w:r>
            <w:r>
              <w:rPr>
                <w:rFonts w:hint="eastAsia"/>
                <w:color w:val="auto"/>
                <w:sz w:val="24"/>
                <w:szCs w:val="24"/>
                <w:highlight w:val="none"/>
                <w:lang w:val="en-US" w:eastAsia="zh-CN"/>
              </w:rPr>
              <w:t>24</w:t>
            </w:r>
            <w:r>
              <w:rPr>
                <w:rFonts w:hint="eastAsia" w:ascii="Times New Roman" w:hAnsi="Times New Roman"/>
                <w:color w:val="auto"/>
                <w:sz w:val="24"/>
                <w:szCs w:val="24"/>
                <w:highlight w:val="none"/>
                <w:lang w:val="en-US" w:eastAsia="zh-CN"/>
              </w:rPr>
              <w:t>个月</w:t>
            </w:r>
            <w:r>
              <w:rPr>
                <w:rFonts w:hint="eastAsia"/>
                <w:color w:val="auto"/>
                <w:sz w:val="24"/>
                <w:szCs w:val="24"/>
                <w:highlight w:val="none"/>
                <w:lang w:val="en-US" w:eastAsia="zh-CN"/>
              </w:rPr>
              <w:t>；</w:t>
            </w:r>
            <w:r>
              <w:rPr>
                <w:rFonts w:hint="eastAsia" w:ascii="Times New Roman" w:hAnsi="Times New Roman"/>
                <w:color w:val="auto"/>
                <w:sz w:val="24"/>
                <w:szCs w:val="24"/>
                <w:highlight w:val="none"/>
                <w:lang w:val="en-US" w:eastAsia="zh-CN"/>
              </w:rPr>
              <w:t>搭建管控软件系统，实现车辆信息管理、黑名单校验、通行策略管控，自动记录、上报车辆出入信息</w:t>
            </w:r>
            <w:r>
              <w:rPr>
                <w:rFonts w:hint="eastAsia"/>
                <w:color w:val="auto"/>
                <w:sz w:val="24"/>
                <w:szCs w:val="24"/>
                <w:highlight w:val="none"/>
                <w:lang w:val="en-US" w:eastAsia="zh-CN"/>
              </w:rPr>
              <w:t>；</w:t>
            </w:r>
            <w:r>
              <w:rPr>
                <w:rFonts w:hint="eastAsia" w:ascii="Times New Roman" w:hAnsi="Times New Roman"/>
                <w:color w:val="auto"/>
                <w:sz w:val="24"/>
                <w:szCs w:val="24"/>
                <w:highlight w:val="none"/>
                <w:lang w:val="en-US" w:eastAsia="zh-CN"/>
              </w:rPr>
              <w:t>监控覆盖出入口、物料装卸区、场内车辆及非道路机械作业区域，实行</w:t>
            </w:r>
            <w:r>
              <w:rPr>
                <w:rFonts w:hint="eastAsia"/>
                <w:color w:val="auto"/>
                <w:sz w:val="24"/>
                <w:szCs w:val="24"/>
                <w:highlight w:val="none"/>
                <w:lang w:val="en-US" w:eastAsia="zh-CN"/>
              </w:rPr>
              <w:t>24</w:t>
            </w:r>
            <w:r>
              <w:rPr>
                <w:rFonts w:hint="eastAsia" w:ascii="Times New Roman" w:hAnsi="Times New Roman"/>
                <w:color w:val="auto"/>
                <w:sz w:val="24"/>
                <w:szCs w:val="24"/>
                <w:highlight w:val="none"/>
                <w:lang w:val="en-US" w:eastAsia="zh-CN"/>
              </w:rPr>
              <w:t>小时实时在线监控。</w:t>
            </w:r>
          </w:p>
          <w:p w14:paraId="30DDE74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color w:val="auto"/>
                <w:sz w:val="24"/>
                <w:szCs w:val="24"/>
                <w:highlight w:val="none"/>
                <w:shd w:val="clear" w:color="auto" w:fill="auto"/>
              </w:rPr>
            </w:pPr>
            <w:r>
              <w:rPr>
                <w:rFonts w:ascii="Times New Roman" w:hAnsi="Times New Roman"/>
                <w:color w:val="auto"/>
                <w:sz w:val="24"/>
                <w:szCs w:val="24"/>
                <w:highlight w:val="none"/>
                <w:shd w:val="clear" w:color="auto" w:fill="auto"/>
              </w:rPr>
              <w:t>（</w:t>
            </w:r>
            <w:r>
              <w:rPr>
                <w:rFonts w:hint="eastAsia"/>
                <w:color w:val="auto"/>
                <w:sz w:val="24"/>
                <w:szCs w:val="24"/>
                <w:highlight w:val="none"/>
                <w:shd w:val="clear" w:color="auto" w:fill="auto"/>
                <w:lang w:val="en-US" w:eastAsia="zh-CN"/>
              </w:rPr>
              <w:t>4</w:t>
            </w:r>
            <w:r>
              <w:rPr>
                <w:rFonts w:ascii="Times New Roman" w:hAnsi="Times New Roman"/>
                <w:color w:val="auto"/>
                <w:sz w:val="24"/>
                <w:szCs w:val="24"/>
                <w:highlight w:val="none"/>
                <w:shd w:val="clear" w:color="auto" w:fill="auto"/>
              </w:rPr>
              <w:t>）污染物源强核算</w:t>
            </w:r>
          </w:p>
          <w:p w14:paraId="1A425296">
            <w:pPr>
              <w:keepNext w:val="0"/>
              <w:keepLines w:val="0"/>
              <w:pageBreakBefore w:val="0"/>
              <w:widowControl w:val="0"/>
              <w:kinsoku/>
              <w:wordWrap/>
              <w:overflowPunct/>
              <w:topLinePunct w:val="0"/>
              <w:autoSpaceDE/>
              <w:autoSpaceDN/>
              <w:bidi w:val="0"/>
              <w:adjustRightInd/>
              <w:spacing w:line="360" w:lineRule="auto"/>
              <w:textAlignment w:val="auto"/>
              <w:rPr>
                <w:rFonts w:ascii="Times New Roman" w:hAnsi="Times New Roman"/>
                <w:color w:val="auto"/>
                <w:sz w:val="24"/>
                <w:szCs w:val="24"/>
                <w:highlight w:val="none"/>
                <w:shd w:val="clear" w:color="auto" w:fill="auto"/>
              </w:rPr>
            </w:pPr>
            <w:r>
              <w:rPr>
                <w:rFonts w:ascii="Times New Roman" w:hAnsi="Times New Roman"/>
                <w:color w:val="auto"/>
                <w:sz w:val="24"/>
                <w:szCs w:val="24"/>
                <w:highlight w:val="none"/>
                <w:shd w:val="clear" w:color="auto" w:fill="auto"/>
              </w:rPr>
              <w:t>综上，</w:t>
            </w:r>
            <w:r>
              <w:rPr>
                <w:rFonts w:hint="eastAsia"/>
                <w:color w:val="auto"/>
                <w:sz w:val="24"/>
                <w:szCs w:val="24"/>
                <w:highlight w:val="none"/>
                <w:lang w:val="en-US" w:eastAsia="zh-CN"/>
              </w:rPr>
              <w:t>本项目废气污染源产生排放情况表见下表</w:t>
            </w:r>
            <w:r>
              <w:rPr>
                <w:rFonts w:hint="eastAsia" w:ascii="Times New Roman" w:hAnsi="Times New Roman"/>
                <w:color w:val="auto"/>
                <w:sz w:val="24"/>
                <w:szCs w:val="24"/>
                <w:highlight w:val="none"/>
                <w:shd w:val="clear" w:color="auto" w:fill="auto"/>
                <w:lang w:eastAsia="zh-CN"/>
              </w:rPr>
              <w:t>。</w:t>
            </w:r>
          </w:p>
          <w:p w14:paraId="3AA5CB56">
            <w:pPr>
              <w:bidi w:val="0"/>
              <w:rPr>
                <w:rFonts w:hint="default"/>
                <w:color w:val="auto"/>
                <w:sz w:val="24"/>
                <w:szCs w:val="24"/>
                <w:highlight w:val="none"/>
                <w:lang w:val="en-US" w:eastAsia="zh-CN"/>
              </w:rPr>
            </w:pPr>
          </w:p>
          <w:p w14:paraId="0354F6E0">
            <w:pPr>
              <w:bidi w:val="0"/>
              <w:rPr>
                <w:rFonts w:hint="default"/>
                <w:color w:val="auto"/>
                <w:sz w:val="24"/>
                <w:szCs w:val="24"/>
                <w:highlight w:val="none"/>
                <w:lang w:val="en-US" w:eastAsia="zh-CN"/>
              </w:rPr>
            </w:pPr>
          </w:p>
          <w:p w14:paraId="306186A5">
            <w:pPr>
              <w:bidi w:val="0"/>
              <w:rPr>
                <w:rFonts w:hint="default"/>
                <w:color w:val="auto"/>
                <w:sz w:val="24"/>
                <w:szCs w:val="24"/>
                <w:highlight w:val="none"/>
                <w:lang w:val="en-US" w:eastAsia="zh-CN"/>
              </w:rPr>
            </w:pPr>
          </w:p>
          <w:p w14:paraId="7B6BBB4B">
            <w:pPr>
              <w:bidi w:val="0"/>
              <w:rPr>
                <w:rFonts w:hint="default"/>
                <w:color w:val="auto"/>
                <w:sz w:val="24"/>
                <w:szCs w:val="24"/>
                <w:highlight w:val="none"/>
                <w:lang w:val="en-US" w:eastAsia="zh-CN"/>
              </w:rPr>
            </w:pPr>
          </w:p>
          <w:p w14:paraId="520CE42F">
            <w:pPr>
              <w:bidi w:val="0"/>
              <w:rPr>
                <w:rFonts w:hint="default"/>
                <w:color w:val="auto"/>
                <w:sz w:val="24"/>
                <w:szCs w:val="24"/>
                <w:highlight w:val="none"/>
                <w:lang w:val="en-US" w:eastAsia="zh-CN"/>
              </w:rPr>
            </w:pPr>
          </w:p>
          <w:p w14:paraId="1F1FFE97">
            <w:pPr>
              <w:bidi w:val="0"/>
              <w:rPr>
                <w:rFonts w:hint="default"/>
                <w:color w:val="auto"/>
                <w:sz w:val="24"/>
                <w:szCs w:val="24"/>
                <w:highlight w:val="none"/>
                <w:lang w:val="en-US" w:eastAsia="zh-CN"/>
              </w:rPr>
            </w:pPr>
          </w:p>
          <w:p w14:paraId="51D056F5">
            <w:pPr>
              <w:bidi w:val="0"/>
              <w:ind w:left="0" w:leftChars="0" w:firstLine="0" w:firstLineChars="0"/>
              <w:rPr>
                <w:rFonts w:hint="default"/>
                <w:color w:val="auto"/>
                <w:sz w:val="24"/>
                <w:szCs w:val="24"/>
                <w:highlight w:val="none"/>
                <w:lang w:val="en-US" w:eastAsia="zh-CN"/>
              </w:rPr>
            </w:pPr>
          </w:p>
          <w:p w14:paraId="0216E41C">
            <w:pPr>
              <w:bidi w:val="0"/>
              <w:ind w:left="0" w:leftChars="0" w:firstLine="0" w:firstLineChars="0"/>
              <w:rPr>
                <w:rFonts w:hint="default"/>
                <w:color w:val="auto"/>
                <w:sz w:val="24"/>
                <w:szCs w:val="24"/>
                <w:highlight w:val="none"/>
                <w:lang w:val="en-US" w:eastAsia="zh-CN"/>
              </w:rPr>
            </w:pPr>
          </w:p>
          <w:p w14:paraId="27BB3F44">
            <w:pPr>
              <w:bidi w:val="0"/>
              <w:ind w:left="0" w:leftChars="0" w:firstLine="0" w:firstLineChars="0"/>
              <w:rPr>
                <w:rFonts w:hint="default"/>
                <w:color w:val="auto"/>
                <w:sz w:val="24"/>
                <w:szCs w:val="24"/>
                <w:highlight w:val="none"/>
                <w:lang w:val="en-US" w:eastAsia="zh-CN"/>
              </w:rPr>
            </w:pPr>
          </w:p>
          <w:p w14:paraId="4CB14BFA">
            <w:pPr>
              <w:bidi w:val="0"/>
              <w:ind w:left="0" w:leftChars="0" w:firstLine="0" w:firstLineChars="0"/>
              <w:rPr>
                <w:rFonts w:hint="default"/>
                <w:color w:val="auto"/>
                <w:sz w:val="24"/>
                <w:szCs w:val="24"/>
                <w:highlight w:val="none"/>
                <w:lang w:val="en-US" w:eastAsia="zh-CN"/>
              </w:rPr>
            </w:pPr>
          </w:p>
          <w:p w14:paraId="4E07389C">
            <w:pPr>
              <w:bidi w:val="0"/>
              <w:ind w:left="0" w:leftChars="0" w:firstLine="0" w:firstLineChars="0"/>
              <w:rPr>
                <w:rFonts w:hint="default"/>
                <w:color w:val="auto"/>
                <w:sz w:val="24"/>
                <w:szCs w:val="24"/>
                <w:highlight w:val="none"/>
                <w:lang w:val="en-US" w:eastAsia="zh-CN"/>
              </w:rPr>
            </w:pPr>
          </w:p>
          <w:p w14:paraId="047C6102">
            <w:pPr>
              <w:bidi w:val="0"/>
              <w:ind w:left="0" w:leftChars="0" w:firstLine="0" w:firstLineChars="0"/>
              <w:rPr>
                <w:rFonts w:hint="default"/>
                <w:color w:val="auto"/>
                <w:sz w:val="24"/>
                <w:szCs w:val="24"/>
                <w:highlight w:val="none"/>
                <w:lang w:val="en-US" w:eastAsia="zh-CN"/>
              </w:rPr>
            </w:pPr>
          </w:p>
          <w:p w14:paraId="6B7AB63C">
            <w:pPr>
              <w:bidi w:val="0"/>
              <w:ind w:left="0" w:leftChars="0" w:firstLine="0" w:firstLineChars="0"/>
              <w:rPr>
                <w:rFonts w:hint="default"/>
                <w:color w:val="auto"/>
                <w:sz w:val="24"/>
                <w:szCs w:val="24"/>
                <w:highlight w:val="none"/>
                <w:lang w:val="en-US" w:eastAsia="zh-CN"/>
              </w:rPr>
            </w:pPr>
          </w:p>
          <w:p w14:paraId="644E9C22">
            <w:pPr>
              <w:bidi w:val="0"/>
              <w:ind w:left="0" w:leftChars="0" w:firstLine="0" w:firstLineChars="0"/>
              <w:rPr>
                <w:rFonts w:hint="default"/>
                <w:color w:val="auto"/>
                <w:sz w:val="24"/>
                <w:szCs w:val="24"/>
                <w:highlight w:val="none"/>
                <w:lang w:val="en-US" w:eastAsia="zh-CN"/>
              </w:rPr>
            </w:pPr>
          </w:p>
          <w:p w14:paraId="632EC6DE">
            <w:pPr>
              <w:pStyle w:val="13"/>
              <w:numPr>
                <w:ilvl w:val="3"/>
                <w:numId w:val="0"/>
              </w:numPr>
              <w:ind w:leftChars="0"/>
              <w:rPr>
                <w:rFonts w:hint="default"/>
                <w:color w:val="auto"/>
                <w:lang w:val="en-US" w:eastAsia="zh-CN"/>
              </w:rPr>
            </w:pPr>
          </w:p>
          <w:p w14:paraId="5369C3A3">
            <w:pPr>
              <w:rPr>
                <w:rFonts w:hint="default"/>
                <w:color w:val="auto"/>
                <w:lang w:val="en-US" w:eastAsia="zh-CN"/>
              </w:rPr>
            </w:pPr>
          </w:p>
        </w:tc>
      </w:tr>
    </w:tbl>
    <w:p w14:paraId="529492FD">
      <w:pPr>
        <w:rPr>
          <w:rFonts w:hint="eastAsia"/>
          <w:color w:val="auto"/>
          <w:highlight w:val="none"/>
          <w:lang w:eastAsia="zh-CN"/>
        </w:rPr>
        <w:sectPr>
          <w:pgSz w:w="11906" w:h="16838"/>
          <w:pgMar w:top="1701" w:right="1417" w:bottom="1701" w:left="1417" w:header="851"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
        <w:gridCol w:w="12818"/>
      </w:tblGrid>
      <w:tr w14:paraId="1292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8" w:hRule="atLeast"/>
        </w:trPr>
        <w:tc>
          <w:tcPr>
            <w:tcW w:w="410" w:type="dxa"/>
            <w:noWrap w:val="0"/>
            <w:vAlign w:val="center"/>
          </w:tcPr>
          <w:p w14:paraId="73B71F09">
            <w:pPr>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Cs/>
                <w:caps w:val="0"/>
                <w:color w:val="auto"/>
                <w:sz w:val="21"/>
                <w:szCs w:val="21"/>
              </w:rPr>
            </w:pPr>
            <w:r>
              <w:rPr>
                <w:rFonts w:hint="eastAsia" w:ascii="Times New Roman" w:hAnsi="Times New Roman" w:eastAsia="宋体" w:cs="宋体"/>
                <w:bCs/>
                <w:caps w:val="0"/>
                <w:color w:val="auto"/>
                <w:sz w:val="21"/>
                <w:szCs w:val="21"/>
              </w:rPr>
              <w:t>运营</w:t>
            </w:r>
          </w:p>
          <w:p w14:paraId="0D6488A0">
            <w:pPr>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Cs/>
                <w:caps w:val="0"/>
                <w:color w:val="auto"/>
                <w:sz w:val="21"/>
                <w:szCs w:val="21"/>
              </w:rPr>
            </w:pPr>
            <w:r>
              <w:rPr>
                <w:rFonts w:hint="eastAsia" w:ascii="Times New Roman" w:hAnsi="Times New Roman" w:eastAsia="宋体" w:cs="宋体"/>
                <w:bCs/>
                <w:caps w:val="0"/>
                <w:color w:val="auto"/>
                <w:sz w:val="21"/>
                <w:szCs w:val="21"/>
              </w:rPr>
              <w:t>期环</w:t>
            </w:r>
          </w:p>
          <w:p w14:paraId="737E92C6">
            <w:pPr>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Cs/>
                <w:caps w:val="0"/>
                <w:color w:val="auto"/>
                <w:sz w:val="21"/>
                <w:szCs w:val="21"/>
              </w:rPr>
            </w:pPr>
            <w:r>
              <w:rPr>
                <w:rFonts w:hint="eastAsia" w:ascii="Times New Roman" w:hAnsi="Times New Roman" w:eastAsia="宋体" w:cs="宋体"/>
                <w:bCs/>
                <w:caps w:val="0"/>
                <w:color w:val="auto"/>
                <w:sz w:val="21"/>
                <w:szCs w:val="21"/>
              </w:rPr>
              <w:t>境影</w:t>
            </w:r>
          </w:p>
          <w:p w14:paraId="49464737">
            <w:pPr>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Cs/>
                <w:caps w:val="0"/>
                <w:color w:val="auto"/>
                <w:sz w:val="21"/>
                <w:szCs w:val="21"/>
              </w:rPr>
            </w:pPr>
            <w:r>
              <w:rPr>
                <w:rFonts w:hint="eastAsia" w:ascii="Times New Roman" w:hAnsi="Times New Roman" w:eastAsia="宋体" w:cs="宋体"/>
                <w:bCs/>
                <w:caps w:val="0"/>
                <w:color w:val="auto"/>
                <w:sz w:val="21"/>
                <w:szCs w:val="21"/>
              </w:rPr>
              <w:t>响和</w:t>
            </w:r>
          </w:p>
          <w:p w14:paraId="75B85D53">
            <w:pPr>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宋体"/>
                <w:bCs/>
                <w:caps w:val="0"/>
                <w:color w:val="auto"/>
                <w:sz w:val="21"/>
                <w:szCs w:val="21"/>
              </w:rPr>
            </w:pPr>
            <w:r>
              <w:rPr>
                <w:rFonts w:hint="eastAsia" w:ascii="Times New Roman" w:hAnsi="Times New Roman" w:eastAsia="宋体" w:cs="宋体"/>
                <w:bCs/>
                <w:caps w:val="0"/>
                <w:color w:val="auto"/>
                <w:sz w:val="21"/>
                <w:szCs w:val="21"/>
              </w:rPr>
              <w:t>保护</w:t>
            </w:r>
          </w:p>
          <w:p w14:paraId="4AC6042B">
            <w:pPr>
              <w:pStyle w:val="13"/>
              <w:pageBreakBefore w:val="0"/>
              <w:widowControl w:val="0"/>
              <w:numPr>
                <w:ilvl w:val="3"/>
                <w:numId w:val="0"/>
              </w:numPr>
              <w:kinsoku/>
              <w:wordWrap/>
              <w:overflowPunct/>
              <w:topLinePunct w:val="0"/>
              <w:autoSpaceDE/>
              <w:autoSpaceDN/>
              <w:bidi w:val="0"/>
              <w:spacing w:before="0" w:beforeLines="0" w:after="0" w:afterLines="0" w:line="240" w:lineRule="auto"/>
              <w:ind w:left="0" w:leftChars="0" w:firstLine="0" w:firstLineChars="0"/>
              <w:jc w:val="center"/>
              <w:textAlignment w:val="auto"/>
              <w:rPr>
                <w:rFonts w:hint="eastAsia" w:ascii="Times New Roman" w:hAnsi="Times New Roman" w:eastAsia="宋体"/>
                <w:color w:val="auto"/>
                <w:sz w:val="21"/>
                <w:szCs w:val="21"/>
                <w:vertAlign w:val="baseline"/>
              </w:rPr>
            </w:pPr>
          </w:p>
        </w:tc>
        <w:tc>
          <w:tcPr>
            <w:tcW w:w="12818" w:type="dxa"/>
            <w:noWrap w:val="0"/>
            <w:vAlign w:val="top"/>
          </w:tcPr>
          <w:p w14:paraId="398479A3">
            <w:pPr>
              <w:pStyle w:val="19"/>
              <w:keepNext w:val="0"/>
              <w:keepLines w:val="0"/>
              <w:pageBreakBefore w:val="0"/>
              <w:widowControl w:val="0"/>
              <w:kinsoku/>
              <w:wordWrap/>
              <w:overflowPunct/>
              <w:topLinePunct w:val="0"/>
              <w:autoSpaceDE/>
              <w:autoSpaceDN/>
              <w:bidi w:val="0"/>
              <w:spacing w:before="0" w:beforeLines="0" w:after="0" w:afterLines="0" w:line="240" w:lineRule="auto"/>
              <w:ind w:left="0" w:leftChars="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eastAsia="zh-CN"/>
              </w:rPr>
              <w:t>表</w:t>
            </w:r>
            <w:r>
              <w:rPr>
                <w:rFonts w:hint="eastAsia" w:ascii="Times New Roman" w:hAnsi="Times New Roman" w:eastAsia="宋体"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lang w:eastAsia="zh-CN"/>
              </w:rPr>
              <w:t>-</w:t>
            </w:r>
            <w:r>
              <w:rPr>
                <w:rFonts w:hint="eastAsia" w:cs="Times New Roman"/>
                <w:b/>
                <w:bCs/>
                <w:color w:val="auto"/>
                <w:sz w:val="21"/>
                <w:szCs w:val="21"/>
                <w:highlight w:val="none"/>
                <w:lang w:val="en-US" w:eastAsia="zh-CN"/>
              </w:rPr>
              <w:t>5</w:t>
            </w:r>
            <w:r>
              <w:rPr>
                <w:rFonts w:hint="eastAsia" w:ascii="Times New Roman" w:hAnsi="Times New Roman" w:eastAsia="宋体" w:cs="Times New Roman"/>
                <w:b/>
                <w:bCs/>
                <w:color w:val="auto"/>
                <w:sz w:val="21"/>
                <w:szCs w:val="21"/>
                <w:highlight w:val="none"/>
                <w:lang w:eastAsia="zh-CN"/>
              </w:rPr>
              <w:t xml:space="preserve"> </w:t>
            </w:r>
            <w:r>
              <w:rPr>
                <w:rFonts w:hint="eastAsia" w:cs="Times New Roman"/>
                <w:b/>
                <w:bCs/>
                <w:color w:val="auto"/>
                <w:sz w:val="21"/>
                <w:szCs w:val="21"/>
                <w:highlight w:val="none"/>
                <w:lang w:val="en-US" w:eastAsia="zh-CN"/>
              </w:rPr>
              <w:t>废气污染源产生排放情况表</w:t>
            </w:r>
          </w:p>
          <w:tbl>
            <w:tblPr>
              <w:tblStyle w:val="28"/>
              <w:tblW w:w="12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06"/>
              <w:gridCol w:w="1040"/>
              <w:gridCol w:w="414"/>
              <w:gridCol w:w="630"/>
              <w:gridCol w:w="930"/>
              <w:gridCol w:w="750"/>
              <w:gridCol w:w="930"/>
              <w:gridCol w:w="525"/>
              <w:gridCol w:w="870"/>
              <w:gridCol w:w="555"/>
              <w:gridCol w:w="510"/>
              <w:gridCol w:w="735"/>
              <w:gridCol w:w="900"/>
              <w:gridCol w:w="570"/>
              <w:gridCol w:w="585"/>
              <w:gridCol w:w="705"/>
              <w:gridCol w:w="574"/>
              <w:gridCol w:w="510"/>
              <w:gridCol w:w="501"/>
            </w:tblGrid>
            <w:tr w14:paraId="67BC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606" w:type="pct"/>
                  <w:gridSpan w:val="2"/>
                  <w:vMerge w:val="restart"/>
                  <w:noWrap w:val="0"/>
                  <w:vAlign w:val="center"/>
                </w:tcPr>
                <w:p w14:paraId="2E4E9E2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ascii="Times New Roman" w:hAnsi="Times New Roman" w:eastAsia="宋体"/>
                      <w:color w:val="auto"/>
                      <w:sz w:val="21"/>
                      <w:szCs w:val="21"/>
                      <w:highlight w:val="none"/>
                    </w:rPr>
                    <w:t>污染源</w:t>
                  </w:r>
                  <w:r>
                    <w:rPr>
                      <w:rFonts w:hint="eastAsia"/>
                      <w:color w:val="auto"/>
                      <w:sz w:val="21"/>
                      <w:szCs w:val="21"/>
                      <w:highlight w:val="none"/>
                      <w:lang w:val="en-US" w:eastAsia="zh-CN"/>
                    </w:rPr>
                    <w:t>名称</w:t>
                  </w:r>
                </w:p>
              </w:tc>
              <w:tc>
                <w:tcPr>
                  <w:tcW w:w="162" w:type="pct"/>
                  <w:vMerge w:val="restart"/>
                  <w:noWrap w:val="0"/>
                  <w:vAlign w:val="center"/>
                </w:tcPr>
                <w:p w14:paraId="2794B97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ascii="Times New Roman" w:hAnsi="Times New Roman" w:eastAsia="宋体"/>
                      <w:color w:val="auto"/>
                      <w:sz w:val="21"/>
                      <w:szCs w:val="21"/>
                      <w:highlight w:val="none"/>
                    </w:rPr>
                    <w:t>污染物</w:t>
                  </w:r>
                  <w:r>
                    <w:rPr>
                      <w:rFonts w:hint="eastAsia"/>
                      <w:color w:val="auto"/>
                      <w:sz w:val="21"/>
                      <w:szCs w:val="21"/>
                      <w:highlight w:val="none"/>
                      <w:lang w:val="en-US" w:eastAsia="zh-CN"/>
                    </w:rPr>
                    <w:t>种类</w:t>
                  </w:r>
                </w:p>
              </w:tc>
              <w:tc>
                <w:tcPr>
                  <w:tcW w:w="247" w:type="pct"/>
                  <w:vMerge w:val="restart"/>
                  <w:noWrap w:val="0"/>
                  <w:vAlign w:val="center"/>
                </w:tcPr>
                <w:p w14:paraId="68AB254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eastAsia="zh-CN"/>
                    </w:rPr>
                  </w:pPr>
                  <w:r>
                    <w:rPr>
                      <w:rFonts w:hint="eastAsia" w:ascii="Times New Roman" w:hAnsi="Times New Roman" w:eastAsia="宋体"/>
                      <w:color w:val="auto"/>
                      <w:sz w:val="21"/>
                      <w:szCs w:val="21"/>
                      <w:highlight w:val="none"/>
                      <w:lang w:eastAsia="zh-CN"/>
                    </w:rPr>
                    <w:t>排放</w:t>
                  </w:r>
                  <w:r>
                    <w:rPr>
                      <w:rFonts w:hint="eastAsia"/>
                      <w:color w:val="auto"/>
                      <w:sz w:val="21"/>
                      <w:szCs w:val="21"/>
                      <w:highlight w:val="none"/>
                      <w:lang w:val="en-US" w:eastAsia="zh-CN"/>
                    </w:rPr>
                    <w:t>方</w:t>
                  </w:r>
                  <w:r>
                    <w:rPr>
                      <w:rFonts w:hint="eastAsia" w:ascii="Times New Roman" w:hAnsi="Times New Roman" w:eastAsia="宋体"/>
                      <w:color w:val="auto"/>
                      <w:sz w:val="21"/>
                      <w:szCs w:val="21"/>
                      <w:highlight w:val="none"/>
                      <w:lang w:eastAsia="zh-CN"/>
                    </w:rPr>
                    <w:t>式</w:t>
                  </w:r>
                </w:p>
              </w:tc>
              <w:tc>
                <w:tcPr>
                  <w:tcW w:w="364" w:type="pct"/>
                  <w:vMerge w:val="restart"/>
                  <w:noWrap w:val="0"/>
                  <w:vAlign w:val="center"/>
                </w:tcPr>
                <w:p w14:paraId="7BC97E7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废气量（m</w:t>
                  </w:r>
                  <w:r>
                    <w:rPr>
                      <w:rFonts w:hint="eastAsia"/>
                      <w:color w:val="auto"/>
                      <w:sz w:val="21"/>
                      <w:szCs w:val="21"/>
                      <w:highlight w:val="none"/>
                      <w:vertAlign w:val="superscript"/>
                      <w:lang w:val="en-US" w:eastAsia="zh-CN"/>
                    </w:rPr>
                    <w:t>3</w:t>
                  </w:r>
                  <w:r>
                    <w:rPr>
                      <w:rFonts w:hint="eastAsia"/>
                      <w:color w:val="auto"/>
                      <w:sz w:val="21"/>
                      <w:szCs w:val="21"/>
                      <w:highlight w:val="none"/>
                      <w:lang w:val="en-US" w:eastAsia="zh-CN"/>
                    </w:rPr>
                    <w:t>/h）</w:t>
                  </w:r>
                </w:p>
              </w:tc>
              <w:tc>
                <w:tcPr>
                  <w:tcW w:w="865" w:type="pct"/>
                  <w:gridSpan w:val="3"/>
                  <w:noWrap w:val="0"/>
                  <w:vAlign w:val="center"/>
                </w:tcPr>
                <w:p w14:paraId="6AC5459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eastAsia="zh-CN"/>
                    </w:rPr>
                  </w:pPr>
                  <w:r>
                    <w:rPr>
                      <w:rFonts w:hint="eastAsia" w:ascii="Times New Roman" w:hAnsi="Times New Roman" w:eastAsia="宋体"/>
                      <w:color w:val="auto"/>
                      <w:sz w:val="21"/>
                      <w:szCs w:val="21"/>
                      <w:highlight w:val="none"/>
                      <w:lang w:eastAsia="zh-CN"/>
                    </w:rPr>
                    <w:t>污染物产生</w:t>
                  </w:r>
                  <w:r>
                    <w:rPr>
                      <w:rFonts w:hint="eastAsia"/>
                      <w:color w:val="auto"/>
                      <w:sz w:val="21"/>
                      <w:szCs w:val="21"/>
                      <w:highlight w:val="none"/>
                      <w:lang w:val="en-US" w:eastAsia="zh-CN"/>
                    </w:rPr>
                    <w:t>情况</w:t>
                  </w:r>
                </w:p>
              </w:tc>
              <w:tc>
                <w:tcPr>
                  <w:tcW w:w="759" w:type="pct"/>
                  <w:gridSpan w:val="3"/>
                  <w:noWrap w:val="0"/>
                  <w:vAlign w:val="center"/>
                </w:tcPr>
                <w:p w14:paraId="33726F3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highlight w:val="none"/>
                    </w:rPr>
                  </w:pPr>
                  <w:r>
                    <w:rPr>
                      <w:rFonts w:hint="eastAsia"/>
                      <w:color w:val="auto"/>
                      <w:sz w:val="21"/>
                      <w:szCs w:val="21"/>
                      <w:highlight w:val="none"/>
                      <w:lang w:val="en-US" w:eastAsia="zh-CN"/>
                    </w:rPr>
                    <w:t>污染防治</w:t>
                  </w:r>
                  <w:r>
                    <w:rPr>
                      <w:rFonts w:ascii="Times New Roman" w:hAnsi="Times New Roman" w:eastAsia="宋体"/>
                      <w:color w:val="auto"/>
                      <w:sz w:val="21"/>
                      <w:szCs w:val="21"/>
                      <w:highlight w:val="none"/>
                    </w:rPr>
                    <w:t>措施</w:t>
                  </w:r>
                </w:p>
              </w:tc>
              <w:tc>
                <w:tcPr>
                  <w:tcW w:w="865" w:type="pct"/>
                  <w:gridSpan w:val="3"/>
                  <w:noWrap w:val="0"/>
                  <w:vAlign w:val="center"/>
                </w:tcPr>
                <w:p w14:paraId="0EF1059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污染物排放情况</w:t>
                  </w:r>
                </w:p>
              </w:tc>
              <w:tc>
                <w:tcPr>
                  <w:tcW w:w="229" w:type="pct"/>
                  <w:vMerge w:val="restart"/>
                  <w:noWrap w:val="0"/>
                  <w:vAlign w:val="center"/>
                </w:tcPr>
                <w:p w14:paraId="0974A26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年运行时间（h/a）</w:t>
                  </w:r>
                </w:p>
              </w:tc>
              <w:tc>
                <w:tcPr>
                  <w:tcW w:w="276" w:type="pct"/>
                  <w:vMerge w:val="restart"/>
                  <w:noWrap w:val="0"/>
                  <w:vAlign w:val="center"/>
                </w:tcPr>
                <w:p w14:paraId="0DB1A38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年排放量（t/a）</w:t>
                  </w:r>
                </w:p>
              </w:tc>
              <w:tc>
                <w:tcPr>
                  <w:tcW w:w="622" w:type="pct"/>
                  <w:gridSpan w:val="3"/>
                  <w:noWrap w:val="0"/>
                  <w:vAlign w:val="center"/>
                </w:tcPr>
                <w:p w14:paraId="0FF3D64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排放参数</w:t>
                  </w:r>
                </w:p>
              </w:tc>
            </w:tr>
            <w:tr w14:paraId="62EA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atLeast"/>
                <w:jc w:val="center"/>
              </w:trPr>
              <w:tc>
                <w:tcPr>
                  <w:tcW w:w="606" w:type="pct"/>
                  <w:gridSpan w:val="2"/>
                  <w:vMerge w:val="continue"/>
                  <w:noWrap w:val="0"/>
                  <w:vAlign w:val="center"/>
                </w:tcPr>
                <w:p w14:paraId="5CA130F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highlight w:val="none"/>
                    </w:rPr>
                  </w:pPr>
                </w:p>
              </w:tc>
              <w:tc>
                <w:tcPr>
                  <w:tcW w:w="162" w:type="pct"/>
                  <w:vMerge w:val="continue"/>
                  <w:noWrap w:val="0"/>
                  <w:vAlign w:val="center"/>
                </w:tcPr>
                <w:p w14:paraId="0DF9C9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highlight w:val="none"/>
                    </w:rPr>
                  </w:pPr>
                </w:p>
              </w:tc>
              <w:tc>
                <w:tcPr>
                  <w:tcW w:w="247" w:type="pct"/>
                  <w:vMerge w:val="continue"/>
                  <w:noWrap w:val="0"/>
                  <w:vAlign w:val="center"/>
                </w:tcPr>
                <w:p w14:paraId="7B0F797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highlight w:val="none"/>
                    </w:rPr>
                  </w:pPr>
                </w:p>
              </w:tc>
              <w:tc>
                <w:tcPr>
                  <w:tcW w:w="364" w:type="pct"/>
                  <w:vMerge w:val="continue"/>
                  <w:noWrap w:val="0"/>
                  <w:vAlign w:val="center"/>
                </w:tcPr>
                <w:p w14:paraId="732A017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highlight w:val="none"/>
                    </w:rPr>
                  </w:pPr>
                </w:p>
              </w:tc>
              <w:tc>
                <w:tcPr>
                  <w:tcW w:w="294" w:type="pct"/>
                  <w:noWrap w:val="0"/>
                  <w:vAlign w:val="center"/>
                </w:tcPr>
                <w:p w14:paraId="5200CB5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eastAsia="zh-CN"/>
                    </w:rPr>
                  </w:pPr>
                  <w:r>
                    <w:rPr>
                      <w:rFonts w:ascii="Times New Roman" w:hAnsi="Times New Roman" w:eastAsia="宋体"/>
                      <w:color w:val="auto"/>
                      <w:sz w:val="21"/>
                      <w:szCs w:val="21"/>
                      <w:highlight w:val="none"/>
                    </w:rPr>
                    <w:t>产生量</w:t>
                  </w:r>
                  <w:r>
                    <w:rPr>
                      <w:rFonts w:hint="eastAsia"/>
                      <w:color w:val="auto"/>
                      <w:sz w:val="21"/>
                      <w:szCs w:val="21"/>
                      <w:highlight w:val="none"/>
                      <w:lang w:eastAsia="zh-CN"/>
                    </w:rPr>
                    <w:t>（</w:t>
                  </w:r>
                  <w:r>
                    <w:rPr>
                      <w:rFonts w:hint="eastAsia"/>
                      <w:color w:val="auto"/>
                      <w:sz w:val="21"/>
                      <w:szCs w:val="21"/>
                      <w:highlight w:val="none"/>
                      <w:lang w:val="en-US" w:eastAsia="zh-CN"/>
                    </w:rPr>
                    <w:t>kg/h</w:t>
                  </w:r>
                  <w:r>
                    <w:rPr>
                      <w:rFonts w:hint="eastAsia"/>
                      <w:color w:val="auto"/>
                      <w:sz w:val="21"/>
                      <w:szCs w:val="21"/>
                      <w:highlight w:val="none"/>
                      <w:lang w:eastAsia="zh-CN"/>
                    </w:rPr>
                    <w:t>）</w:t>
                  </w:r>
                </w:p>
              </w:tc>
              <w:tc>
                <w:tcPr>
                  <w:tcW w:w="364" w:type="pct"/>
                  <w:noWrap w:val="0"/>
                  <w:vAlign w:val="center"/>
                </w:tcPr>
                <w:p w14:paraId="52F9752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浓度</w:t>
                  </w:r>
                </w:p>
                <w:p w14:paraId="38181E8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eastAsia="zh-CN"/>
                    </w:rPr>
                  </w:pPr>
                  <w:r>
                    <w:rPr>
                      <w:rFonts w:hint="eastAsia"/>
                      <w:color w:val="auto"/>
                      <w:sz w:val="21"/>
                      <w:szCs w:val="21"/>
                      <w:highlight w:val="none"/>
                      <w:lang w:eastAsia="zh-CN"/>
                    </w:rPr>
                    <w:t>（</w:t>
                  </w:r>
                  <w:r>
                    <w:rPr>
                      <w:rFonts w:ascii="Times New Roman" w:hAnsi="Times New Roman" w:eastAsia="宋体"/>
                      <w:color w:val="auto"/>
                      <w:sz w:val="21"/>
                      <w:szCs w:val="21"/>
                      <w:highlight w:val="none"/>
                    </w:rPr>
                    <w:t>mg/m</w:t>
                  </w:r>
                  <w:r>
                    <w:rPr>
                      <w:rFonts w:ascii="Times New Roman" w:hAnsi="Times New Roman" w:eastAsia="宋体"/>
                      <w:color w:val="auto"/>
                      <w:sz w:val="21"/>
                      <w:szCs w:val="21"/>
                      <w:highlight w:val="none"/>
                      <w:vertAlign w:val="superscript"/>
                    </w:rPr>
                    <w:t>3</w:t>
                  </w:r>
                  <w:r>
                    <w:rPr>
                      <w:rFonts w:hint="eastAsia"/>
                      <w:color w:val="auto"/>
                      <w:sz w:val="21"/>
                      <w:szCs w:val="21"/>
                      <w:highlight w:val="none"/>
                      <w:lang w:eastAsia="zh-CN"/>
                    </w:rPr>
                    <w:t>）</w:t>
                  </w:r>
                </w:p>
              </w:tc>
              <w:tc>
                <w:tcPr>
                  <w:tcW w:w="206" w:type="pct"/>
                  <w:noWrap w:val="0"/>
                  <w:vAlign w:val="center"/>
                </w:tcPr>
                <w:p w14:paraId="0E567AA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核算方法</w:t>
                  </w:r>
                </w:p>
              </w:tc>
              <w:tc>
                <w:tcPr>
                  <w:tcW w:w="341" w:type="pct"/>
                  <w:noWrap w:val="0"/>
                  <w:vAlign w:val="center"/>
                </w:tcPr>
                <w:p w14:paraId="3317FDA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治理措施</w:t>
                  </w:r>
                </w:p>
              </w:tc>
              <w:tc>
                <w:tcPr>
                  <w:tcW w:w="217" w:type="pct"/>
                  <w:noWrap w:val="0"/>
                  <w:vAlign w:val="center"/>
                </w:tcPr>
                <w:p w14:paraId="624E43B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收集效率（%）</w:t>
                  </w:r>
                </w:p>
              </w:tc>
              <w:tc>
                <w:tcPr>
                  <w:tcW w:w="200" w:type="pct"/>
                  <w:noWrap w:val="0"/>
                  <w:vAlign w:val="center"/>
                </w:tcPr>
                <w:p w14:paraId="2E9C5B3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处理效率（%）</w:t>
                  </w:r>
                </w:p>
              </w:tc>
              <w:tc>
                <w:tcPr>
                  <w:tcW w:w="288" w:type="pct"/>
                  <w:shd w:val="clear" w:color="auto" w:fill="auto"/>
                  <w:noWrap w:val="0"/>
                  <w:vAlign w:val="center"/>
                </w:tcPr>
                <w:p w14:paraId="5DB8A1C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ascii="Times New Roman" w:hAnsi="Times New Roman" w:eastAsia="宋体"/>
                      <w:color w:val="auto"/>
                      <w:sz w:val="21"/>
                      <w:szCs w:val="21"/>
                      <w:highlight w:val="none"/>
                    </w:rPr>
                    <w:t>产生量</w:t>
                  </w:r>
                  <w:r>
                    <w:rPr>
                      <w:rFonts w:hint="eastAsia"/>
                      <w:color w:val="auto"/>
                      <w:sz w:val="21"/>
                      <w:szCs w:val="21"/>
                      <w:highlight w:val="none"/>
                      <w:lang w:eastAsia="zh-CN"/>
                    </w:rPr>
                    <w:t>（</w:t>
                  </w:r>
                  <w:r>
                    <w:rPr>
                      <w:rFonts w:hint="eastAsia"/>
                      <w:color w:val="auto"/>
                      <w:sz w:val="21"/>
                      <w:szCs w:val="21"/>
                      <w:highlight w:val="none"/>
                      <w:lang w:val="en-US" w:eastAsia="zh-CN"/>
                    </w:rPr>
                    <w:t>kg/h</w:t>
                  </w:r>
                  <w:r>
                    <w:rPr>
                      <w:rFonts w:hint="eastAsia"/>
                      <w:color w:val="auto"/>
                      <w:sz w:val="21"/>
                      <w:szCs w:val="21"/>
                      <w:highlight w:val="none"/>
                      <w:lang w:eastAsia="zh-CN"/>
                    </w:rPr>
                    <w:t>）</w:t>
                  </w:r>
                </w:p>
              </w:tc>
              <w:tc>
                <w:tcPr>
                  <w:tcW w:w="353" w:type="pct"/>
                  <w:shd w:val="clear" w:color="auto" w:fill="auto"/>
                  <w:noWrap w:val="0"/>
                  <w:vAlign w:val="center"/>
                </w:tcPr>
                <w:p w14:paraId="77E8C9B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highlight w:val="none"/>
                    </w:rPr>
                  </w:pPr>
                  <w:r>
                    <w:rPr>
                      <w:rFonts w:ascii="Times New Roman" w:hAnsi="Times New Roman" w:eastAsia="宋体"/>
                      <w:color w:val="auto"/>
                      <w:sz w:val="21"/>
                      <w:szCs w:val="21"/>
                      <w:highlight w:val="none"/>
                    </w:rPr>
                    <w:t>浓度</w:t>
                  </w:r>
                </w:p>
                <w:p w14:paraId="1AC98B4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eastAsia="zh-CN"/>
                    </w:rPr>
                    <w:t>（</w:t>
                  </w:r>
                  <w:r>
                    <w:rPr>
                      <w:rFonts w:ascii="Times New Roman" w:hAnsi="Times New Roman" w:eastAsia="宋体"/>
                      <w:color w:val="auto"/>
                      <w:sz w:val="21"/>
                      <w:szCs w:val="21"/>
                      <w:highlight w:val="none"/>
                    </w:rPr>
                    <w:t>mg/m</w:t>
                  </w:r>
                  <w:r>
                    <w:rPr>
                      <w:rFonts w:ascii="Times New Roman" w:hAnsi="Times New Roman" w:eastAsia="宋体"/>
                      <w:color w:val="auto"/>
                      <w:sz w:val="21"/>
                      <w:szCs w:val="21"/>
                      <w:highlight w:val="none"/>
                      <w:vertAlign w:val="superscript"/>
                    </w:rPr>
                    <w:t>3</w:t>
                  </w:r>
                  <w:r>
                    <w:rPr>
                      <w:rFonts w:hint="eastAsia"/>
                      <w:color w:val="auto"/>
                      <w:sz w:val="21"/>
                      <w:szCs w:val="21"/>
                      <w:highlight w:val="none"/>
                      <w:lang w:eastAsia="zh-CN"/>
                    </w:rPr>
                    <w:t>）</w:t>
                  </w:r>
                </w:p>
              </w:tc>
              <w:tc>
                <w:tcPr>
                  <w:tcW w:w="223" w:type="pct"/>
                  <w:shd w:val="clear" w:color="auto" w:fill="auto"/>
                  <w:noWrap w:val="0"/>
                  <w:vAlign w:val="center"/>
                </w:tcPr>
                <w:p w14:paraId="163DC33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核算方法</w:t>
                  </w:r>
                </w:p>
              </w:tc>
              <w:tc>
                <w:tcPr>
                  <w:tcW w:w="229" w:type="pct"/>
                  <w:vMerge w:val="continue"/>
                  <w:shd w:val="clear" w:color="auto" w:fill="auto"/>
                  <w:noWrap w:val="0"/>
                  <w:vAlign w:val="center"/>
                </w:tcPr>
                <w:p w14:paraId="5D95D56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76" w:type="pct"/>
                  <w:vMerge w:val="continue"/>
                  <w:shd w:val="clear" w:color="auto" w:fill="auto"/>
                  <w:noWrap w:val="0"/>
                  <w:vAlign w:val="center"/>
                </w:tcPr>
                <w:p w14:paraId="2A5AA66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25" w:type="pct"/>
                  <w:shd w:val="clear" w:color="auto" w:fill="auto"/>
                  <w:noWrap w:val="0"/>
                  <w:vAlign w:val="center"/>
                </w:tcPr>
                <w:p w14:paraId="6D8D452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排气筒高度（m）</w:t>
                  </w:r>
                </w:p>
              </w:tc>
              <w:tc>
                <w:tcPr>
                  <w:tcW w:w="200" w:type="pct"/>
                  <w:shd w:val="clear" w:color="auto" w:fill="auto"/>
                  <w:noWrap w:val="0"/>
                  <w:vAlign w:val="center"/>
                </w:tcPr>
                <w:p w14:paraId="62C6B1F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出口内径（m）</w:t>
                  </w:r>
                </w:p>
              </w:tc>
              <w:tc>
                <w:tcPr>
                  <w:tcW w:w="196" w:type="pct"/>
                  <w:shd w:val="clear" w:color="auto" w:fill="auto"/>
                  <w:noWrap w:val="0"/>
                  <w:vAlign w:val="center"/>
                </w:tcPr>
                <w:p w14:paraId="536AE9D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温度（℃）</w:t>
                  </w:r>
                </w:p>
              </w:tc>
            </w:tr>
            <w:tr w14:paraId="121B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9" w:hRule="atLeast"/>
                <w:jc w:val="center"/>
              </w:trPr>
              <w:tc>
                <w:tcPr>
                  <w:tcW w:w="198" w:type="pct"/>
                  <w:vMerge w:val="restart"/>
                  <w:noWrap w:val="0"/>
                  <w:vAlign w:val="center"/>
                </w:tcPr>
                <w:p w14:paraId="30F9E3E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水洗砂</w:t>
                  </w:r>
                  <w:r>
                    <w:rPr>
                      <w:rFonts w:hint="default" w:ascii="Times New Roman" w:hAnsi="Times New Roman" w:eastAsia="宋体"/>
                      <w:color w:val="auto"/>
                      <w:sz w:val="21"/>
                      <w:szCs w:val="21"/>
                      <w:highlight w:val="none"/>
                      <w:lang w:val="en-US" w:eastAsia="zh-CN"/>
                    </w:rPr>
                    <w:t>生产线</w:t>
                  </w:r>
                </w:p>
              </w:tc>
              <w:tc>
                <w:tcPr>
                  <w:tcW w:w="408" w:type="pct"/>
                  <w:noWrap w:val="0"/>
                  <w:vAlign w:val="center"/>
                </w:tcPr>
                <w:p w14:paraId="0BC4490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运输</w:t>
                  </w:r>
                </w:p>
              </w:tc>
              <w:tc>
                <w:tcPr>
                  <w:tcW w:w="162" w:type="pct"/>
                  <w:noWrap w:val="0"/>
                  <w:vAlign w:val="center"/>
                </w:tcPr>
                <w:p w14:paraId="2D3515D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颗粒物</w:t>
                  </w:r>
                </w:p>
              </w:tc>
              <w:tc>
                <w:tcPr>
                  <w:tcW w:w="247" w:type="pct"/>
                  <w:vMerge w:val="restart"/>
                  <w:noWrap w:val="0"/>
                  <w:vAlign w:val="center"/>
                </w:tcPr>
                <w:p w14:paraId="1B9CD6D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无组织</w:t>
                  </w:r>
                </w:p>
              </w:tc>
              <w:tc>
                <w:tcPr>
                  <w:tcW w:w="364" w:type="pct"/>
                  <w:noWrap w:val="0"/>
                  <w:vAlign w:val="center"/>
                </w:tcPr>
                <w:p w14:paraId="5D51116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294" w:type="pct"/>
                  <w:noWrap w:val="0"/>
                  <w:vAlign w:val="center"/>
                </w:tcPr>
                <w:p w14:paraId="0728478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0.675</w:t>
                  </w:r>
                </w:p>
              </w:tc>
              <w:tc>
                <w:tcPr>
                  <w:tcW w:w="364" w:type="pct"/>
                  <w:noWrap w:val="0"/>
                  <w:vAlign w:val="center"/>
                </w:tcPr>
                <w:p w14:paraId="7668D21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w:t>
                  </w:r>
                </w:p>
              </w:tc>
              <w:tc>
                <w:tcPr>
                  <w:tcW w:w="206" w:type="pct"/>
                  <w:noWrap w:val="0"/>
                  <w:vAlign w:val="center"/>
                </w:tcPr>
                <w:p w14:paraId="161A01D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产污系数法</w:t>
                  </w:r>
                </w:p>
              </w:tc>
              <w:tc>
                <w:tcPr>
                  <w:tcW w:w="341" w:type="pct"/>
                  <w:noWrap w:val="0"/>
                  <w:vAlign w:val="center"/>
                </w:tcPr>
                <w:p w14:paraId="30A3130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道路硬化，减速慢行，运输过程加盖篷布，限制超载</w:t>
                  </w:r>
                </w:p>
              </w:tc>
              <w:tc>
                <w:tcPr>
                  <w:tcW w:w="217" w:type="pct"/>
                  <w:noWrap w:val="0"/>
                  <w:vAlign w:val="center"/>
                </w:tcPr>
                <w:p w14:paraId="04BE077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00" w:type="pct"/>
                  <w:noWrap w:val="0"/>
                  <w:vAlign w:val="center"/>
                </w:tcPr>
                <w:p w14:paraId="7F9EE31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90</w:t>
                  </w:r>
                </w:p>
              </w:tc>
              <w:tc>
                <w:tcPr>
                  <w:tcW w:w="288" w:type="pct"/>
                  <w:noWrap w:val="0"/>
                  <w:vAlign w:val="center"/>
                </w:tcPr>
                <w:p w14:paraId="52DDC3C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0.07</w:t>
                  </w:r>
                </w:p>
              </w:tc>
              <w:tc>
                <w:tcPr>
                  <w:tcW w:w="353" w:type="pct"/>
                  <w:noWrap w:val="0"/>
                  <w:vAlign w:val="center"/>
                </w:tcPr>
                <w:p w14:paraId="528ACAE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23" w:type="pct"/>
                  <w:noWrap w:val="0"/>
                  <w:vAlign w:val="center"/>
                </w:tcPr>
                <w:p w14:paraId="1372E14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29" w:type="pct"/>
                  <w:noWrap w:val="0"/>
                  <w:vAlign w:val="center"/>
                </w:tcPr>
                <w:p w14:paraId="03D4C77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2240</w:t>
                  </w:r>
                </w:p>
              </w:tc>
              <w:tc>
                <w:tcPr>
                  <w:tcW w:w="276" w:type="pct"/>
                  <w:noWrap w:val="0"/>
                  <w:vAlign w:val="center"/>
                </w:tcPr>
                <w:p w14:paraId="2BB5D07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0.151</w:t>
                  </w:r>
                </w:p>
              </w:tc>
              <w:tc>
                <w:tcPr>
                  <w:tcW w:w="225" w:type="pct"/>
                  <w:noWrap w:val="0"/>
                  <w:vAlign w:val="center"/>
                </w:tcPr>
                <w:p w14:paraId="06A9A03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00" w:type="pct"/>
                  <w:noWrap w:val="0"/>
                  <w:vAlign w:val="center"/>
                </w:tcPr>
                <w:p w14:paraId="4107D39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196" w:type="pct"/>
                  <w:noWrap w:val="0"/>
                  <w:vAlign w:val="center"/>
                </w:tcPr>
                <w:p w14:paraId="25CAE01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r>
            <w:tr w14:paraId="2C84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9" w:hRule="atLeast"/>
                <w:jc w:val="center"/>
              </w:trPr>
              <w:tc>
                <w:tcPr>
                  <w:tcW w:w="198" w:type="pct"/>
                  <w:vMerge w:val="continue"/>
                  <w:noWrap w:val="0"/>
                  <w:vAlign w:val="center"/>
                </w:tcPr>
                <w:p w14:paraId="58A31D2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p>
              </w:tc>
              <w:tc>
                <w:tcPr>
                  <w:tcW w:w="408" w:type="pct"/>
                  <w:noWrap w:val="0"/>
                  <w:vAlign w:val="center"/>
                </w:tcPr>
                <w:p w14:paraId="6BB3858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原料装卸</w:t>
                  </w:r>
                </w:p>
              </w:tc>
              <w:tc>
                <w:tcPr>
                  <w:tcW w:w="162" w:type="pct"/>
                  <w:noWrap w:val="0"/>
                  <w:vAlign w:val="center"/>
                </w:tcPr>
                <w:p w14:paraId="07F796D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颗粒物</w:t>
                  </w:r>
                </w:p>
              </w:tc>
              <w:tc>
                <w:tcPr>
                  <w:tcW w:w="247" w:type="pct"/>
                  <w:vMerge w:val="continue"/>
                  <w:noWrap w:val="0"/>
                  <w:vAlign w:val="center"/>
                </w:tcPr>
                <w:p w14:paraId="2FD7883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364" w:type="pct"/>
                  <w:noWrap w:val="0"/>
                  <w:vAlign w:val="center"/>
                </w:tcPr>
                <w:p w14:paraId="5EFCB91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294" w:type="pct"/>
                  <w:noWrap w:val="0"/>
                  <w:vAlign w:val="center"/>
                </w:tcPr>
                <w:p w14:paraId="74CF49B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2.25</w:t>
                  </w:r>
                </w:p>
              </w:tc>
              <w:tc>
                <w:tcPr>
                  <w:tcW w:w="364" w:type="pct"/>
                  <w:noWrap w:val="0"/>
                  <w:vAlign w:val="center"/>
                </w:tcPr>
                <w:p w14:paraId="42DC9C6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w:t>
                  </w:r>
                </w:p>
              </w:tc>
              <w:tc>
                <w:tcPr>
                  <w:tcW w:w="206" w:type="pct"/>
                  <w:noWrap w:val="0"/>
                  <w:vAlign w:val="center"/>
                </w:tcPr>
                <w:p w14:paraId="66E73FF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产污系数法</w:t>
                  </w:r>
                </w:p>
              </w:tc>
              <w:tc>
                <w:tcPr>
                  <w:tcW w:w="341" w:type="pct"/>
                  <w:noWrap w:val="0"/>
                  <w:vAlign w:val="center"/>
                </w:tcPr>
                <w:p w14:paraId="529E046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固定装卸位，密闭的料仓内卸车，车间顶部加装雾化喷淋设施</w:t>
                  </w:r>
                </w:p>
              </w:tc>
              <w:tc>
                <w:tcPr>
                  <w:tcW w:w="217" w:type="pct"/>
                  <w:noWrap w:val="0"/>
                  <w:vAlign w:val="center"/>
                </w:tcPr>
                <w:p w14:paraId="52120AE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00" w:type="pct"/>
                  <w:noWrap w:val="0"/>
                  <w:vAlign w:val="center"/>
                </w:tcPr>
                <w:p w14:paraId="563522B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90</w:t>
                  </w:r>
                </w:p>
              </w:tc>
              <w:tc>
                <w:tcPr>
                  <w:tcW w:w="288" w:type="pct"/>
                  <w:noWrap w:val="0"/>
                  <w:vAlign w:val="center"/>
                </w:tcPr>
                <w:p w14:paraId="0E0075D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0.22</w:t>
                  </w:r>
                </w:p>
              </w:tc>
              <w:tc>
                <w:tcPr>
                  <w:tcW w:w="353" w:type="pct"/>
                  <w:noWrap w:val="0"/>
                  <w:vAlign w:val="center"/>
                </w:tcPr>
                <w:p w14:paraId="3AE6E6E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23" w:type="pct"/>
                  <w:shd w:val="clear" w:color="auto" w:fill="auto"/>
                  <w:noWrap w:val="0"/>
                  <w:vAlign w:val="center"/>
                </w:tcPr>
                <w:p w14:paraId="607D2EE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29" w:type="pct"/>
                  <w:shd w:val="clear" w:color="auto" w:fill="auto"/>
                  <w:noWrap w:val="0"/>
                  <w:vAlign w:val="center"/>
                </w:tcPr>
                <w:p w14:paraId="50A618B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2240</w:t>
                  </w:r>
                </w:p>
              </w:tc>
              <w:tc>
                <w:tcPr>
                  <w:tcW w:w="276" w:type="pct"/>
                  <w:shd w:val="clear" w:color="auto" w:fill="auto"/>
                  <w:noWrap w:val="0"/>
                  <w:vAlign w:val="center"/>
                </w:tcPr>
                <w:p w14:paraId="216D9EC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kern w:val="2"/>
                      <w:sz w:val="21"/>
                      <w:szCs w:val="21"/>
                      <w:highlight w:val="none"/>
                      <w:lang w:val="en-US" w:eastAsia="zh-CN" w:bidi="ar-SA"/>
                    </w:rPr>
                    <w:t>0.5</w:t>
                  </w:r>
                </w:p>
              </w:tc>
              <w:tc>
                <w:tcPr>
                  <w:tcW w:w="225" w:type="pct"/>
                  <w:shd w:val="clear" w:color="auto" w:fill="auto"/>
                  <w:noWrap w:val="0"/>
                  <w:vAlign w:val="center"/>
                </w:tcPr>
                <w:p w14:paraId="24513EC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00" w:type="pct"/>
                  <w:shd w:val="clear" w:color="auto" w:fill="auto"/>
                  <w:noWrap w:val="0"/>
                  <w:vAlign w:val="center"/>
                </w:tcPr>
                <w:p w14:paraId="7F0093E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196" w:type="pct"/>
                  <w:shd w:val="clear" w:color="auto" w:fill="auto"/>
                  <w:noWrap w:val="0"/>
                  <w:vAlign w:val="center"/>
                </w:tcPr>
                <w:p w14:paraId="58FCA4E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r>
            <w:tr w14:paraId="7846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98" w:type="pct"/>
                  <w:vMerge w:val="continue"/>
                  <w:noWrap w:val="0"/>
                  <w:vAlign w:val="center"/>
                </w:tcPr>
                <w:p w14:paraId="3CA44CE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p>
              </w:tc>
              <w:tc>
                <w:tcPr>
                  <w:tcW w:w="408" w:type="pct"/>
                  <w:noWrap w:val="0"/>
                  <w:vAlign w:val="center"/>
                </w:tcPr>
                <w:p w14:paraId="0845899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上料（DA001）</w:t>
                  </w:r>
                </w:p>
              </w:tc>
              <w:tc>
                <w:tcPr>
                  <w:tcW w:w="162" w:type="pct"/>
                  <w:noWrap w:val="0"/>
                  <w:vAlign w:val="center"/>
                </w:tcPr>
                <w:p w14:paraId="3B535A9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颗粒物</w:t>
                  </w:r>
                </w:p>
              </w:tc>
              <w:tc>
                <w:tcPr>
                  <w:tcW w:w="247" w:type="pct"/>
                  <w:noWrap w:val="0"/>
                  <w:vAlign w:val="center"/>
                </w:tcPr>
                <w:p w14:paraId="2E8B5B3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有组织</w:t>
                  </w:r>
                </w:p>
              </w:tc>
              <w:tc>
                <w:tcPr>
                  <w:tcW w:w="364" w:type="pct"/>
                  <w:noWrap w:val="0"/>
                  <w:vAlign w:val="center"/>
                </w:tcPr>
                <w:p w14:paraId="4E426BD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2600</w:t>
                  </w:r>
                </w:p>
              </w:tc>
              <w:tc>
                <w:tcPr>
                  <w:tcW w:w="294" w:type="pct"/>
                  <w:noWrap w:val="0"/>
                  <w:vAlign w:val="center"/>
                </w:tcPr>
                <w:p w14:paraId="59B747F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42.83</w:t>
                  </w:r>
                </w:p>
              </w:tc>
              <w:tc>
                <w:tcPr>
                  <w:tcW w:w="364" w:type="pct"/>
                  <w:noWrap w:val="0"/>
                  <w:vAlign w:val="center"/>
                </w:tcPr>
                <w:p w14:paraId="31D6A90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16474.93</w:t>
                  </w:r>
                </w:p>
              </w:tc>
              <w:tc>
                <w:tcPr>
                  <w:tcW w:w="206" w:type="pct"/>
                  <w:noWrap w:val="0"/>
                  <w:vAlign w:val="center"/>
                </w:tcPr>
                <w:p w14:paraId="684B55E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341" w:type="pct"/>
                  <w:noWrap w:val="0"/>
                  <w:vAlign w:val="center"/>
                </w:tcPr>
                <w:p w14:paraId="44750CA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上料口上方设置集尘罩</w:t>
                  </w:r>
                </w:p>
              </w:tc>
              <w:tc>
                <w:tcPr>
                  <w:tcW w:w="217" w:type="pct"/>
                  <w:noWrap w:val="0"/>
                  <w:vAlign w:val="center"/>
                </w:tcPr>
                <w:p w14:paraId="1DFBD4F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90</w:t>
                  </w:r>
                </w:p>
              </w:tc>
              <w:tc>
                <w:tcPr>
                  <w:tcW w:w="200" w:type="pct"/>
                  <w:noWrap w:val="0"/>
                  <w:vAlign w:val="center"/>
                </w:tcPr>
                <w:p w14:paraId="730BCE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99</w:t>
                  </w:r>
                </w:p>
              </w:tc>
              <w:tc>
                <w:tcPr>
                  <w:tcW w:w="288" w:type="pct"/>
                  <w:noWrap w:val="0"/>
                  <w:vAlign w:val="center"/>
                </w:tcPr>
                <w:p w14:paraId="45DE3F6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0.03</w:t>
                  </w:r>
                </w:p>
              </w:tc>
              <w:tc>
                <w:tcPr>
                  <w:tcW w:w="353" w:type="pct"/>
                  <w:noWrap w:val="0"/>
                  <w:vAlign w:val="center"/>
                </w:tcPr>
                <w:p w14:paraId="38FC213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10</w:t>
                  </w:r>
                </w:p>
              </w:tc>
              <w:tc>
                <w:tcPr>
                  <w:tcW w:w="223" w:type="pct"/>
                  <w:noWrap w:val="0"/>
                  <w:vAlign w:val="center"/>
                </w:tcPr>
                <w:p w14:paraId="74EE758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29" w:type="pct"/>
                  <w:noWrap w:val="0"/>
                  <w:vAlign w:val="center"/>
                </w:tcPr>
                <w:p w14:paraId="3DE9404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2240</w:t>
                  </w:r>
                </w:p>
              </w:tc>
              <w:tc>
                <w:tcPr>
                  <w:tcW w:w="276" w:type="pct"/>
                  <w:noWrap w:val="0"/>
                  <w:vAlign w:val="center"/>
                </w:tcPr>
                <w:p w14:paraId="42C9458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0.06</w:t>
                  </w:r>
                </w:p>
              </w:tc>
              <w:tc>
                <w:tcPr>
                  <w:tcW w:w="225" w:type="pct"/>
                  <w:noWrap w:val="0"/>
                  <w:vAlign w:val="center"/>
                </w:tcPr>
                <w:p w14:paraId="494E5B0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26</w:t>
                  </w:r>
                </w:p>
              </w:tc>
              <w:tc>
                <w:tcPr>
                  <w:tcW w:w="200" w:type="pct"/>
                  <w:noWrap w:val="0"/>
                  <w:vAlign w:val="center"/>
                </w:tcPr>
                <w:p w14:paraId="1A26E2A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0.15</w:t>
                  </w:r>
                </w:p>
              </w:tc>
              <w:tc>
                <w:tcPr>
                  <w:tcW w:w="196" w:type="pct"/>
                  <w:noWrap w:val="0"/>
                  <w:vAlign w:val="center"/>
                </w:tcPr>
                <w:p w14:paraId="00B0B9E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18</w:t>
                  </w:r>
                </w:p>
              </w:tc>
            </w:tr>
            <w:tr w14:paraId="6EB6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2" w:hRule="atLeast"/>
                <w:jc w:val="center"/>
              </w:trPr>
              <w:tc>
                <w:tcPr>
                  <w:tcW w:w="198" w:type="pct"/>
                  <w:vMerge w:val="restart"/>
                  <w:noWrap w:val="0"/>
                  <w:vAlign w:val="center"/>
                </w:tcPr>
                <w:p w14:paraId="244E373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水稳料生产线</w:t>
                  </w:r>
                </w:p>
              </w:tc>
              <w:tc>
                <w:tcPr>
                  <w:tcW w:w="408" w:type="pct"/>
                  <w:noWrap w:val="0"/>
                  <w:vAlign w:val="center"/>
                </w:tcPr>
                <w:p w14:paraId="3485971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运输</w:t>
                  </w:r>
                </w:p>
              </w:tc>
              <w:tc>
                <w:tcPr>
                  <w:tcW w:w="162" w:type="pct"/>
                  <w:noWrap w:val="0"/>
                  <w:vAlign w:val="center"/>
                </w:tcPr>
                <w:p w14:paraId="7C4573B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颗粒物</w:t>
                  </w:r>
                </w:p>
              </w:tc>
              <w:tc>
                <w:tcPr>
                  <w:tcW w:w="247" w:type="pct"/>
                  <w:vMerge w:val="restart"/>
                  <w:noWrap w:val="0"/>
                  <w:vAlign w:val="center"/>
                </w:tcPr>
                <w:p w14:paraId="27512FD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无组织</w:t>
                  </w:r>
                </w:p>
              </w:tc>
              <w:tc>
                <w:tcPr>
                  <w:tcW w:w="364" w:type="pct"/>
                  <w:noWrap w:val="0"/>
                  <w:vAlign w:val="center"/>
                </w:tcPr>
                <w:p w14:paraId="2C2E48C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294" w:type="pct"/>
                  <w:noWrap w:val="0"/>
                  <w:vAlign w:val="center"/>
                </w:tcPr>
                <w:p w14:paraId="71A43DB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0.</w:t>
                  </w:r>
                  <w:r>
                    <w:rPr>
                      <w:rFonts w:hint="eastAsia"/>
                      <w:color w:val="auto"/>
                      <w:sz w:val="21"/>
                      <w:szCs w:val="21"/>
                      <w:highlight w:val="none"/>
                      <w:lang w:val="en-US" w:eastAsia="zh-CN"/>
                    </w:rPr>
                    <w:t>4</w:t>
                  </w:r>
                </w:p>
              </w:tc>
              <w:tc>
                <w:tcPr>
                  <w:tcW w:w="364" w:type="pct"/>
                  <w:noWrap w:val="0"/>
                  <w:vAlign w:val="center"/>
                </w:tcPr>
                <w:p w14:paraId="0A08020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w:t>
                  </w:r>
                </w:p>
              </w:tc>
              <w:tc>
                <w:tcPr>
                  <w:tcW w:w="206" w:type="pct"/>
                  <w:shd w:val="clear" w:color="auto" w:fill="auto"/>
                  <w:noWrap w:val="0"/>
                  <w:vAlign w:val="center"/>
                </w:tcPr>
                <w:p w14:paraId="7E23D93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产污系数法</w:t>
                  </w:r>
                </w:p>
              </w:tc>
              <w:tc>
                <w:tcPr>
                  <w:tcW w:w="341" w:type="pct"/>
                  <w:noWrap w:val="0"/>
                  <w:vAlign w:val="center"/>
                </w:tcPr>
                <w:p w14:paraId="14CFAB1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道路硬化，减速慢行，运输过程加盖篷布，限制超载</w:t>
                  </w:r>
                </w:p>
              </w:tc>
              <w:tc>
                <w:tcPr>
                  <w:tcW w:w="217" w:type="pct"/>
                  <w:shd w:val="clear" w:color="auto" w:fill="auto"/>
                  <w:noWrap w:val="0"/>
                  <w:vAlign w:val="center"/>
                </w:tcPr>
                <w:p w14:paraId="1962DCA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00" w:type="pct"/>
                  <w:shd w:val="clear" w:color="auto" w:fill="auto"/>
                  <w:noWrap w:val="0"/>
                  <w:vAlign w:val="center"/>
                </w:tcPr>
                <w:p w14:paraId="6B47482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90</w:t>
                  </w:r>
                </w:p>
              </w:tc>
              <w:tc>
                <w:tcPr>
                  <w:tcW w:w="288" w:type="pct"/>
                  <w:shd w:val="clear" w:color="auto" w:fill="auto"/>
                  <w:noWrap w:val="0"/>
                  <w:vAlign w:val="center"/>
                </w:tcPr>
                <w:p w14:paraId="7A54D28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0.04</w:t>
                  </w:r>
                </w:p>
              </w:tc>
              <w:tc>
                <w:tcPr>
                  <w:tcW w:w="353" w:type="pct"/>
                  <w:shd w:val="clear" w:color="auto" w:fill="auto"/>
                  <w:noWrap w:val="0"/>
                  <w:vAlign w:val="center"/>
                </w:tcPr>
                <w:p w14:paraId="247C8EA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23" w:type="pct"/>
                  <w:shd w:val="clear" w:color="auto" w:fill="auto"/>
                  <w:noWrap w:val="0"/>
                  <w:vAlign w:val="center"/>
                </w:tcPr>
                <w:p w14:paraId="23BE732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29" w:type="pct"/>
                  <w:shd w:val="clear" w:color="auto" w:fill="auto"/>
                  <w:noWrap w:val="0"/>
                  <w:vAlign w:val="center"/>
                </w:tcPr>
                <w:p w14:paraId="69280A1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2240</w:t>
                  </w:r>
                </w:p>
              </w:tc>
              <w:tc>
                <w:tcPr>
                  <w:tcW w:w="276" w:type="pct"/>
                  <w:shd w:val="clear" w:color="auto" w:fill="auto"/>
                  <w:noWrap w:val="0"/>
                  <w:vAlign w:val="center"/>
                </w:tcPr>
                <w:p w14:paraId="195B70F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0.09</w:t>
                  </w:r>
                </w:p>
              </w:tc>
              <w:tc>
                <w:tcPr>
                  <w:tcW w:w="225" w:type="pct"/>
                  <w:shd w:val="clear" w:color="auto" w:fill="auto"/>
                  <w:noWrap w:val="0"/>
                  <w:vAlign w:val="center"/>
                </w:tcPr>
                <w:p w14:paraId="3616F4A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00" w:type="pct"/>
                  <w:shd w:val="clear" w:color="auto" w:fill="auto"/>
                  <w:noWrap w:val="0"/>
                  <w:vAlign w:val="center"/>
                </w:tcPr>
                <w:p w14:paraId="03C472C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196" w:type="pct"/>
                  <w:shd w:val="clear" w:color="auto" w:fill="auto"/>
                  <w:noWrap w:val="0"/>
                  <w:vAlign w:val="center"/>
                </w:tcPr>
                <w:p w14:paraId="15B2701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r>
            <w:tr w14:paraId="732C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8" w:hRule="atLeast"/>
                <w:jc w:val="center"/>
              </w:trPr>
              <w:tc>
                <w:tcPr>
                  <w:tcW w:w="198" w:type="pct"/>
                  <w:vMerge w:val="continue"/>
                  <w:noWrap w:val="0"/>
                  <w:vAlign w:val="center"/>
                </w:tcPr>
                <w:p w14:paraId="3DBFC90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p>
              </w:tc>
              <w:tc>
                <w:tcPr>
                  <w:tcW w:w="408" w:type="pct"/>
                  <w:noWrap w:val="0"/>
                  <w:vAlign w:val="center"/>
                </w:tcPr>
                <w:p w14:paraId="3175502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原料装卸</w:t>
                  </w:r>
                </w:p>
              </w:tc>
              <w:tc>
                <w:tcPr>
                  <w:tcW w:w="162" w:type="pct"/>
                  <w:noWrap w:val="0"/>
                  <w:vAlign w:val="center"/>
                </w:tcPr>
                <w:p w14:paraId="178168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颗粒物</w:t>
                  </w:r>
                </w:p>
              </w:tc>
              <w:tc>
                <w:tcPr>
                  <w:tcW w:w="247" w:type="pct"/>
                  <w:vMerge w:val="continue"/>
                  <w:noWrap w:val="0"/>
                  <w:vAlign w:val="center"/>
                </w:tcPr>
                <w:p w14:paraId="0214092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p>
              </w:tc>
              <w:tc>
                <w:tcPr>
                  <w:tcW w:w="364" w:type="pct"/>
                  <w:noWrap w:val="0"/>
                  <w:vAlign w:val="center"/>
                </w:tcPr>
                <w:p w14:paraId="0C6ADDA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94" w:type="pct"/>
                  <w:noWrap w:val="0"/>
                  <w:vAlign w:val="center"/>
                </w:tcPr>
                <w:p w14:paraId="086FF23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0.9</w:t>
                  </w:r>
                </w:p>
              </w:tc>
              <w:tc>
                <w:tcPr>
                  <w:tcW w:w="364" w:type="pct"/>
                  <w:noWrap w:val="0"/>
                  <w:vAlign w:val="center"/>
                </w:tcPr>
                <w:p w14:paraId="66802F9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06" w:type="pct"/>
                  <w:shd w:val="clear" w:color="auto" w:fill="auto"/>
                  <w:noWrap w:val="0"/>
                  <w:vAlign w:val="center"/>
                </w:tcPr>
                <w:p w14:paraId="73C714D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产污系数法</w:t>
                  </w:r>
                </w:p>
              </w:tc>
              <w:tc>
                <w:tcPr>
                  <w:tcW w:w="341" w:type="pct"/>
                  <w:noWrap w:val="0"/>
                  <w:vAlign w:val="center"/>
                </w:tcPr>
                <w:p w14:paraId="3BEC9FE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固定装卸位，密闭的料仓内卸车，车间顶部加装雾化喷淋设施</w:t>
                  </w:r>
                </w:p>
              </w:tc>
              <w:tc>
                <w:tcPr>
                  <w:tcW w:w="217" w:type="pct"/>
                  <w:shd w:val="clear" w:color="auto" w:fill="auto"/>
                  <w:noWrap w:val="0"/>
                  <w:vAlign w:val="center"/>
                </w:tcPr>
                <w:p w14:paraId="379D16A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00" w:type="pct"/>
                  <w:shd w:val="clear" w:color="auto" w:fill="auto"/>
                  <w:noWrap w:val="0"/>
                  <w:vAlign w:val="center"/>
                </w:tcPr>
                <w:p w14:paraId="7D9558A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90</w:t>
                  </w:r>
                </w:p>
              </w:tc>
              <w:tc>
                <w:tcPr>
                  <w:tcW w:w="288" w:type="pct"/>
                  <w:shd w:val="clear" w:color="auto" w:fill="auto"/>
                  <w:noWrap w:val="0"/>
                  <w:vAlign w:val="center"/>
                </w:tcPr>
                <w:p w14:paraId="230A6BC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0.09</w:t>
                  </w:r>
                </w:p>
              </w:tc>
              <w:tc>
                <w:tcPr>
                  <w:tcW w:w="353" w:type="pct"/>
                  <w:shd w:val="clear" w:color="auto" w:fill="auto"/>
                  <w:noWrap w:val="0"/>
                  <w:vAlign w:val="center"/>
                </w:tcPr>
                <w:p w14:paraId="3BD7366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23" w:type="pct"/>
                  <w:shd w:val="clear" w:color="auto" w:fill="auto"/>
                  <w:noWrap w:val="0"/>
                  <w:vAlign w:val="center"/>
                </w:tcPr>
                <w:p w14:paraId="4AAB587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29" w:type="pct"/>
                  <w:shd w:val="clear" w:color="auto" w:fill="auto"/>
                  <w:noWrap w:val="0"/>
                  <w:vAlign w:val="center"/>
                </w:tcPr>
                <w:p w14:paraId="7417F3B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2240</w:t>
                  </w:r>
                </w:p>
              </w:tc>
              <w:tc>
                <w:tcPr>
                  <w:tcW w:w="276" w:type="pct"/>
                  <w:shd w:val="clear" w:color="auto" w:fill="auto"/>
                  <w:noWrap w:val="0"/>
                  <w:vAlign w:val="center"/>
                </w:tcPr>
                <w:p w14:paraId="2DFB78D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0.202</w:t>
                  </w:r>
                </w:p>
              </w:tc>
              <w:tc>
                <w:tcPr>
                  <w:tcW w:w="225" w:type="pct"/>
                  <w:shd w:val="clear" w:color="auto" w:fill="auto"/>
                  <w:noWrap w:val="0"/>
                  <w:vAlign w:val="center"/>
                </w:tcPr>
                <w:p w14:paraId="09C1EC4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00" w:type="pct"/>
                  <w:shd w:val="clear" w:color="auto" w:fill="auto"/>
                  <w:noWrap w:val="0"/>
                  <w:vAlign w:val="center"/>
                </w:tcPr>
                <w:p w14:paraId="33966EF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196" w:type="pct"/>
                  <w:shd w:val="clear" w:color="auto" w:fill="auto"/>
                  <w:noWrap w:val="0"/>
                  <w:vAlign w:val="center"/>
                </w:tcPr>
                <w:p w14:paraId="6825343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r>
            <w:tr w14:paraId="3A5B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9" w:hRule="atLeast"/>
                <w:jc w:val="center"/>
              </w:trPr>
              <w:tc>
                <w:tcPr>
                  <w:tcW w:w="198" w:type="pct"/>
                  <w:vMerge w:val="continue"/>
                  <w:noWrap w:val="0"/>
                  <w:vAlign w:val="center"/>
                </w:tcPr>
                <w:p w14:paraId="1C9BA58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p>
              </w:tc>
              <w:tc>
                <w:tcPr>
                  <w:tcW w:w="408" w:type="pct"/>
                  <w:noWrap w:val="0"/>
                  <w:vAlign w:val="center"/>
                </w:tcPr>
                <w:p w14:paraId="37AC221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上料、搅拌机进料（DA002）</w:t>
                  </w:r>
                </w:p>
              </w:tc>
              <w:tc>
                <w:tcPr>
                  <w:tcW w:w="162" w:type="pct"/>
                  <w:noWrap w:val="0"/>
                  <w:vAlign w:val="center"/>
                </w:tcPr>
                <w:p w14:paraId="4CD7BAA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颗粒物</w:t>
                  </w:r>
                </w:p>
              </w:tc>
              <w:tc>
                <w:tcPr>
                  <w:tcW w:w="247" w:type="pct"/>
                  <w:noWrap w:val="0"/>
                  <w:vAlign w:val="center"/>
                </w:tcPr>
                <w:p w14:paraId="26D6207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有组织</w:t>
                  </w:r>
                </w:p>
              </w:tc>
              <w:tc>
                <w:tcPr>
                  <w:tcW w:w="364" w:type="pct"/>
                  <w:noWrap w:val="0"/>
                  <w:vAlign w:val="center"/>
                </w:tcPr>
                <w:p w14:paraId="0B870C8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14100</w:t>
                  </w:r>
                </w:p>
              </w:tc>
              <w:tc>
                <w:tcPr>
                  <w:tcW w:w="294" w:type="pct"/>
                  <w:noWrap w:val="0"/>
                  <w:vAlign w:val="center"/>
                </w:tcPr>
                <w:p w14:paraId="452AC4B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94.5</w:t>
                  </w:r>
                </w:p>
              </w:tc>
              <w:tc>
                <w:tcPr>
                  <w:tcW w:w="364" w:type="pct"/>
                  <w:noWrap w:val="0"/>
                  <w:vAlign w:val="center"/>
                </w:tcPr>
                <w:p w14:paraId="7C6ED49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6702.12</w:t>
                  </w:r>
                </w:p>
              </w:tc>
              <w:tc>
                <w:tcPr>
                  <w:tcW w:w="206" w:type="pct"/>
                  <w:noWrap w:val="0"/>
                  <w:vAlign w:val="center"/>
                </w:tcPr>
                <w:p w14:paraId="288C691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341" w:type="pct"/>
                  <w:noWrap w:val="0"/>
                  <w:vAlign w:val="center"/>
                </w:tcPr>
                <w:p w14:paraId="7B7EC3E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color w:val="auto"/>
                      <w:sz w:val="21"/>
                      <w:szCs w:val="21"/>
                      <w:highlight w:val="none"/>
                      <w:lang w:val="en-US" w:eastAsia="zh-CN"/>
                    </w:rPr>
                    <w:t>搅拌机进料口、</w:t>
                  </w:r>
                  <w:r>
                    <w:rPr>
                      <w:rFonts w:hint="eastAsia" w:ascii="Times New Roman" w:hAnsi="Times New Roman" w:eastAsia="宋体"/>
                      <w:color w:val="auto"/>
                      <w:sz w:val="21"/>
                      <w:szCs w:val="21"/>
                      <w:highlight w:val="none"/>
                      <w:lang w:val="en-US" w:eastAsia="zh-CN"/>
                    </w:rPr>
                    <w:t>上料口上方设置集尘罩</w:t>
                  </w:r>
                </w:p>
              </w:tc>
              <w:tc>
                <w:tcPr>
                  <w:tcW w:w="217" w:type="pct"/>
                  <w:noWrap w:val="0"/>
                  <w:vAlign w:val="center"/>
                </w:tcPr>
                <w:p w14:paraId="053751D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90</w:t>
                  </w:r>
                </w:p>
              </w:tc>
              <w:tc>
                <w:tcPr>
                  <w:tcW w:w="200" w:type="pct"/>
                  <w:noWrap w:val="0"/>
                  <w:vAlign w:val="center"/>
                </w:tcPr>
                <w:p w14:paraId="0083529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99</w:t>
                  </w:r>
                </w:p>
              </w:tc>
              <w:tc>
                <w:tcPr>
                  <w:tcW w:w="288" w:type="pct"/>
                  <w:noWrap w:val="0"/>
                  <w:vAlign w:val="center"/>
                </w:tcPr>
                <w:p w14:paraId="1937C8E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0.13</w:t>
                  </w:r>
                </w:p>
              </w:tc>
              <w:tc>
                <w:tcPr>
                  <w:tcW w:w="353" w:type="pct"/>
                  <w:noWrap w:val="0"/>
                  <w:vAlign w:val="center"/>
                </w:tcPr>
                <w:p w14:paraId="082A3CB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10</w:t>
                  </w:r>
                </w:p>
              </w:tc>
              <w:tc>
                <w:tcPr>
                  <w:tcW w:w="223" w:type="pct"/>
                  <w:noWrap w:val="0"/>
                  <w:vAlign w:val="center"/>
                </w:tcPr>
                <w:p w14:paraId="7A4F723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29" w:type="pct"/>
                  <w:noWrap w:val="0"/>
                  <w:vAlign w:val="center"/>
                </w:tcPr>
                <w:p w14:paraId="2C7A5F0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2240</w:t>
                  </w:r>
                </w:p>
              </w:tc>
              <w:tc>
                <w:tcPr>
                  <w:tcW w:w="276" w:type="pct"/>
                  <w:noWrap w:val="0"/>
                  <w:vAlign w:val="center"/>
                </w:tcPr>
                <w:p w14:paraId="1659D4F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0.3</w:t>
                  </w:r>
                </w:p>
              </w:tc>
              <w:tc>
                <w:tcPr>
                  <w:tcW w:w="225" w:type="pct"/>
                  <w:noWrap w:val="0"/>
                  <w:vAlign w:val="center"/>
                </w:tcPr>
                <w:p w14:paraId="0D5CFFD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26</w:t>
                  </w:r>
                </w:p>
              </w:tc>
              <w:tc>
                <w:tcPr>
                  <w:tcW w:w="200" w:type="pct"/>
                  <w:noWrap w:val="0"/>
                  <w:vAlign w:val="center"/>
                </w:tcPr>
                <w:p w14:paraId="741A00E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0.4</w:t>
                  </w:r>
                </w:p>
              </w:tc>
              <w:tc>
                <w:tcPr>
                  <w:tcW w:w="196" w:type="pct"/>
                  <w:noWrap w:val="0"/>
                  <w:vAlign w:val="center"/>
                </w:tcPr>
                <w:p w14:paraId="37C7993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18</w:t>
                  </w:r>
                </w:p>
              </w:tc>
            </w:tr>
            <w:tr w14:paraId="3435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 w:hRule="atLeast"/>
                <w:jc w:val="center"/>
              </w:trPr>
              <w:tc>
                <w:tcPr>
                  <w:tcW w:w="198" w:type="pct"/>
                  <w:vMerge w:val="restart"/>
                  <w:noWrap w:val="0"/>
                  <w:vAlign w:val="center"/>
                </w:tcPr>
                <w:p w14:paraId="124EF1D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湿拌砂浆生产线</w:t>
                  </w:r>
                </w:p>
              </w:tc>
              <w:tc>
                <w:tcPr>
                  <w:tcW w:w="408" w:type="pct"/>
                  <w:noWrap w:val="0"/>
                  <w:vAlign w:val="center"/>
                </w:tcPr>
                <w:p w14:paraId="454697B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运输</w:t>
                  </w:r>
                </w:p>
              </w:tc>
              <w:tc>
                <w:tcPr>
                  <w:tcW w:w="162" w:type="pct"/>
                  <w:noWrap w:val="0"/>
                  <w:vAlign w:val="center"/>
                </w:tcPr>
                <w:p w14:paraId="346220E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颗粒物</w:t>
                  </w:r>
                </w:p>
              </w:tc>
              <w:tc>
                <w:tcPr>
                  <w:tcW w:w="247" w:type="pct"/>
                  <w:noWrap w:val="0"/>
                  <w:vAlign w:val="center"/>
                </w:tcPr>
                <w:p w14:paraId="3BD2316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无组织</w:t>
                  </w:r>
                </w:p>
              </w:tc>
              <w:tc>
                <w:tcPr>
                  <w:tcW w:w="364" w:type="pct"/>
                  <w:noWrap w:val="0"/>
                  <w:vAlign w:val="center"/>
                </w:tcPr>
                <w:p w14:paraId="7C108E7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294" w:type="pct"/>
                  <w:noWrap w:val="0"/>
                  <w:vAlign w:val="center"/>
                </w:tcPr>
                <w:p w14:paraId="4CECD63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0.13</w:t>
                  </w:r>
                </w:p>
              </w:tc>
              <w:tc>
                <w:tcPr>
                  <w:tcW w:w="364" w:type="pct"/>
                  <w:noWrap w:val="0"/>
                  <w:vAlign w:val="center"/>
                </w:tcPr>
                <w:p w14:paraId="1DB1E09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w:t>
                  </w:r>
                </w:p>
              </w:tc>
              <w:tc>
                <w:tcPr>
                  <w:tcW w:w="206" w:type="pct"/>
                  <w:noWrap w:val="0"/>
                  <w:vAlign w:val="center"/>
                </w:tcPr>
                <w:p w14:paraId="10DBD3E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产污系数法</w:t>
                  </w:r>
                </w:p>
              </w:tc>
              <w:tc>
                <w:tcPr>
                  <w:tcW w:w="341" w:type="pct"/>
                  <w:noWrap w:val="0"/>
                  <w:vAlign w:val="center"/>
                </w:tcPr>
                <w:p w14:paraId="67A9239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道路硬化，减速慢行，运输过程加盖篷布，限制超载</w:t>
                  </w:r>
                </w:p>
              </w:tc>
              <w:tc>
                <w:tcPr>
                  <w:tcW w:w="217" w:type="pct"/>
                  <w:shd w:val="clear" w:color="auto" w:fill="auto"/>
                  <w:noWrap w:val="0"/>
                  <w:vAlign w:val="center"/>
                </w:tcPr>
                <w:p w14:paraId="20A58CC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00" w:type="pct"/>
                  <w:shd w:val="clear" w:color="auto" w:fill="auto"/>
                  <w:noWrap w:val="0"/>
                  <w:vAlign w:val="center"/>
                </w:tcPr>
                <w:p w14:paraId="56C758F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90</w:t>
                  </w:r>
                </w:p>
              </w:tc>
              <w:tc>
                <w:tcPr>
                  <w:tcW w:w="288" w:type="pct"/>
                  <w:shd w:val="clear" w:color="auto" w:fill="auto"/>
                  <w:noWrap w:val="0"/>
                  <w:vAlign w:val="center"/>
                </w:tcPr>
                <w:p w14:paraId="37E240D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0.01</w:t>
                  </w:r>
                </w:p>
              </w:tc>
              <w:tc>
                <w:tcPr>
                  <w:tcW w:w="353" w:type="pct"/>
                  <w:shd w:val="clear" w:color="auto" w:fill="auto"/>
                  <w:noWrap w:val="0"/>
                  <w:vAlign w:val="center"/>
                </w:tcPr>
                <w:p w14:paraId="0571369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23" w:type="pct"/>
                  <w:shd w:val="clear" w:color="auto" w:fill="auto"/>
                  <w:noWrap w:val="0"/>
                  <w:vAlign w:val="center"/>
                </w:tcPr>
                <w:p w14:paraId="7B954CE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29" w:type="pct"/>
                  <w:shd w:val="clear" w:color="auto" w:fill="auto"/>
                  <w:noWrap w:val="0"/>
                  <w:vAlign w:val="center"/>
                </w:tcPr>
                <w:p w14:paraId="62C0880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2240</w:t>
                  </w:r>
                </w:p>
              </w:tc>
              <w:tc>
                <w:tcPr>
                  <w:tcW w:w="276" w:type="pct"/>
                  <w:shd w:val="clear" w:color="auto" w:fill="auto"/>
                  <w:noWrap w:val="0"/>
                  <w:vAlign w:val="center"/>
                </w:tcPr>
                <w:p w14:paraId="611D10F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kern w:val="2"/>
                      <w:sz w:val="21"/>
                      <w:szCs w:val="21"/>
                      <w:highlight w:val="none"/>
                      <w:lang w:val="en-US" w:eastAsia="zh-CN" w:bidi="ar-SA"/>
                    </w:rPr>
                    <w:t>0.03</w:t>
                  </w:r>
                </w:p>
              </w:tc>
              <w:tc>
                <w:tcPr>
                  <w:tcW w:w="225" w:type="pct"/>
                  <w:shd w:val="clear" w:color="auto" w:fill="auto"/>
                  <w:noWrap w:val="0"/>
                  <w:vAlign w:val="center"/>
                </w:tcPr>
                <w:p w14:paraId="3658110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00" w:type="pct"/>
                  <w:shd w:val="clear" w:color="auto" w:fill="auto"/>
                  <w:noWrap w:val="0"/>
                  <w:vAlign w:val="center"/>
                </w:tcPr>
                <w:p w14:paraId="1F3F998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196" w:type="pct"/>
                  <w:shd w:val="clear" w:color="auto" w:fill="auto"/>
                  <w:noWrap w:val="0"/>
                  <w:vAlign w:val="center"/>
                </w:tcPr>
                <w:p w14:paraId="46FFCDE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r>
            <w:tr w14:paraId="48BD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 w:hRule="atLeast"/>
                <w:jc w:val="center"/>
              </w:trPr>
              <w:tc>
                <w:tcPr>
                  <w:tcW w:w="198" w:type="pct"/>
                  <w:vMerge w:val="continue"/>
                  <w:noWrap w:val="0"/>
                  <w:vAlign w:val="center"/>
                </w:tcPr>
                <w:p w14:paraId="6B21CBC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p>
              </w:tc>
              <w:tc>
                <w:tcPr>
                  <w:tcW w:w="408" w:type="pct"/>
                  <w:shd w:val="clear" w:color="auto" w:fill="auto"/>
                  <w:noWrap w:val="0"/>
                  <w:vAlign w:val="center"/>
                </w:tcPr>
                <w:p w14:paraId="7751388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上料、搅拌机进料（DA003）</w:t>
                  </w:r>
                </w:p>
              </w:tc>
              <w:tc>
                <w:tcPr>
                  <w:tcW w:w="162" w:type="pct"/>
                  <w:shd w:val="clear" w:color="auto" w:fill="auto"/>
                  <w:noWrap w:val="0"/>
                  <w:vAlign w:val="center"/>
                </w:tcPr>
                <w:p w14:paraId="4C22A51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颗粒物</w:t>
                  </w:r>
                </w:p>
              </w:tc>
              <w:tc>
                <w:tcPr>
                  <w:tcW w:w="247" w:type="pct"/>
                  <w:vMerge w:val="restart"/>
                  <w:shd w:val="clear" w:color="auto" w:fill="auto"/>
                  <w:noWrap w:val="0"/>
                  <w:vAlign w:val="center"/>
                </w:tcPr>
                <w:p w14:paraId="3F83E1D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有组织</w:t>
                  </w:r>
                </w:p>
              </w:tc>
              <w:tc>
                <w:tcPr>
                  <w:tcW w:w="364" w:type="pct"/>
                  <w:shd w:val="clear" w:color="auto" w:fill="auto"/>
                  <w:noWrap w:val="0"/>
                  <w:vAlign w:val="center"/>
                </w:tcPr>
                <w:p w14:paraId="384FB53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12000</w:t>
                  </w:r>
                </w:p>
              </w:tc>
              <w:tc>
                <w:tcPr>
                  <w:tcW w:w="294" w:type="pct"/>
                  <w:shd w:val="clear" w:color="auto" w:fill="auto"/>
                  <w:noWrap w:val="0"/>
                  <w:vAlign w:val="center"/>
                </w:tcPr>
                <w:p w14:paraId="157D78B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30.1</w:t>
                  </w:r>
                </w:p>
              </w:tc>
              <w:tc>
                <w:tcPr>
                  <w:tcW w:w="364" w:type="pct"/>
                  <w:shd w:val="clear" w:color="auto" w:fill="auto"/>
                  <w:noWrap w:val="0"/>
                  <w:vAlign w:val="center"/>
                </w:tcPr>
                <w:p w14:paraId="70BD310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2471.83</w:t>
                  </w:r>
                </w:p>
              </w:tc>
              <w:tc>
                <w:tcPr>
                  <w:tcW w:w="206" w:type="pct"/>
                  <w:shd w:val="clear" w:color="auto" w:fill="auto"/>
                  <w:noWrap w:val="0"/>
                  <w:vAlign w:val="center"/>
                </w:tcPr>
                <w:p w14:paraId="74E4C21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341" w:type="pct"/>
                  <w:shd w:val="clear" w:color="auto" w:fill="auto"/>
                  <w:noWrap w:val="0"/>
                  <w:vAlign w:val="center"/>
                </w:tcPr>
                <w:p w14:paraId="0773E8F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olor w:val="auto"/>
                      <w:sz w:val="21"/>
                      <w:szCs w:val="21"/>
                      <w:highlight w:val="none"/>
                      <w:lang w:val="en-US" w:eastAsia="zh-CN"/>
                    </w:rPr>
                    <w:t>搅拌机进料口、</w:t>
                  </w:r>
                  <w:r>
                    <w:rPr>
                      <w:rFonts w:hint="eastAsia" w:ascii="Times New Roman" w:hAnsi="Times New Roman" w:eastAsia="宋体"/>
                      <w:color w:val="auto"/>
                      <w:sz w:val="21"/>
                      <w:szCs w:val="21"/>
                      <w:highlight w:val="none"/>
                      <w:lang w:val="en-US" w:eastAsia="zh-CN"/>
                    </w:rPr>
                    <w:t>上料口上方设置集尘罩</w:t>
                  </w:r>
                </w:p>
              </w:tc>
              <w:tc>
                <w:tcPr>
                  <w:tcW w:w="217" w:type="pct"/>
                  <w:shd w:val="clear" w:color="auto" w:fill="auto"/>
                  <w:noWrap w:val="0"/>
                  <w:vAlign w:val="center"/>
                </w:tcPr>
                <w:p w14:paraId="551E38D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90</w:t>
                  </w:r>
                </w:p>
              </w:tc>
              <w:tc>
                <w:tcPr>
                  <w:tcW w:w="200" w:type="pct"/>
                  <w:shd w:val="clear" w:color="auto" w:fill="auto"/>
                  <w:noWrap w:val="0"/>
                  <w:vAlign w:val="center"/>
                </w:tcPr>
                <w:p w14:paraId="4E9B754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99</w:t>
                  </w:r>
                </w:p>
              </w:tc>
              <w:tc>
                <w:tcPr>
                  <w:tcW w:w="288" w:type="pct"/>
                  <w:shd w:val="clear" w:color="auto" w:fill="auto"/>
                  <w:noWrap w:val="0"/>
                  <w:vAlign w:val="center"/>
                </w:tcPr>
                <w:p w14:paraId="5DA5ABA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0.13</w:t>
                  </w:r>
                </w:p>
              </w:tc>
              <w:tc>
                <w:tcPr>
                  <w:tcW w:w="353" w:type="pct"/>
                  <w:shd w:val="clear" w:color="auto" w:fill="auto"/>
                  <w:noWrap w:val="0"/>
                  <w:vAlign w:val="center"/>
                </w:tcPr>
                <w:p w14:paraId="089F312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10</w:t>
                  </w:r>
                </w:p>
              </w:tc>
              <w:tc>
                <w:tcPr>
                  <w:tcW w:w="223" w:type="pct"/>
                  <w:shd w:val="clear" w:color="auto" w:fill="auto"/>
                  <w:noWrap w:val="0"/>
                  <w:vAlign w:val="center"/>
                </w:tcPr>
                <w:p w14:paraId="150FFD8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29" w:type="pct"/>
                  <w:shd w:val="clear" w:color="auto" w:fill="auto"/>
                  <w:noWrap w:val="0"/>
                  <w:vAlign w:val="center"/>
                </w:tcPr>
                <w:p w14:paraId="6C17C38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2240</w:t>
                  </w:r>
                </w:p>
              </w:tc>
              <w:tc>
                <w:tcPr>
                  <w:tcW w:w="276" w:type="pct"/>
                  <w:shd w:val="clear" w:color="auto" w:fill="auto"/>
                  <w:noWrap w:val="0"/>
                  <w:vAlign w:val="center"/>
                </w:tcPr>
                <w:p w14:paraId="0C5DD11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0.3</w:t>
                  </w:r>
                </w:p>
              </w:tc>
              <w:tc>
                <w:tcPr>
                  <w:tcW w:w="225" w:type="pct"/>
                  <w:shd w:val="clear" w:color="auto" w:fill="auto"/>
                  <w:noWrap w:val="0"/>
                  <w:vAlign w:val="center"/>
                </w:tcPr>
                <w:p w14:paraId="1B7E8DE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26</w:t>
                  </w:r>
                </w:p>
              </w:tc>
              <w:tc>
                <w:tcPr>
                  <w:tcW w:w="200" w:type="pct"/>
                  <w:shd w:val="clear" w:color="auto" w:fill="auto"/>
                  <w:noWrap w:val="0"/>
                  <w:vAlign w:val="center"/>
                </w:tcPr>
                <w:p w14:paraId="0ED2BA3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0.35</w:t>
                  </w:r>
                </w:p>
              </w:tc>
              <w:tc>
                <w:tcPr>
                  <w:tcW w:w="196" w:type="pct"/>
                  <w:shd w:val="clear" w:color="auto" w:fill="auto"/>
                  <w:noWrap w:val="0"/>
                  <w:vAlign w:val="center"/>
                </w:tcPr>
                <w:p w14:paraId="1739B51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18</w:t>
                  </w:r>
                </w:p>
              </w:tc>
            </w:tr>
            <w:tr w14:paraId="2FFC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 w:hRule="atLeast"/>
                <w:jc w:val="center"/>
              </w:trPr>
              <w:tc>
                <w:tcPr>
                  <w:tcW w:w="198" w:type="pct"/>
                  <w:vMerge w:val="continue"/>
                  <w:noWrap w:val="0"/>
                  <w:vAlign w:val="center"/>
                </w:tcPr>
                <w:p w14:paraId="5DCDBD1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p>
              </w:tc>
              <w:tc>
                <w:tcPr>
                  <w:tcW w:w="408" w:type="pct"/>
                  <w:shd w:val="clear" w:color="auto" w:fill="auto"/>
                  <w:noWrap w:val="0"/>
                  <w:vAlign w:val="center"/>
                </w:tcPr>
                <w:p w14:paraId="5F2FC28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水泥料仓（DA004）</w:t>
                  </w:r>
                </w:p>
              </w:tc>
              <w:tc>
                <w:tcPr>
                  <w:tcW w:w="162" w:type="pct"/>
                  <w:shd w:val="clear" w:color="auto" w:fill="auto"/>
                  <w:noWrap w:val="0"/>
                  <w:vAlign w:val="center"/>
                </w:tcPr>
                <w:p w14:paraId="0F98D3D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颗粒物</w:t>
                  </w:r>
                </w:p>
              </w:tc>
              <w:tc>
                <w:tcPr>
                  <w:tcW w:w="247" w:type="pct"/>
                  <w:vMerge w:val="continue"/>
                  <w:shd w:val="clear" w:color="auto" w:fill="auto"/>
                  <w:noWrap w:val="0"/>
                  <w:vAlign w:val="center"/>
                </w:tcPr>
                <w:p w14:paraId="0469164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364" w:type="pct"/>
                  <w:shd w:val="clear" w:color="auto" w:fill="auto"/>
                  <w:noWrap w:val="0"/>
                  <w:vAlign w:val="center"/>
                </w:tcPr>
                <w:p w14:paraId="69708AF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2000</w:t>
                  </w:r>
                </w:p>
              </w:tc>
              <w:tc>
                <w:tcPr>
                  <w:tcW w:w="294" w:type="pct"/>
                  <w:shd w:val="clear" w:color="auto" w:fill="auto"/>
                  <w:noWrap w:val="0"/>
                  <w:vAlign w:val="center"/>
                </w:tcPr>
                <w:p w14:paraId="7A726B7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3.17</w:t>
                  </w:r>
                </w:p>
              </w:tc>
              <w:tc>
                <w:tcPr>
                  <w:tcW w:w="364" w:type="pct"/>
                  <w:shd w:val="clear" w:color="auto" w:fill="auto"/>
                  <w:noWrap w:val="0"/>
                  <w:vAlign w:val="center"/>
                </w:tcPr>
                <w:p w14:paraId="687CD63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1583.55</w:t>
                  </w:r>
                </w:p>
              </w:tc>
              <w:tc>
                <w:tcPr>
                  <w:tcW w:w="206" w:type="pct"/>
                  <w:shd w:val="clear" w:color="auto" w:fill="auto"/>
                  <w:noWrap w:val="0"/>
                  <w:vAlign w:val="center"/>
                </w:tcPr>
                <w:p w14:paraId="7F2BF7C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w:t>
                  </w:r>
                </w:p>
              </w:tc>
              <w:tc>
                <w:tcPr>
                  <w:tcW w:w="341" w:type="pct"/>
                  <w:shd w:val="clear" w:color="auto" w:fill="auto"/>
                  <w:noWrap w:val="0"/>
                  <w:vAlign w:val="center"/>
                </w:tcPr>
                <w:p w14:paraId="1FFDE62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s="宋体"/>
                      <w:color w:val="auto"/>
                      <w:kern w:val="2"/>
                      <w:sz w:val="21"/>
                      <w:szCs w:val="21"/>
                      <w:highlight w:val="none"/>
                      <w:lang w:val="en-US" w:eastAsia="zh-CN" w:bidi="ar-SA"/>
                    </w:rPr>
                    <w:t>仓顶布袋除尘</w:t>
                  </w:r>
                </w:p>
              </w:tc>
              <w:tc>
                <w:tcPr>
                  <w:tcW w:w="217" w:type="pct"/>
                  <w:shd w:val="clear" w:color="auto" w:fill="auto"/>
                  <w:noWrap w:val="0"/>
                  <w:vAlign w:val="center"/>
                </w:tcPr>
                <w:p w14:paraId="7D18DA2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90</w:t>
                  </w:r>
                </w:p>
              </w:tc>
              <w:tc>
                <w:tcPr>
                  <w:tcW w:w="200" w:type="pct"/>
                  <w:shd w:val="clear" w:color="auto" w:fill="auto"/>
                  <w:noWrap w:val="0"/>
                  <w:vAlign w:val="center"/>
                </w:tcPr>
                <w:p w14:paraId="62973A5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99</w:t>
                  </w:r>
                </w:p>
              </w:tc>
              <w:tc>
                <w:tcPr>
                  <w:tcW w:w="288" w:type="pct"/>
                  <w:shd w:val="clear" w:color="auto" w:fill="auto"/>
                  <w:noWrap w:val="0"/>
                  <w:vAlign w:val="center"/>
                </w:tcPr>
                <w:p w14:paraId="382C1B0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0.134</w:t>
                  </w:r>
                </w:p>
              </w:tc>
              <w:tc>
                <w:tcPr>
                  <w:tcW w:w="353" w:type="pct"/>
                  <w:shd w:val="clear" w:color="auto" w:fill="auto"/>
                  <w:noWrap w:val="0"/>
                  <w:vAlign w:val="center"/>
                </w:tcPr>
                <w:p w14:paraId="0F5774B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10</w:t>
                  </w:r>
                </w:p>
              </w:tc>
              <w:tc>
                <w:tcPr>
                  <w:tcW w:w="223" w:type="pct"/>
                  <w:shd w:val="clear" w:color="auto" w:fill="auto"/>
                  <w:noWrap w:val="0"/>
                  <w:vAlign w:val="center"/>
                </w:tcPr>
                <w:p w14:paraId="7FA2E67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29" w:type="pct"/>
                  <w:shd w:val="clear" w:color="auto" w:fill="auto"/>
                  <w:noWrap w:val="0"/>
                  <w:vAlign w:val="center"/>
                </w:tcPr>
                <w:p w14:paraId="621870D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742</w:t>
                  </w:r>
                </w:p>
              </w:tc>
              <w:tc>
                <w:tcPr>
                  <w:tcW w:w="276" w:type="pct"/>
                  <w:shd w:val="clear" w:color="auto" w:fill="auto"/>
                  <w:noWrap w:val="0"/>
                  <w:vAlign w:val="center"/>
                </w:tcPr>
                <w:p w14:paraId="09E8FC3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0.01</w:t>
                  </w:r>
                </w:p>
              </w:tc>
              <w:tc>
                <w:tcPr>
                  <w:tcW w:w="225" w:type="pct"/>
                  <w:shd w:val="clear" w:color="auto" w:fill="auto"/>
                  <w:noWrap w:val="0"/>
                  <w:vAlign w:val="center"/>
                </w:tcPr>
                <w:p w14:paraId="3B28C97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15</w:t>
                  </w:r>
                </w:p>
              </w:tc>
              <w:tc>
                <w:tcPr>
                  <w:tcW w:w="200" w:type="pct"/>
                  <w:shd w:val="clear" w:color="auto" w:fill="auto"/>
                  <w:noWrap w:val="0"/>
                  <w:vAlign w:val="center"/>
                </w:tcPr>
                <w:p w14:paraId="482BB96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0.2</w:t>
                  </w:r>
                </w:p>
              </w:tc>
              <w:tc>
                <w:tcPr>
                  <w:tcW w:w="196" w:type="pct"/>
                  <w:shd w:val="clear" w:color="auto" w:fill="auto"/>
                  <w:noWrap w:val="0"/>
                  <w:vAlign w:val="center"/>
                </w:tcPr>
                <w:p w14:paraId="307801B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18</w:t>
                  </w:r>
                </w:p>
              </w:tc>
            </w:tr>
            <w:tr w14:paraId="70B25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 w:hRule="atLeast"/>
                <w:jc w:val="center"/>
              </w:trPr>
              <w:tc>
                <w:tcPr>
                  <w:tcW w:w="198" w:type="pct"/>
                  <w:vMerge w:val="continue"/>
                  <w:noWrap w:val="0"/>
                  <w:vAlign w:val="center"/>
                </w:tcPr>
                <w:p w14:paraId="482DF89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p>
              </w:tc>
              <w:tc>
                <w:tcPr>
                  <w:tcW w:w="408" w:type="pct"/>
                  <w:noWrap w:val="0"/>
                  <w:vAlign w:val="center"/>
                </w:tcPr>
                <w:p w14:paraId="1A109F3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粉煤灰料仓（DA005）</w:t>
                  </w:r>
                </w:p>
              </w:tc>
              <w:tc>
                <w:tcPr>
                  <w:tcW w:w="162" w:type="pct"/>
                  <w:noWrap w:val="0"/>
                  <w:vAlign w:val="center"/>
                </w:tcPr>
                <w:p w14:paraId="6938372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颗粒物</w:t>
                  </w:r>
                </w:p>
              </w:tc>
              <w:tc>
                <w:tcPr>
                  <w:tcW w:w="247" w:type="pct"/>
                  <w:vMerge w:val="continue"/>
                  <w:noWrap w:val="0"/>
                  <w:vAlign w:val="center"/>
                </w:tcPr>
                <w:p w14:paraId="37FCFC1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364" w:type="pct"/>
                  <w:noWrap w:val="0"/>
                  <w:vAlign w:val="center"/>
                </w:tcPr>
                <w:p w14:paraId="4938D9E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2000</w:t>
                  </w:r>
                </w:p>
              </w:tc>
              <w:tc>
                <w:tcPr>
                  <w:tcW w:w="294" w:type="pct"/>
                  <w:shd w:val="clear" w:color="auto" w:fill="auto"/>
                  <w:noWrap w:val="0"/>
                  <w:vAlign w:val="center"/>
                </w:tcPr>
                <w:p w14:paraId="12AD3C3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3.17</w:t>
                  </w:r>
                </w:p>
              </w:tc>
              <w:tc>
                <w:tcPr>
                  <w:tcW w:w="364" w:type="pct"/>
                  <w:shd w:val="clear" w:color="auto" w:fill="auto"/>
                  <w:noWrap w:val="0"/>
                  <w:vAlign w:val="center"/>
                </w:tcPr>
                <w:p w14:paraId="07DE984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kern w:val="2"/>
                      <w:sz w:val="21"/>
                      <w:szCs w:val="21"/>
                      <w:highlight w:val="none"/>
                      <w:lang w:val="en-US" w:eastAsia="zh-CN" w:bidi="ar-SA"/>
                    </w:rPr>
                    <w:t>1582.66</w:t>
                  </w:r>
                </w:p>
              </w:tc>
              <w:tc>
                <w:tcPr>
                  <w:tcW w:w="206" w:type="pct"/>
                  <w:shd w:val="clear" w:color="auto" w:fill="auto"/>
                  <w:noWrap w:val="0"/>
                  <w:vAlign w:val="center"/>
                </w:tcPr>
                <w:p w14:paraId="18DBFC5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w:t>
                  </w:r>
                </w:p>
              </w:tc>
              <w:tc>
                <w:tcPr>
                  <w:tcW w:w="341" w:type="pct"/>
                  <w:shd w:val="clear" w:color="auto" w:fill="auto"/>
                  <w:noWrap w:val="0"/>
                  <w:vAlign w:val="center"/>
                </w:tcPr>
                <w:p w14:paraId="0C34A98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s="宋体"/>
                      <w:color w:val="auto"/>
                      <w:kern w:val="2"/>
                      <w:sz w:val="21"/>
                      <w:szCs w:val="21"/>
                      <w:highlight w:val="none"/>
                      <w:lang w:val="en-US" w:eastAsia="zh-CN" w:bidi="ar-SA"/>
                    </w:rPr>
                    <w:t>仓顶布袋除尘</w:t>
                  </w:r>
                </w:p>
              </w:tc>
              <w:tc>
                <w:tcPr>
                  <w:tcW w:w="217" w:type="pct"/>
                  <w:shd w:val="clear" w:color="auto" w:fill="auto"/>
                  <w:noWrap w:val="0"/>
                  <w:vAlign w:val="center"/>
                </w:tcPr>
                <w:p w14:paraId="260B6D0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90</w:t>
                  </w:r>
                </w:p>
              </w:tc>
              <w:tc>
                <w:tcPr>
                  <w:tcW w:w="200" w:type="pct"/>
                  <w:shd w:val="clear" w:color="auto" w:fill="auto"/>
                  <w:noWrap w:val="0"/>
                  <w:vAlign w:val="center"/>
                </w:tcPr>
                <w:p w14:paraId="5BFADA2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99</w:t>
                  </w:r>
                </w:p>
              </w:tc>
              <w:tc>
                <w:tcPr>
                  <w:tcW w:w="288" w:type="pct"/>
                  <w:shd w:val="clear" w:color="auto" w:fill="auto"/>
                  <w:noWrap w:val="0"/>
                  <w:vAlign w:val="center"/>
                </w:tcPr>
                <w:p w14:paraId="782AB3B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kern w:val="2"/>
                      <w:sz w:val="21"/>
                      <w:szCs w:val="21"/>
                      <w:highlight w:val="none"/>
                      <w:lang w:val="en-US" w:eastAsia="zh-CN" w:bidi="ar-SA"/>
                    </w:rPr>
                    <w:t>0.02</w:t>
                  </w:r>
                </w:p>
              </w:tc>
              <w:tc>
                <w:tcPr>
                  <w:tcW w:w="353" w:type="pct"/>
                  <w:shd w:val="clear" w:color="auto" w:fill="auto"/>
                  <w:noWrap w:val="0"/>
                  <w:vAlign w:val="center"/>
                </w:tcPr>
                <w:p w14:paraId="11AF946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kern w:val="2"/>
                      <w:sz w:val="21"/>
                      <w:szCs w:val="21"/>
                      <w:highlight w:val="none"/>
                      <w:lang w:val="en-US" w:eastAsia="zh-CN" w:bidi="ar-SA"/>
                    </w:rPr>
                    <w:t>10</w:t>
                  </w:r>
                </w:p>
              </w:tc>
              <w:tc>
                <w:tcPr>
                  <w:tcW w:w="223" w:type="pct"/>
                  <w:shd w:val="clear" w:color="auto" w:fill="auto"/>
                  <w:noWrap w:val="0"/>
                  <w:vAlign w:val="center"/>
                </w:tcPr>
                <w:p w14:paraId="32BBAE5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w:t>
                  </w:r>
                </w:p>
              </w:tc>
              <w:tc>
                <w:tcPr>
                  <w:tcW w:w="229" w:type="pct"/>
                  <w:shd w:val="clear" w:color="auto" w:fill="auto"/>
                  <w:noWrap w:val="0"/>
                  <w:vAlign w:val="center"/>
                </w:tcPr>
                <w:p w14:paraId="4B87951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kern w:val="2"/>
                      <w:sz w:val="21"/>
                      <w:szCs w:val="21"/>
                      <w:highlight w:val="none"/>
                      <w:lang w:val="en-US" w:eastAsia="zh-CN" w:bidi="ar-SA"/>
                    </w:rPr>
                    <w:t>496</w:t>
                  </w:r>
                </w:p>
              </w:tc>
              <w:tc>
                <w:tcPr>
                  <w:tcW w:w="276" w:type="pct"/>
                  <w:shd w:val="clear" w:color="auto" w:fill="auto"/>
                  <w:noWrap w:val="0"/>
                  <w:vAlign w:val="center"/>
                </w:tcPr>
                <w:p w14:paraId="2B2F116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0.01</w:t>
                  </w:r>
                </w:p>
              </w:tc>
              <w:tc>
                <w:tcPr>
                  <w:tcW w:w="225" w:type="pct"/>
                  <w:shd w:val="clear" w:color="auto" w:fill="auto"/>
                  <w:noWrap w:val="0"/>
                  <w:vAlign w:val="center"/>
                </w:tcPr>
                <w:p w14:paraId="5E78CD3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15</w:t>
                  </w:r>
                </w:p>
              </w:tc>
              <w:tc>
                <w:tcPr>
                  <w:tcW w:w="200" w:type="pct"/>
                  <w:shd w:val="clear" w:color="auto" w:fill="auto"/>
                  <w:noWrap w:val="0"/>
                  <w:vAlign w:val="center"/>
                </w:tcPr>
                <w:p w14:paraId="4782EF8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ascii="Times New Roman" w:hAnsi="Times New Roman" w:cs="宋体"/>
                      <w:color w:val="auto"/>
                      <w:kern w:val="2"/>
                      <w:sz w:val="21"/>
                      <w:szCs w:val="21"/>
                      <w:highlight w:val="none"/>
                      <w:lang w:val="en-US" w:eastAsia="zh-CN" w:bidi="ar-SA"/>
                    </w:rPr>
                    <w:t>0.2</w:t>
                  </w:r>
                </w:p>
              </w:tc>
              <w:tc>
                <w:tcPr>
                  <w:tcW w:w="196" w:type="pct"/>
                  <w:shd w:val="clear" w:color="auto" w:fill="auto"/>
                  <w:noWrap w:val="0"/>
                  <w:vAlign w:val="center"/>
                </w:tcPr>
                <w:p w14:paraId="6AF742D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18</w:t>
                  </w:r>
                </w:p>
              </w:tc>
            </w:tr>
            <w:tr w14:paraId="382F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 w:hRule="atLeast"/>
                <w:jc w:val="center"/>
              </w:trPr>
              <w:tc>
                <w:tcPr>
                  <w:tcW w:w="198" w:type="pct"/>
                  <w:vMerge w:val="restart"/>
                  <w:noWrap w:val="0"/>
                  <w:vAlign w:val="center"/>
                </w:tcPr>
                <w:p w14:paraId="313F599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预制构件生产线</w:t>
                  </w:r>
                </w:p>
              </w:tc>
              <w:tc>
                <w:tcPr>
                  <w:tcW w:w="408" w:type="pct"/>
                  <w:shd w:val="clear" w:color="auto" w:fill="auto"/>
                  <w:noWrap w:val="0"/>
                  <w:vAlign w:val="center"/>
                </w:tcPr>
                <w:p w14:paraId="674D8E5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运输</w:t>
                  </w:r>
                </w:p>
              </w:tc>
              <w:tc>
                <w:tcPr>
                  <w:tcW w:w="162" w:type="pct"/>
                  <w:shd w:val="clear" w:color="auto" w:fill="auto"/>
                  <w:noWrap w:val="0"/>
                  <w:vAlign w:val="center"/>
                </w:tcPr>
                <w:p w14:paraId="4FB8B4C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颗粒物</w:t>
                  </w:r>
                </w:p>
              </w:tc>
              <w:tc>
                <w:tcPr>
                  <w:tcW w:w="247" w:type="pct"/>
                  <w:shd w:val="clear" w:color="auto" w:fill="auto"/>
                  <w:noWrap w:val="0"/>
                  <w:vAlign w:val="center"/>
                </w:tcPr>
                <w:p w14:paraId="4B9B9EE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无组织</w:t>
                  </w:r>
                </w:p>
              </w:tc>
              <w:tc>
                <w:tcPr>
                  <w:tcW w:w="364" w:type="pct"/>
                  <w:shd w:val="clear" w:color="auto" w:fill="auto"/>
                  <w:noWrap w:val="0"/>
                  <w:vAlign w:val="center"/>
                </w:tcPr>
                <w:p w14:paraId="2116C97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294" w:type="pct"/>
                  <w:shd w:val="clear" w:color="auto" w:fill="auto"/>
                  <w:noWrap w:val="0"/>
                  <w:vAlign w:val="center"/>
                </w:tcPr>
                <w:p w14:paraId="6367192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0.13</w:t>
                  </w:r>
                </w:p>
              </w:tc>
              <w:tc>
                <w:tcPr>
                  <w:tcW w:w="364" w:type="pct"/>
                  <w:shd w:val="clear" w:color="auto" w:fill="auto"/>
                  <w:noWrap w:val="0"/>
                  <w:vAlign w:val="center"/>
                </w:tcPr>
                <w:p w14:paraId="761E5FA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w:t>
                  </w:r>
                </w:p>
              </w:tc>
              <w:tc>
                <w:tcPr>
                  <w:tcW w:w="206" w:type="pct"/>
                  <w:shd w:val="clear" w:color="auto" w:fill="auto"/>
                  <w:noWrap w:val="0"/>
                  <w:vAlign w:val="center"/>
                </w:tcPr>
                <w:p w14:paraId="4399267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产污系数法</w:t>
                  </w:r>
                </w:p>
              </w:tc>
              <w:tc>
                <w:tcPr>
                  <w:tcW w:w="341" w:type="pct"/>
                  <w:shd w:val="clear" w:color="auto" w:fill="auto"/>
                  <w:noWrap w:val="0"/>
                  <w:vAlign w:val="center"/>
                </w:tcPr>
                <w:p w14:paraId="1FFE0B9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道路硬化，减速慢行，运输过程加盖篷布，限制超载</w:t>
                  </w:r>
                </w:p>
              </w:tc>
              <w:tc>
                <w:tcPr>
                  <w:tcW w:w="217" w:type="pct"/>
                  <w:shd w:val="clear" w:color="auto" w:fill="auto"/>
                  <w:noWrap w:val="0"/>
                  <w:vAlign w:val="center"/>
                </w:tcPr>
                <w:p w14:paraId="017D31C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00" w:type="pct"/>
                  <w:shd w:val="clear" w:color="auto" w:fill="auto"/>
                  <w:noWrap w:val="0"/>
                  <w:vAlign w:val="center"/>
                </w:tcPr>
                <w:p w14:paraId="76F5673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90</w:t>
                  </w:r>
                </w:p>
              </w:tc>
              <w:tc>
                <w:tcPr>
                  <w:tcW w:w="288" w:type="pct"/>
                  <w:shd w:val="clear" w:color="auto" w:fill="auto"/>
                  <w:noWrap w:val="0"/>
                  <w:vAlign w:val="center"/>
                </w:tcPr>
                <w:p w14:paraId="6B5A27D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0.01</w:t>
                  </w:r>
                </w:p>
              </w:tc>
              <w:tc>
                <w:tcPr>
                  <w:tcW w:w="353" w:type="pct"/>
                  <w:shd w:val="clear" w:color="auto" w:fill="auto"/>
                  <w:noWrap w:val="0"/>
                  <w:vAlign w:val="center"/>
                </w:tcPr>
                <w:p w14:paraId="1DBD316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23" w:type="pct"/>
                  <w:shd w:val="clear" w:color="auto" w:fill="auto"/>
                  <w:noWrap w:val="0"/>
                  <w:vAlign w:val="center"/>
                </w:tcPr>
                <w:p w14:paraId="4DC97EB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29" w:type="pct"/>
                  <w:shd w:val="clear" w:color="auto" w:fill="auto"/>
                  <w:noWrap w:val="0"/>
                  <w:vAlign w:val="center"/>
                </w:tcPr>
                <w:p w14:paraId="11E5139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2240</w:t>
                  </w:r>
                </w:p>
              </w:tc>
              <w:tc>
                <w:tcPr>
                  <w:tcW w:w="276" w:type="pct"/>
                  <w:shd w:val="clear" w:color="auto" w:fill="auto"/>
                  <w:noWrap w:val="0"/>
                  <w:vAlign w:val="center"/>
                </w:tcPr>
                <w:p w14:paraId="1666386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0.03</w:t>
                  </w:r>
                </w:p>
              </w:tc>
              <w:tc>
                <w:tcPr>
                  <w:tcW w:w="225" w:type="pct"/>
                  <w:shd w:val="clear" w:color="auto" w:fill="auto"/>
                  <w:noWrap w:val="0"/>
                  <w:vAlign w:val="center"/>
                </w:tcPr>
                <w:p w14:paraId="0F2E365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00" w:type="pct"/>
                  <w:shd w:val="clear" w:color="auto" w:fill="auto"/>
                  <w:noWrap w:val="0"/>
                  <w:vAlign w:val="center"/>
                </w:tcPr>
                <w:p w14:paraId="658C204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196" w:type="pct"/>
                  <w:shd w:val="clear" w:color="auto" w:fill="auto"/>
                  <w:noWrap w:val="0"/>
                  <w:vAlign w:val="center"/>
                </w:tcPr>
                <w:p w14:paraId="3225868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r>
            <w:tr w14:paraId="3327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 w:hRule="atLeast"/>
                <w:jc w:val="center"/>
              </w:trPr>
              <w:tc>
                <w:tcPr>
                  <w:tcW w:w="198" w:type="pct"/>
                  <w:vMerge w:val="continue"/>
                  <w:noWrap w:val="0"/>
                  <w:vAlign w:val="center"/>
                </w:tcPr>
                <w:p w14:paraId="0F57C3A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p>
              </w:tc>
              <w:tc>
                <w:tcPr>
                  <w:tcW w:w="408" w:type="pct"/>
                  <w:shd w:val="clear" w:color="auto" w:fill="auto"/>
                  <w:noWrap w:val="0"/>
                  <w:vAlign w:val="center"/>
                </w:tcPr>
                <w:p w14:paraId="6A3920E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原料装卸</w:t>
                  </w:r>
                </w:p>
              </w:tc>
              <w:tc>
                <w:tcPr>
                  <w:tcW w:w="162" w:type="pct"/>
                  <w:shd w:val="clear" w:color="auto" w:fill="auto"/>
                  <w:noWrap w:val="0"/>
                  <w:vAlign w:val="center"/>
                </w:tcPr>
                <w:p w14:paraId="795F8EF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颗粒物</w:t>
                  </w:r>
                </w:p>
              </w:tc>
              <w:tc>
                <w:tcPr>
                  <w:tcW w:w="247" w:type="pct"/>
                  <w:shd w:val="clear" w:color="auto" w:fill="auto"/>
                  <w:noWrap w:val="0"/>
                  <w:vAlign w:val="center"/>
                </w:tcPr>
                <w:p w14:paraId="1B42E39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无组织</w:t>
                  </w:r>
                </w:p>
              </w:tc>
              <w:tc>
                <w:tcPr>
                  <w:tcW w:w="364" w:type="pct"/>
                  <w:shd w:val="clear" w:color="auto" w:fill="auto"/>
                  <w:noWrap w:val="0"/>
                  <w:vAlign w:val="center"/>
                </w:tcPr>
                <w:p w14:paraId="2FCEC37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p>
              </w:tc>
              <w:tc>
                <w:tcPr>
                  <w:tcW w:w="294" w:type="pct"/>
                  <w:shd w:val="clear" w:color="auto" w:fill="auto"/>
                  <w:noWrap w:val="0"/>
                  <w:vAlign w:val="center"/>
                </w:tcPr>
                <w:p w14:paraId="1E6A9D1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s="宋体"/>
                      <w:color w:val="auto"/>
                      <w:kern w:val="2"/>
                      <w:sz w:val="21"/>
                      <w:szCs w:val="21"/>
                      <w:highlight w:val="none"/>
                      <w:lang w:val="en-US" w:eastAsia="zh-CN" w:bidi="ar-SA"/>
                    </w:rPr>
                    <w:t>0.</w:t>
                  </w:r>
                  <w:r>
                    <w:rPr>
                      <w:rFonts w:hint="eastAsia" w:cs="宋体"/>
                      <w:color w:val="auto"/>
                      <w:kern w:val="2"/>
                      <w:sz w:val="21"/>
                      <w:szCs w:val="21"/>
                      <w:highlight w:val="none"/>
                      <w:lang w:val="en-US" w:eastAsia="zh-CN" w:bidi="ar-SA"/>
                    </w:rPr>
                    <w:t>24</w:t>
                  </w:r>
                </w:p>
              </w:tc>
              <w:tc>
                <w:tcPr>
                  <w:tcW w:w="364" w:type="pct"/>
                  <w:shd w:val="clear" w:color="auto" w:fill="auto"/>
                  <w:noWrap w:val="0"/>
                  <w:vAlign w:val="center"/>
                </w:tcPr>
                <w:p w14:paraId="5798595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w:t>
                  </w:r>
                </w:p>
              </w:tc>
              <w:tc>
                <w:tcPr>
                  <w:tcW w:w="206" w:type="pct"/>
                  <w:shd w:val="clear" w:color="auto" w:fill="auto"/>
                  <w:noWrap w:val="0"/>
                  <w:vAlign w:val="center"/>
                </w:tcPr>
                <w:p w14:paraId="4B3A10F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产污系数法</w:t>
                  </w:r>
                </w:p>
              </w:tc>
              <w:tc>
                <w:tcPr>
                  <w:tcW w:w="341" w:type="pct"/>
                  <w:shd w:val="clear" w:color="auto" w:fill="auto"/>
                  <w:noWrap w:val="0"/>
                  <w:vAlign w:val="center"/>
                </w:tcPr>
                <w:p w14:paraId="10D00EA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固定装卸位，密闭的料仓内卸车，车间顶部加装雾化喷淋设施</w:t>
                  </w:r>
                </w:p>
              </w:tc>
              <w:tc>
                <w:tcPr>
                  <w:tcW w:w="217" w:type="pct"/>
                  <w:shd w:val="clear" w:color="auto" w:fill="auto"/>
                  <w:noWrap w:val="0"/>
                  <w:vAlign w:val="center"/>
                </w:tcPr>
                <w:p w14:paraId="3D813CB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00" w:type="pct"/>
                  <w:shd w:val="clear" w:color="auto" w:fill="auto"/>
                  <w:noWrap w:val="0"/>
                  <w:vAlign w:val="center"/>
                </w:tcPr>
                <w:p w14:paraId="014F053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90</w:t>
                  </w:r>
                </w:p>
              </w:tc>
              <w:tc>
                <w:tcPr>
                  <w:tcW w:w="288" w:type="pct"/>
                  <w:shd w:val="clear" w:color="auto" w:fill="auto"/>
                  <w:noWrap w:val="0"/>
                  <w:vAlign w:val="center"/>
                </w:tcPr>
                <w:p w14:paraId="046B884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0.024</w:t>
                  </w:r>
                </w:p>
              </w:tc>
              <w:tc>
                <w:tcPr>
                  <w:tcW w:w="353" w:type="pct"/>
                  <w:shd w:val="clear" w:color="auto" w:fill="auto"/>
                  <w:noWrap w:val="0"/>
                  <w:vAlign w:val="center"/>
                </w:tcPr>
                <w:p w14:paraId="5AEA743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23" w:type="pct"/>
                  <w:shd w:val="clear" w:color="auto" w:fill="auto"/>
                  <w:noWrap w:val="0"/>
                  <w:vAlign w:val="center"/>
                </w:tcPr>
                <w:p w14:paraId="1BE874A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29" w:type="pct"/>
                  <w:shd w:val="clear" w:color="auto" w:fill="auto"/>
                  <w:noWrap w:val="0"/>
                  <w:vAlign w:val="center"/>
                </w:tcPr>
                <w:p w14:paraId="5A395D7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2240</w:t>
                  </w:r>
                </w:p>
              </w:tc>
              <w:tc>
                <w:tcPr>
                  <w:tcW w:w="276" w:type="pct"/>
                  <w:shd w:val="clear" w:color="auto" w:fill="auto"/>
                  <w:noWrap w:val="0"/>
                  <w:vAlign w:val="center"/>
                </w:tcPr>
                <w:p w14:paraId="4356249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0.054</w:t>
                  </w:r>
                </w:p>
              </w:tc>
              <w:tc>
                <w:tcPr>
                  <w:tcW w:w="225" w:type="pct"/>
                  <w:shd w:val="clear" w:color="auto" w:fill="auto"/>
                  <w:noWrap w:val="0"/>
                  <w:vAlign w:val="center"/>
                </w:tcPr>
                <w:p w14:paraId="3C3DBD8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00" w:type="pct"/>
                  <w:shd w:val="clear" w:color="auto" w:fill="auto"/>
                  <w:noWrap w:val="0"/>
                  <w:vAlign w:val="center"/>
                </w:tcPr>
                <w:p w14:paraId="1F74676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196" w:type="pct"/>
                  <w:shd w:val="clear" w:color="auto" w:fill="auto"/>
                  <w:noWrap w:val="0"/>
                  <w:vAlign w:val="center"/>
                </w:tcPr>
                <w:p w14:paraId="5913154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r>
            <w:tr w14:paraId="5ADB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 w:hRule="atLeast"/>
                <w:jc w:val="center"/>
              </w:trPr>
              <w:tc>
                <w:tcPr>
                  <w:tcW w:w="198" w:type="pct"/>
                  <w:vMerge w:val="continue"/>
                  <w:noWrap w:val="0"/>
                  <w:vAlign w:val="center"/>
                </w:tcPr>
                <w:p w14:paraId="779F973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p>
              </w:tc>
              <w:tc>
                <w:tcPr>
                  <w:tcW w:w="408" w:type="pct"/>
                  <w:shd w:val="clear" w:color="auto" w:fill="auto"/>
                  <w:noWrap w:val="0"/>
                  <w:vAlign w:val="center"/>
                </w:tcPr>
                <w:p w14:paraId="607A033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上料、搅拌机进料、焊接（DA006）</w:t>
                  </w:r>
                </w:p>
              </w:tc>
              <w:tc>
                <w:tcPr>
                  <w:tcW w:w="162" w:type="pct"/>
                  <w:shd w:val="clear" w:color="auto" w:fill="auto"/>
                  <w:noWrap w:val="0"/>
                  <w:vAlign w:val="center"/>
                </w:tcPr>
                <w:p w14:paraId="30147F1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颗粒物</w:t>
                  </w:r>
                </w:p>
              </w:tc>
              <w:tc>
                <w:tcPr>
                  <w:tcW w:w="247" w:type="pct"/>
                  <w:vMerge w:val="restart"/>
                  <w:shd w:val="clear" w:color="auto" w:fill="auto"/>
                  <w:noWrap w:val="0"/>
                  <w:vAlign w:val="center"/>
                </w:tcPr>
                <w:p w14:paraId="3A62E70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有组织</w:t>
                  </w:r>
                </w:p>
              </w:tc>
              <w:tc>
                <w:tcPr>
                  <w:tcW w:w="364" w:type="pct"/>
                  <w:shd w:val="clear" w:color="auto" w:fill="auto"/>
                  <w:noWrap w:val="0"/>
                  <w:vAlign w:val="center"/>
                </w:tcPr>
                <w:p w14:paraId="1D07D6B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16000</w:t>
                  </w:r>
                </w:p>
              </w:tc>
              <w:tc>
                <w:tcPr>
                  <w:tcW w:w="294" w:type="pct"/>
                  <w:shd w:val="clear" w:color="auto" w:fill="auto"/>
                  <w:noWrap w:val="0"/>
                  <w:vAlign w:val="center"/>
                </w:tcPr>
                <w:p w14:paraId="791CD18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30.5</w:t>
                  </w:r>
                </w:p>
              </w:tc>
              <w:tc>
                <w:tcPr>
                  <w:tcW w:w="364" w:type="pct"/>
                  <w:shd w:val="clear" w:color="auto" w:fill="auto"/>
                  <w:noWrap w:val="0"/>
                  <w:vAlign w:val="center"/>
                </w:tcPr>
                <w:p w14:paraId="795B642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1905.97</w:t>
                  </w:r>
                </w:p>
              </w:tc>
              <w:tc>
                <w:tcPr>
                  <w:tcW w:w="206" w:type="pct"/>
                  <w:shd w:val="clear" w:color="auto" w:fill="auto"/>
                  <w:noWrap w:val="0"/>
                  <w:vAlign w:val="center"/>
                </w:tcPr>
                <w:p w14:paraId="685EFBA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w:t>
                  </w:r>
                </w:p>
              </w:tc>
              <w:tc>
                <w:tcPr>
                  <w:tcW w:w="341" w:type="pct"/>
                  <w:shd w:val="clear" w:color="auto" w:fill="auto"/>
                  <w:noWrap w:val="0"/>
                  <w:vAlign w:val="center"/>
                </w:tcPr>
                <w:p w14:paraId="3C92B57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color w:val="auto"/>
                      <w:sz w:val="21"/>
                      <w:szCs w:val="21"/>
                      <w:highlight w:val="none"/>
                      <w:lang w:val="en-US" w:eastAsia="zh-CN"/>
                    </w:rPr>
                    <w:t>搅拌机进料口、</w:t>
                  </w:r>
                  <w:r>
                    <w:rPr>
                      <w:rFonts w:hint="eastAsia" w:ascii="Times New Roman" w:hAnsi="Times New Roman" w:eastAsia="宋体"/>
                      <w:color w:val="auto"/>
                      <w:sz w:val="21"/>
                      <w:szCs w:val="21"/>
                      <w:highlight w:val="none"/>
                      <w:lang w:val="en-US" w:eastAsia="zh-CN"/>
                    </w:rPr>
                    <w:t>上料口上方设置集尘罩</w:t>
                  </w:r>
                  <w:r>
                    <w:rPr>
                      <w:rFonts w:hint="eastAsia" w:ascii="Times New Roman" w:hAnsi="Times New Roman"/>
                      <w:color w:val="auto"/>
                      <w:sz w:val="21"/>
                      <w:szCs w:val="21"/>
                      <w:highlight w:val="none"/>
                      <w:lang w:val="en-US" w:eastAsia="zh-CN"/>
                    </w:rPr>
                    <w:t>，焊机工位设置移动式集气臂</w:t>
                  </w:r>
                </w:p>
              </w:tc>
              <w:tc>
                <w:tcPr>
                  <w:tcW w:w="217" w:type="pct"/>
                  <w:shd w:val="clear" w:color="auto" w:fill="auto"/>
                  <w:noWrap w:val="0"/>
                  <w:vAlign w:val="center"/>
                </w:tcPr>
                <w:p w14:paraId="68E105A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90</w:t>
                  </w:r>
                </w:p>
              </w:tc>
              <w:tc>
                <w:tcPr>
                  <w:tcW w:w="200" w:type="pct"/>
                  <w:shd w:val="clear" w:color="auto" w:fill="auto"/>
                  <w:noWrap w:val="0"/>
                  <w:vAlign w:val="center"/>
                </w:tcPr>
                <w:p w14:paraId="365D495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99</w:t>
                  </w:r>
                </w:p>
              </w:tc>
              <w:tc>
                <w:tcPr>
                  <w:tcW w:w="288" w:type="pct"/>
                  <w:shd w:val="clear" w:color="auto" w:fill="auto"/>
                  <w:noWrap w:val="0"/>
                  <w:vAlign w:val="center"/>
                </w:tcPr>
                <w:p w14:paraId="53D660E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0.18</w:t>
                  </w:r>
                </w:p>
              </w:tc>
              <w:tc>
                <w:tcPr>
                  <w:tcW w:w="353" w:type="pct"/>
                  <w:shd w:val="clear" w:color="auto" w:fill="auto"/>
                  <w:noWrap w:val="0"/>
                  <w:vAlign w:val="center"/>
                </w:tcPr>
                <w:p w14:paraId="0B843E7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10</w:t>
                  </w:r>
                </w:p>
              </w:tc>
              <w:tc>
                <w:tcPr>
                  <w:tcW w:w="223" w:type="pct"/>
                  <w:shd w:val="clear" w:color="auto" w:fill="auto"/>
                  <w:noWrap w:val="0"/>
                  <w:vAlign w:val="center"/>
                </w:tcPr>
                <w:p w14:paraId="6537055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29" w:type="pct"/>
                  <w:shd w:val="clear" w:color="auto" w:fill="auto"/>
                  <w:noWrap w:val="0"/>
                  <w:vAlign w:val="center"/>
                </w:tcPr>
                <w:p w14:paraId="7068C39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2240</w:t>
                  </w:r>
                </w:p>
              </w:tc>
              <w:tc>
                <w:tcPr>
                  <w:tcW w:w="276" w:type="pct"/>
                  <w:shd w:val="clear" w:color="auto" w:fill="auto"/>
                  <w:noWrap w:val="0"/>
                  <w:vAlign w:val="center"/>
                </w:tcPr>
                <w:p w14:paraId="79D5009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0.4</w:t>
                  </w:r>
                </w:p>
              </w:tc>
              <w:tc>
                <w:tcPr>
                  <w:tcW w:w="225" w:type="pct"/>
                  <w:shd w:val="clear" w:color="auto" w:fill="auto"/>
                  <w:noWrap w:val="0"/>
                  <w:vAlign w:val="center"/>
                </w:tcPr>
                <w:p w14:paraId="2AA78F8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15</w:t>
                  </w:r>
                </w:p>
              </w:tc>
              <w:tc>
                <w:tcPr>
                  <w:tcW w:w="200" w:type="pct"/>
                  <w:shd w:val="clear" w:color="auto" w:fill="auto"/>
                  <w:noWrap w:val="0"/>
                  <w:vAlign w:val="center"/>
                </w:tcPr>
                <w:p w14:paraId="5D221FC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0.4</w:t>
                  </w:r>
                </w:p>
              </w:tc>
              <w:tc>
                <w:tcPr>
                  <w:tcW w:w="196" w:type="pct"/>
                  <w:shd w:val="clear" w:color="auto" w:fill="auto"/>
                  <w:noWrap w:val="0"/>
                  <w:vAlign w:val="center"/>
                </w:tcPr>
                <w:p w14:paraId="3F3ACA3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18</w:t>
                  </w:r>
                </w:p>
              </w:tc>
            </w:tr>
            <w:tr w14:paraId="06C6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 w:hRule="atLeast"/>
                <w:jc w:val="center"/>
              </w:trPr>
              <w:tc>
                <w:tcPr>
                  <w:tcW w:w="198" w:type="pct"/>
                  <w:vMerge w:val="continue"/>
                  <w:noWrap w:val="0"/>
                  <w:vAlign w:val="center"/>
                </w:tcPr>
                <w:p w14:paraId="6F032AC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p>
              </w:tc>
              <w:tc>
                <w:tcPr>
                  <w:tcW w:w="408" w:type="pct"/>
                  <w:shd w:val="clear" w:color="auto" w:fill="auto"/>
                  <w:noWrap w:val="0"/>
                  <w:vAlign w:val="center"/>
                </w:tcPr>
                <w:p w14:paraId="56B584C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水泥料仓（DA007）</w:t>
                  </w:r>
                </w:p>
              </w:tc>
              <w:tc>
                <w:tcPr>
                  <w:tcW w:w="162" w:type="pct"/>
                  <w:shd w:val="clear" w:color="auto" w:fill="auto"/>
                  <w:noWrap w:val="0"/>
                  <w:vAlign w:val="center"/>
                </w:tcPr>
                <w:p w14:paraId="45639E6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颗粒物</w:t>
                  </w:r>
                </w:p>
              </w:tc>
              <w:tc>
                <w:tcPr>
                  <w:tcW w:w="247" w:type="pct"/>
                  <w:vMerge w:val="continue"/>
                  <w:shd w:val="clear" w:color="auto" w:fill="auto"/>
                  <w:noWrap w:val="0"/>
                  <w:vAlign w:val="center"/>
                </w:tcPr>
                <w:p w14:paraId="6CD1F92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364" w:type="pct"/>
                  <w:shd w:val="clear" w:color="auto" w:fill="auto"/>
                  <w:noWrap w:val="0"/>
                  <w:vAlign w:val="center"/>
                </w:tcPr>
                <w:p w14:paraId="50BF7DD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2000</w:t>
                  </w:r>
                </w:p>
              </w:tc>
              <w:tc>
                <w:tcPr>
                  <w:tcW w:w="294" w:type="pct"/>
                  <w:shd w:val="clear" w:color="auto" w:fill="auto"/>
                  <w:noWrap w:val="0"/>
                  <w:vAlign w:val="center"/>
                </w:tcPr>
                <w:p w14:paraId="7BC42DB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3.16</w:t>
                  </w:r>
                </w:p>
              </w:tc>
              <w:tc>
                <w:tcPr>
                  <w:tcW w:w="364" w:type="pct"/>
                  <w:shd w:val="clear" w:color="auto" w:fill="auto"/>
                  <w:noWrap w:val="0"/>
                  <w:vAlign w:val="center"/>
                </w:tcPr>
                <w:p w14:paraId="5341601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1055.44</w:t>
                  </w:r>
                </w:p>
              </w:tc>
              <w:tc>
                <w:tcPr>
                  <w:tcW w:w="206" w:type="pct"/>
                  <w:shd w:val="clear" w:color="auto" w:fill="auto"/>
                  <w:noWrap w:val="0"/>
                  <w:vAlign w:val="center"/>
                </w:tcPr>
                <w:p w14:paraId="5E5A4BA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w:t>
                  </w:r>
                </w:p>
              </w:tc>
              <w:tc>
                <w:tcPr>
                  <w:tcW w:w="341" w:type="pct"/>
                  <w:shd w:val="clear" w:color="auto" w:fill="auto"/>
                  <w:noWrap w:val="0"/>
                  <w:vAlign w:val="center"/>
                </w:tcPr>
                <w:p w14:paraId="5556335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s="宋体"/>
                      <w:color w:val="auto"/>
                      <w:kern w:val="2"/>
                      <w:sz w:val="21"/>
                      <w:szCs w:val="21"/>
                      <w:highlight w:val="none"/>
                      <w:lang w:val="en-US" w:eastAsia="zh-CN" w:bidi="ar-SA"/>
                    </w:rPr>
                    <w:t>仓顶布袋除尘</w:t>
                  </w:r>
                </w:p>
              </w:tc>
              <w:tc>
                <w:tcPr>
                  <w:tcW w:w="217" w:type="pct"/>
                  <w:shd w:val="clear" w:color="auto" w:fill="auto"/>
                  <w:noWrap w:val="0"/>
                  <w:vAlign w:val="center"/>
                </w:tcPr>
                <w:p w14:paraId="27DD58C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90</w:t>
                  </w:r>
                </w:p>
              </w:tc>
              <w:tc>
                <w:tcPr>
                  <w:tcW w:w="200" w:type="pct"/>
                  <w:shd w:val="clear" w:color="auto" w:fill="auto"/>
                  <w:noWrap w:val="0"/>
                  <w:vAlign w:val="center"/>
                </w:tcPr>
                <w:p w14:paraId="1B58C97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99</w:t>
                  </w:r>
                </w:p>
              </w:tc>
              <w:tc>
                <w:tcPr>
                  <w:tcW w:w="288" w:type="pct"/>
                  <w:shd w:val="clear" w:color="auto" w:fill="auto"/>
                  <w:noWrap w:val="0"/>
                  <w:vAlign w:val="center"/>
                </w:tcPr>
                <w:p w14:paraId="0B1C606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0.02</w:t>
                  </w:r>
                </w:p>
              </w:tc>
              <w:tc>
                <w:tcPr>
                  <w:tcW w:w="353" w:type="pct"/>
                  <w:shd w:val="clear" w:color="auto" w:fill="auto"/>
                  <w:noWrap w:val="0"/>
                  <w:vAlign w:val="center"/>
                </w:tcPr>
                <w:p w14:paraId="5FABDF6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10</w:t>
                  </w:r>
                </w:p>
              </w:tc>
              <w:tc>
                <w:tcPr>
                  <w:tcW w:w="223" w:type="pct"/>
                  <w:shd w:val="clear" w:color="auto" w:fill="auto"/>
                  <w:noWrap w:val="0"/>
                  <w:vAlign w:val="center"/>
                </w:tcPr>
                <w:p w14:paraId="7AF01D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29" w:type="pct"/>
                  <w:shd w:val="clear" w:color="auto" w:fill="auto"/>
                  <w:noWrap w:val="0"/>
                  <w:vAlign w:val="center"/>
                </w:tcPr>
                <w:p w14:paraId="7C1DB02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1497</w:t>
                  </w:r>
                </w:p>
              </w:tc>
              <w:tc>
                <w:tcPr>
                  <w:tcW w:w="276" w:type="pct"/>
                  <w:shd w:val="clear" w:color="auto" w:fill="auto"/>
                  <w:noWrap w:val="0"/>
                  <w:vAlign w:val="center"/>
                </w:tcPr>
                <w:p w14:paraId="6EADFAD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0.03</w:t>
                  </w:r>
                </w:p>
              </w:tc>
              <w:tc>
                <w:tcPr>
                  <w:tcW w:w="225" w:type="pct"/>
                  <w:shd w:val="clear" w:color="auto" w:fill="auto"/>
                  <w:noWrap w:val="0"/>
                  <w:vAlign w:val="center"/>
                </w:tcPr>
                <w:p w14:paraId="755E7A6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15</w:t>
                  </w:r>
                </w:p>
              </w:tc>
              <w:tc>
                <w:tcPr>
                  <w:tcW w:w="200" w:type="pct"/>
                  <w:shd w:val="clear" w:color="auto" w:fill="auto"/>
                  <w:noWrap w:val="0"/>
                  <w:vAlign w:val="center"/>
                </w:tcPr>
                <w:p w14:paraId="4ECDE5B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cs="宋体"/>
                      <w:color w:val="auto"/>
                      <w:kern w:val="2"/>
                      <w:sz w:val="21"/>
                      <w:szCs w:val="21"/>
                      <w:highlight w:val="none"/>
                      <w:lang w:val="en-US" w:eastAsia="zh-CN" w:bidi="ar-SA"/>
                    </w:rPr>
                    <w:t>0.2</w:t>
                  </w:r>
                </w:p>
              </w:tc>
              <w:tc>
                <w:tcPr>
                  <w:tcW w:w="196" w:type="pct"/>
                  <w:shd w:val="clear" w:color="auto" w:fill="auto"/>
                  <w:noWrap w:val="0"/>
                  <w:vAlign w:val="center"/>
                </w:tcPr>
                <w:p w14:paraId="792D07C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18</w:t>
                  </w:r>
                </w:p>
              </w:tc>
            </w:tr>
            <w:tr w14:paraId="4B14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 w:hRule="atLeast"/>
                <w:jc w:val="center"/>
              </w:trPr>
              <w:tc>
                <w:tcPr>
                  <w:tcW w:w="198" w:type="pct"/>
                  <w:vMerge w:val="continue"/>
                  <w:noWrap w:val="0"/>
                  <w:vAlign w:val="center"/>
                </w:tcPr>
                <w:p w14:paraId="48E65CF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p>
              </w:tc>
              <w:tc>
                <w:tcPr>
                  <w:tcW w:w="408" w:type="pct"/>
                  <w:shd w:val="clear" w:color="auto" w:fill="auto"/>
                  <w:noWrap w:val="0"/>
                  <w:vAlign w:val="center"/>
                </w:tcPr>
                <w:p w14:paraId="46FB52B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粉煤灰料仓（DA008）</w:t>
                  </w:r>
                </w:p>
              </w:tc>
              <w:tc>
                <w:tcPr>
                  <w:tcW w:w="162" w:type="pct"/>
                  <w:shd w:val="clear" w:color="auto" w:fill="auto"/>
                  <w:noWrap w:val="0"/>
                  <w:vAlign w:val="center"/>
                </w:tcPr>
                <w:p w14:paraId="4FDD90E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颗粒物</w:t>
                  </w:r>
                </w:p>
              </w:tc>
              <w:tc>
                <w:tcPr>
                  <w:tcW w:w="247" w:type="pct"/>
                  <w:vMerge w:val="continue"/>
                  <w:shd w:val="clear" w:color="auto" w:fill="auto"/>
                  <w:noWrap w:val="0"/>
                  <w:vAlign w:val="center"/>
                </w:tcPr>
                <w:p w14:paraId="5E23638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364" w:type="pct"/>
                  <w:shd w:val="clear" w:color="auto" w:fill="auto"/>
                  <w:noWrap w:val="0"/>
                  <w:vAlign w:val="center"/>
                </w:tcPr>
                <w:p w14:paraId="4B985C3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2000</w:t>
                  </w:r>
                </w:p>
              </w:tc>
              <w:tc>
                <w:tcPr>
                  <w:tcW w:w="294" w:type="pct"/>
                  <w:shd w:val="clear" w:color="auto" w:fill="auto"/>
                  <w:noWrap w:val="0"/>
                  <w:vAlign w:val="center"/>
                </w:tcPr>
                <w:p w14:paraId="596D1EF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3.15</w:t>
                  </w:r>
                </w:p>
              </w:tc>
              <w:tc>
                <w:tcPr>
                  <w:tcW w:w="364" w:type="pct"/>
                  <w:shd w:val="clear" w:color="auto" w:fill="auto"/>
                  <w:noWrap w:val="0"/>
                  <w:vAlign w:val="center"/>
                </w:tcPr>
                <w:p w14:paraId="49C6D5B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1575</w:t>
                  </w:r>
                </w:p>
              </w:tc>
              <w:tc>
                <w:tcPr>
                  <w:tcW w:w="206" w:type="pct"/>
                  <w:shd w:val="clear" w:color="auto" w:fill="auto"/>
                  <w:noWrap w:val="0"/>
                  <w:vAlign w:val="center"/>
                </w:tcPr>
                <w:p w14:paraId="2A17800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w:t>
                  </w:r>
                </w:p>
              </w:tc>
              <w:tc>
                <w:tcPr>
                  <w:tcW w:w="341" w:type="pct"/>
                  <w:shd w:val="clear" w:color="auto" w:fill="auto"/>
                  <w:noWrap w:val="0"/>
                  <w:vAlign w:val="center"/>
                </w:tcPr>
                <w:p w14:paraId="056DB06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s="宋体"/>
                      <w:color w:val="auto"/>
                      <w:kern w:val="2"/>
                      <w:sz w:val="21"/>
                      <w:szCs w:val="21"/>
                      <w:highlight w:val="none"/>
                      <w:lang w:val="en-US" w:eastAsia="zh-CN" w:bidi="ar-SA"/>
                    </w:rPr>
                    <w:t>仓顶布袋除尘</w:t>
                  </w:r>
                </w:p>
              </w:tc>
              <w:tc>
                <w:tcPr>
                  <w:tcW w:w="217" w:type="pct"/>
                  <w:shd w:val="clear" w:color="auto" w:fill="auto"/>
                  <w:noWrap w:val="0"/>
                  <w:vAlign w:val="center"/>
                </w:tcPr>
                <w:p w14:paraId="14EED6F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s="宋体"/>
                      <w:color w:val="auto"/>
                      <w:kern w:val="2"/>
                      <w:sz w:val="21"/>
                      <w:szCs w:val="21"/>
                      <w:highlight w:val="none"/>
                      <w:lang w:val="en-US" w:eastAsia="zh-CN" w:bidi="ar-SA"/>
                    </w:rPr>
                    <w:t>90</w:t>
                  </w:r>
                </w:p>
              </w:tc>
              <w:tc>
                <w:tcPr>
                  <w:tcW w:w="200" w:type="pct"/>
                  <w:shd w:val="clear" w:color="auto" w:fill="auto"/>
                  <w:noWrap w:val="0"/>
                  <w:vAlign w:val="center"/>
                </w:tcPr>
                <w:p w14:paraId="3DCA597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s="宋体"/>
                      <w:color w:val="auto"/>
                      <w:kern w:val="2"/>
                      <w:sz w:val="21"/>
                      <w:szCs w:val="21"/>
                      <w:highlight w:val="none"/>
                      <w:lang w:val="en-US" w:eastAsia="zh-CN" w:bidi="ar-SA"/>
                    </w:rPr>
                    <w:t>99</w:t>
                  </w:r>
                </w:p>
              </w:tc>
              <w:tc>
                <w:tcPr>
                  <w:tcW w:w="288" w:type="pct"/>
                  <w:shd w:val="clear" w:color="auto" w:fill="auto"/>
                  <w:noWrap w:val="0"/>
                  <w:vAlign w:val="center"/>
                </w:tcPr>
                <w:p w14:paraId="7AFF431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w:t>
                  </w:r>
                </w:p>
              </w:tc>
              <w:tc>
                <w:tcPr>
                  <w:tcW w:w="353" w:type="pct"/>
                  <w:shd w:val="clear" w:color="auto" w:fill="auto"/>
                  <w:noWrap w:val="0"/>
                  <w:vAlign w:val="center"/>
                </w:tcPr>
                <w:p w14:paraId="322B76E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10</w:t>
                  </w:r>
                </w:p>
              </w:tc>
              <w:tc>
                <w:tcPr>
                  <w:tcW w:w="223" w:type="pct"/>
                  <w:shd w:val="clear" w:color="auto" w:fill="auto"/>
                  <w:noWrap w:val="0"/>
                  <w:vAlign w:val="center"/>
                </w:tcPr>
                <w:p w14:paraId="607E00E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w:t>
                  </w:r>
                </w:p>
              </w:tc>
              <w:tc>
                <w:tcPr>
                  <w:tcW w:w="229" w:type="pct"/>
                  <w:shd w:val="clear" w:color="auto" w:fill="auto"/>
                  <w:noWrap w:val="0"/>
                  <w:vAlign w:val="center"/>
                </w:tcPr>
                <w:p w14:paraId="59065D5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200</w:t>
                  </w:r>
                </w:p>
              </w:tc>
              <w:tc>
                <w:tcPr>
                  <w:tcW w:w="276" w:type="pct"/>
                  <w:shd w:val="clear" w:color="auto" w:fill="auto"/>
                  <w:noWrap w:val="0"/>
                  <w:vAlign w:val="center"/>
                </w:tcPr>
                <w:p w14:paraId="11D2940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0.004</w:t>
                  </w:r>
                </w:p>
              </w:tc>
              <w:tc>
                <w:tcPr>
                  <w:tcW w:w="225" w:type="pct"/>
                  <w:shd w:val="clear" w:color="auto" w:fill="auto"/>
                  <w:noWrap w:val="0"/>
                  <w:vAlign w:val="center"/>
                </w:tcPr>
                <w:p w14:paraId="6872B99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15</w:t>
                  </w:r>
                </w:p>
              </w:tc>
              <w:tc>
                <w:tcPr>
                  <w:tcW w:w="200" w:type="pct"/>
                  <w:shd w:val="clear" w:color="auto" w:fill="auto"/>
                  <w:noWrap w:val="0"/>
                  <w:vAlign w:val="center"/>
                </w:tcPr>
                <w:p w14:paraId="63894AD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cs="宋体"/>
                      <w:color w:val="auto"/>
                      <w:kern w:val="2"/>
                      <w:sz w:val="21"/>
                      <w:szCs w:val="21"/>
                      <w:highlight w:val="none"/>
                      <w:lang w:val="en-US" w:eastAsia="zh-CN" w:bidi="ar-SA"/>
                    </w:rPr>
                    <w:t>0.2</w:t>
                  </w:r>
                </w:p>
              </w:tc>
              <w:tc>
                <w:tcPr>
                  <w:tcW w:w="196" w:type="pct"/>
                  <w:shd w:val="clear" w:color="auto" w:fill="auto"/>
                  <w:noWrap w:val="0"/>
                  <w:vAlign w:val="center"/>
                </w:tcPr>
                <w:p w14:paraId="53E1B50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18</w:t>
                  </w:r>
                </w:p>
              </w:tc>
            </w:tr>
          </w:tbl>
          <w:p w14:paraId="311E157C">
            <w:pPr>
              <w:rPr>
                <w:rFonts w:hint="eastAsia" w:ascii="Times New Roman" w:hAnsi="Times New Roman" w:eastAsia="宋体"/>
                <w:color w:val="auto"/>
                <w:sz w:val="21"/>
                <w:szCs w:val="21"/>
                <w:vertAlign w:val="baseline"/>
              </w:rPr>
            </w:pPr>
          </w:p>
          <w:p w14:paraId="5EC43DA4">
            <w:pPr>
              <w:pStyle w:val="13"/>
              <w:numPr>
                <w:ilvl w:val="3"/>
                <w:numId w:val="0"/>
              </w:numPr>
              <w:ind w:left="864" w:leftChars="0" w:hanging="864" w:firstLineChars="0"/>
              <w:rPr>
                <w:rFonts w:hint="eastAsia"/>
                <w:color w:val="auto"/>
              </w:rPr>
            </w:pPr>
          </w:p>
          <w:p w14:paraId="640AC89A">
            <w:pPr>
              <w:rPr>
                <w:rFonts w:hint="eastAsia" w:ascii="Times New Roman" w:hAnsi="Times New Roman" w:eastAsia="宋体"/>
                <w:color w:val="auto"/>
                <w:sz w:val="21"/>
                <w:szCs w:val="21"/>
                <w:vertAlign w:val="baseline"/>
              </w:rPr>
            </w:pPr>
          </w:p>
          <w:p w14:paraId="6841C109">
            <w:pPr>
              <w:pStyle w:val="13"/>
              <w:numPr>
                <w:ilvl w:val="3"/>
                <w:numId w:val="0"/>
              </w:numPr>
              <w:ind w:leftChars="0"/>
              <w:rPr>
                <w:rFonts w:hint="eastAsia"/>
                <w:color w:val="auto"/>
              </w:rPr>
            </w:pPr>
          </w:p>
          <w:p w14:paraId="74D287D2">
            <w:pPr>
              <w:rPr>
                <w:rFonts w:hint="eastAsia"/>
                <w:color w:val="auto"/>
              </w:rPr>
            </w:pPr>
          </w:p>
          <w:p w14:paraId="7E293885">
            <w:pPr>
              <w:rPr>
                <w:rFonts w:hint="eastAsia"/>
                <w:color w:val="auto"/>
              </w:rPr>
            </w:pPr>
          </w:p>
          <w:p w14:paraId="0943EEA7">
            <w:pPr>
              <w:rPr>
                <w:rFonts w:hint="eastAsia"/>
                <w:color w:val="auto"/>
              </w:rPr>
            </w:pPr>
          </w:p>
          <w:p w14:paraId="58649B63">
            <w:pPr>
              <w:rPr>
                <w:rFonts w:hint="eastAsia"/>
                <w:color w:val="auto"/>
              </w:rPr>
            </w:pPr>
          </w:p>
          <w:p w14:paraId="48C8EAAA">
            <w:pPr>
              <w:rPr>
                <w:rFonts w:hint="eastAsia"/>
                <w:color w:val="auto"/>
              </w:rPr>
            </w:pPr>
          </w:p>
          <w:p w14:paraId="6E112CB9">
            <w:pPr>
              <w:rPr>
                <w:rFonts w:hint="eastAsia"/>
                <w:color w:val="auto"/>
              </w:rPr>
            </w:pPr>
          </w:p>
        </w:tc>
      </w:tr>
    </w:tbl>
    <w:p w14:paraId="11EF6DF5">
      <w:pPr>
        <w:rPr>
          <w:rFonts w:hint="eastAsia"/>
          <w:color w:val="auto"/>
          <w:highlight w:val="none"/>
          <w:lang w:eastAsia="zh-CN"/>
        </w:rPr>
        <w:sectPr>
          <w:pgSz w:w="16838" w:h="11906" w:orient="landscape"/>
          <w:pgMar w:top="1417" w:right="1701" w:bottom="1417" w:left="1701" w:header="851"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
        <w:gridCol w:w="8683"/>
      </w:tblGrid>
      <w:tr w14:paraId="7EF0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1" w:hRule="atLeast"/>
        </w:trPr>
        <w:tc>
          <w:tcPr>
            <w:tcW w:w="378" w:type="dxa"/>
            <w:noWrap w:val="0"/>
            <w:vAlign w:val="center"/>
          </w:tcPr>
          <w:p w14:paraId="33356675">
            <w:pPr>
              <w:keepNext w:val="0"/>
              <w:keepLines w:val="0"/>
              <w:pageBreakBefore w:val="0"/>
              <w:widowControl w:val="0"/>
              <w:kinsoku/>
              <w:wordWrap/>
              <w:overflowPunct/>
              <w:topLinePunct w:val="0"/>
              <w:autoSpaceDE/>
              <w:autoSpaceDN/>
              <w:bidi w:val="0"/>
              <w:adjustRightInd w:val="0"/>
              <w:snapToGrid/>
              <w:spacing w:line="240" w:lineRule="auto"/>
              <w:ind w:left="0" w:leftChars="0" w:right="0" w:firstLine="0" w:firstLineChars="0"/>
              <w:jc w:val="both"/>
              <w:textAlignment w:val="auto"/>
              <w:rPr>
                <w:rFonts w:hint="default" w:ascii="Times New Roman" w:hAnsi="Times New Roman" w:eastAsia="宋体" w:cs="Times New Roman"/>
                <w:bCs/>
                <w:caps w:val="0"/>
                <w:color w:val="auto"/>
                <w:sz w:val="24"/>
                <w:szCs w:val="24"/>
              </w:rPr>
            </w:pPr>
            <w:r>
              <w:rPr>
                <w:rFonts w:hint="default" w:ascii="Times New Roman" w:hAnsi="Times New Roman" w:eastAsia="宋体" w:cs="Times New Roman"/>
                <w:bCs/>
                <w:caps w:val="0"/>
                <w:color w:val="auto"/>
                <w:sz w:val="24"/>
                <w:szCs w:val="24"/>
              </w:rPr>
              <w:t>运营</w:t>
            </w:r>
          </w:p>
          <w:p w14:paraId="166D2DF5">
            <w:pPr>
              <w:keepNext w:val="0"/>
              <w:keepLines w:val="0"/>
              <w:pageBreakBefore w:val="0"/>
              <w:widowControl w:val="0"/>
              <w:kinsoku/>
              <w:wordWrap/>
              <w:overflowPunct/>
              <w:topLinePunct w:val="0"/>
              <w:autoSpaceDE/>
              <w:autoSpaceDN/>
              <w:bidi w:val="0"/>
              <w:adjustRightInd w:val="0"/>
              <w:snapToGrid/>
              <w:spacing w:line="240" w:lineRule="auto"/>
              <w:ind w:left="0" w:leftChars="0" w:right="0" w:firstLine="0" w:firstLineChars="0"/>
              <w:jc w:val="both"/>
              <w:textAlignment w:val="auto"/>
              <w:rPr>
                <w:rFonts w:hint="default" w:ascii="Times New Roman" w:hAnsi="Times New Roman" w:eastAsia="宋体" w:cs="Times New Roman"/>
                <w:bCs/>
                <w:caps w:val="0"/>
                <w:color w:val="auto"/>
                <w:sz w:val="24"/>
                <w:szCs w:val="24"/>
              </w:rPr>
            </w:pPr>
            <w:r>
              <w:rPr>
                <w:rFonts w:hint="default" w:ascii="Times New Roman" w:hAnsi="Times New Roman" w:eastAsia="宋体" w:cs="Times New Roman"/>
                <w:bCs/>
                <w:caps w:val="0"/>
                <w:color w:val="auto"/>
                <w:sz w:val="24"/>
                <w:szCs w:val="24"/>
              </w:rPr>
              <w:t>期环</w:t>
            </w:r>
          </w:p>
          <w:p w14:paraId="2E6E1E19">
            <w:pPr>
              <w:keepNext w:val="0"/>
              <w:keepLines w:val="0"/>
              <w:pageBreakBefore w:val="0"/>
              <w:widowControl w:val="0"/>
              <w:kinsoku/>
              <w:wordWrap/>
              <w:overflowPunct/>
              <w:topLinePunct w:val="0"/>
              <w:autoSpaceDE/>
              <w:autoSpaceDN/>
              <w:bidi w:val="0"/>
              <w:adjustRightInd w:val="0"/>
              <w:snapToGrid/>
              <w:spacing w:line="240" w:lineRule="auto"/>
              <w:ind w:left="0" w:leftChars="0" w:right="0" w:firstLine="0" w:firstLineChars="0"/>
              <w:jc w:val="both"/>
              <w:textAlignment w:val="auto"/>
              <w:rPr>
                <w:rFonts w:hint="default" w:ascii="Times New Roman" w:hAnsi="Times New Roman" w:eastAsia="宋体" w:cs="Times New Roman"/>
                <w:bCs/>
                <w:caps w:val="0"/>
                <w:color w:val="auto"/>
                <w:sz w:val="24"/>
                <w:szCs w:val="24"/>
              </w:rPr>
            </w:pPr>
            <w:r>
              <w:rPr>
                <w:rFonts w:hint="default" w:ascii="Times New Roman" w:hAnsi="Times New Roman" w:eastAsia="宋体" w:cs="Times New Roman"/>
                <w:bCs/>
                <w:caps w:val="0"/>
                <w:color w:val="auto"/>
                <w:sz w:val="24"/>
                <w:szCs w:val="24"/>
              </w:rPr>
              <w:t>境影</w:t>
            </w:r>
          </w:p>
          <w:p w14:paraId="79A457DD">
            <w:pPr>
              <w:keepNext w:val="0"/>
              <w:keepLines w:val="0"/>
              <w:pageBreakBefore w:val="0"/>
              <w:widowControl w:val="0"/>
              <w:kinsoku/>
              <w:wordWrap/>
              <w:overflowPunct/>
              <w:topLinePunct w:val="0"/>
              <w:autoSpaceDE/>
              <w:autoSpaceDN/>
              <w:bidi w:val="0"/>
              <w:adjustRightInd w:val="0"/>
              <w:snapToGrid/>
              <w:spacing w:line="240" w:lineRule="auto"/>
              <w:ind w:left="0" w:leftChars="0" w:right="0" w:firstLine="0" w:firstLineChars="0"/>
              <w:jc w:val="both"/>
              <w:textAlignment w:val="auto"/>
              <w:rPr>
                <w:rFonts w:hint="default" w:ascii="Times New Roman" w:hAnsi="Times New Roman" w:eastAsia="宋体" w:cs="Times New Roman"/>
                <w:bCs/>
                <w:caps w:val="0"/>
                <w:color w:val="auto"/>
                <w:sz w:val="24"/>
                <w:szCs w:val="24"/>
              </w:rPr>
            </w:pPr>
            <w:r>
              <w:rPr>
                <w:rFonts w:hint="default" w:ascii="Times New Roman" w:hAnsi="Times New Roman" w:eastAsia="宋体" w:cs="Times New Roman"/>
                <w:bCs/>
                <w:caps w:val="0"/>
                <w:color w:val="auto"/>
                <w:sz w:val="24"/>
                <w:szCs w:val="24"/>
              </w:rPr>
              <w:t>响和</w:t>
            </w:r>
          </w:p>
          <w:p w14:paraId="14E39F04">
            <w:pPr>
              <w:keepNext w:val="0"/>
              <w:keepLines w:val="0"/>
              <w:pageBreakBefore w:val="0"/>
              <w:widowControl w:val="0"/>
              <w:kinsoku/>
              <w:wordWrap/>
              <w:overflowPunct/>
              <w:topLinePunct w:val="0"/>
              <w:autoSpaceDE/>
              <w:autoSpaceDN/>
              <w:bidi w:val="0"/>
              <w:adjustRightInd w:val="0"/>
              <w:snapToGrid/>
              <w:spacing w:line="240" w:lineRule="auto"/>
              <w:ind w:left="0" w:leftChars="0" w:right="0" w:firstLine="0" w:firstLineChars="0"/>
              <w:jc w:val="both"/>
              <w:textAlignment w:val="auto"/>
              <w:rPr>
                <w:rFonts w:hint="default" w:ascii="Times New Roman" w:hAnsi="Times New Roman" w:eastAsia="宋体" w:cs="Times New Roman"/>
                <w:bCs/>
                <w:caps w:val="0"/>
                <w:color w:val="auto"/>
                <w:sz w:val="24"/>
                <w:szCs w:val="24"/>
              </w:rPr>
            </w:pPr>
            <w:r>
              <w:rPr>
                <w:rFonts w:hint="default" w:ascii="Times New Roman" w:hAnsi="Times New Roman" w:eastAsia="宋体" w:cs="Times New Roman"/>
                <w:bCs/>
                <w:caps w:val="0"/>
                <w:color w:val="auto"/>
                <w:sz w:val="24"/>
                <w:szCs w:val="24"/>
              </w:rPr>
              <w:t>保护</w:t>
            </w:r>
          </w:p>
          <w:p w14:paraId="530E7EF0">
            <w:pPr>
              <w:keepNext w:val="0"/>
              <w:keepLines w:val="0"/>
              <w:pageBreakBefore w:val="0"/>
              <w:widowControl w:val="0"/>
              <w:kinsoku/>
              <w:wordWrap/>
              <w:overflowPunct/>
              <w:topLinePunct w:val="0"/>
              <w:autoSpaceDE/>
              <w:autoSpaceDN/>
              <w:bidi w:val="0"/>
              <w:snapToGrid/>
              <w:spacing w:line="240" w:lineRule="auto"/>
              <w:ind w:left="0" w:leftChars="0" w:right="0" w:firstLine="0" w:firstLineChars="0"/>
              <w:jc w:val="both"/>
              <w:textAlignment w:val="auto"/>
              <w:rPr>
                <w:rFonts w:hint="eastAsia" w:ascii="Times New Roman" w:hAnsi="Times New Roman" w:eastAsia="宋体" w:cs="Times New Roman"/>
                <w:color w:val="auto"/>
                <w:vertAlign w:val="baseline"/>
                <w:lang w:eastAsia="zh-CN"/>
              </w:rPr>
            </w:pPr>
            <w:r>
              <w:rPr>
                <w:rFonts w:hint="eastAsia" w:cs="Times New Roman"/>
                <w:bCs/>
                <w:caps w:val="0"/>
                <w:color w:val="auto"/>
                <w:sz w:val="24"/>
                <w:szCs w:val="24"/>
                <w:lang w:val="en-US" w:eastAsia="zh-CN"/>
              </w:rPr>
              <w:t>措施</w:t>
            </w:r>
          </w:p>
        </w:tc>
        <w:tc>
          <w:tcPr>
            <w:tcW w:w="8683" w:type="dxa"/>
            <w:noWrap w:val="0"/>
            <w:vAlign w:val="top"/>
          </w:tcPr>
          <w:p w14:paraId="77335AC6">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eastAsia="zh-CN"/>
              </w:rPr>
              <w:t>（</w:t>
            </w:r>
            <w:r>
              <w:rPr>
                <w:rFonts w:hint="eastAsia" w:cs="Times New Roman"/>
                <w:b w:val="0"/>
                <w:bCs w:val="0"/>
                <w:color w:val="auto"/>
                <w:sz w:val="24"/>
                <w:szCs w:val="24"/>
                <w:lang w:val="en-US" w:eastAsia="zh-CN"/>
              </w:rPr>
              <w:t>4</w:t>
            </w:r>
            <w:r>
              <w:rPr>
                <w:rFonts w:hint="eastAsia" w:cs="Times New Roman"/>
                <w:b w:val="0"/>
                <w:bCs w:val="0"/>
                <w:color w:val="auto"/>
                <w:sz w:val="24"/>
                <w:szCs w:val="24"/>
                <w:lang w:eastAsia="zh-CN"/>
              </w:rPr>
              <w:t>）</w:t>
            </w:r>
            <w:r>
              <w:rPr>
                <w:rFonts w:hint="eastAsia" w:cs="Times New Roman"/>
                <w:b w:val="0"/>
                <w:bCs w:val="0"/>
                <w:color w:val="auto"/>
                <w:sz w:val="24"/>
                <w:szCs w:val="24"/>
                <w:lang w:val="en-US" w:eastAsia="zh-CN"/>
              </w:rPr>
              <w:t>非正常工况污染物排放量核算</w:t>
            </w:r>
          </w:p>
          <w:p w14:paraId="69317047">
            <w:pPr>
              <w:keepNext w:val="0"/>
              <w:keepLines w:val="0"/>
              <w:pageBreakBefore w:val="0"/>
              <w:widowControl w:val="0"/>
              <w:kinsoku/>
              <w:wordWrap/>
              <w:overflowPunct/>
              <w:topLinePunct w:val="0"/>
              <w:autoSpaceDE/>
              <w:autoSpaceDN/>
              <w:bidi w:val="0"/>
              <w:spacing w:beforeAutospacing="0" w:afterAutospacing="0" w:line="360" w:lineRule="auto"/>
              <w:ind w:left="0" w:leftChars="0" w:right="0" w:rightChars="0" w:firstLine="480" w:firstLineChars="200"/>
              <w:textAlignment w:val="auto"/>
              <w:rPr>
                <w:color w:val="auto"/>
                <w:sz w:val="24"/>
                <w:highlight w:val="none"/>
              </w:rPr>
            </w:pPr>
            <w:r>
              <w:rPr>
                <w:rFonts w:hint="eastAsia"/>
                <w:color w:val="auto"/>
                <w:sz w:val="24"/>
                <w:highlight w:val="none"/>
              </w:rPr>
              <w:t>非正常</w:t>
            </w:r>
            <w:r>
              <w:rPr>
                <w:rFonts w:hint="eastAsia"/>
                <w:color w:val="auto"/>
                <w:sz w:val="24"/>
                <w:highlight w:val="none"/>
                <w:lang w:val="en-US" w:eastAsia="zh-CN"/>
              </w:rPr>
              <w:t>工况</w:t>
            </w:r>
            <w:r>
              <w:rPr>
                <w:rFonts w:hint="eastAsia"/>
                <w:color w:val="auto"/>
                <w:sz w:val="24"/>
                <w:highlight w:val="none"/>
              </w:rPr>
              <w:t>排放是指生产过程中设备检修、工艺设备运转异常等非正常工况下的污染物排放，以及污染物排放控制措施达不到应有效率等情况下的排放。本次环评考虑建设项目污染物排放控制措施达不到应有效率情况下造成大量未处理废气直接进入大气环境，故障抢修至恢复正常运转时间约30分钟。</w:t>
            </w:r>
          </w:p>
          <w:p w14:paraId="7AE93D57">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color w:val="auto"/>
                <w:sz w:val="24"/>
                <w:highlight w:val="none"/>
                <w:lang w:eastAsia="zh-CN"/>
              </w:rPr>
            </w:pPr>
            <w:r>
              <w:rPr>
                <w:rFonts w:hint="eastAsia"/>
                <w:color w:val="auto"/>
                <w:sz w:val="24"/>
                <w:highlight w:val="none"/>
              </w:rPr>
              <w:t>本项目</w:t>
            </w:r>
            <w:r>
              <w:rPr>
                <w:rFonts w:hint="eastAsia"/>
                <w:color w:val="auto"/>
                <w:sz w:val="24"/>
                <w:highlight w:val="none"/>
                <w:lang w:eastAsia="zh-CN"/>
              </w:rPr>
              <w:t>厂房</w:t>
            </w:r>
            <w:r>
              <w:rPr>
                <w:rFonts w:hint="eastAsia"/>
                <w:color w:val="auto"/>
                <w:sz w:val="24"/>
                <w:highlight w:val="none"/>
              </w:rPr>
              <w:t>设置废气处理装置，非正常工况考虑最不利环境影响情况为废气处理装置发生故障，非正常及事故状态下的大气污染物排放源强情况见</w:t>
            </w:r>
            <w:r>
              <w:rPr>
                <w:rFonts w:hint="eastAsia"/>
                <w:color w:val="auto"/>
                <w:sz w:val="24"/>
                <w:highlight w:val="none"/>
                <w:lang w:eastAsia="zh-CN"/>
              </w:rPr>
              <w:t>下表：</w:t>
            </w:r>
          </w:p>
          <w:p w14:paraId="0327FA87">
            <w:pPr>
              <w:pStyle w:val="2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right="0" w:firstLine="0" w:firstLineChars="0"/>
              <w:jc w:val="center"/>
              <w:textAlignment w:val="auto"/>
              <w:rPr>
                <w:rFonts w:hint="default"/>
                <w:color w:val="auto"/>
                <w:sz w:val="21"/>
              </w:rPr>
            </w:pPr>
            <w:r>
              <w:rPr>
                <w:rFonts w:hint="eastAsia" w:ascii="Times New Roman" w:hAnsi="Times New Roman" w:eastAsia="宋体" w:cs="Times New Roman"/>
                <w:b/>
                <w:bCs/>
                <w:color w:val="auto"/>
                <w:sz w:val="21"/>
                <w:szCs w:val="24"/>
                <w:highlight w:val="none"/>
                <w:lang w:eastAsia="zh-CN"/>
              </w:rPr>
              <w:t>表</w:t>
            </w:r>
            <w:r>
              <w:rPr>
                <w:rFonts w:hint="eastAsia" w:ascii="Times New Roman" w:hAnsi="Times New Roman" w:eastAsia="宋体" w:cs="Times New Roman"/>
                <w:b/>
                <w:bCs/>
                <w:color w:val="auto"/>
                <w:sz w:val="21"/>
                <w:szCs w:val="24"/>
                <w:highlight w:val="none"/>
                <w:lang w:val="en-US" w:eastAsia="zh-CN"/>
              </w:rPr>
              <w:t>4</w:t>
            </w:r>
            <w:r>
              <w:rPr>
                <w:rFonts w:hint="default" w:ascii="Times New Roman" w:hAnsi="Times New Roman" w:eastAsia="宋体" w:cs="Times New Roman"/>
                <w:b/>
                <w:bCs/>
                <w:color w:val="auto"/>
                <w:sz w:val="21"/>
                <w:szCs w:val="24"/>
                <w:highlight w:val="none"/>
                <w:lang w:eastAsia="zh-CN"/>
              </w:rPr>
              <w:t>-</w:t>
            </w:r>
            <w:r>
              <w:rPr>
                <w:rFonts w:hint="eastAsia" w:cs="Times New Roman"/>
                <w:b/>
                <w:bCs/>
                <w:color w:val="auto"/>
                <w:sz w:val="21"/>
                <w:szCs w:val="24"/>
                <w:highlight w:val="none"/>
                <w:lang w:val="en-US" w:eastAsia="zh-CN"/>
              </w:rPr>
              <w:t>6</w:t>
            </w:r>
            <w:r>
              <w:rPr>
                <w:rFonts w:hint="eastAsia" w:ascii="Times New Roman" w:hAnsi="Times New Roman" w:eastAsia="宋体" w:cs="Times New Roman"/>
                <w:b/>
                <w:bCs/>
                <w:color w:val="auto"/>
                <w:sz w:val="21"/>
                <w:szCs w:val="24"/>
                <w:highlight w:val="none"/>
                <w:lang w:val="en-US" w:eastAsia="zh-CN"/>
              </w:rPr>
              <w:t xml:space="preserve"> 非正常及事故状态下的大气污染物排放源强情况</w:t>
            </w:r>
          </w:p>
          <w:tbl>
            <w:tblPr>
              <w:tblStyle w:val="2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61"/>
              <w:gridCol w:w="677"/>
              <w:gridCol w:w="1586"/>
              <w:gridCol w:w="787"/>
              <w:gridCol w:w="1267"/>
              <w:gridCol w:w="1106"/>
              <w:gridCol w:w="907"/>
              <w:gridCol w:w="800"/>
              <w:gridCol w:w="965"/>
            </w:tblGrid>
            <w:tr w14:paraId="379C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213" w:type="pct"/>
                  <w:noWrap w:val="0"/>
                  <w:vAlign w:val="center"/>
                </w:tcPr>
                <w:p w14:paraId="7240BE8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序号</w:t>
                  </w:r>
                </w:p>
              </w:tc>
              <w:tc>
                <w:tcPr>
                  <w:tcW w:w="400" w:type="pct"/>
                  <w:noWrap w:val="0"/>
                  <w:vAlign w:val="center"/>
                </w:tcPr>
                <w:p w14:paraId="30DDE89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污染源</w:t>
                  </w:r>
                </w:p>
              </w:tc>
              <w:tc>
                <w:tcPr>
                  <w:tcW w:w="937" w:type="pct"/>
                  <w:noWrap w:val="0"/>
                  <w:vAlign w:val="center"/>
                </w:tcPr>
                <w:p w14:paraId="302F94A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非正常排放原因</w:t>
                  </w:r>
                </w:p>
              </w:tc>
              <w:tc>
                <w:tcPr>
                  <w:tcW w:w="465" w:type="pct"/>
                  <w:noWrap w:val="0"/>
                  <w:vAlign w:val="center"/>
                </w:tcPr>
                <w:p w14:paraId="15DB6AF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污染物</w:t>
                  </w:r>
                </w:p>
              </w:tc>
              <w:tc>
                <w:tcPr>
                  <w:tcW w:w="749" w:type="pct"/>
                  <w:noWrap w:val="0"/>
                  <w:vAlign w:val="center"/>
                </w:tcPr>
                <w:p w14:paraId="7EBAAE5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非正常排放浓度/(mg/m</w:t>
                  </w:r>
                  <w:r>
                    <w:rPr>
                      <w:rFonts w:hint="default" w:ascii="Times New Roman" w:hAnsi="Times New Roman" w:eastAsia="宋体" w:cs="Times New Roman"/>
                      <w:b w:val="0"/>
                      <w:bCs/>
                      <w:color w:val="auto"/>
                      <w:sz w:val="21"/>
                      <w:szCs w:val="21"/>
                      <w:highlight w:val="none"/>
                      <w:vertAlign w:val="superscript"/>
                    </w:rPr>
                    <w:t>3</w:t>
                  </w:r>
                  <w:r>
                    <w:rPr>
                      <w:rFonts w:hint="default" w:ascii="Times New Roman" w:hAnsi="Times New Roman" w:eastAsia="宋体" w:cs="Times New Roman"/>
                      <w:b w:val="0"/>
                      <w:bCs/>
                      <w:color w:val="auto"/>
                      <w:sz w:val="21"/>
                      <w:szCs w:val="21"/>
                      <w:highlight w:val="none"/>
                    </w:rPr>
                    <w:t>)</w:t>
                  </w:r>
                </w:p>
              </w:tc>
              <w:tc>
                <w:tcPr>
                  <w:tcW w:w="653" w:type="pct"/>
                  <w:noWrap w:val="0"/>
                  <w:vAlign w:val="center"/>
                </w:tcPr>
                <w:p w14:paraId="35064FD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非正常排放速率/(kg/h）</w:t>
                  </w:r>
                </w:p>
              </w:tc>
              <w:tc>
                <w:tcPr>
                  <w:tcW w:w="536" w:type="pct"/>
                  <w:noWrap w:val="0"/>
                  <w:vAlign w:val="center"/>
                </w:tcPr>
                <w:p w14:paraId="17D350A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单次持续时间/h</w:t>
                  </w:r>
                </w:p>
              </w:tc>
              <w:tc>
                <w:tcPr>
                  <w:tcW w:w="473" w:type="pct"/>
                  <w:noWrap w:val="0"/>
                  <w:vAlign w:val="center"/>
                </w:tcPr>
                <w:p w14:paraId="36B5F18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年发生频次/次</w:t>
                  </w:r>
                </w:p>
              </w:tc>
              <w:tc>
                <w:tcPr>
                  <w:tcW w:w="570" w:type="pct"/>
                  <w:noWrap w:val="0"/>
                  <w:vAlign w:val="center"/>
                </w:tcPr>
                <w:p w14:paraId="5BC9EE7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应对措施</w:t>
                  </w:r>
                </w:p>
              </w:tc>
            </w:tr>
            <w:tr w14:paraId="56D4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9" w:hRule="atLeast"/>
                <w:jc w:val="center"/>
              </w:trPr>
              <w:tc>
                <w:tcPr>
                  <w:tcW w:w="213" w:type="pct"/>
                  <w:noWrap w:val="0"/>
                  <w:vAlign w:val="center"/>
                </w:tcPr>
                <w:p w14:paraId="2320528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1</w:t>
                  </w:r>
                </w:p>
              </w:tc>
              <w:tc>
                <w:tcPr>
                  <w:tcW w:w="400" w:type="pct"/>
                  <w:noWrap w:val="0"/>
                  <w:vAlign w:val="center"/>
                </w:tcPr>
                <w:p w14:paraId="549EFA9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rPr>
                  </w:pPr>
                  <w:r>
                    <w:rPr>
                      <w:rFonts w:hint="default" w:ascii="Times New Roman" w:hAnsi="Times New Roman" w:eastAsia="宋体" w:cs="Times New Roman"/>
                      <w:b w:val="0"/>
                      <w:bCs/>
                      <w:color w:val="auto"/>
                      <w:kern w:val="0"/>
                      <w:sz w:val="21"/>
                      <w:szCs w:val="21"/>
                      <w:highlight w:val="none"/>
                      <w:lang w:val="en-US" w:eastAsia="zh-CN"/>
                    </w:rPr>
                    <w:t>DA00</w:t>
                  </w:r>
                  <w:r>
                    <w:rPr>
                      <w:rFonts w:hint="eastAsia" w:ascii="Times New Roman" w:hAnsi="Times New Roman" w:eastAsia="宋体" w:cs="Times New Roman"/>
                      <w:b w:val="0"/>
                      <w:bCs/>
                      <w:color w:val="auto"/>
                      <w:kern w:val="0"/>
                      <w:sz w:val="21"/>
                      <w:szCs w:val="21"/>
                      <w:highlight w:val="none"/>
                      <w:lang w:val="en-US" w:eastAsia="zh-CN"/>
                    </w:rPr>
                    <w:t>1</w:t>
                  </w:r>
                </w:p>
              </w:tc>
              <w:tc>
                <w:tcPr>
                  <w:tcW w:w="937" w:type="pct"/>
                  <w:noWrap w:val="0"/>
                  <w:vAlign w:val="center"/>
                </w:tcPr>
                <w:p w14:paraId="3FF12FF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高效覆膜布袋除尘器失效</w:t>
                  </w:r>
                </w:p>
              </w:tc>
              <w:tc>
                <w:tcPr>
                  <w:tcW w:w="465" w:type="pct"/>
                  <w:noWrap w:val="0"/>
                  <w:vAlign w:val="center"/>
                </w:tcPr>
                <w:p w14:paraId="1BFFDD9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颗粒物</w:t>
                  </w:r>
                </w:p>
              </w:tc>
              <w:tc>
                <w:tcPr>
                  <w:tcW w:w="749" w:type="pct"/>
                  <w:noWrap w:val="0"/>
                  <w:vAlign w:val="center"/>
                </w:tcPr>
                <w:p w14:paraId="3B8748B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16474.93</w:t>
                  </w:r>
                </w:p>
              </w:tc>
              <w:tc>
                <w:tcPr>
                  <w:tcW w:w="653" w:type="pct"/>
                  <w:noWrap w:val="0"/>
                  <w:vAlign w:val="center"/>
                </w:tcPr>
                <w:p w14:paraId="328285A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42.83</w:t>
                  </w:r>
                </w:p>
              </w:tc>
              <w:tc>
                <w:tcPr>
                  <w:tcW w:w="536" w:type="pct"/>
                  <w:noWrap w:val="0"/>
                  <w:vAlign w:val="center"/>
                </w:tcPr>
                <w:p w14:paraId="092C306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0.5</w:t>
                  </w:r>
                </w:p>
              </w:tc>
              <w:tc>
                <w:tcPr>
                  <w:tcW w:w="473" w:type="pct"/>
                  <w:noWrap w:val="0"/>
                  <w:vAlign w:val="center"/>
                </w:tcPr>
                <w:p w14:paraId="31C5984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1</w:t>
                  </w:r>
                </w:p>
              </w:tc>
              <w:tc>
                <w:tcPr>
                  <w:tcW w:w="570" w:type="pct"/>
                  <w:vMerge w:val="restart"/>
                  <w:noWrap w:val="0"/>
                  <w:vAlign w:val="center"/>
                </w:tcPr>
                <w:p w14:paraId="27C5BD8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rPr>
                    <w:t>定期检修维护，</w:t>
                  </w:r>
                  <w:r>
                    <w:rPr>
                      <w:rFonts w:hint="default" w:ascii="Times New Roman" w:hAnsi="Times New Roman" w:eastAsia="宋体" w:cs="Times New Roman"/>
                      <w:b w:val="0"/>
                      <w:bCs/>
                      <w:color w:val="auto"/>
                      <w:sz w:val="21"/>
                      <w:szCs w:val="21"/>
                      <w:highlight w:val="none"/>
                      <w:lang w:val="en-US" w:eastAsia="zh-CN"/>
                    </w:rPr>
                    <w:t>及时停止生产</w:t>
                  </w:r>
                </w:p>
              </w:tc>
            </w:tr>
            <w:tr w14:paraId="0447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9" w:hRule="atLeast"/>
                <w:jc w:val="center"/>
              </w:trPr>
              <w:tc>
                <w:tcPr>
                  <w:tcW w:w="213" w:type="pct"/>
                  <w:noWrap w:val="0"/>
                  <w:vAlign w:val="center"/>
                </w:tcPr>
                <w:p w14:paraId="7F04EF0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2</w:t>
                  </w:r>
                </w:p>
              </w:tc>
              <w:tc>
                <w:tcPr>
                  <w:tcW w:w="400" w:type="pct"/>
                  <w:noWrap w:val="0"/>
                  <w:vAlign w:val="center"/>
                </w:tcPr>
                <w:p w14:paraId="6C19EF1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rPr>
                  </w:pPr>
                  <w:r>
                    <w:rPr>
                      <w:rFonts w:hint="default" w:ascii="Times New Roman" w:hAnsi="Times New Roman" w:eastAsia="宋体" w:cs="Times New Roman"/>
                      <w:b w:val="0"/>
                      <w:bCs/>
                      <w:color w:val="auto"/>
                      <w:kern w:val="0"/>
                      <w:sz w:val="21"/>
                      <w:szCs w:val="21"/>
                      <w:highlight w:val="none"/>
                      <w:lang w:val="en-US" w:eastAsia="zh-CN"/>
                    </w:rPr>
                    <w:t>DA00</w:t>
                  </w:r>
                  <w:r>
                    <w:rPr>
                      <w:rFonts w:hint="eastAsia" w:ascii="Times New Roman" w:hAnsi="Times New Roman" w:eastAsia="宋体" w:cs="Times New Roman"/>
                      <w:b w:val="0"/>
                      <w:bCs/>
                      <w:color w:val="auto"/>
                      <w:kern w:val="0"/>
                      <w:sz w:val="21"/>
                      <w:szCs w:val="21"/>
                      <w:highlight w:val="none"/>
                      <w:lang w:val="en-US" w:eastAsia="zh-CN"/>
                    </w:rPr>
                    <w:t>2</w:t>
                  </w:r>
                </w:p>
              </w:tc>
              <w:tc>
                <w:tcPr>
                  <w:tcW w:w="937" w:type="pct"/>
                  <w:noWrap w:val="0"/>
                  <w:vAlign w:val="center"/>
                </w:tcPr>
                <w:p w14:paraId="61419DC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高效覆膜布袋除尘器失效</w:t>
                  </w:r>
                </w:p>
              </w:tc>
              <w:tc>
                <w:tcPr>
                  <w:tcW w:w="465" w:type="pct"/>
                  <w:noWrap w:val="0"/>
                  <w:vAlign w:val="center"/>
                </w:tcPr>
                <w:p w14:paraId="366F643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颗粒物</w:t>
                  </w:r>
                </w:p>
              </w:tc>
              <w:tc>
                <w:tcPr>
                  <w:tcW w:w="749" w:type="pct"/>
                  <w:noWrap w:val="0"/>
                  <w:vAlign w:val="center"/>
                </w:tcPr>
                <w:p w14:paraId="3A570CD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6702.12</w:t>
                  </w:r>
                </w:p>
              </w:tc>
              <w:tc>
                <w:tcPr>
                  <w:tcW w:w="653" w:type="pct"/>
                  <w:noWrap w:val="0"/>
                  <w:vAlign w:val="center"/>
                </w:tcPr>
                <w:p w14:paraId="2B4EBAC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94.5</w:t>
                  </w:r>
                </w:p>
              </w:tc>
              <w:tc>
                <w:tcPr>
                  <w:tcW w:w="536" w:type="pct"/>
                  <w:noWrap w:val="0"/>
                  <w:vAlign w:val="center"/>
                </w:tcPr>
                <w:p w14:paraId="1F0DBF8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0.5</w:t>
                  </w:r>
                </w:p>
              </w:tc>
              <w:tc>
                <w:tcPr>
                  <w:tcW w:w="473" w:type="pct"/>
                  <w:noWrap w:val="0"/>
                  <w:vAlign w:val="center"/>
                </w:tcPr>
                <w:p w14:paraId="009F07F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c>
                <w:tcPr>
                  <w:tcW w:w="570" w:type="pct"/>
                  <w:vMerge w:val="continue"/>
                  <w:noWrap w:val="0"/>
                  <w:vAlign w:val="center"/>
                </w:tcPr>
                <w:p w14:paraId="3B7C104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p>
              </w:tc>
            </w:tr>
            <w:tr w14:paraId="0484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9" w:hRule="atLeast"/>
                <w:jc w:val="center"/>
              </w:trPr>
              <w:tc>
                <w:tcPr>
                  <w:tcW w:w="213" w:type="pct"/>
                  <w:noWrap w:val="0"/>
                  <w:vAlign w:val="center"/>
                </w:tcPr>
                <w:p w14:paraId="73C26CE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3</w:t>
                  </w:r>
                </w:p>
              </w:tc>
              <w:tc>
                <w:tcPr>
                  <w:tcW w:w="400" w:type="pct"/>
                  <w:noWrap w:val="0"/>
                  <w:vAlign w:val="center"/>
                </w:tcPr>
                <w:p w14:paraId="2B93E0A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rPr>
                  </w:pPr>
                  <w:r>
                    <w:rPr>
                      <w:rFonts w:hint="default" w:ascii="Times New Roman" w:hAnsi="Times New Roman" w:eastAsia="宋体" w:cs="Times New Roman"/>
                      <w:b w:val="0"/>
                      <w:bCs/>
                      <w:color w:val="auto"/>
                      <w:kern w:val="0"/>
                      <w:sz w:val="21"/>
                      <w:szCs w:val="21"/>
                      <w:highlight w:val="none"/>
                      <w:lang w:val="en-US" w:eastAsia="zh-CN"/>
                    </w:rPr>
                    <w:t>DA00</w:t>
                  </w:r>
                  <w:r>
                    <w:rPr>
                      <w:rFonts w:hint="eastAsia" w:ascii="Times New Roman" w:hAnsi="Times New Roman" w:eastAsia="宋体" w:cs="Times New Roman"/>
                      <w:b w:val="0"/>
                      <w:bCs/>
                      <w:color w:val="auto"/>
                      <w:kern w:val="0"/>
                      <w:sz w:val="21"/>
                      <w:szCs w:val="21"/>
                      <w:highlight w:val="none"/>
                      <w:lang w:val="en-US" w:eastAsia="zh-CN"/>
                    </w:rPr>
                    <w:t>3</w:t>
                  </w:r>
                </w:p>
              </w:tc>
              <w:tc>
                <w:tcPr>
                  <w:tcW w:w="937" w:type="pct"/>
                  <w:noWrap w:val="0"/>
                  <w:vAlign w:val="center"/>
                </w:tcPr>
                <w:p w14:paraId="67406E2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高效覆膜布袋除尘器失效</w:t>
                  </w:r>
                </w:p>
              </w:tc>
              <w:tc>
                <w:tcPr>
                  <w:tcW w:w="465" w:type="pct"/>
                  <w:noWrap w:val="0"/>
                  <w:vAlign w:val="center"/>
                </w:tcPr>
                <w:p w14:paraId="21F5E0C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颗粒物</w:t>
                  </w:r>
                </w:p>
              </w:tc>
              <w:tc>
                <w:tcPr>
                  <w:tcW w:w="749" w:type="pct"/>
                  <w:noWrap w:val="0"/>
                  <w:vAlign w:val="center"/>
                </w:tcPr>
                <w:p w14:paraId="3792FEE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2471.83</w:t>
                  </w:r>
                </w:p>
              </w:tc>
              <w:tc>
                <w:tcPr>
                  <w:tcW w:w="653" w:type="pct"/>
                  <w:noWrap w:val="0"/>
                  <w:vAlign w:val="center"/>
                </w:tcPr>
                <w:p w14:paraId="19B6B4A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30.1</w:t>
                  </w:r>
                </w:p>
              </w:tc>
              <w:tc>
                <w:tcPr>
                  <w:tcW w:w="536" w:type="pct"/>
                  <w:noWrap w:val="0"/>
                  <w:vAlign w:val="center"/>
                </w:tcPr>
                <w:p w14:paraId="3509B3B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0.5</w:t>
                  </w:r>
                </w:p>
              </w:tc>
              <w:tc>
                <w:tcPr>
                  <w:tcW w:w="473" w:type="pct"/>
                  <w:noWrap w:val="0"/>
                  <w:vAlign w:val="center"/>
                </w:tcPr>
                <w:p w14:paraId="369AD9F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c>
                <w:tcPr>
                  <w:tcW w:w="570" w:type="pct"/>
                  <w:vMerge w:val="continue"/>
                  <w:noWrap w:val="0"/>
                  <w:vAlign w:val="center"/>
                </w:tcPr>
                <w:p w14:paraId="05ADC9B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p>
              </w:tc>
            </w:tr>
            <w:tr w14:paraId="29D9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9" w:hRule="atLeast"/>
                <w:jc w:val="center"/>
              </w:trPr>
              <w:tc>
                <w:tcPr>
                  <w:tcW w:w="213" w:type="pct"/>
                  <w:noWrap w:val="0"/>
                  <w:vAlign w:val="center"/>
                </w:tcPr>
                <w:p w14:paraId="4C10087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4</w:t>
                  </w:r>
                </w:p>
              </w:tc>
              <w:tc>
                <w:tcPr>
                  <w:tcW w:w="400" w:type="pct"/>
                  <w:noWrap w:val="0"/>
                  <w:vAlign w:val="center"/>
                </w:tcPr>
                <w:p w14:paraId="6FDFB02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rPr>
                  </w:pPr>
                  <w:r>
                    <w:rPr>
                      <w:rFonts w:hint="default" w:ascii="Times New Roman" w:hAnsi="Times New Roman" w:eastAsia="宋体" w:cs="Times New Roman"/>
                      <w:b w:val="0"/>
                      <w:bCs/>
                      <w:color w:val="auto"/>
                      <w:kern w:val="0"/>
                      <w:sz w:val="21"/>
                      <w:szCs w:val="21"/>
                      <w:highlight w:val="none"/>
                      <w:lang w:val="en-US" w:eastAsia="zh-CN"/>
                    </w:rPr>
                    <w:t>DA00</w:t>
                  </w:r>
                  <w:r>
                    <w:rPr>
                      <w:rFonts w:hint="eastAsia" w:ascii="Times New Roman" w:hAnsi="Times New Roman" w:eastAsia="宋体" w:cs="Times New Roman"/>
                      <w:b w:val="0"/>
                      <w:bCs/>
                      <w:color w:val="auto"/>
                      <w:kern w:val="0"/>
                      <w:sz w:val="21"/>
                      <w:szCs w:val="21"/>
                      <w:highlight w:val="none"/>
                      <w:lang w:val="en-US" w:eastAsia="zh-CN"/>
                    </w:rPr>
                    <w:t>4</w:t>
                  </w:r>
                </w:p>
              </w:tc>
              <w:tc>
                <w:tcPr>
                  <w:tcW w:w="937" w:type="pct"/>
                  <w:noWrap w:val="0"/>
                  <w:vAlign w:val="center"/>
                </w:tcPr>
                <w:p w14:paraId="5471612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高效覆膜布袋除尘器失效</w:t>
                  </w:r>
                </w:p>
              </w:tc>
              <w:tc>
                <w:tcPr>
                  <w:tcW w:w="465" w:type="pct"/>
                  <w:noWrap w:val="0"/>
                  <w:vAlign w:val="center"/>
                </w:tcPr>
                <w:p w14:paraId="61325E2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颗粒物</w:t>
                  </w:r>
                </w:p>
              </w:tc>
              <w:tc>
                <w:tcPr>
                  <w:tcW w:w="749" w:type="pct"/>
                  <w:noWrap w:val="0"/>
                  <w:vAlign w:val="center"/>
                </w:tcPr>
                <w:p w14:paraId="306C671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1580.01</w:t>
                  </w:r>
                </w:p>
              </w:tc>
              <w:tc>
                <w:tcPr>
                  <w:tcW w:w="653" w:type="pct"/>
                  <w:noWrap w:val="0"/>
                  <w:vAlign w:val="center"/>
                </w:tcPr>
                <w:p w14:paraId="61DA05F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3.16</w:t>
                  </w:r>
                </w:p>
              </w:tc>
              <w:tc>
                <w:tcPr>
                  <w:tcW w:w="536" w:type="pct"/>
                  <w:noWrap w:val="0"/>
                  <w:vAlign w:val="center"/>
                </w:tcPr>
                <w:p w14:paraId="6D7FE89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0.5</w:t>
                  </w:r>
                </w:p>
              </w:tc>
              <w:tc>
                <w:tcPr>
                  <w:tcW w:w="473" w:type="pct"/>
                  <w:noWrap w:val="0"/>
                  <w:vAlign w:val="center"/>
                </w:tcPr>
                <w:p w14:paraId="6F62D8E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c>
                <w:tcPr>
                  <w:tcW w:w="570" w:type="pct"/>
                  <w:vMerge w:val="continue"/>
                  <w:noWrap w:val="0"/>
                  <w:vAlign w:val="center"/>
                </w:tcPr>
                <w:p w14:paraId="6888654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p>
              </w:tc>
            </w:tr>
            <w:tr w14:paraId="2D42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9" w:hRule="atLeast"/>
                <w:jc w:val="center"/>
              </w:trPr>
              <w:tc>
                <w:tcPr>
                  <w:tcW w:w="213" w:type="pct"/>
                  <w:noWrap w:val="0"/>
                  <w:vAlign w:val="center"/>
                </w:tcPr>
                <w:p w14:paraId="32F6404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5</w:t>
                  </w:r>
                </w:p>
              </w:tc>
              <w:tc>
                <w:tcPr>
                  <w:tcW w:w="400" w:type="pct"/>
                  <w:noWrap w:val="0"/>
                  <w:vAlign w:val="center"/>
                </w:tcPr>
                <w:p w14:paraId="7BF05D7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rPr>
                  </w:pPr>
                  <w:r>
                    <w:rPr>
                      <w:rFonts w:hint="default" w:ascii="Times New Roman" w:hAnsi="Times New Roman" w:eastAsia="宋体" w:cs="Times New Roman"/>
                      <w:b w:val="0"/>
                      <w:bCs/>
                      <w:color w:val="auto"/>
                      <w:kern w:val="0"/>
                      <w:sz w:val="21"/>
                      <w:szCs w:val="21"/>
                      <w:highlight w:val="none"/>
                      <w:lang w:val="en-US" w:eastAsia="zh-CN"/>
                    </w:rPr>
                    <w:t>DA00</w:t>
                  </w:r>
                  <w:r>
                    <w:rPr>
                      <w:rFonts w:hint="eastAsia" w:ascii="Times New Roman" w:hAnsi="Times New Roman" w:eastAsia="宋体" w:cs="Times New Roman"/>
                      <w:b w:val="0"/>
                      <w:bCs/>
                      <w:color w:val="auto"/>
                      <w:kern w:val="0"/>
                      <w:sz w:val="21"/>
                      <w:szCs w:val="21"/>
                      <w:highlight w:val="none"/>
                      <w:lang w:val="en-US" w:eastAsia="zh-CN"/>
                    </w:rPr>
                    <w:t>5</w:t>
                  </w:r>
                </w:p>
              </w:tc>
              <w:tc>
                <w:tcPr>
                  <w:tcW w:w="937" w:type="pct"/>
                  <w:noWrap w:val="0"/>
                  <w:vAlign w:val="center"/>
                </w:tcPr>
                <w:p w14:paraId="59E80F0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高效覆膜布袋除尘器失效</w:t>
                  </w:r>
                </w:p>
              </w:tc>
              <w:tc>
                <w:tcPr>
                  <w:tcW w:w="465" w:type="pct"/>
                  <w:noWrap w:val="0"/>
                  <w:vAlign w:val="center"/>
                </w:tcPr>
                <w:p w14:paraId="768037EB">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颗粒物</w:t>
                  </w:r>
                </w:p>
              </w:tc>
              <w:tc>
                <w:tcPr>
                  <w:tcW w:w="749" w:type="pct"/>
                  <w:noWrap w:val="0"/>
                  <w:vAlign w:val="center"/>
                </w:tcPr>
                <w:p w14:paraId="27D86D5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1582.66</w:t>
                  </w:r>
                </w:p>
              </w:tc>
              <w:tc>
                <w:tcPr>
                  <w:tcW w:w="653" w:type="pct"/>
                  <w:noWrap w:val="0"/>
                  <w:vAlign w:val="center"/>
                </w:tcPr>
                <w:p w14:paraId="6C8D08F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3.17</w:t>
                  </w:r>
                </w:p>
              </w:tc>
              <w:tc>
                <w:tcPr>
                  <w:tcW w:w="536" w:type="pct"/>
                  <w:noWrap w:val="0"/>
                  <w:vAlign w:val="center"/>
                </w:tcPr>
                <w:p w14:paraId="6D6455E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0.5</w:t>
                  </w:r>
                </w:p>
              </w:tc>
              <w:tc>
                <w:tcPr>
                  <w:tcW w:w="473" w:type="pct"/>
                  <w:noWrap w:val="0"/>
                  <w:vAlign w:val="center"/>
                </w:tcPr>
                <w:p w14:paraId="4E5FC77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c>
                <w:tcPr>
                  <w:tcW w:w="570" w:type="pct"/>
                  <w:vMerge w:val="continue"/>
                  <w:noWrap w:val="0"/>
                  <w:vAlign w:val="center"/>
                </w:tcPr>
                <w:p w14:paraId="33F1B88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p>
              </w:tc>
            </w:tr>
            <w:tr w14:paraId="196C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9" w:hRule="atLeast"/>
                <w:jc w:val="center"/>
              </w:trPr>
              <w:tc>
                <w:tcPr>
                  <w:tcW w:w="213" w:type="pct"/>
                  <w:noWrap w:val="0"/>
                  <w:vAlign w:val="center"/>
                </w:tcPr>
                <w:p w14:paraId="542896C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6</w:t>
                  </w:r>
                </w:p>
              </w:tc>
              <w:tc>
                <w:tcPr>
                  <w:tcW w:w="400" w:type="pct"/>
                  <w:noWrap w:val="0"/>
                  <w:vAlign w:val="center"/>
                </w:tcPr>
                <w:p w14:paraId="395B91F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rPr>
                  </w:pPr>
                  <w:r>
                    <w:rPr>
                      <w:rFonts w:hint="default" w:ascii="Times New Roman" w:hAnsi="Times New Roman" w:eastAsia="宋体" w:cs="Times New Roman"/>
                      <w:b w:val="0"/>
                      <w:bCs/>
                      <w:color w:val="auto"/>
                      <w:kern w:val="0"/>
                      <w:sz w:val="21"/>
                      <w:szCs w:val="21"/>
                      <w:highlight w:val="none"/>
                      <w:lang w:val="en-US" w:eastAsia="zh-CN"/>
                    </w:rPr>
                    <w:t>DA00</w:t>
                  </w:r>
                  <w:r>
                    <w:rPr>
                      <w:rFonts w:hint="eastAsia" w:ascii="Times New Roman" w:hAnsi="Times New Roman" w:eastAsia="宋体" w:cs="Times New Roman"/>
                      <w:b w:val="0"/>
                      <w:bCs/>
                      <w:color w:val="auto"/>
                      <w:kern w:val="0"/>
                      <w:sz w:val="21"/>
                      <w:szCs w:val="21"/>
                      <w:highlight w:val="none"/>
                      <w:lang w:val="en-US" w:eastAsia="zh-CN"/>
                    </w:rPr>
                    <w:t>6</w:t>
                  </w:r>
                </w:p>
              </w:tc>
              <w:tc>
                <w:tcPr>
                  <w:tcW w:w="937" w:type="pct"/>
                  <w:noWrap w:val="0"/>
                  <w:vAlign w:val="center"/>
                </w:tcPr>
                <w:p w14:paraId="7347CB4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高效覆膜布袋除尘器失效</w:t>
                  </w:r>
                </w:p>
              </w:tc>
              <w:tc>
                <w:tcPr>
                  <w:tcW w:w="465" w:type="pct"/>
                  <w:noWrap w:val="0"/>
                  <w:vAlign w:val="center"/>
                </w:tcPr>
                <w:p w14:paraId="26598FC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颗粒物</w:t>
                  </w:r>
                </w:p>
              </w:tc>
              <w:tc>
                <w:tcPr>
                  <w:tcW w:w="749" w:type="pct"/>
                  <w:noWrap w:val="0"/>
                  <w:vAlign w:val="center"/>
                </w:tcPr>
                <w:p w14:paraId="3B72E28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1905.97</w:t>
                  </w:r>
                </w:p>
              </w:tc>
              <w:tc>
                <w:tcPr>
                  <w:tcW w:w="653" w:type="pct"/>
                  <w:noWrap w:val="0"/>
                  <w:vAlign w:val="center"/>
                </w:tcPr>
                <w:p w14:paraId="3CF31E4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30.5</w:t>
                  </w:r>
                </w:p>
              </w:tc>
              <w:tc>
                <w:tcPr>
                  <w:tcW w:w="536" w:type="pct"/>
                  <w:noWrap w:val="0"/>
                  <w:vAlign w:val="center"/>
                </w:tcPr>
                <w:p w14:paraId="0DA07D3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0.5</w:t>
                  </w:r>
                </w:p>
              </w:tc>
              <w:tc>
                <w:tcPr>
                  <w:tcW w:w="473" w:type="pct"/>
                  <w:noWrap w:val="0"/>
                  <w:vAlign w:val="center"/>
                </w:tcPr>
                <w:p w14:paraId="480E2CE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c>
                <w:tcPr>
                  <w:tcW w:w="570" w:type="pct"/>
                  <w:vMerge w:val="continue"/>
                  <w:noWrap w:val="0"/>
                  <w:vAlign w:val="center"/>
                </w:tcPr>
                <w:p w14:paraId="47BD1A4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p>
              </w:tc>
            </w:tr>
            <w:tr w14:paraId="4AC2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9" w:hRule="atLeast"/>
                <w:jc w:val="center"/>
              </w:trPr>
              <w:tc>
                <w:tcPr>
                  <w:tcW w:w="213" w:type="pct"/>
                  <w:noWrap w:val="0"/>
                  <w:vAlign w:val="center"/>
                </w:tcPr>
                <w:p w14:paraId="46BF093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7</w:t>
                  </w:r>
                </w:p>
              </w:tc>
              <w:tc>
                <w:tcPr>
                  <w:tcW w:w="400" w:type="pct"/>
                  <w:noWrap w:val="0"/>
                  <w:vAlign w:val="center"/>
                </w:tcPr>
                <w:p w14:paraId="03E37C3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rPr>
                  </w:pPr>
                  <w:r>
                    <w:rPr>
                      <w:rFonts w:hint="default" w:ascii="Times New Roman" w:hAnsi="Times New Roman" w:eastAsia="宋体" w:cs="Times New Roman"/>
                      <w:b w:val="0"/>
                      <w:bCs/>
                      <w:color w:val="auto"/>
                      <w:kern w:val="0"/>
                      <w:sz w:val="21"/>
                      <w:szCs w:val="21"/>
                      <w:highlight w:val="none"/>
                      <w:lang w:val="en-US" w:eastAsia="zh-CN"/>
                    </w:rPr>
                    <w:t>DA00</w:t>
                  </w:r>
                  <w:r>
                    <w:rPr>
                      <w:rFonts w:hint="eastAsia" w:ascii="Times New Roman" w:hAnsi="Times New Roman" w:eastAsia="宋体" w:cs="Times New Roman"/>
                      <w:b w:val="0"/>
                      <w:bCs/>
                      <w:color w:val="auto"/>
                      <w:kern w:val="0"/>
                      <w:sz w:val="21"/>
                      <w:szCs w:val="21"/>
                      <w:highlight w:val="none"/>
                      <w:lang w:val="en-US" w:eastAsia="zh-CN"/>
                    </w:rPr>
                    <w:t>7</w:t>
                  </w:r>
                </w:p>
              </w:tc>
              <w:tc>
                <w:tcPr>
                  <w:tcW w:w="937" w:type="pct"/>
                  <w:noWrap w:val="0"/>
                  <w:vAlign w:val="center"/>
                </w:tcPr>
                <w:p w14:paraId="27DBE9E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高效覆膜布袋除尘器失效</w:t>
                  </w:r>
                </w:p>
              </w:tc>
              <w:tc>
                <w:tcPr>
                  <w:tcW w:w="465" w:type="pct"/>
                  <w:noWrap w:val="0"/>
                  <w:vAlign w:val="center"/>
                </w:tcPr>
                <w:p w14:paraId="5A030FE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颗粒物</w:t>
                  </w:r>
                </w:p>
              </w:tc>
              <w:tc>
                <w:tcPr>
                  <w:tcW w:w="749" w:type="pct"/>
                  <w:noWrap w:val="0"/>
                  <w:vAlign w:val="center"/>
                </w:tcPr>
                <w:p w14:paraId="3C76163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158</w:t>
                  </w:r>
                  <w:r>
                    <w:rPr>
                      <w:rFonts w:hint="eastAsia" w:cs="Times New Roman"/>
                      <w:color w:val="auto"/>
                      <w:sz w:val="21"/>
                      <w:szCs w:val="21"/>
                      <w:highlight w:val="none"/>
                      <w:lang w:val="en-US" w:eastAsia="zh-CN"/>
                    </w:rPr>
                    <w:t>3.11</w:t>
                  </w:r>
                </w:p>
              </w:tc>
              <w:tc>
                <w:tcPr>
                  <w:tcW w:w="653" w:type="pct"/>
                  <w:noWrap w:val="0"/>
                  <w:vAlign w:val="center"/>
                </w:tcPr>
                <w:p w14:paraId="1D65811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3.17</w:t>
                  </w:r>
                </w:p>
              </w:tc>
              <w:tc>
                <w:tcPr>
                  <w:tcW w:w="536" w:type="pct"/>
                  <w:noWrap w:val="0"/>
                  <w:vAlign w:val="center"/>
                </w:tcPr>
                <w:p w14:paraId="4C07FF2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0.5</w:t>
                  </w:r>
                </w:p>
              </w:tc>
              <w:tc>
                <w:tcPr>
                  <w:tcW w:w="473" w:type="pct"/>
                  <w:noWrap w:val="0"/>
                  <w:vAlign w:val="center"/>
                </w:tcPr>
                <w:p w14:paraId="01D1B87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c>
                <w:tcPr>
                  <w:tcW w:w="570" w:type="pct"/>
                  <w:vMerge w:val="continue"/>
                  <w:noWrap w:val="0"/>
                  <w:vAlign w:val="center"/>
                </w:tcPr>
                <w:p w14:paraId="62BFD84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p>
              </w:tc>
            </w:tr>
            <w:tr w14:paraId="5E3C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9" w:hRule="atLeast"/>
                <w:jc w:val="center"/>
              </w:trPr>
              <w:tc>
                <w:tcPr>
                  <w:tcW w:w="213" w:type="pct"/>
                  <w:noWrap w:val="0"/>
                  <w:vAlign w:val="center"/>
                </w:tcPr>
                <w:p w14:paraId="3231CE2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8</w:t>
                  </w:r>
                </w:p>
              </w:tc>
              <w:tc>
                <w:tcPr>
                  <w:tcW w:w="400" w:type="pct"/>
                  <w:noWrap w:val="0"/>
                  <w:vAlign w:val="center"/>
                </w:tcPr>
                <w:p w14:paraId="4D8A450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rPr>
                  </w:pPr>
                  <w:r>
                    <w:rPr>
                      <w:rFonts w:hint="default" w:ascii="Times New Roman" w:hAnsi="Times New Roman" w:eastAsia="宋体" w:cs="Times New Roman"/>
                      <w:b w:val="0"/>
                      <w:bCs/>
                      <w:color w:val="auto"/>
                      <w:kern w:val="0"/>
                      <w:sz w:val="21"/>
                      <w:szCs w:val="21"/>
                      <w:highlight w:val="none"/>
                      <w:lang w:val="en-US" w:eastAsia="zh-CN"/>
                    </w:rPr>
                    <w:t>DA00</w:t>
                  </w:r>
                  <w:r>
                    <w:rPr>
                      <w:rFonts w:hint="eastAsia" w:ascii="Times New Roman" w:hAnsi="Times New Roman" w:eastAsia="宋体" w:cs="Times New Roman"/>
                      <w:b w:val="0"/>
                      <w:bCs/>
                      <w:color w:val="auto"/>
                      <w:kern w:val="0"/>
                      <w:sz w:val="21"/>
                      <w:szCs w:val="21"/>
                      <w:highlight w:val="none"/>
                      <w:lang w:val="en-US" w:eastAsia="zh-CN"/>
                    </w:rPr>
                    <w:t>8</w:t>
                  </w:r>
                </w:p>
              </w:tc>
              <w:tc>
                <w:tcPr>
                  <w:tcW w:w="937" w:type="pct"/>
                  <w:noWrap w:val="0"/>
                  <w:vAlign w:val="center"/>
                </w:tcPr>
                <w:p w14:paraId="1C92C9F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高效覆膜布袋除尘器失效</w:t>
                  </w:r>
                </w:p>
              </w:tc>
              <w:tc>
                <w:tcPr>
                  <w:tcW w:w="465" w:type="pct"/>
                  <w:noWrap w:val="0"/>
                  <w:vAlign w:val="center"/>
                </w:tcPr>
                <w:p w14:paraId="52AC4DA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颗粒物</w:t>
                  </w:r>
                </w:p>
              </w:tc>
              <w:tc>
                <w:tcPr>
                  <w:tcW w:w="749" w:type="pct"/>
                  <w:noWrap w:val="0"/>
                  <w:vAlign w:val="center"/>
                </w:tcPr>
                <w:p w14:paraId="4433A57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157</w:t>
                  </w:r>
                  <w:r>
                    <w:rPr>
                      <w:rFonts w:hint="eastAsia" w:cs="Times New Roman"/>
                      <w:color w:val="auto"/>
                      <w:sz w:val="21"/>
                      <w:szCs w:val="21"/>
                      <w:highlight w:val="none"/>
                      <w:lang w:val="en-US" w:eastAsia="zh-CN"/>
                    </w:rPr>
                    <w:t>5</w:t>
                  </w:r>
                </w:p>
              </w:tc>
              <w:tc>
                <w:tcPr>
                  <w:tcW w:w="653" w:type="pct"/>
                  <w:noWrap w:val="0"/>
                  <w:vAlign w:val="center"/>
                </w:tcPr>
                <w:p w14:paraId="5366093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3.1</w:t>
                  </w:r>
                  <w:r>
                    <w:rPr>
                      <w:rFonts w:hint="eastAsia" w:cs="Times New Roman"/>
                      <w:color w:val="auto"/>
                      <w:sz w:val="21"/>
                      <w:szCs w:val="21"/>
                      <w:highlight w:val="none"/>
                      <w:lang w:val="en-US" w:eastAsia="zh-CN"/>
                    </w:rPr>
                    <w:t>5</w:t>
                  </w:r>
                </w:p>
              </w:tc>
              <w:tc>
                <w:tcPr>
                  <w:tcW w:w="536" w:type="pct"/>
                  <w:noWrap w:val="0"/>
                  <w:vAlign w:val="center"/>
                </w:tcPr>
                <w:p w14:paraId="27F0A82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0.5</w:t>
                  </w:r>
                </w:p>
              </w:tc>
              <w:tc>
                <w:tcPr>
                  <w:tcW w:w="473" w:type="pct"/>
                  <w:noWrap w:val="0"/>
                  <w:vAlign w:val="center"/>
                </w:tcPr>
                <w:p w14:paraId="4293D1D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1</w:t>
                  </w:r>
                </w:p>
              </w:tc>
              <w:tc>
                <w:tcPr>
                  <w:tcW w:w="570" w:type="pct"/>
                  <w:vMerge w:val="continue"/>
                  <w:noWrap w:val="0"/>
                  <w:vAlign w:val="center"/>
                </w:tcPr>
                <w:p w14:paraId="5C1AA3A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p>
              </w:tc>
            </w:tr>
          </w:tbl>
          <w:p w14:paraId="41322E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kern w:val="2"/>
                <w:sz w:val="24"/>
                <w:szCs w:val="24"/>
                <w:lang w:val="en-US" w:eastAsia="zh-CN" w:bidi="ar-SA"/>
              </w:rPr>
              <w:t>（</w:t>
            </w:r>
            <w:r>
              <w:rPr>
                <w:rFonts w:hint="eastAsia" w:cs="Times New Roman"/>
                <w:color w:val="auto"/>
                <w:kern w:val="2"/>
                <w:sz w:val="24"/>
                <w:szCs w:val="24"/>
                <w:lang w:val="en-US" w:eastAsia="zh-CN" w:bidi="ar-SA"/>
              </w:rPr>
              <w:t>5</w:t>
            </w:r>
            <w:r>
              <w:rPr>
                <w:rFonts w:hint="eastAsia" w:ascii="Times New Roman" w:hAnsi="Times New Roman" w:eastAsia="宋体" w:cs="Times New Roman"/>
                <w:color w:val="auto"/>
                <w:kern w:val="2"/>
                <w:sz w:val="24"/>
                <w:szCs w:val="24"/>
                <w:lang w:val="en-US" w:eastAsia="zh-CN" w:bidi="ar-SA"/>
              </w:rPr>
              <w:t>）</w:t>
            </w:r>
            <w:r>
              <w:rPr>
                <w:rFonts w:hint="eastAsia" w:ascii="Times New Roman" w:hAnsi="Times New Roman" w:eastAsia="宋体" w:cs="Times New Roman"/>
                <w:color w:val="auto"/>
                <w:sz w:val="24"/>
                <w:szCs w:val="24"/>
                <w:lang w:val="en-US" w:eastAsia="zh-CN"/>
              </w:rPr>
              <w:t>监测要求</w:t>
            </w:r>
          </w:p>
          <w:p w14:paraId="629B02AD">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根据《排污单位自行监测技术指南 总则》（HJ819-2017）等相关要求，本项目营运期废气监测计划如下：</w:t>
            </w:r>
          </w:p>
          <w:p w14:paraId="37091406">
            <w:pPr>
              <w:pStyle w:val="2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right="0" w:firstLine="0" w:firstLineChars="0"/>
              <w:jc w:val="center"/>
              <w:textAlignment w:val="auto"/>
              <w:rPr>
                <w:rFonts w:hint="eastAsia" w:ascii="Times New Roman" w:hAnsi="Times New Roman" w:eastAsia="宋体" w:cs="Times New Roman"/>
                <w:b/>
                <w:bCs/>
                <w:color w:val="auto"/>
                <w:sz w:val="21"/>
                <w:szCs w:val="24"/>
                <w:highlight w:val="none"/>
                <w:lang w:eastAsia="zh-CN"/>
              </w:rPr>
            </w:pPr>
          </w:p>
          <w:p w14:paraId="5B95442B">
            <w:pPr>
              <w:pStyle w:val="2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right="0" w:firstLine="0" w:firstLineChars="0"/>
              <w:jc w:val="center"/>
              <w:textAlignment w:val="auto"/>
              <w:rPr>
                <w:rFonts w:hint="eastAsia" w:ascii="Times New Roman" w:hAnsi="Times New Roman" w:eastAsia="宋体" w:cs="Times New Roman"/>
                <w:b/>
                <w:bCs/>
                <w:color w:val="auto"/>
                <w:sz w:val="21"/>
                <w:szCs w:val="24"/>
                <w:highlight w:val="none"/>
                <w:lang w:eastAsia="zh-CN"/>
              </w:rPr>
            </w:pPr>
          </w:p>
          <w:p w14:paraId="2ABC67A5">
            <w:pPr>
              <w:pStyle w:val="2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right="0" w:firstLine="0" w:firstLineChars="0"/>
              <w:jc w:val="center"/>
              <w:textAlignment w:val="auto"/>
              <w:rPr>
                <w:rFonts w:hint="eastAsia" w:ascii="Times New Roman" w:hAnsi="Times New Roman" w:eastAsia="宋体" w:cs="Times New Roman"/>
                <w:b/>
                <w:bCs/>
                <w:color w:val="auto"/>
                <w:sz w:val="21"/>
                <w:szCs w:val="24"/>
                <w:highlight w:val="none"/>
                <w:lang w:eastAsia="zh-CN"/>
              </w:rPr>
            </w:pPr>
          </w:p>
          <w:p w14:paraId="20C3D8FC">
            <w:pPr>
              <w:pStyle w:val="2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right="0" w:firstLine="0" w:firstLineChars="0"/>
              <w:jc w:val="center"/>
              <w:textAlignment w:val="auto"/>
              <w:rPr>
                <w:rFonts w:hint="eastAsia" w:ascii="Times New Roman" w:hAnsi="Times New Roman" w:eastAsia="宋体" w:cs="Times New Roman"/>
                <w:b/>
                <w:bCs/>
                <w:color w:val="auto"/>
                <w:sz w:val="21"/>
                <w:szCs w:val="24"/>
                <w:highlight w:val="none"/>
                <w:lang w:eastAsia="zh-CN"/>
              </w:rPr>
            </w:pPr>
          </w:p>
          <w:p w14:paraId="32AB4641">
            <w:pPr>
              <w:pStyle w:val="2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right="0" w:firstLine="0" w:firstLineChars="0"/>
              <w:jc w:val="center"/>
              <w:textAlignment w:val="auto"/>
              <w:rPr>
                <w:rFonts w:hint="eastAsia" w:ascii="Times New Roman" w:hAnsi="Times New Roman" w:eastAsia="宋体" w:cs="Times New Roman"/>
                <w:b/>
                <w:bCs/>
                <w:color w:val="auto"/>
                <w:sz w:val="21"/>
                <w:szCs w:val="24"/>
                <w:highlight w:val="none"/>
                <w:lang w:eastAsia="zh-CN"/>
              </w:rPr>
            </w:pPr>
          </w:p>
          <w:p w14:paraId="58C409AA">
            <w:pPr>
              <w:pStyle w:val="2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right="0" w:firstLine="0" w:firstLineChars="0"/>
              <w:jc w:val="center"/>
              <w:textAlignment w:val="auto"/>
              <w:rPr>
                <w:rFonts w:hint="eastAsia" w:ascii="Times New Roman" w:hAnsi="Times New Roman" w:eastAsia="宋体" w:cs="Times New Roman"/>
                <w:b/>
                <w:bCs/>
                <w:color w:val="auto"/>
                <w:sz w:val="21"/>
                <w:szCs w:val="24"/>
                <w:highlight w:val="none"/>
                <w:lang w:eastAsia="zh-CN"/>
              </w:rPr>
            </w:pPr>
          </w:p>
          <w:p w14:paraId="690EB045">
            <w:pPr>
              <w:pStyle w:val="22"/>
              <w:keepNext w:val="0"/>
              <w:keepLines w:val="0"/>
              <w:pageBreakBefore w:val="0"/>
              <w:widowControl w:val="0"/>
              <w:kinsoku/>
              <w:wordWrap/>
              <w:overflowPunct/>
              <w:topLinePunct w:val="0"/>
              <w:autoSpaceDE w:val="0"/>
              <w:autoSpaceDN w:val="0"/>
              <w:bidi w:val="0"/>
              <w:adjustRightInd w:val="0"/>
              <w:snapToGrid/>
              <w:spacing w:before="0" w:line="240" w:lineRule="auto"/>
              <w:ind w:left="0" w:leftChars="0" w:right="0" w:firstLine="0" w:firstLineChars="0"/>
              <w:jc w:val="center"/>
              <w:textAlignment w:val="auto"/>
              <w:rPr>
                <w:rFonts w:hint="default"/>
                <w:color w:val="auto"/>
                <w:sz w:val="21"/>
                <w:highlight w:val="none"/>
                <w:lang w:val="en-US" w:eastAsia="zh-CN"/>
              </w:rPr>
            </w:pPr>
            <w:r>
              <w:rPr>
                <w:rFonts w:hint="eastAsia" w:ascii="Times New Roman" w:hAnsi="Times New Roman" w:eastAsia="宋体" w:cs="Times New Roman"/>
                <w:b/>
                <w:bCs/>
                <w:color w:val="auto"/>
                <w:sz w:val="21"/>
                <w:szCs w:val="24"/>
                <w:highlight w:val="none"/>
                <w:lang w:eastAsia="zh-CN"/>
              </w:rPr>
              <w:t>表</w:t>
            </w:r>
            <w:r>
              <w:rPr>
                <w:rFonts w:hint="eastAsia" w:ascii="Times New Roman" w:hAnsi="Times New Roman" w:eastAsia="宋体" w:cs="Times New Roman"/>
                <w:b/>
                <w:bCs/>
                <w:color w:val="auto"/>
                <w:sz w:val="21"/>
                <w:szCs w:val="24"/>
                <w:highlight w:val="none"/>
                <w:lang w:val="en-US" w:eastAsia="zh-CN"/>
              </w:rPr>
              <w:t>4</w:t>
            </w:r>
            <w:r>
              <w:rPr>
                <w:rFonts w:hint="default" w:ascii="Times New Roman" w:hAnsi="Times New Roman" w:eastAsia="宋体" w:cs="Times New Roman"/>
                <w:b/>
                <w:bCs/>
                <w:color w:val="auto"/>
                <w:sz w:val="21"/>
                <w:szCs w:val="24"/>
                <w:highlight w:val="none"/>
                <w:lang w:eastAsia="zh-CN"/>
              </w:rPr>
              <w:t>-</w:t>
            </w:r>
            <w:r>
              <w:rPr>
                <w:rFonts w:hint="eastAsia" w:cs="Times New Roman"/>
                <w:b/>
                <w:bCs/>
                <w:color w:val="auto"/>
                <w:sz w:val="21"/>
                <w:szCs w:val="24"/>
                <w:highlight w:val="none"/>
                <w:lang w:val="en-US" w:eastAsia="zh-CN"/>
              </w:rPr>
              <w:t>7</w:t>
            </w:r>
            <w:r>
              <w:rPr>
                <w:rFonts w:hint="eastAsia" w:ascii="Times New Roman" w:hAnsi="Times New Roman" w:eastAsia="宋体" w:cs="Times New Roman"/>
                <w:b/>
                <w:bCs/>
                <w:color w:val="auto"/>
                <w:sz w:val="21"/>
                <w:szCs w:val="24"/>
                <w:highlight w:val="none"/>
                <w:lang w:val="en-US" w:eastAsia="zh-CN"/>
              </w:rPr>
              <w:t xml:space="preserve"> 废气监测计划一览表</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2110"/>
              <w:gridCol w:w="3312"/>
              <w:gridCol w:w="1202"/>
              <w:gridCol w:w="1200"/>
            </w:tblGrid>
            <w:tr w14:paraId="4EA6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 w:type="dxa"/>
                  <w:noWrap w:val="0"/>
                  <w:vAlign w:val="center"/>
                </w:tcPr>
                <w:p w14:paraId="592D597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序号</w:t>
                  </w:r>
                </w:p>
              </w:tc>
              <w:tc>
                <w:tcPr>
                  <w:tcW w:w="5422" w:type="dxa"/>
                  <w:gridSpan w:val="2"/>
                  <w:noWrap w:val="0"/>
                  <w:vAlign w:val="center"/>
                </w:tcPr>
                <w:p w14:paraId="52F7E0A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监测点位</w:t>
                  </w:r>
                </w:p>
              </w:tc>
              <w:tc>
                <w:tcPr>
                  <w:tcW w:w="1202" w:type="dxa"/>
                  <w:noWrap w:val="0"/>
                  <w:vAlign w:val="center"/>
                </w:tcPr>
                <w:p w14:paraId="4B60499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监测因子</w:t>
                  </w:r>
                </w:p>
              </w:tc>
              <w:tc>
                <w:tcPr>
                  <w:tcW w:w="1200" w:type="dxa"/>
                  <w:noWrap w:val="0"/>
                  <w:vAlign w:val="center"/>
                </w:tcPr>
                <w:p w14:paraId="11B9487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监测频次</w:t>
                  </w:r>
                </w:p>
              </w:tc>
            </w:tr>
            <w:tr w14:paraId="5CB0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560" w:type="dxa"/>
                  <w:noWrap w:val="0"/>
                  <w:vAlign w:val="center"/>
                </w:tcPr>
                <w:p w14:paraId="4806463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1</w:t>
                  </w:r>
                </w:p>
              </w:tc>
              <w:tc>
                <w:tcPr>
                  <w:tcW w:w="2110" w:type="dxa"/>
                  <w:noWrap w:val="0"/>
                  <w:vAlign w:val="center"/>
                </w:tcPr>
                <w:p w14:paraId="27213F8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olor w:val="auto"/>
                      <w:sz w:val="21"/>
                      <w:szCs w:val="21"/>
                      <w:highlight w:val="none"/>
                      <w:lang w:val="en-US" w:eastAsia="zh-CN"/>
                    </w:rPr>
                    <w:t>水洗砂</w:t>
                  </w:r>
                  <w:r>
                    <w:rPr>
                      <w:rFonts w:hint="default" w:ascii="Times New Roman" w:hAnsi="Times New Roman" w:eastAsia="宋体"/>
                      <w:color w:val="auto"/>
                      <w:sz w:val="21"/>
                      <w:szCs w:val="21"/>
                      <w:highlight w:val="none"/>
                      <w:lang w:val="en-US" w:eastAsia="zh-CN"/>
                    </w:rPr>
                    <w:t>生产线</w:t>
                  </w:r>
                </w:p>
              </w:tc>
              <w:tc>
                <w:tcPr>
                  <w:tcW w:w="3312" w:type="dxa"/>
                  <w:noWrap w:val="0"/>
                  <w:vAlign w:val="center"/>
                </w:tcPr>
                <w:p w14:paraId="7FCF774E">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上料</w:t>
                  </w:r>
                </w:p>
              </w:tc>
              <w:tc>
                <w:tcPr>
                  <w:tcW w:w="1202" w:type="dxa"/>
                  <w:noWrap w:val="0"/>
                  <w:vAlign w:val="center"/>
                </w:tcPr>
                <w:p w14:paraId="150BC96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颗粒物</w:t>
                  </w:r>
                </w:p>
              </w:tc>
              <w:tc>
                <w:tcPr>
                  <w:tcW w:w="1200" w:type="dxa"/>
                  <w:noWrap w:val="0"/>
                  <w:vAlign w:val="center"/>
                </w:tcPr>
                <w:p w14:paraId="385D167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1次/年</w:t>
                  </w:r>
                </w:p>
              </w:tc>
            </w:tr>
            <w:tr w14:paraId="1A99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0" w:type="dxa"/>
                  <w:noWrap w:val="0"/>
                  <w:vAlign w:val="center"/>
                </w:tcPr>
                <w:p w14:paraId="7490895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2</w:t>
                  </w:r>
                </w:p>
              </w:tc>
              <w:tc>
                <w:tcPr>
                  <w:tcW w:w="2110" w:type="dxa"/>
                  <w:noWrap w:val="0"/>
                  <w:vAlign w:val="center"/>
                </w:tcPr>
                <w:p w14:paraId="3F1BB65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水稳料</w:t>
                  </w:r>
                  <w:r>
                    <w:rPr>
                      <w:rFonts w:hint="default" w:ascii="Times New Roman" w:hAnsi="Times New Roman" w:eastAsia="宋体" w:cs="Times New Roman"/>
                      <w:color w:val="auto"/>
                      <w:kern w:val="2"/>
                      <w:sz w:val="21"/>
                      <w:szCs w:val="24"/>
                      <w:lang w:val="en-US" w:eastAsia="zh-CN" w:bidi="ar-SA"/>
                    </w:rPr>
                    <w:t>生产线</w:t>
                  </w:r>
                </w:p>
              </w:tc>
              <w:tc>
                <w:tcPr>
                  <w:tcW w:w="3312" w:type="dxa"/>
                  <w:noWrap w:val="0"/>
                  <w:vAlign w:val="center"/>
                </w:tcPr>
                <w:p w14:paraId="08742BE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上料、搅拌机进料废气排放口</w:t>
                  </w:r>
                </w:p>
              </w:tc>
              <w:tc>
                <w:tcPr>
                  <w:tcW w:w="1202" w:type="dxa"/>
                  <w:noWrap w:val="0"/>
                  <w:vAlign w:val="center"/>
                </w:tcPr>
                <w:p w14:paraId="53BD20D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颗粒物</w:t>
                  </w:r>
                </w:p>
              </w:tc>
              <w:tc>
                <w:tcPr>
                  <w:tcW w:w="1200" w:type="dxa"/>
                  <w:noWrap w:val="0"/>
                  <w:vAlign w:val="center"/>
                </w:tcPr>
                <w:p w14:paraId="570AF67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1次/年</w:t>
                  </w:r>
                </w:p>
              </w:tc>
            </w:tr>
            <w:tr w14:paraId="0D91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0" w:type="dxa"/>
                  <w:noWrap w:val="0"/>
                  <w:vAlign w:val="center"/>
                </w:tcPr>
                <w:p w14:paraId="2233E5A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3</w:t>
                  </w:r>
                </w:p>
              </w:tc>
              <w:tc>
                <w:tcPr>
                  <w:tcW w:w="2110" w:type="dxa"/>
                  <w:vMerge w:val="restart"/>
                  <w:noWrap w:val="0"/>
                  <w:vAlign w:val="center"/>
                </w:tcPr>
                <w:p w14:paraId="5C1D430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湿拌砂浆</w:t>
                  </w:r>
                  <w:r>
                    <w:rPr>
                      <w:rFonts w:hint="default" w:ascii="Times New Roman" w:hAnsi="Times New Roman" w:eastAsia="宋体" w:cs="Times New Roman"/>
                      <w:color w:val="auto"/>
                      <w:kern w:val="2"/>
                      <w:sz w:val="21"/>
                      <w:szCs w:val="24"/>
                      <w:lang w:val="en-US" w:eastAsia="zh-CN" w:bidi="ar-SA"/>
                    </w:rPr>
                    <w:t>生产线</w:t>
                  </w:r>
                </w:p>
              </w:tc>
              <w:tc>
                <w:tcPr>
                  <w:tcW w:w="3312" w:type="dxa"/>
                  <w:noWrap w:val="0"/>
                  <w:vAlign w:val="center"/>
                </w:tcPr>
                <w:p w14:paraId="5DE00F4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上料、搅拌机进料废气排放口</w:t>
                  </w:r>
                </w:p>
              </w:tc>
              <w:tc>
                <w:tcPr>
                  <w:tcW w:w="1202" w:type="dxa"/>
                  <w:noWrap w:val="0"/>
                  <w:vAlign w:val="center"/>
                </w:tcPr>
                <w:p w14:paraId="639141B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颗粒物</w:t>
                  </w:r>
                </w:p>
              </w:tc>
              <w:tc>
                <w:tcPr>
                  <w:tcW w:w="1200" w:type="dxa"/>
                  <w:noWrap w:val="0"/>
                  <w:vAlign w:val="center"/>
                </w:tcPr>
                <w:p w14:paraId="642C1C1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1次/年</w:t>
                  </w:r>
                </w:p>
              </w:tc>
            </w:tr>
            <w:tr w14:paraId="63D4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0" w:type="dxa"/>
                  <w:noWrap w:val="0"/>
                  <w:vAlign w:val="center"/>
                </w:tcPr>
                <w:p w14:paraId="1505DC3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4</w:t>
                  </w:r>
                </w:p>
              </w:tc>
              <w:tc>
                <w:tcPr>
                  <w:tcW w:w="2110" w:type="dxa"/>
                  <w:vMerge w:val="continue"/>
                  <w:noWrap w:val="0"/>
                  <w:vAlign w:val="center"/>
                </w:tcPr>
                <w:p w14:paraId="2D49414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lang w:val="en-US" w:eastAsia="zh-CN" w:bidi="ar-SA"/>
                    </w:rPr>
                  </w:pPr>
                </w:p>
              </w:tc>
              <w:tc>
                <w:tcPr>
                  <w:tcW w:w="3312" w:type="dxa"/>
                  <w:noWrap w:val="0"/>
                  <w:vAlign w:val="center"/>
                </w:tcPr>
                <w:p w14:paraId="25992FB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kern w:val="2"/>
                      <w:sz w:val="21"/>
                      <w:szCs w:val="21"/>
                      <w:highlight w:val="none"/>
                      <w:lang w:val="en-US" w:eastAsia="zh-CN" w:bidi="ar-SA"/>
                    </w:rPr>
                  </w:pPr>
                  <w:r>
                    <w:rPr>
                      <w:rFonts w:hint="eastAsia" w:ascii="Times New Roman" w:hAnsi="Times New Roman" w:eastAsia="宋体"/>
                      <w:color w:val="auto"/>
                      <w:sz w:val="21"/>
                      <w:szCs w:val="21"/>
                      <w:highlight w:val="none"/>
                      <w:lang w:val="en-US" w:eastAsia="zh-CN"/>
                    </w:rPr>
                    <w:t>水泥料仓</w:t>
                  </w:r>
                </w:p>
              </w:tc>
              <w:tc>
                <w:tcPr>
                  <w:tcW w:w="1202" w:type="dxa"/>
                  <w:noWrap w:val="0"/>
                  <w:vAlign w:val="center"/>
                </w:tcPr>
                <w:p w14:paraId="48A63D7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颗粒物</w:t>
                  </w:r>
                </w:p>
              </w:tc>
              <w:tc>
                <w:tcPr>
                  <w:tcW w:w="1200" w:type="dxa"/>
                  <w:noWrap w:val="0"/>
                  <w:vAlign w:val="center"/>
                </w:tcPr>
                <w:p w14:paraId="5B0758A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1次/年</w:t>
                  </w:r>
                </w:p>
              </w:tc>
            </w:tr>
            <w:tr w14:paraId="6727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0" w:type="dxa"/>
                  <w:noWrap w:val="0"/>
                  <w:vAlign w:val="center"/>
                </w:tcPr>
                <w:p w14:paraId="217964E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5</w:t>
                  </w:r>
                </w:p>
              </w:tc>
              <w:tc>
                <w:tcPr>
                  <w:tcW w:w="2110" w:type="dxa"/>
                  <w:vMerge w:val="continue"/>
                  <w:noWrap w:val="0"/>
                  <w:vAlign w:val="center"/>
                </w:tcPr>
                <w:p w14:paraId="59C7C21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lang w:val="en-US" w:eastAsia="zh-CN" w:bidi="ar-SA"/>
                    </w:rPr>
                  </w:pPr>
                </w:p>
              </w:tc>
              <w:tc>
                <w:tcPr>
                  <w:tcW w:w="3312" w:type="dxa"/>
                  <w:noWrap w:val="0"/>
                  <w:vAlign w:val="center"/>
                </w:tcPr>
                <w:p w14:paraId="792F896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粉煤灰料仓</w:t>
                  </w:r>
                </w:p>
              </w:tc>
              <w:tc>
                <w:tcPr>
                  <w:tcW w:w="1202" w:type="dxa"/>
                  <w:noWrap w:val="0"/>
                  <w:vAlign w:val="center"/>
                </w:tcPr>
                <w:p w14:paraId="5D0FBFA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颗粒物</w:t>
                  </w:r>
                </w:p>
              </w:tc>
              <w:tc>
                <w:tcPr>
                  <w:tcW w:w="1200" w:type="dxa"/>
                  <w:noWrap w:val="0"/>
                  <w:vAlign w:val="center"/>
                </w:tcPr>
                <w:p w14:paraId="5530983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1次/年</w:t>
                  </w:r>
                </w:p>
              </w:tc>
            </w:tr>
            <w:tr w14:paraId="2C63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0" w:type="dxa"/>
                  <w:noWrap w:val="0"/>
                  <w:vAlign w:val="center"/>
                </w:tcPr>
                <w:p w14:paraId="52B188E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6</w:t>
                  </w:r>
                </w:p>
              </w:tc>
              <w:tc>
                <w:tcPr>
                  <w:tcW w:w="2110" w:type="dxa"/>
                  <w:vMerge w:val="restart"/>
                  <w:noWrap w:val="0"/>
                  <w:vAlign w:val="center"/>
                </w:tcPr>
                <w:p w14:paraId="3F400B0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预制构件生产线</w:t>
                  </w:r>
                </w:p>
              </w:tc>
              <w:tc>
                <w:tcPr>
                  <w:tcW w:w="3312" w:type="dxa"/>
                  <w:noWrap w:val="0"/>
                  <w:vAlign w:val="center"/>
                </w:tcPr>
                <w:p w14:paraId="0ADCB0C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上料、搅拌机进料、焊接</w:t>
                  </w:r>
                  <w:r>
                    <w:rPr>
                      <w:rFonts w:hint="eastAsia"/>
                      <w:color w:val="auto"/>
                      <w:sz w:val="21"/>
                      <w:szCs w:val="21"/>
                      <w:highlight w:val="none"/>
                      <w:lang w:val="en-US" w:eastAsia="zh-CN"/>
                    </w:rPr>
                    <w:t>废气排放口</w:t>
                  </w:r>
                </w:p>
              </w:tc>
              <w:tc>
                <w:tcPr>
                  <w:tcW w:w="1202" w:type="dxa"/>
                  <w:noWrap w:val="0"/>
                  <w:vAlign w:val="center"/>
                </w:tcPr>
                <w:p w14:paraId="0F027CA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颗粒物</w:t>
                  </w:r>
                </w:p>
              </w:tc>
              <w:tc>
                <w:tcPr>
                  <w:tcW w:w="1200" w:type="dxa"/>
                  <w:shd w:val="clear" w:color="auto" w:fill="auto"/>
                  <w:noWrap w:val="0"/>
                  <w:vAlign w:val="center"/>
                </w:tcPr>
                <w:p w14:paraId="1233121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1次/年</w:t>
                  </w:r>
                </w:p>
              </w:tc>
            </w:tr>
            <w:tr w14:paraId="7B8F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0" w:type="dxa"/>
                  <w:noWrap w:val="0"/>
                  <w:vAlign w:val="center"/>
                </w:tcPr>
                <w:p w14:paraId="043C712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7</w:t>
                  </w:r>
                </w:p>
              </w:tc>
              <w:tc>
                <w:tcPr>
                  <w:tcW w:w="2110" w:type="dxa"/>
                  <w:vMerge w:val="continue"/>
                  <w:noWrap w:val="0"/>
                  <w:vAlign w:val="center"/>
                </w:tcPr>
                <w:p w14:paraId="558C942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lang w:val="en-US" w:eastAsia="zh-CN" w:bidi="ar-SA"/>
                    </w:rPr>
                  </w:pPr>
                </w:p>
              </w:tc>
              <w:tc>
                <w:tcPr>
                  <w:tcW w:w="3312" w:type="dxa"/>
                  <w:noWrap w:val="0"/>
                  <w:vAlign w:val="center"/>
                </w:tcPr>
                <w:p w14:paraId="40E487A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水泥料仓</w:t>
                  </w:r>
                </w:p>
              </w:tc>
              <w:tc>
                <w:tcPr>
                  <w:tcW w:w="1202" w:type="dxa"/>
                  <w:noWrap w:val="0"/>
                  <w:vAlign w:val="center"/>
                </w:tcPr>
                <w:p w14:paraId="5ABBA66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颗粒物</w:t>
                  </w:r>
                </w:p>
              </w:tc>
              <w:tc>
                <w:tcPr>
                  <w:tcW w:w="1200" w:type="dxa"/>
                  <w:shd w:val="clear" w:color="auto" w:fill="auto"/>
                  <w:noWrap w:val="0"/>
                  <w:vAlign w:val="center"/>
                </w:tcPr>
                <w:p w14:paraId="4591F01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1次/年</w:t>
                  </w:r>
                </w:p>
              </w:tc>
            </w:tr>
            <w:tr w14:paraId="76C5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0" w:type="dxa"/>
                  <w:noWrap w:val="0"/>
                  <w:vAlign w:val="center"/>
                </w:tcPr>
                <w:p w14:paraId="46CC3BC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8</w:t>
                  </w:r>
                </w:p>
              </w:tc>
              <w:tc>
                <w:tcPr>
                  <w:tcW w:w="2110" w:type="dxa"/>
                  <w:vMerge w:val="continue"/>
                  <w:noWrap w:val="0"/>
                  <w:vAlign w:val="center"/>
                </w:tcPr>
                <w:p w14:paraId="1633182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lang w:val="en-US" w:eastAsia="zh-CN" w:bidi="ar-SA"/>
                    </w:rPr>
                  </w:pPr>
                </w:p>
              </w:tc>
              <w:tc>
                <w:tcPr>
                  <w:tcW w:w="3312" w:type="dxa"/>
                  <w:noWrap w:val="0"/>
                  <w:vAlign w:val="center"/>
                </w:tcPr>
                <w:p w14:paraId="7EB6989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粉煤灰料仓</w:t>
                  </w:r>
                </w:p>
              </w:tc>
              <w:tc>
                <w:tcPr>
                  <w:tcW w:w="1202" w:type="dxa"/>
                  <w:noWrap w:val="0"/>
                  <w:vAlign w:val="center"/>
                </w:tcPr>
                <w:p w14:paraId="367F116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颗粒物</w:t>
                  </w:r>
                </w:p>
              </w:tc>
              <w:tc>
                <w:tcPr>
                  <w:tcW w:w="1200" w:type="dxa"/>
                  <w:shd w:val="clear" w:color="auto" w:fill="auto"/>
                  <w:noWrap w:val="0"/>
                  <w:vAlign w:val="center"/>
                </w:tcPr>
                <w:p w14:paraId="5296E06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1次/年</w:t>
                  </w:r>
                </w:p>
              </w:tc>
            </w:tr>
            <w:tr w14:paraId="3F9F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560" w:type="dxa"/>
                  <w:noWrap w:val="0"/>
                  <w:vAlign w:val="center"/>
                </w:tcPr>
                <w:p w14:paraId="0323D45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9</w:t>
                  </w:r>
                </w:p>
              </w:tc>
              <w:tc>
                <w:tcPr>
                  <w:tcW w:w="5422" w:type="dxa"/>
                  <w:gridSpan w:val="2"/>
                  <w:noWrap w:val="0"/>
                  <w:vAlign w:val="center"/>
                </w:tcPr>
                <w:p w14:paraId="4056FD0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厂界无组织</w:t>
                  </w:r>
                </w:p>
              </w:tc>
              <w:tc>
                <w:tcPr>
                  <w:tcW w:w="1202" w:type="dxa"/>
                  <w:noWrap w:val="0"/>
                  <w:vAlign w:val="center"/>
                </w:tcPr>
                <w:p w14:paraId="4B0344C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颗粒物</w:t>
                  </w:r>
                </w:p>
              </w:tc>
              <w:tc>
                <w:tcPr>
                  <w:tcW w:w="1200" w:type="dxa"/>
                  <w:noWrap w:val="0"/>
                  <w:vAlign w:val="center"/>
                </w:tcPr>
                <w:p w14:paraId="7A7A7BC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1次/年</w:t>
                  </w:r>
                </w:p>
              </w:tc>
            </w:tr>
          </w:tbl>
          <w:p w14:paraId="09329369">
            <w:pPr>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jc w:val="both"/>
              <w:textAlignment w:val="auto"/>
              <w:rPr>
                <w:rFonts w:hint="eastAsia"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rPr>
              <w:t>2.</w:t>
            </w:r>
            <w:r>
              <w:rPr>
                <w:rFonts w:hint="eastAsia" w:ascii="Times New Roman" w:hAnsi="Times New Roman" w:eastAsia="宋体" w:cs="Times New Roman"/>
                <w:b/>
                <w:bCs/>
                <w:color w:val="auto"/>
                <w:sz w:val="24"/>
                <w:szCs w:val="24"/>
                <w:lang w:val="en-US" w:eastAsia="zh-CN"/>
              </w:rPr>
              <w:t>废水</w:t>
            </w:r>
          </w:p>
          <w:p w14:paraId="403E9DDF">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olor w:val="auto"/>
                <w:sz w:val="24"/>
                <w:highlight w:val="none"/>
                <w:lang w:eastAsia="zh-CN"/>
              </w:rPr>
            </w:pPr>
            <w:r>
              <w:rPr>
                <w:rFonts w:hint="eastAsia" w:ascii="Times New Roman" w:hAnsi="Times New Roman" w:eastAsia="宋体" w:cs="宋体"/>
                <w:color w:val="auto"/>
                <w:kern w:val="2"/>
                <w:sz w:val="24"/>
                <w:szCs w:val="24"/>
                <w:highlight w:val="none"/>
                <w:lang w:val="en-US" w:eastAsia="zh-CN" w:bidi="ar-SA"/>
              </w:rPr>
              <w:t>（1）</w:t>
            </w:r>
            <w:r>
              <w:rPr>
                <w:rFonts w:hint="eastAsia" w:ascii="Times New Roman" w:hAnsi="Times New Roman" w:eastAsia="宋体"/>
                <w:color w:val="auto"/>
                <w:sz w:val="24"/>
                <w:highlight w:val="none"/>
                <w:lang w:eastAsia="zh-CN"/>
              </w:rPr>
              <w:t>生活污水</w:t>
            </w:r>
          </w:p>
          <w:p w14:paraId="37DB43EE">
            <w:pPr>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olor w:val="auto"/>
                <w:sz w:val="24"/>
                <w:highlight w:val="none"/>
                <w:lang w:eastAsia="zh-CN"/>
              </w:rPr>
            </w:pPr>
            <w:r>
              <w:rPr>
                <w:rFonts w:hint="eastAsia" w:ascii="Times New Roman" w:hAnsi="Times New Roman" w:eastAsia="宋体" w:cs="Times New Roman"/>
                <w:caps w:val="0"/>
                <w:color w:val="auto"/>
                <w:sz w:val="24"/>
                <w:szCs w:val="24"/>
                <w:highlight w:val="none"/>
                <w:lang w:val="en-US" w:eastAsia="zh-CN"/>
              </w:rPr>
              <w:t>本项目劳动定员</w:t>
            </w:r>
            <w:r>
              <w:rPr>
                <w:rFonts w:hint="eastAsia" w:cs="Times New Roman"/>
                <w:caps w:val="0"/>
                <w:color w:val="auto"/>
                <w:sz w:val="24"/>
                <w:szCs w:val="24"/>
                <w:highlight w:val="none"/>
                <w:lang w:val="en-US" w:eastAsia="zh-CN"/>
              </w:rPr>
              <w:t>21</w:t>
            </w:r>
            <w:r>
              <w:rPr>
                <w:rFonts w:hint="eastAsia" w:ascii="Times New Roman" w:hAnsi="Times New Roman" w:eastAsia="宋体" w:cs="Times New Roman"/>
                <w:caps w:val="0"/>
                <w:color w:val="auto"/>
                <w:sz w:val="24"/>
                <w:szCs w:val="24"/>
                <w:highlight w:val="none"/>
                <w:lang w:val="en-US" w:eastAsia="zh-CN"/>
              </w:rPr>
              <w:t>人，年工作</w:t>
            </w:r>
            <w:r>
              <w:rPr>
                <w:rFonts w:hint="eastAsia" w:cs="Times New Roman"/>
                <w:caps w:val="0"/>
                <w:color w:val="auto"/>
                <w:sz w:val="24"/>
                <w:szCs w:val="24"/>
                <w:highlight w:val="none"/>
                <w:lang w:val="en-US" w:eastAsia="zh-CN"/>
              </w:rPr>
              <w:t>280</w:t>
            </w:r>
            <w:r>
              <w:rPr>
                <w:rFonts w:hint="eastAsia" w:ascii="Times New Roman" w:hAnsi="Times New Roman" w:eastAsia="宋体" w:cs="Times New Roman"/>
                <w:caps w:val="0"/>
                <w:color w:val="auto"/>
                <w:sz w:val="24"/>
                <w:szCs w:val="24"/>
                <w:highlight w:val="none"/>
                <w:lang w:val="en-US" w:eastAsia="zh-CN"/>
              </w:rPr>
              <w:t>d。根据《山西省用水定额 第4部分：居民生活》（DB14/T1049.4-2025），</w:t>
            </w:r>
            <w:r>
              <w:rPr>
                <w:rFonts w:hint="default" w:ascii="Times New Roman" w:hAnsi="Times New Roman" w:eastAsia="宋体" w:cs="Times New Roman"/>
                <w:color w:val="auto"/>
                <w:sz w:val="24"/>
                <w:szCs w:val="24"/>
                <w:lang w:val="en-US" w:eastAsia="zh-CN"/>
              </w:rPr>
              <w:t>职工日常生活用水定额参照农村居民生活集中式供水按</w:t>
            </w:r>
            <w:r>
              <w:rPr>
                <w:rFonts w:hint="eastAsia" w:ascii="Times New Roman" w:hAnsi="Times New Roman" w:eastAsia="宋体" w:cs="Times New Roman"/>
                <w:color w:val="auto"/>
                <w:sz w:val="24"/>
                <w:szCs w:val="24"/>
                <w:lang w:val="en-US" w:eastAsia="zh-CN"/>
              </w:rPr>
              <w:t>100</w:t>
            </w:r>
            <w:r>
              <w:rPr>
                <w:rFonts w:hint="default" w:ascii="Times New Roman" w:hAnsi="Times New Roman" w:eastAsia="宋体" w:cs="Times New Roman"/>
                <w:color w:val="auto"/>
                <w:sz w:val="24"/>
                <w:szCs w:val="24"/>
                <w:lang w:val="en-US" w:eastAsia="zh-CN"/>
              </w:rPr>
              <w:t>L/（p·d）计，则日常生活用水量为</w:t>
            </w:r>
            <w:r>
              <w:rPr>
                <w:rFonts w:hint="eastAsia" w:cs="Times New Roman"/>
                <w:color w:val="auto"/>
                <w:sz w:val="24"/>
                <w:szCs w:val="24"/>
                <w:lang w:val="en-US" w:eastAsia="zh-CN"/>
              </w:rPr>
              <w:t>2.1</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/d（588m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w:t>
            </w:r>
            <w:r>
              <w:rPr>
                <w:rFonts w:hint="eastAsia" w:ascii="Times New Roman" w:hAnsi="Times New Roman" w:eastAsia="宋体"/>
                <w:color w:val="auto"/>
                <w:sz w:val="24"/>
                <w:highlight w:val="none"/>
                <w:lang w:val="en-US" w:eastAsia="zh-CN"/>
              </w:rPr>
              <w:t>本项目生活污水</w:t>
            </w:r>
            <w:r>
              <w:rPr>
                <w:rFonts w:hint="eastAsia" w:ascii="Times New Roman" w:hAnsi="Times New Roman" w:eastAsia="宋体"/>
                <w:color w:val="auto"/>
                <w:sz w:val="24"/>
                <w:highlight w:val="none"/>
                <w:lang w:eastAsia="zh-CN"/>
              </w:rPr>
              <w:t>产生量按用水量的80%计算，则</w:t>
            </w:r>
            <w:r>
              <w:rPr>
                <w:rFonts w:hint="eastAsia" w:ascii="Times New Roman" w:hAnsi="Times New Roman" w:eastAsia="宋体"/>
                <w:color w:val="auto"/>
                <w:sz w:val="24"/>
                <w:highlight w:val="none"/>
                <w:lang w:val="en-US" w:eastAsia="zh-CN"/>
              </w:rPr>
              <w:t>生活污水</w:t>
            </w:r>
            <w:r>
              <w:rPr>
                <w:rFonts w:hint="eastAsia" w:ascii="Times New Roman" w:hAnsi="Times New Roman" w:eastAsia="宋体"/>
                <w:color w:val="auto"/>
                <w:sz w:val="24"/>
                <w:highlight w:val="none"/>
                <w:lang w:eastAsia="zh-CN"/>
              </w:rPr>
              <w:t>产生量为</w:t>
            </w:r>
            <w:r>
              <w:rPr>
                <w:rFonts w:hint="eastAsia"/>
                <w:color w:val="auto"/>
                <w:highlight w:val="none"/>
                <w:lang w:val="en-US" w:eastAsia="zh-CN"/>
              </w:rPr>
              <w:t>1.68</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/d（</w:t>
            </w:r>
            <w:r>
              <w:rPr>
                <w:rFonts w:hint="eastAsia"/>
                <w:color w:val="auto"/>
                <w:highlight w:val="none"/>
                <w:lang w:val="en-US" w:eastAsia="zh-CN"/>
              </w:rPr>
              <w:t>470.4</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/a）</w:t>
            </w:r>
            <w:r>
              <w:rPr>
                <w:rFonts w:hint="eastAsia" w:ascii="Times New Roman" w:hAnsi="Times New Roman" w:eastAsia="宋体"/>
                <w:color w:val="auto"/>
                <w:sz w:val="24"/>
                <w:highlight w:val="none"/>
                <w:lang w:eastAsia="zh-CN"/>
              </w:rPr>
              <w:t>，</w:t>
            </w:r>
            <w:r>
              <w:rPr>
                <w:rFonts w:hint="default" w:ascii="Times New Roman" w:hAnsi="Times New Roman" w:eastAsia="宋体"/>
                <w:color w:val="auto"/>
                <w:sz w:val="24"/>
                <w:highlight w:val="none"/>
                <w:lang w:val="en-US" w:eastAsia="zh-CN"/>
              </w:rPr>
              <w:t>生活污水通过厂区总排口排入市政污水管网进入壶关县第二污水处理厂处理</w:t>
            </w:r>
            <w:r>
              <w:rPr>
                <w:rFonts w:hint="eastAsia" w:ascii="Times New Roman" w:hAnsi="Times New Roman" w:eastAsia="宋体"/>
                <w:color w:val="auto"/>
                <w:sz w:val="24"/>
                <w:highlight w:val="none"/>
                <w:lang w:eastAsia="zh-CN"/>
              </w:rPr>
              <w:t>。</w:t>
            </w:r>
          </w:p>
          <w:p w14:paraId="053D8320">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（2）搅拌机清洗废水</w:t>
            </w:r>
          </w:p>
          <w:p w14:paraId="3ABBFE6C">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aps w:val="0"/>
                <w:color w:val="auto"/>
                <w:sz w:val="24"/>
                <w:szCs w:val="24"/>
                <w:highlight w:val="none"/>
                <w:lang w:val="en-US" w:eastAsia="zh-CN"/>
              </w:rPr>
            </w:pPr>
            <w:r>
              <w:rPr>
                <w:rFonts w:hint="eastAsia" w:ascii="Times New Roman" w:hAnsi="Times New Roman" w:eastAsia="宋体" w:cs="Times New Roman"/>
                <w:caps w:val="0"/>
                <w:color w:val="auto"/>
                <w:kern w:val="2"/>
                <w:sz w:val="24"/>
                <w:szCs w:val="24"/>
                <w:highlight w:val="none"/>
                <w:lang w:val="en-US" w:eastAsia="zh-CN" w:bidi="ar-SA"/>
              </w:rPr>
              <w:t>搅拌机在暂时停止生产时必须清洗干净，以防止机内混凝土结块。本项目设3台搅拌机，按每台每天清洗1次，按每次每台用水1.5m</w:t>
            </w:r>
            <w:r>
              <w:rPr>
                <w:rFonts w:hint="eastAsia" w:ascii="Times New Roman" w:hAnsi="Times New Roman" w:eastAsia="宋体" w:cs="Times New Roman"/>
                <w:caps w:val="0"/>
                <w:color w:val="auto"/>
                <w:kern w:val="2"/>
                <w:sz w:val="24"/>
                <w:szCs w:val="24"/>
                <w:highlight w:val="none"/>
                <w:vertAlign w:val="superscript"/>
                <w:lang w:val="en-US" w:eastAsia="zh-CN" w:bidi="ar-SA"/>
              </w:rPr>
              <w:t>3</w:t>
            </w:r>
            <w:r>
              <w:rPr>
                <w:rFonts w:hint="eastAsia" w:ascii="Times New Roman" w:hAnsi="Times New Roman" w:eastAsia="宋体" w:cs="Times New Roman"/>
                <w:caps w:val="0"/>
                <w:color w:val="auto"/>
                <w:kern w:val="2"/>
                <w:sz w:val="24"/>
                <w:szCs w:val="24"/>
                <w:highlight w:val="none"/>
                <w:lang w:val="en-US" w:eastAsia="zh-CN" w:bidi="ar-SA"/>
              </w:rPr>
              <w:t>计，则设备清洗用水量为4.5m</w:t>
            </w:r>
            <w:r>
              <w:rPr>
                <w:rFonts w:hint="eastAsia" w:ascii="Times New Roman" w:hAnsi="Times New Roman" w:eastAsia="宋体" w:cs="Times New Roman"/>
                <w:caps w:val="0"/>
                <w:color w:val="auto"/>
                <w:kern w:val="2"/>
                <w:sz w:val="24"/>
                <w:szCs w:val="24"/>
                <w:highlight w:val="none"/>
                <w:vertAlign w:val="superscript"/>
                <w:lang w:val="en-US" w:eastAsia="zh-CN" w:bidi="ar-SA"/>
              </w:rPr>
              <w:t>3</w:t>
            </w:r>
            <w:r>
              <w:rPr>
                <w:rFonts w:hint="eastAsia" w:ascii="Times New Roman" w:hAnsi="Times New Roman" w:eastAsia="宋体" w:cs="Times New Roman"/>
                <w:caps w:val="0"/>
                <w:color w:val="auto"/>
                <w:kern w:val="2"/>
                <w:sz w:val="24"/>
                <w:szCs w:val="24"/>
                <w:highlight w:val="none"/>
                <w:lang w:val="en-US" w:eastAsia="zh-CN" w:bidi="ar-SA"/>
              </w:rPr>
              <w:t>/d，</w:t>
            </w:r>
            <w:r>
              <w:rPr>
                <w:rFonts w:hint="eastAsia" w:cs="Times New Roman"/>
                <w:caps w:val="0"/>
                <w:color w:val="auto"/>
                <w:kern w:val="2"/>
                <w:sz w:val="24"/>
                <w:szCs w:val="24"/>
                <w:highlight w:val="none"/>
                <w:lang w:val="en-US" w:eastAsia="zh-CN" w:bidi="ar-SA"/>
              </w:rPr>
              <w:t>1260</w:t>
            </w:r>
            <w:r>
              <w:rPr>
                <w:rFonts w:hint="eastAsia" w:ascii="Times New Roman" w:hAnsi="Times New Roman" w:eastAsia="宋体" w:cs="Times New Roman"/>
                <w:caps w:val="0"/>
                <w:color w:val="auto"/>
                <w:kern w:val="2"/>
                <w:sz w:val="24"/>
                <w:szCs w:val="24"/>
                <w:highlight w:val="none"/>
                <w:lang w:val="en-US" w:eastAsia="zh-CN" w:bidi="ar-SA"/>
              </w:rPr>
              <w:t>m</w:t>
            </w:r>
            <w:r>
              <w:rPr>
                <w:rFonts w:hint="eastAsia" w:ascii="Times New Roman" w:hAnsi="Times New Roman" w:eastAsia="宋体" w:cs="Times New Roman"/>
                <w:caps w:val="0"/>
                <w:color w:val="auto"/>
                <w:kern w:val="2"/>
                <w:sz w:val="24"/>
                <w:szCs w:val="24"/>
                <w:highlight w:val="none"/>
                <w:vertAlign w:val="superscript"/>
                <w:lang w:val="en-US" w:eastAsia="zh-CN" w:bidi="ar-SA"/>
              </w:rPr>
              <w:t>3</w:t>
            </w:r>
            <w:r>
              <w:rPr>
                <w:rFonts w:hint="eastAsia" w:ascii="Times New Roman" w:hAnsi="Times New Roman" w:eastAsia="宋体" w:cs="Times New Roman"/>
                <w:caps w:val="0"/>
                <w:color w:val="auto"/>
                <w:kern w:val="2"/>
                <w:sz w:val="24"/>
                <w:szCs w:val="24"/>
                <w:highlight w:val="none"/>
                <w:lang w:val="en-US" w:eastAsia="zh-CN" w:bidi="ar-SA"/>
              </w:rPr>
              <w:t>/a。</w:t>
            </w:r>
            <w:r>
              <w:rPr>
                <w:rFonts w:hint="eastAsia" w:ascii="Times New Roman" w:hAnsi="Times New Roman" w:eastAsia="宋体" w:cs="Times New Roman"/>
                <w:caps w:val="0"/>
                <w:color w:val="auto"/>
                <w:sz w:val="24"/>
                <w:szCs w:val="24"/>
                <w:highlight w:val="none"/>
                <w:lang w:val="en-US" w:eastAsia="zh-CN"/>
              </w:rPr>
              <w:t>废水产生量按</w:t>
            </w:r>
            <w:r>
              <w:rPr>
                <w:rFonts w:hint="default" w:ascii="Times New Roman" w:hAnsi="Times New Roman" w:eastAsia="宋体" w:cs="Times New Roman"/>
                <w:caps w:val="0"/>
                <w:color w:val="auto"/>
                <w:sz w:val="24"/>
                <w:szCs w:val="24"/>
                <w:highlight w:val="none"/>
                <w:lang w:val="en-US" w:eastAsia="zh-CN"/>
              </w:rPr>
              <w:t>用水量的80%计算，则</w:t>
            </w:r>
            <w:r>
              <w:rPr>
                <w:rFonts w:hint="eastAsia" w:ascii="Times New Roman" w:hAnsi="Times New Roman" w:eastAsia="宋体" w:cs="Times New Roman"/>
                <w:caps w:val="0"/>
                <w:color w:val="auto"/>
                <w:sz w:val="24"/>
                <w:szCs w:val="24"/>
                <w:highlight w:val="none"/>
                <w:lang w:val="en-US" w:eastAsia="zh-CN"/>
              </w:rPr>
              <w:t>废水产生</w:t>
            </w:r>
            <w:r>
              <w:rPr>
                <w:rFonts w:hint="default" w:ascii="Times New Roman" w:hAnsi="Times New Roman" w:eastAsia="宋体" w:cs="Times New Roman"/>
                <w:caps w:val="0"/>
                <w:color w:val="auto"/>
                <w:sz w:val="24"/>
                <w:szCs w:val="24"/>
                <w:highlight w:val="none"/>
                <w:lang w:val="en-US" w:eastAsia="zh-CN"/>
              </w:rPr>
              <w:t>量为</w:t>
            </w:r>
            <w:r>
              <w:rPr>
                <w:rFonts w:hint="eastAsia" w:ascii="Times New Roman" w:hAnsi="Times New Roman" w:eastAsia="宋体" w:cs="Times New Roman"/>
                <w:caps w:val="0"/>
                <w:color w:val="auto"/>
                <w:sz w:val="24"/>
                <w:szCs w:val="24"/>
                <w:highlight w:val="none"/>
                <w:lang w:val="en-US" w:eastAsia="zh-CN"/>
              </w:rPr>
              <w:t>3.6</w:t>
            </w:r>
            <w:r>
              <w:rPr>
                <w:rFonts w:hint="default" w:ascii="Times New Roman" w:hAnsi="Times New Roman" w:eastAsia="宋体" w:cs="Times New Roman"/>
                <w:caps w:val="0"/>
                <w:color w:val="auto"/>
                <w:sz w:val="24"/>
                <w:szCs w:val="24"/>
                <w:highlight w:val="none"/>
                <w:lang w:val="en-US" w:eastAsia="zh-CN"/>
              </w:rPr>
              <w:t>m</w:t>
            </w:r>
            <w:r>
              <w:rPr>
                <w:rFonts w:hint="default" w:ascii="Times New Roman" w:hAnsi="Times New Roman" w:eastAsia="宋体" w:cs="Times New Roman"/>
                <w:caps w:val="0"/>
                <w:color w:val="auto"/>
                <w:sz w:val="24"/>
                <w:szCs w:val="24"/>
                <w:highlight w:val="none"/>
                <w:vertAlign w:val="superscript"/>
                <w:lang w:val="en-US" w:eastAsia="zh-CN"/>
              </w:rPr>
              <w:t>3</w:t>
            </w:r>
            <w:r>
              <w:rPr>
                <w:rFonts w:hint="default" w:ascii="Times New Roman" w:hAnsi="Times New Roman" w:eastAsia="宋体" w:cs="Times New Roman"/>
                <w:caps w:val="0"/>
                <w:color w:val="auto"/>
                <w:sz w:val="24"/>
                <w:szCs w:val="24"/>
                <w:highlight w:val="none"/>
                <w:lang w:val="en-US" w:eastAsia="zh-CN"/>
              </w:rPr>
              <w:t>/d（</w:t>
            </w:r>
            <w:r>
              <w:rPr>
                <w:rFonts w:hint="eastAsia" w:cs="Times New Roman"/>
                <w:caps w:val="0"/>
                <w:color w:val="auto"/>
                <w:sz w:val="24"/>
                <w:szCs w:val="24"/>
                <w:highlight w:val="none"/>
                <w:lang w:val="en-US" w:eastAsia="zh-CN"/>
              </w:rPr>
              <w:t>1008</w:t>
            </w:r>
            <w:r>
              <w:rPr>
                <w:rFonts w:hint="default" w:ascii="Times New Roman" w:hAnsi="Times New Roman" w:eastAsia="宋体" w:cs="Times New Roman"/>
                <w:caps w:val="0"/>
                <w:color w:val="auto"/>
                <w:sz w:val="24"/>
                <w:szCs w:val="24"/>
                <w:highlight w:val="none"/>
                <w:lang w:val="en-US" w:eastAsia="zh-CN"/>
              </w:rPr>
              <w:t>m</w:t>
            </w:r>
            <w:r>
              <w:rPr>
                <w:rFonts w:hint="default" w:ascii="Times New Roman" w:hAnsi="Times New Roman" w:eastAsia="宋体" w:cs="Times New Roman"/>
                <w:caps w:val="0"/>
                <w:color w:val="auto"/>
                <w:sz w:val="24"/>
                <w:szCs w:val="24"/>
                <w:highlight w:val="none"/>
                <w:vertAlign w:val="superscript"/>
                <w:lang w:val="en-US" w:eastAsia="zh-CN"/>
              </w:rPr>
              <w:t>3</w:t>
            </w:r>
            <w:r>
              <w:rPr>
                <w:rFonts w:hint="default" w:ascii="Times New Roman" w:hAnsi="Times New Roman" w:eastAsia="宋体" w:cs="Times New Roman"/>
                <w:caps w:val="0"/>
                <w:color w:val="auto"/>
                <w:sz w:val="24"/>
                <w:szCs w:val="24"/>
                <w:highlight w:val="none"/>
                <w:lang w:val="en-US" w:eastAsia="zh-CN"/>
              </w:rPr>
              <w:t>/a），</w:t>
            </w:r>
            <w:r>
              <w:rPr>
                <w:rFonts w:hint="eastAsia" w:ascii="Times New Roman" w:hAnsi="Times New Roman" w:eastAsia="宋体" w:cs="Times New Roman"/>
                <w:caps w:val="0"/>
                <w:color w:val="auto"/>
                <w:sz w:val="24"/>
                <w:szCs w:val="24"/>
                <w:highlight w:val="none"/>
                <w:lang w:val="en-US" w:eastAsia="zh-CN"/>
              </w:rPr>
              <w:t>搅拌机清洗废水</w:t>
            </w:r>
            <w:r>
              <w:rPr>
                <w:rFonts w:hint="default" w:ascii="Times New Roman" w:hAnsi="Times New Roman" w:eastAsia="宋体" w:cs="Times New Roman"/>
                <w:caps w:val="0"/>
                <w:color w:val="auto"/>
                <w:sz w:val="24"/>
                <w:szCs w:val="24"/>
                <w:highlight w:val="none"/>
                <w:lang w:val="en-US" w:eastAsia="zh-CN"/>
              </w:rPr>
              <w:t>处理后进入</w:t>
            </w:r>
            <w:r>
              <w:rPr>
                <w:rFonts w:hint="eastAsia" w:cs="Times New Roman"/>
                <w:caps w:val="0"/>
                <w:color w:val="auto"/>
                <w:sz w:val="24"/>
                <w:szCs w:val="24"/>
                <w:highlight w:val="none"/>
                <w:lang w:val="en-US" w:eastAsia="zh-CN"/>
              </w:rPr>
              <w:t>集水罐</w:t>
            </w:r>
            <w:r>
              <w:rPr>
                <w:rFonts w:hint="eastAsia" w:ascii="Times New Roman" w:hAnsi="Times New Roman" w:eastAsia="宋体" w:cs="Times New Roman"/>
                <w:caps w:val="0"/>
                <w:color w:val="auto"/>
                <w:sz w:val="24"/>
                <w:szCs w:val="24"/>
                <w:highlight w:val="none"/>
                <w:lang w:val="en-US" w:eastAsia="zh-CN"/>
              </w:rPr>
              <w:t>（高9m，直径6m），经</w:t>
            </w:r>
            <w:r>
              <w:rPr>
                <w:rFonts w:hint="default" w:ascii="Times New Roman" w:hAnsi="Times New Roman" w:eastAsia="宋体" w:cs="Times New Roman"/>
                <w:caps w:val="0"/>
                <w:color w:val="auto"/>
                <w:sz w:val="24"/>
                <w:szCs w:val="24"/>
                <w:highlight w:val="none"/>
                <w:lang w:val="en-US" w:eastAsia="zh-CN"/>
              </w:rPr>
              <w:t>沉淀</w:t>
            </w:r>
            <w:r>
              <w:rPr>
                <w:rFonts w:hint="eastAsia" w:cs="Times New Roman"/>
                <w:caps w:val="0"/>
                <w:color w:val="auto"/>
                <w:sz w:val="24"/>
                <w:szCs w:val="24"/>
                <w:highlight w:val="none"/>
                <w:lang w:val="en-US" w:eastAsia="zh-CN"/>
              </w:rPr>
              <w:t>处理</w:t>
            </w:r>
            <w:r>
              <w:rPr>
                <w:rFonts w:hint="default" w:ascii="Times New Roman" w:hAnsi="Times New Roman" w:eastAsia="宋体" w:cs="Times New Roman"/>
                <w:caps w:val="0"/>
                <w:color w:val="auto"/>
                <w:sz w:val="24"/>
                <w:szCs w:val="24"/>
                <w:highlight w:val="none"/>
                <w:lang w:val="en-US" w:eastAsia="zh-CN"/>
              </w:rPr>
              <w:t>后回用于</w:t>
            </w:r>
            <w:r>
              <w:rPr>
                <w:rFonts w:hint="eastAsia" w:ascii="Times New Roman" w:hAnsi="Times New Roman" w:eastAsia="宋体" w:cs="Times New Roman"/>
                <w:caps w:val="0"/>
                <w:color w:val="auto"/>
                <w:sz w:val="24"/>
                <w:szCs w:val="24"/>
                <w:highlight w:val="none"/>
                <w:lang w:val="en-US" w:eastAsia="zh-CN"/>
              </w:rPr>
              <w:t>生产。</w:t>
            </w:r>
          </w:p>
          <w:p w14:paraId="4244B55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olor w:val="auto"/>
                <w:kern w:val="0"/>
                <w:sz w:val="24"/>
                <w:lang w:val="en-US" w:eastAsia="zh-CN"/>
              </w:rPr>
            </w:pPr>
            <w:r>
              <w:rPr>
                <w:rFonts w:hint="eastAsia" w:ascii="Times New Roman" w:hAnsi="Times New Roman" w:eastAsia="宋体"/>
                <w:color w:val="auto"/>
                <w:kern w:val="0"/>
                <w:sz w:val="24"/>
                <w:lang w:eastAsia="zh-CN"/>
              </w:rPr>
              <w:t>（</w:t>
            </w:r>
            <w:r>
              <w:rPr>
                <w:rFonts w:hint="eastAsia" w:ascii="Times New Roman" w:hAnsi="Times New Roman" w:eastAsia="宋体"/>
                <w:color w:val="auto"/>
                <w:kern w:val="0"/>
                <w:sz w:val="24"/>
                <w:lang w:val="en-US" w:eastAsia="zh-CN"/>
              </w:rPr>
              <w:t>3</w:t>
            </w:r>
            <w:r>
              <w:rPr>
                <w:rFonts w:hint="eastAsia" w:ascii="Times New Roman" w:hAnsi="Times New Roman" w:eastAsia="宋体"/>
                <w:color w:val="auto"/>
                <w:kern w:val="0"/>
                <w:sz w:val="24"/>
                <w:lang w:eastAsia="zh-CN"/>
              </w:rPr>
              <w:t>）</w:t>
            </w:r>
            <w:r>
              <w:rPr>
                <w:rFonts w:hint="eastAsia" w:ascii="Times New Roman" w:hAnsi="Times New Roman" w:eastAsia="宋体"/>
                <w:color w:val="auto"/>
                <w:kern w:val="0"/>
                <w:sz w:val="24"/>
                <w:lang w:val="en-US" w:eastAsia="zh-CN"/>
              </w:rPr>
              <w:t>洗砂废水</w:t>
            </w:r>
          </w:p>
          <w:p w14:paraId="4961D3BA">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eastAsia="zh-CN"/>
              </w:rPr>
              <w:t>本项目</w:t>
            </w:r>
            <w:r>
              <w:rPr>
                <w:rFonts w:hint="eastAsia" w:ascii="Times New Roman" w:hAnsi="Times New Roman" w:eastAsia="宋体"/>
                <w:color w:val="auto"/>
                <w:sz w:val="24"/>
                <w:highlight w:val="none"/>
                <w:lang w:val="en-US" w:eastAsia="zh-CN"/>
              </w:rPr>
              <w:t>水洗砂产量50万t/a，根据建设单位提供的资料，洗砂用水量约1920m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lang w:val="en-US" w:eastAsia="zh-CN"/>
              </w:rPr>
              <w:t>/d</w:t>
            </w:r>
            <w:r>
              <w:rPr>
                <w:rFonts w:hint="eastAsia"/>
                <w:color w:val="auto"/>
                <w:highlight w:val="none"/>
                <w:lang w:val="en-US" w:eastAsia="zh-CN"/>
              </w:rPr>
              <w:t>（537600m</w:t>
            </w:r>
            <w:r>
              <w:rPr>
                <w:rFonts w:hint="eastAsia"/>
                <w:color w:val="auto"/>
                <w:highlight w:val="none"/>
                <w:vertAlign w:val="superscript"/>
                <w:lang w:val="en-US" w:eastAsia="zh-CN"/>
              </w:rPr>
              <w:t>3</w:t>
            </w:r>
            <w:r>
              <w:rPr>
                <w:rFonts w:hint="eastAsia"/>
                <w:color w:val="auto"/>
                <w:highlight w:val="none"/>
                <w:lang w:val="en-US" w:eastAsia="zh-CN"/>
              </w:rPr>
              <w:t>/a）</w:t>
            </w:r>
            <w:r>
              <w:rPr>
                <w:rFonts w:hint="eastAsia" w:ascii="Times New Roman" w:hAnsi="Times New Roman" w:eastAsia="宋体"/>
                <w:color w:val="auto"/>
                <w:sz w:val="24"/>
                <w:highlight w:val="none"/>
                <w:lang w:val="en-US" w:eastAsia="zh-CN"/>
              </w:rPr>
              <w:t>。经脱水筛脱水后的成品砂含水率为</w:t>
            </w:r>
            <w:r>
              <w:rPr>
                <w:rFonts w:hint="eastAsia"/>
                <w:color w:val="auto"/>
                <w:sz w:val="24"/>
                <w:highlight w:val="none"/>
                <w:lang w:val="en-US" w:eastAsia="zh-CN"/>
              </w:rPr>
              <w:t>5</w:t>
            </w:r>
            <w:r>
              <w:rPr>
                <w:rFonts w:hint="eastAsia" w:ascii="Times New Roman" w:hAnsi="Times New Roman" w:eastAsia="宋体"/>
                <w:color w:val="auto"/>
                <w:sz w:val="24"/>
                <w:highlight w:val="none"/>
                <w:lang w:val="en-US" w:eastAsia="zh-CN"/>
              </w:rPr>
              <w:t>%左右，含水率按</w:t>
            </w:r>
            <w:r>
              <w:rPr>
                <w:rFonts w:hint="eastAsia"/>
                <w:color w:val="auto"/>
                <w:sz w:val="24"/>
                <w:highlight w:val="none"/>
                <w:lang w:val="en-US" w:eastAsia="zh-CN"/>
              </w:rPr>
              <w:t>5</w:t>
            </w:r>
            <w:r>
              <w:rPr>
                <w:rFonts w:hint="eastAsia" w:ascii="Times New Roman" w:hAnsi="Times New Roman" w:eastAsia="宋体"/>
                <w:color w:val="auto"/>
                <w:sz w:val="24"/>
                <w:highlight w:val="none"/>
                <w:lang w:val="en-US" w:eastAsia="zh-CN"/>
              </w:rPr>
              <w:t>%计算，则由成品砂带走的水分含量为</w:t>
            </w:r>
            <w:r>
              <w:rPr>
                <w:rFonts w:hint="eastAsia"/>
                <w:color w:val="auto"/>
                <w:sz w:val="24"/>
                <w:highlight w:val="none"/>
                <w:lang w:val="en-US" w:eastAsia="zh-CN"/>
              </w:rPr>
              <w:t>96</w:t>
            </w:r>
            <w:r>
              <w:rPr>
                <w:rFonts w:hint="eastAsia" w:ascii="Times New Roman" w:hAnsi="Times New Roman" w:eastAsia="宋体"/>
                <w:color w:val="auto"/>
                <w:sz w:val="24"/>
                <w:highlight w:val="none"/>
                <w:lang w:val="en-US" w:eastAsia="zh-CN"/>
              </w:rPr>
              <w:t>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lang w:val="en-US" w:eastAsia="zh-CN"/>
              </w:rPr>
              <w:t>/d</w:t>
            </w:r>
            <w:r>
              <w:rPr>
                <w:rFonts w:hint="eastAsia"/>
                <w:color w:val="auto"/>
                <w:highlight w:val="none"/>
                <w:lang w:val="en-US" w:eastAsia="zh-CN"/>
              </w:rPr>
              <w:t>（26880m</w:t>
            </w:r>
            <w:r>
              <w:rPr>
                <w:rFonts w:hint="eastAsia"/>
                <w:color w:val="auto"/>
                <w:highlight w:val="none"/>
                <w:vertAlign w:val="superscript"/>
                <w:lang w:val="en-US" w:eastAsia="zh-CN"/>
              </w:rPr>
              <w:t>3</w:t>
            </w:r>
            <w:r>
              <w:rPr>
                <w:rFonts w:hint="eastAsia"/>
                <w:color w:val="auto"/>
                <w:highlight w:val="none"/>
                <w:lang w:val="en-US" w:eastAsia="zh-CN"/>
              </w:rPr>
              <w:t>/a）</w:t>
            </w:r>
            <w:r>
              <w:rPr>
                <w:rFonts w:hint="eastAsia" w:ascii="Times New Roman" w:hAnsi="Times New Roman" w:eastAsia="宋体"/>
                <w:color w:val="auto"/>
                <w:sz w:val="24"/>
                <w:highlight w:val="none"/>
                <w:lang w:val="en-US" w:eastAsia="zh-CN"/>
              </w:rPr>
              <w:t>，剩余的1</w:t>
            </w:r>
            <w:r>
              <w:rPr>
                <w:rFonts w:hint="eastAsia"/>
                <w:color w:val="auto"/>
                <w:sz w:val="24"/>
                <w:highlight w:val="none"/>
                <w:lang w:val="en-US" w:eastAsia="zh-CN"/>
              </w:rPr>
              <w:t>824</w:t>
            </w:r>
            <w:r>
              <w:rPr>
                <w:rFonts w:hint="eastAsia" w:ascii="Times New Roman" w:hAnsi="Times New Roman" w:eastAsia="宋体"/>
                <w:color w:val="auto"/>
                <w:sz w:val="24"/>
                <w:highlight w:val="none"/>
                <w:lang w:val="en-US" w:eastAsia="zh-CN"/>
              </w:rPr>
              <w:t>m</w:t>
            </w:r>
            <w:r>
              <w:rPr>
                <w:rFonts w:hint="eastAsia" w:ascii="Times New Roman" w:hAnsi="Times New Roman" w:eastAsia="宋体"/>
                <w:color w:val="auto"/>
                <w:sz w:val="24"/>
                <w:highlight w:val="none"/>
                <w:vertAlign w:val="superscript"/>
                <w:lang w:val="en-US" w:eastAsia="zh-CN"/>
              </w:rPr>
              <w:t>3</w:t>
            </w:r>
            <w:r>
              <w:rPr>
                <w:rFonts w:hint="eastAsia" w:ascii="Times New Roman" w:hAnsi="Times New Roman" w:eastAsia="宋体"/>
                <w:color w:val="auto"/>
                <w:sz w:val="24"/>
                <w:highlight w:val="none"/>
                <w:lang w:val="en-US" w:eastAsia="zh-CN"/>
              </w:rPr>
              <w:t>/d</w:t>
            </w:r>
            <w:r>
              <w:rPr>
                <w:rFonts w:hint="eastAsia"/>
                <w:color w:val="auto"/>
                <w:highlight w:val="none"/>
                <w:lang w:val="en-US" w:eastAsia="zh-CN"/>
              </w:rPr>
              <w:t>（510720m</w:t>
            </w:r>
            <w:r>
              <w:rPr>
                <w:rFonts w:hint="eastAsia"/>
                <w:color w:val="auto"/>
                <w:highlight w:val="none"/>
                <w:vertAlign w:val="superscript"/>
                <w:lang w:val="en-US" w:eastAsia="zh-CN"/>
              </w:rPr>
              <w:t>3</w:t>
            </w:r>
            <w:r>
              <w:rPr>
                <w:rFonts w:hint="eastAsia"/>
                <w:color w:val="auto"/>
                <w:highlight w:val="none"/>
                <w:lang w:val="en-US" w:eastAsia="zh-CN"/>
              </w:rPr>
              <w:t>/a）</w:t>
            </w:r>
            <w:r>
              <w:rPr>
                <w:rFonts w:hint="eastAsia" w:ascii="Times New Roman" w:hAnsi="Times New Roman" w:eastAsia="宋体"/>
                <w:color w:val="auto"/>
                <w:sz w:val="24"/>
                <w:highlight w:val="none"/>
                <w:lang w:val="en-US" w:eastAsia="zh-CN"/>
              </w:rPr>
              <w:t>经</w:t>
            </w:r>
            <w:r>
              <w:rPr>
                <w:rFonts w:hint="eastAsia"/>
                <w:color w:val="auto"/>
                <w:sz w:val="24"/>
                <w:highlight w:val="none"/>
                <w:lang w:val="en-US" w:eastAsia="zh-CN"/>
              </w:rPr>
              <w:t>集水罐</w:t>
            </w:r>
            <w:r>
              <w:rPr>
                <w:rFonts w:hint="eastAsia" w:ascii="Times New Roman" w:hAnsi="Times New Roman" w:eastAsia="宋体"/>
                <w:color w:val="auto"/>
                <w:sz w:val="24"/>
                <w:highlight w:val="none"/>
                <w:lang w:val="en-US" w:eastAsia="zh-CN"/>
              </w:rPr>
              <w:t>（高9m，直径6m）沉淀</w:t>
            </w:r>
            <w:r>
              <w:rPr>
                <w:rFonts w:hint="eastAsia"/>
                <w:color w:val="auto"/>
                <w:sz w:val="24"/>
                <w:highlight w:val="none"/>
                <w:lang w:val="en-US" w:eastAsia="zh-CN"/>
              </w:rPr>
              <w:t>处理</w:t>
            </w:r>
            <w:r>
              <w:rPr>
                <w:rFonts w:hint="eastAsia" w:ascii="Times New Roman" w:hAnsi="Times New Roman" w:eastAsia="宋体"/>
                <w:color w:val="auto"/>
                <w:sz w:val="24"/>
                <w:highlight w:val="none"/>
                <w:lang w:val="en-US" w:eastAsia="zh-CN"/>
              </w:rPr>
              <w:t>后</w:t>
            </w:r>
            <w:r>
              <w:rPr>
                <w:rFonts w:hint="default" w:ascii="Times New Roman" w:hAnsi="Times New Roman" w:eastAsia="宋体"/>
                <w:color w:val="auto"/>
                <w:sz w:val="24"/>
                <w:highlight w:val="none"/>
                <w:lang w:val="en-US" w:eastAsia="zh-CN"/>
              </w:rPr>
              <w:t>，上清液</w:t>
            </w:r>
            <w:r>
              <w:rPr>
                <w:rFonts w:hint="eastAsia" w:ascii="Times New Roman" w:hAnsi="Times New Roman" w:eastAsia="宋体"/>
                <w:color w:val="auto"/>
                <w:sz w:val="24"/>
                <w:highlight w:val="none"/>
                <w:lang w:val="en-US" w:eastAsia="zh-CN"/>
              </w:rPr>
              <w:t>泵</w:t>
            </w:r>
            <w:r>
              <w:rPr>
                <w:rFonts w:hint="default" w:ascii="Times New Roman" w:hAnsi="Times New Roman" w:eastAsia="宋体"/>
                <w:color w:val="auto"/>
                <w:sz w:val="24"/>
                <w:highlight w:val="none"/>
                <w:lang w:val="en-US" w:eastAsia="zh-CN"/>
              </w:rPr>
              <w:t>入清水</w:t>
            </w:r>
            <w:r>
              <w:rPr>
                <w:rFonts w:hint="eastAsia" w:ascii="Times New Roman" w:hAnsi="Times New Roman" w:eastAsia="宋体"/>
                <w:color w:val="auto"/>
                <w:sz w:val="24"/>
                <w:highlight w:val="none"/>
                <w:lang w:val="en-US" w:eastAsia="zh-CN"/>
              </w:rPr>
              <w:t>罐</w:t>
            </w:r>
            <w:r>
              <w:rPr>
                <w:rFonts w:hint="default" w:ascii="Times New Roman" w:hAnsi="Times New Roman" w:eastAsia="宋体"/>
                <w:color w:val="auto"/>
                <w:sz w:val="24"/>
                <w:highlight w:val="none"/>
                <w:lang w:val="en-US" w:eastAsia="zh-CN"/>
              </w:rPr>
              <w:t>回用洗砂，</w:t>
            </w:r>
            <w:r>
              <w:rPr>
                <w:rFonts w:hint="eastAsia" w:ascii="Times New Roman" w:hAnsi="Times New Roman" w:eastAsia="宋体"/>
                <w:color w:val="auto"/>
                <w:sz w:val="24"/>
                <w:highlight w:val="none"/>
                <w:lang w:val="en-US" w:eastAsia="zh-CN"/>
              </w:rPr>
              <w:t>污</w:t>
            </w:r>
            <w:r>
              <w:rPr>
                <w:rFonts w:hint="default" w:ascii="Times New Roman" w:hAnsi="Times New Roman" w:eastAsia="宋体"/>
                <w:color w:val="auto"/>
                <w:sz w:val="24"/>
                <w:highlight w:val="none"/>
                <w:lang w:val="en-US" w:eastAsia="zh-CN"/>
              </w:rPr>
              <w:t>泥</w:t>
            </w:r>
            <w:r>
              <w:rPr>
                <w:rFonts w:hint="eastAsia" w:ascii="Times New Roman" w:hAnsi="Times New Roman" w:eastAsia="宋体"/>
                <w:color w:val="auto"/>
                <w:sz w:val="24"/>
                <w:highlight w:val="none"/>
                <w:lang w:val="en-US" w:eastAsia="zh-CN"/>
              </w:rPr>
              <w:t>泵入污泥罐，</w:t>
            </w:r>
            <w:r>
              <w:rPr>
                <w:rFonts w:hint="default" w:ascii="Times New Roman" w:hAnsi="Times New Roman" w:eastAsia="宋体"/>
                <w:color w:val="auto"/>
                <w:sz w:val="24"/>
                <w:highlight w:val="none"/>
                <w:lang w:val="en-US" w:eastAsia="zh-CN"/>
              </w:rPr>
              <w:t>经</w:t>
            </w:r>
            <w:r>
              <w:rPr>
                <w:rFonts w:hint="eastAsia"/>
                <w:color w:val="auto"/>
                <w:sz w:val="24"/>
                <w:highlight w:val="none"/>
                <w:lang w:val="en-US" w:eastAsia="zh-CN"/>
              </w:rPr>
              <w:t>隔膜厢式</w:t>
            </w:r>
            <w:r>
              <w:rPr>
                <w:rFonts w:hint="eastAsia" w:ascii="Times New Roman" w:hAnsi="Times New Roman" w:eastAsia="宋体"/>
                <w:color w:val="auto"/>
                <w:sz w:val="24"/>
                <w:highlight w:val="none"/>
                <w:lang w:val="en-US" w:eastAsia="zh-CN"/>
              </w:rPr>
              <w:t>板框压滤机</w:t>
            </w:r>
            <w:r>
              <w:rPr>
                <w:rFonts w:hint="default" w:ascii="Times New Roman" w:hAnsi="Times New Roman" w:eastAsia="宋体"/>
                <w:color w:val="auto"/>
                <w:sz w:val="24"/>
                <w:highlight w:val="none"/>
                <w:lang w:val="en-US" w:eastAsia="zh-CN"/>
              </w:rPr>
              <w:t>压滤后</w:t>
            </w:r>
            <w:r>
              <w:rPr>
                <w:rFonts w:hint="eastAsia" w:ascii="Times New Roman" w:hAnsi="Times New Roman" w:eastAsia="宋体"/>
                <w:color w:val="auto"/>
                <w:sz w:val="24"/>
                <w:highlight w:val="none"/>
                <w:lang w:val="en-US" w:eastAsia="zh-CN"/>
              </w:rPr>
              <w:t>运送至制砖厂生产使用</w:t>
            </w:r>
            <w:r>
              <w:rPr>
                <w:rFonts w:hint="default" w:ascii="Times New Roman" w:hAnsi="Times New Roman" w:eastAsia="宋体"/>
                <w:color w:val="auto"/>
                <w:sz w:val="24"/>
                <w:highlight w:val="none"/>
                <w:lang w:val="en-US" w:eastAsia="zh-CN"/>
              </w:rPr>
              <w:t>。</w:t>
            </w:r>
          </w:p>
          <w:p w14:paraId="335CC68D">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olor w:val="auto"/>
                <w:sz w:val="24"/>
                <w:highlight w:val="none"/>
                <w:lang w:eastAsia="zh-CN"/>
              </w:rPr>
            </w:pPr>
            <w:r>
              <w:rPr>
                <w:rFonts w:ascii="Times New Roman" w:hAnsi="Times New Roman" w:eastAsia="宋体" w:cs="宋体"/>
                <w:color w:val="auto"/>
                <w:sz w:val="24"/>
                <w:szCs w:val="24"/>
              </w:rPr>
              <w:t>项目细砂回收工序产生的废水全部汇入厂区</w:t>
            </w:r>
            <w:r>
              <w:rPr>
                <w:rFonts w:hint="eastAsia" w:cs="宋体"/>
                <w:color w:val="auto"/>
                <w:sz w:val="24"/>
                <w:szCs w:val="24"/>
                <w:lang w:val="en-US" w:eastAsia="zh-CN"/>
              </w:rPr>
              <w:t>集水罐</w:t>
            </w:r>
            <w:r>
              <w:rPr>
                <w:rFonts w:ascii="Times New Roman" w:hAnsi="Times New Roman" w:eastAsia="宋体" w:cs="宋体"/>
                <w:color w:val="auto"/>
                <w:sz w:val="24"/>
                <w:szCs w:val="24"/>
              </w:rPr>
              <w:t>进行沉淀处理，</w:t>
            </w:r>
            <w:r>
              <w:rPr>
                <w:rFonts w:hint="eastAsia" w:ascii="Times New Roman" w:hAnsi="Times New Roman" w:eastAsia="宋体"/>
                <w:color w:val="auto"/>
                <w:sz w:val="24"/>
                <w:highlight w:val="none"/>
                <w:lang w:val="en-US" w:eastAsia="zh-CN"/>
              </w:rPr>
              <w:t>污</w:t>
            </w:r>
            <w:r>
              <w:rPr>
                <w:rFonts w:hint="default" w:ascii="Times New Roman" w:hAnsi="Times New Roman" w:eastAsia="宋体"/>
                <w:color w:val="auto"/>
                <w:sz w:val="24"/>
                <w:highlight w:val="none"/>
                <w:lang w:val="en-US" w:eastAsia="zh-CN"/>
              </w:rPr>
              <w:t>泥</w:t>
            </w:r>
            <w:r>
              <w:rPr>
                <w:rFonts w:hint="eastAsia" w:ascii="Times New Roman" w:hAnsi="Times New Roman" w:eastAsia="宋体"/>
                <w:color w:val="auto"/>
                <w:sz w:val="24"/>
                <w:highlight w:val="none"/>
                <w:lang w:val="en-US" w:eastAsia="zh-CN"/>
              </w:rPr>
              <w:t>泵入污泥罐，</w:t>
            </w:r>
            <w:r>
              <w:rPr>
                <w:rFonts w:ascii="Times New Roman" w:hAnsi="Times New Roman" w:eastAsia="宋体" w:cs="宋体"/>
                <w:color w:val="auto"/>
                <w:sz w:val="24"/>
                <w:szCs w:val="24"/>
              </w:rPr>
              <w:t>上清液经清水罐储存后回用于洗砂生产等工序</w:t>
            </w:r>
            <w:r>
              <w:rPr>
                <w:rFonts w:hint="eastAsia" w:ascii="Times New Roman" w:hAnsi="Times New Roman" w:eastAsia="宋体" w:cs="宋体"/>
                <w:color w:val="auto"/>
                <w:sz w:val="24"/>
                <w:szCs w:val="24"/>
                <w:lang w:eastAsia="zh-CN"/>
              </w:rPr>
              <w:t>，</w:t>
            </w:r>
            <w:r>
              <w:rPr>
                <w:rFonts w:ascii="Times New Roman" w:hAnsi="Times New Roman" w:eastAsia="宋体" w:cs="宋体"/>
                <w:color w:val="auto"/>
                <w:sz w:val="24"/>
                <w:szCs w:val="24"/>
              </w:rPr>
              <w:t>污泥经板框压滤机脱水</w:t>
            </w:r>
            <w:r>
              <w:rPr>
                <w:rFonts w:hint="eastAsia" w:ascii="Times New Roman" w:hAnsi="Times New Roman" w:eastAsia="宋体" w:cs="宋体"/>
                <w:color w:val="auto"/>
                <w:sz w:val="24"/>
                <w:szCs w:val="24"/>
                <w:lang w:val="en-US" w:eastAsia="zh-CN"/>
              </w:rPr>
              <w:t>后废水回用于洗砂机洗砂</w:t>
            </w:r>
            <w:r>
              <w:rPr>
                <w:rFonts w:ascii="Times New Roman" w:hAnsi="Times New Roman" w:eastAsia="宋体" w:cs="宋体"/>
                <w:color w:val="auto"/>
                <w:sz w:val="24"/>
                <w:szCs w:val="24"/>
              </w:rPr>
              <w:t>，无废水外排</w:t>
            </w:r>
            <w:r>
              <w:rPr>
                <w:rFonts w:hint="eastAsia" w:ascii="Times New Roman" w:hAnsi="Times New Roman" w:eastAsia="宋体" w:cs="宋体"/>
                <w:color w:val="auto"/>
                <w:sz w:val="24"/>
                <w:szCs w:val="24"/>
                <w:lang w:eastAsia="zh-CN"/>
              </w:rPr>
              <w:t>。</w:t>
            </w:r>
            <w:r>
              <w:rPr>
                <w:rFonts w:hint="eastAsia"/>
                <w:color w:val="auto"/>
                <w:highlight w:val="none"/>
                <w:lang w:val="en-US" w:eastAsia="zh-CN"/>
              </w:rPr>
              <w:t>选用隔膜厢式板框压滤机压滤，采用高压隔膜二次压榨，压榨压力 1.2MPa，污泥泥饼含水率可稳定控制在30%，</w:t>
            </w:r>
            <w:r>
              <w:rPr>
                <w:rFonts w:hint="eastAsia" w:ascii="Times New Roman" w:hAnsi="Times New Roman" w:eastAsia="宋体" w:cs="宋体"/>
                <w:color w:val="auto"/>
                <w:sz w:val="24"/>
                <w:szCs w:val="24"/>
              </w:rPr>
              <w:t>压滤后的泥饼不进行贮存，立即运至壶关县鑫融建材有限公司用于生产</w:t>
            </w:r>
            <w:r>
              <w:rPr>
                <w:rFonts w:ascii="Times New Roman" w:hAnsi="Times New Roman" w:eastAsia="宋体" w:cs="宋体"/>
                <w:color w:val="auto"/>
                <w:sz w:val="24"/>
                <w:szCs w:val="24"/>
              </w:rPr>
              <w:t>。</w:t>
            </w:r>
          </w:p>
          <w:p w14:paraId="6BA1995B">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eastAsia="zh-CN"/>
              </w:rPr>
              <w:t>（</w:t>
            </w:r>
            <w:r>
              <w:rPr>
                <w:rFonts w:hint="eastAsia" w:ascii="Times New Roman" w:hAnsi="Times New Roman" w:eastAsia="宋体"/>
                <w:color w:val="auto"/>
                <w:sz w:val="24"/>
                <w:highlight w:val="none"/>
                <w:lang w:val="en-US" w:eastAsia="zh-CN"/>
              </w:rPr>
              <w:t>4</w:t>
            </w:r>
            <w:r>
              <w:rPr>
                <w:rFonts w:hint="eastAsia" w:ascii="Times New Roman" w:hAnsi="Times New Roman" w:eastAsia="宋体"/>
                <w:color w:val="auto"/>
                <w:sz w:val="24"/>
                <w:highlight w:val="none"/>
                <w:lang w:eastAsia="zh-CN"/>
              </w:rPr>
              <w:t>）车辆冲洗</w:t>
            </w:r>
            <w:r>
              <w:rPr>
                <w:rFonts w:hint="eastAsia" w:ascii="Times New Roman" w:hAnsi="Times New Roman" w:eastAsia="宋体"/>
                <w:color w:val="auto"/>
                <w:sz w:val="24"/>
                <w:highlight w:val="none"/>
                <w:lang w:val="en-US" w:eastAsia="zh-CN"/>
              </w:rPr>
              <w:t>废水</w:t>
            </w:r>
          </w:p>
          <w:p w14:paraId="239C3FC0">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olor w:val="auto"/>
                <w:sz w:val="24"/>
                <w:highlight w:val="none"/>
                <w:lang w:eastAsia="zh-CN"/>
              </w:rPr>
              <w:t>洗车平台的车辆冲洗用水总用量为</w:t>
            </w:r>
            <w:r>
              <w:rPr>
                <w:rFonts w:hint="eastAsia"/>
                <w:color w:val="auto"/>
                <w:sz w:val="24"/>
                <w:highlight w:val="none"/>
                <w:lang w:val="en-US" w:eastAsia="zh-CN"/>
              </w:rPr>
              <w:t>8.68</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/d（</w:t>
            </w:r>
            <w:r>
              <w:rPr>
                <w:rFonts w:hint="eastAsia"/>
                <w:color w:val="auto"/>
                <w:highlight w:val="none"/>
                <w:lang w:val="en-US" w:eastAsia="zh-CN"/>
              </w:rPr>
              <w:t>2430.4</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w:t>
            </w:r>
            <w:r>
              <w:rPr>
                <w:rFonts w:hint="eastAsia"/>
                <w:color w:val="auto"/>
                <w:highlight w:val="none"/>
                <w:lang w:val="en-US" w:eastAsia="zh-CN"/>
              </w:rPr>
              <w:t>a</w:t>
            </w:r>
            <w:r>
              <w:rPr>
                <w:rFonts w:hint="eastAsia"/>
                <w:color w:val="auto"/>
                <w:highlight w:val="none"/>
                <w:lang w:eastAsia="zh-CN"/>
              </w:rPr>
              <w:t>）</w:t>
            </w:r>
            <w:r>
              <w:rPr>
                <w:rFonts w:hint="eastAsia" w:ascii="Times New Roman" w:hAnsi="Times New Roman" w:eastAsia="宋体"/>
                <w:color w:val="auto"/>
                <w:sz w:val="24"/>
                <w:highlight w:val="none"/>
                <w:lang w:eastAsia="zh-CN"/>
              </w:rPr>
              <w:t>。</w:t>
            </w:r>
            <w:r>
              <w:rPr>
                <w:rFonts w:hint="eastAsia" w:ascii="Times New Roman" w:hAnsi="Times New Roman" w:eastAsia="宋体"/>
                <w:color w:val="auto"/>
                <w:sz w:val="24"/>
                <w:highlight w:val="none"/>
                <w:lang w:val="en-US" w:eastAsia="zh-CN"/>
              </w:rPr>
              <w:t>洗车废水的产生量按用水量的80%计算，则废水产生量为</w:t>
            </w:r>
            <w:r>
              <w:rPr>
                <w:rFonts w:hint="eastAsia"/>
                <w:color w:val="auto"/>
                <w:highlight w:val="none"/>
                <w:lang w:eastAsia="zh-CN"/>
              </w:rPr>
              <w:t>为</w:t>
            </w:r>
            <w:r>
              <w:rPr>
                <w:rFonts w:hint="eastAsia"/>
                <w:color w:val="auto"/>
                <w:highlight w:val="none"/>
                <w:lang w:val="en-US" w:eastAsia="zh-CN"/>
              </w:rPr>
              <w:t>6.944</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/d（</w:t>
            </w:r>
            <w:r>
              <w:rPr>
                <w:rFonts w:hint="eastAsia"/>
                <w:color w:val="auto"/>
                <w:highlight w:val="none"/>
                <w:lang w:val="en-US" w:eastAsia="zh-CN"/>
              </w:rPr>
              <w:t>1944.32</w:t>
            </w:r>
            <w:r>
              <w:rPr>
                <w:rFonts w:hint="eastAsia"/>
                <w:color w:val="auto"/>
                <w:highlight w:val="none"/>
                <w:lang w:eastAsia="zh-CN"/>
              </w:rPr>
              <w:t>m</w:t>
            </w:r>
            <w:r>
              <w:rPr>
                <w:rFonts w:hint="eastAsia"/>
                <w:color w:val="auto"/>
                <w:highlight w:val="none"/>
                <w:vertAlign w:val="superscript"/>
                <w:lang w:eastAsia="zh-CN"/>
              </w:rPr>
              <w:t>3</w:t>
            </w:r>
            <w:r>
              <w:rPr>
                <w:rFonts w:hint="eastAsia"/>
                <w:color w:val="auto"/>
                <w:highlight w:val="none"/>
                <w:lang w:eastAsia="zh-CN"/>
              </w:rPr>
              <w:t>/</w:t>
            </w:r>
            <w:r>
              <w:rPr>
                <w:rFonts w:hint="eastAsia"/>
                <w:color w:val="auto"/>
                <w:highlight w:val="none"/>
                <w:lang w:val="en-US" w:eastAsia="zh-CN"/>
              </w:rPr>
              <w:t>a</w:t>
            </w:r>
            <w:r>
              <w:rPr>
                <w:rFonts w:hint="eastAsia"/>
                <w:color w:val="auto"/>
                <w:highlight w:val="none"/>
                <w:lang w:eastAsia="zh-CN"/>
              </w:rPr>
              <w:t>）</w:t>
            </w:r>
            <w:r>
              <w:rPr>
                <w:rFonts w:hint="eastAsia" w:ascii="Times New Roman" w:hAnsi="Times New Roman" w:eastAsia="宋体"/>
                <w:color w:val="auto"/>
                <w:sz w:val="24"/>
                <w:highlight w:val="none"/>
                <w:lang w:eastAsia="zh-CN"/>
              </w:rPr>
              <w:t>，</w:t>
            </w:r>
            <w:r>
              <w:rPr>
                <w:rFonts w:hint="eastAsia" w:ascii="Times New Roman" w:hAnsi="Times New Roman" w:eastAsia="宋体"/>
                <w:color w:val="auto"/>
                <w:sz w:val="24"/>
                <w:highlight w:val="none"/>
                <w:lang w:val="en-US" w:eastAsia="zh-CN"/>
              </w:rPr>
              <w:t>本</w:t>
            </w:r>
            <w:r>
              <w:rPr>
                <w:rFonts w:hint="eastAsia" w:ascii="Times New Roman" w:hAnsi="Times New Roman" w:eastAsia="宋体"/>
                <w:color w:val="auto"/>
                <w:sz w:val="24"/>
                <w:highlight w:val="none"/>
                <w:lang w:eastAsia="zh-CN"/>
              </w:rPr>
              <w:t>项目</w:t>
            </w:r>
            <w:r>
              <w:rPr>
                <w:rFonts w:hint="eastAsia" w:ascii="Times New Roman" w:hAnsi="Times New Roman" w:eastAsia="宋体"/>
                <w:color w:val="auto"/>
                <w:sz w:val="24"/>
                <w:highlight w:val="none"/>
                <w:lang w:val="en-US" w:eastAsia="zh-CN"/>
              </w:rPr>
              <w:t>新建</w:t>
            </w:r>
            <w:r>
              <w:rPr>
                <w:rFonts w:hint="eastAsia" w:ascii="Times New Roman" w:hAnsi="Times New Roman" w:eastAsia="宋体"/>
                <w:color w:val="auto"/>
                <w:sz w:val="24"/>
                <w:highlight w:val="none"/>
                <w:lang w:eastAsia="zh-CN"/>
              </w:rPr>
              <w:t>洗车平台（</w:t>
            </w:r>
            <w:r>
              <w:rPr>
                <w:rFonts w:hint="eastAsia" w:ascii="Times New Roman" w:hAnsi="Times New Roman" w:eastAsia="宋体"/>
                <w:color w:val="auto"/>
                <w:sz w:val="24"/>
                <w:highlight w:val="none"/>
                <w:lang w:val="en-US" w:eastAsia="zh-CN"/>
              </w:rPr>
              <w:t>3.2m×2m</w:t>
            </w:r>
            <w:r>
              <w:rPr>
                <w:rFonts w:hint="eastAsia" w:ascii="Times New Roman" w:hAnsi="Times New Roman" w:eastAsia="宋体"/>
                <w:color w:val="auto"/>
                <w:sz w:val="24"/>
                <w:highlight w:val="none"/>
                <w:lang w:eastAsia="zh-CN"/>
              </w:rPr>
              <w:t>）进行车辆清洗，洗车废水经沉淀水池（</w:t>
            </w:r>
            <w:r>
              <w:rPr>
                <w:rFonts w:hint="eastAsia" w:ascii="Times New Roman" w:hAnsi="Times New Roman" w:eastAsia="宋体"/>
                <w:color w:val="auto"/>
                <w:sz w:val="24"/>
                <w:highlight w:val="none"/>
                <w:lang w:val="en-US" w:eastAsia="zh-CN"/>
              </w:rPr>
              <w:t>3</w:t>
            </w:r>
            <w:r>
              <w:rPr>
                <w:rFonts w:hint="eastAsia"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2m</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1m</w:t>
            </w:r>
            <w:r>
              <w:rPr>
                <w:rFonts w:hint="eastAsia" w:ascii="Times New Roman" w:hAnsi="Times New Roman" w:eastAsia="宋体"/>
                <w:color w:val="auto"/>
                <w:sz w:val="24"/>
                <w:highlight w:val="none"/>
                <w:lang w:eastAsia="zh-CN"/>
              </w:rPr>
              <w:t>）沉淀后循环使用。</w:t>
            </w:r>
          </w:p>
          <w:p w14:paraId="03B863C5">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eastAsia="zh-CN"/>
              </w:rPr>
              <w:t>（</w:t>
            </w:r>
            <w:r>
              <w:rPr>
                <w:rFonts w:hint="eastAsia" w:ascii="Times New Roman" w:hAnsi="Times New Roman" w:eastAsia="宋体"/>
                <w:color w:val="auto"/>
                <w:sz w:val="24"/>
                <w:highlight w:val="none"/>
                <w:lang w:val="en-US" w:eastAsia="zh-CN"/>
              </w:rPr>
              <w:t>5</w:t>
            </w:r>
            <w:r>
              <w:rPr>
                <w:rFonts w:hint="eastAsia" w:ascii="Times New Roman" w:hAnsi="Times New Roman" w:eastAsia="宋体"/>
                <w:color w:val="auto"/>
                <w:sz w:val="24"/>
                <w:highlight w:val="none"/>
                <w:lang w:eastAsia="zh-CN"/>
              </w:rPr>
              <w:t>）车辆</w:t>
            </w:r>
            <w:r>
              <w:rPr>
                <w:rFonts w:hint="eastAsia" w:ascii="Times New Roman" w:hAnsi="Times New Roman" w:eastAsia="宋体"/>
                <w:color w:val="auto"/>
                <w:sz w:val="24"/>
                <w:highlight w:val="none"/>
                <w:lang w:val="en-US" w:eastAsia="zh-CN"/>
              </w:rPr>
              <w:t>罐体</w:t>
            </w:r>
            <w:r>
              <w:rPr>
                <w:rFonts w:hint="eastAsia" w:ascii="Times New Roman" w:hAnsi="Times New Roman" w:eastAsia="宋体"/>
                <w:color w:val="auto"/>
                <w:sz w:val="24"/>
                <w:highlight w:val="none"/>
                <w:lang w:eastAsia="zh-CN"/>
              </w:rPr>
              <w:t>冲洗</w:t>
            </w:r>
            <w:r>
              <w:rPr>
                <w:rFonts w:hint="eastAsia" w:ascii="Times New Roman" w:hAnsi="Times New Roman" w:eastAsia="宋体"/>
                <w:color w:val="auto"/>
                <w:sz w:val="24"/>
                <w:highlight w:val="none"/>
                <w:lang w:val="en-US" w:eastAsia="zh-CN"/>
              </w:rPr>
              <w:t>废水</w:t>
            </w:r>
          </w:p>
          <w:p w14:paraId="117D1065">
            <w:pPr>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caps w:val="0"/>
                <w:color w:val="auto"/>
                <w:kern w:val="2"/>
                <w:sz w:val="24"/>
                <w:szCs w:val="24"/>
                <w:highlight w:val="none"/>
                <w:lang w:val="en-US" w:eastAsia="zh-CN" w:bidi="ar-SA"/>
              </w:rPr>
              <w:t>罐车在暂停运输时必须清洗干净，防止车内混凝土结块。本项目设1辆罐车，按每辆每天清洗1次，按每次每辆用水0.5m</w:t>
            </w:r>
            <w:r>
              <w:rPr>
                <w:rFonts w:hint="eastAsia" w:ascii="Times New Roman" w:hAnsi="Times New Roman" w:eastAsia="宋体" w:cs="Times New Roman"/>
                <w:caps w:val="0"/>
                <w:color w:val="auto"/>
                <w:kern w:val="2"/>
                <w:sz w:val="24"/>
                <w:szCs w:val="24"/>
                <w:highlight w:val="none"/>
                <w:vertAlign w:val="superscript"/>
                <w:lang w:val="en-US" w:eastAsia="zh-CN" w:bidi="ar-SA"/>
              </w:rPr>
              <w:t>3</w:t>
            </w:r>
            <w:r>
              <w:rPr>
                <w:rFonts w:hint="eastAsia" w:ascii="Times New Roman" w:hAnsi="Times New Roman" w:eastAsia="宋体" w:cs="Times New Roman"/>
                <w:caps w:val="0"/>
                <w:color w:val="auto"/>
                <w:kern w:val="2"/>
                <w:sz w:val="24"/>
                <w:szCs w:val="24"/>
                <w:highlight w:val="none"/>
                <w:lang w:val="en-US" w:eastAsia="zh-CN" w:bidi="ar-SA"/>
              </w:rPr>
              <w:t>计，则车辆罐体冲洗水量为0.5m</w:t>
            </w:r>
            <w:r>
              <w:rPr>
                <w:rFonts w:hint="eastAsia" w:ascii="Times New Roman" w:hAnsi="Times New Roman" w:eastAsia="宋体" w:cs="Times New Roman"/>
                <w:caps w:val="0"/>
                <w:color w:val="auto"/>
                <w:kern w:val="2"/>
                <w:sz w:val="24"/>
                <w:szCs w:val="24"/>
                <w:highlight w:val="none"/>
                <w:vertAlign w:val="superscript"/>
                <w:lang w:val="en-US" w:eastAsia="zh-CN" w:bidi="ar-SA"/>
              </w:rPr>
              <w:t>3</w:t>
            </w:r>
            <w:r>
              <w:rPr>
                <w:rFonts w:hint="eastAsia" w:ascii="Times New Roman" w:hAnsi="Times New Roman" w:eastAsia="宋体" w:cs="Times New Roman"/>
                <w:caps w:val="0"/>
                <w:color w:val="auto"/>
                <w:kern w:val="2"/>
                <w:sz w:val="24"/>
                <w:szCs w:val="24"/>
                <w:highlight w:val="none"/>
                <w:lang w:val="en-US" w:eastAsia="zh-CN" w:bidi="ar-SA"/>
              </w:rPr>
              <w:t>/d，1</w:t>
            </w:r>
            <w:r>
              <w:rPr>
                <w:rFonts w:hint="eastAsia" w:cs="Times New Roman"/>
                <w:caps w:val="0"/>
                <w:color w:val="auto"/>
                <w:kern w:val="2"/>
                <w:sz w:val="24"/>
                <w:szCs w:val="24"/>
                <w:highlight w:val="none"/>
                <w:lang w:val="en-US" w:eastAsia="zh-CN" w:bidi="ar-SA"/>
              </w:rPr>
              <w:t>40</w:t>
            </w:r>
            <w:r>
              <w:rPr>
                <w:rFonts w:hint="eastAsia" w:ascii="Times New Roman" w:hAnsi="Times New Roman" w:eastAsia="宋体" w:cs="Times New Roman"/>
                <w:caps w:val="0"/>
                <w:color w:val="auto"/>
                <w:kern w:val="2"/>
                <w:sz w:val="24"/>
                <w:szCs w:val="24"/>
                <w:highlight w:val="none"/>
                <w:lang w:val="en-US" w:eastAsia="zh-CN" w:bidi="ar-SA"/>
              </w:rPr>
              <w:t>m</w:t>
            </w:r>
            <w:r>
              <w:rPr>
                <w:rFonts w:hint="eastAsia" w:ascii="Times New Roman" w:hAnsi="Times New Roman" w:eastAsia="宋体" w:cs="Times New Roman"/>
                <w:caps w:val="0"/>
                <w:color w:val="auto"/>
                <w:kern w:val="2"/>
                <w:sz w:val="24"/>
                <w:szCs w:val="24"/>
                <w:highlight w:val="none"/>
                <w:vertAlign w:val="superscript"/>
                <w:lang w:val="en-US" w:eastAsia="zh-CN" w:bidi="ar-SA"/>
              </w:rPr>
              <w:t>3</w:t>
            </w:r>
            <w:r>
              <w:rPr>
                <w:rFonts w:hint="eastAsia" w:ascii="Times New Roman" w:hAnsi="Times New Roman" w:eastAsia="宋体" w:cs="Times New Roman"/>
                <w:caps w:val="0"/>
                <w:color w:val="auto"/>
                <w:kern w:val="2"/>
                <w:sz w:val="24"/>
                <w:szCs w:val="24"/>
                <w:highlight w:val="none"/>
                <w:lang w:val="en-US" w:eastAsia="zh-CN" w:bidi="ar-SA"/>
              </w:rPr>
              <w:t>/a。</w:t>
            </w:r>
            <w:r>
              <w:rPr>
                <w:rFonts w:hint="eastAsia" w:ascii="Times New Roman" w:hAnsi="Times New Roman" w:eastAsia="宋体" w:cs="Times New Roman"/>
                <w:caps w:val="0"/>
                <w:color w:val="auto"/>
                <w:sz w:val="24"/>
                <w:szCs w:val="24"/>
                <w:highlight w:val="none"/>
                <w:lang w:val="en-US" w:eastAsia="zh-CN"/>
              </w:rPr>
              <w:t>车辆罐体冲洗废水产生量按</w:t>
            </w:r>
            <w:r>
              <w:rPr>
                <w:rFonts w:hint="default" w:ascii="Times New Roman" w:hAnsi="Times New Roman" w:eastAsia="宋体" w:cs="Times New Roman"/>
                <w:caps w:val="0"/>
                <w:color w:val="auto"/>
                <w:sz w:val="24"/>
                <w:szCs w:val="24"/>
                <w:highlight w:val="none"/>
                <w:lang w:val="en-US" w:eastAsia="zh-CN"/>
              </w:rPr>
              <w:t>用水量的80%计算，则</w:t>
            </w:r>
            <w:r>
              <w:rPr>
                <w:rFonts w:hint="eastAsia" w:ascii="Times New Roman" w:hAnsi="Times New Roman" w:eastAsia="宋体" w:cs="Times New Roman"/>
                <w:caps w:val="0"/>
                <w:color w:val="auto"/>
                <w:sz w:val="24"/>
                <w:szCs w:val="24"/>
                <w:highlight w:val="none"/>
                <w:lang w:val="en-US" w:eastAsia="zh-CN"/>
              </w:rPr>
              <w:t>废水产生</w:t>
            </w:r>
            <w:r>
              <w:rPr>
                <w:rFonts w:hint="default" w:ascii="Times New Roman" w:hAnsi="Times New Roman" w:eastAsia="宋体" w:cs="Times New Roman"/>
                <w:caps w:val="0"/>
                <w:color w:val="auto"/>
                <w:sz w:val="24"/>
                <w:szCs w:val="24"/>
                <w:highlight w:val="none"/>
                <w:lang w:val="en-US" w:eastAsia="zh-CN"/>
              </w:rPr>
              <w:t>量为</w:t>
            </w:r>
            <w:r>
              <w:rPr>
                <w:rFonts w:hint="eastAsia" w:ascii="Times New Roman" w:hAnsi="Times New Roman" w:eastAsia="宋体" w:cs="Times New Roman"/>
                <w:caps w:val="0"/>
                <w:color w:val="auto"/>
                <w:sz w:val="24"/>
                <w:szCs w:val="24"/>
                <w:highlight w:val="none"/>
                <w:lang w:val="en-US" w:eastAsia="zh-CN"/>
              </w:rPr>
              <w:t>0.4</w:t>
            </w:r>
            <w:r>
              <w:rPr>
                <w:rFonts w:hint="default" w:ascii="Times New Roman" w:hAnsi="Times New Roman" w:eastAsia="宋体" w:cs="Times New Roman"/>
                <w:caps w:val="0"/>
                <w:color w:val="auto"/>
                <w:sz w:val="24"/>
                <w:szCs w:val="24"/>
                <w:highlight w:val="none"/>
                <w:lang w:val="en-US" w:eastAsia="zh-CN"/>
              </w:rPr>
              <w:t>m</w:t>
            </w:r>
            <w:r>
              <w:rPr>
                <w:rFonts w:hint="default" w:ascii="Times New Roman" w:hAnsi="Times New Roman" w:eastAsia="宋体" w:cs="Times New Roman"/>
                <w:caps w:val="0"/>
                <w:color w:val="auto"/>
                <w:sz w:val="24"/>
                <w:szCs w:val="24"/>
                <w:highlight w:val="none"/>
                <w:vertAlign w:val="superscript"/>
                <w:lang w:val="en-US" w:eastAsia="zh-CN"/>
              </w:rPr>
              <w:t>3</w:t>
            </w:r>
            <w:r>
              <w:rPr>
                <w:rFonts w:hint="default" w:ascii="Times New Roman" w:hAnsi="Times New Roman" w:eastAsia="宋体" w:cs="Times New Roman"/>
                <w:caps w:val="0"/>
                <w:color w:val="auto"/>
                <w:sz w:val="24"/>
                <w:szCs w:val="24"/>
                <w:highlight w:val="none"/>
                <w:lang w:val="en-US" w:eastAsia="zh-CN"/>
              </w:rPr>
              <w:t>/d（</w:t>
            </w:r>
            <w:r>
              <w:rPr>
                <w:rFonts w:hint="eastAsia" w:cs="Times New Roman"/>
                <w:caps w:val="0"/>
                <w:color w:val="auto"/>
                <w:sz w:val="24"/>
                <w:szCs w:val="24"/>
                <w:highlight w:val="none"/>
                <w:lang w:val="en-US" w:eastAsia="zh-CN"/>
              </w:rPr>
              <w:t>112</w:t>
            </w:r>
            <w:r>
              <w:rPr>
                <w:rFonts w:hint="default" w:ascii="Times New Roman" w:hAnsi="Times New Roman" w:eastAsia="宋体" w:cs="Times New Roman"/>
                <w:caps w:val="0"/>
                <w:color w:val="auto"/>
                <w:sz w:val="24"/>
                <w:szCs w:val="24"/>
                <w:highlight w:val="none"/>
                <w:lang w:val="en-US" w:eastAsia="zh-CN"/>
              </w:rPr>
              <w:t>m</w:t>
            </w:r>
            <w:r>
              <w:rPr>
                <w:rFonts w:hint="default" w:ascii="Times New Roman" w:hAnsi="Times New Roman" w:eastAsia="宋体" w:cs="Times New Roman"/>
                <w:caps w:val="0"/>
                <w:color w:val="auto"/>
                <w:sz w:val="24"/>
                <w:szCs w:val="24"/>
                <w:highlight w:val="none"/>
                <w:vertAlign w:val="superscript"/>
                <w:lang w:val="en-US" w:eastAsia="zh-CN"/>
              </w:rPr>
              <w:t>3</w:t>
            </w:r>
            <w:r>
              <w:rPr>
                <w:rFonts w:hint="default" w:ascii="Times New Roman" w:hAnsi="Times New Roman" w:eastAsia="宋体" w:cs="Times New Roman"/>
                <w:caps w:val="0"/>
                <w:color w:val="auto"/>
                <w:sz w:val="24"/>
                <w:szCs w:val="24"/>
                <w:highlight w:val="none"/>
                <w:lang w:val="en-US" w:eastAsia="zh-CN"/>
              </w:rPr>
              <w:t>/a），</w:t>
            </w:r>
            <w:r>
              <w:rPr>
                <w:rFonts w:hint="eastAsia" w:ascii="Times New Roman" w:hAnsi="Times New Roman" w:eastAsia="宋体" w:cs="Times New Roman"/>
                <w:caps w:val="0"/>
                <w:color w:val="auto"/>
                <w:sz w:val="24"/>
                <w:szCs w:val="24"/>
                <w:highlight w:val="none"/>
                <w:lang w:val="en-US" w:eastAsia="zh-CN"/>
              </w:rPr>
              <w:t>经沉淀池</w:t>
            </w:r>
            <w:r>
              <w:rPr>
                <w:rFonts w:hint="default" w:ascii="Times New Roman" w:hAnsi="Times New Roman" w:eastAsia="宋体" w:cs="Times New Roman"/>
                <w:caps w:val="0"/>
                <w:color w:val="auto"/>
                <w:sz w:val="24"/>
                <w:szCs w:val="24"/>
                <w:highlight w:val="none"/>
                <w:lang w:val="en-US" w:eastAsia="zh-CN"/>
              </w:rPr>
              <w:t>沉淀后回用于</w:t>
            </w:r>
            <w:r>
              <w:rPr>
                <w:rFonts w:hint="eastAsia" w:ascii="Times New Roman" w:hAnsi="Times New Roman" w:eastAsia="宋体" w:cs="Times New Roman"/>
                <w:caps w:val="0"/>
                <w:color w:val="auto"/>
                <w:sz w:val="24"/>
                <w:szCs w:val="24"/>
                <w:highlight w:val="none"/>
                <w:lang w:val="en-US" w:eastAsia="zh-CN"/>
              </w:rPr>
              <w:t>生产。</w:t>
            </w:r>
          </w:p>
          <w:p w14:paraId="50CF2660">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4"/>
                <w:highlight w:val="none"/>
                <w:lang w:val="en-US" w:eastAsia="zh-CN"/>
              </w:rPr>
            </w:pPr>
            <w:r>
              <w:rPr>
                <w:rFonts w:hint="eastAsia" w:ascii="Times New Roman" w:hAnsi="Times New Roman" w:eastAsia="宋体" w:cs="Times New Roman"/>
                <w:b/>
                <w:bCs/>
                <w:color w:val="auto"/>
                <w:sz w:val="21"/>
                <w:szCs w:val="24"/>
                <w:highlight w:val="none"/>
                <w:lang w:eastAsia="zh-CN"/>
              </w:rPr>
              <w:t>表</w:t>
            </w:r>
            <w:r>
              <w:rPr>
                <w:rFonts w:hint="eastAsia" w:ascii="Times New Roman" w:hAnsi="Times New Roman" w:eastAsia="宋体" w:cs="Times New Roman"/>
                <w:b/>
                <w:bCs/>
                <w:color w:val="auto"/>
                <w:sz w:val="21"/>
                <w:szCs w:val="24"/>
                <w:highlight w:val="none"/>
                <w:lang w:val="en-US" w:eastAsia="zh-CN"/>
              </w:rPr>
              <w:t>4-8 废水污染源基本情况表</w:t>
            </w:r>
          </w:p>
          <w:tbl>
            <w:tblPr>
              <w:tblStyle w:val="28"/>
              <w:tblW w:w="49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86"/>
              <w:gridCol w:w="1932"/>
              <w:gridCol w:w="1375"/>
              <w:gridCol w:w="1224"/>
              <w:gridCol w:w="2476"/>
              <w:gridCol w:w="763"/>
            </w:tblGrid>
            <w:tr w14:paraId="513F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83" w:hRule="atLeast"/>
                <w:jc w:val="center"/>
              </w:trPr>
              <w:tc>
                <w:tcPr>
                  <w:tcW w:w="350" w:type="pct"/>
                  <w:noWrap w:val="0"/>
                  <w:vAlign w:val="center"/>
                </w:tcPr>
                <w:p w14:paraId="47C9217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序号</w:t>
                  </w:r>
                </w:p>
              </w:tc>
              <w:tc>
                <w:tcPr>
                  <w:tcW w:w="1156" w:type="pct"/>
                  <w:noWrap w:val="0"/>
                  <w:vAlign w:val="center"/>
                </w:tcPr>
                <w:p w14:paraId="3A22B43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废水类别</w:t>
                  </w:r>
                </w:p>
              </w:tc>
              <w:tc>
                <w:tcPr>
                  <w:tcW w:w="822" w:type="pct"/>
                  <w:noWrap w:val="0"/>
                  <w:vAlign w:val="center"/>
                </w:tcPr>
                <w:p w14:paraId="2D0BF14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废水来源</w:t>
                  </w:r>
                </w:p>
              </w:tc>
              <w:tc>
                <w:tcPr>
                  <w:tcW w:w="732" w:type="pct"/>
                  <w:noWrap w:val="0"/>
                  <w:vAlign w:val="center"/>
                </w:tcPr>
                <w:p w14:paraId="4743BBC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污染物种类</w:t>
                  </w:r>
                </w:p>
              </w:tc>
              <w:tc>
                <w:tcPr>
                  <w:tcW w:w="1481" w:type="pct"/>
                  <w:noWrap w:val="0"/>
                  <w:vAlign w:val="center"/>
                </w:tcPr>
                <w:p w14:paraId="0D9DAB0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污染治理措施</w:t>
                  </w:r>
                </w:p>
              </w:tc>
              <w:tc>
                <w:tcPr>
                  <w:tcW w:w="456" w:type="pct"/>
                  <w:noWrap w:val="0"/>
                  <w:vAlign w:val="center"/>
                </w:tcPr>
                <w:p w14:paraId="035E397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b w:val="0"/>
                      <w:bCs/>
                      <w:color w:val="auto"/>
                      <w:sz w:val="21"/>
                      <w:szCs w:val="21"/>
                      <w:highlight w:val="none"/>
                      <w:lang w:eastAsia="zh-CN"/>
                    </w:rPr>
                  </w:pPr>
                  <w:r>
                    <w:rPr>
                      <w:rFonts w:hint="eastAsia" w:ascii="Times New Roman" w:hAnsi="Times New Roman" w:cs="Times New Roman"/>
                      <w:b w:val="0"/>
                      <w:bCs/>
                      <w:color w:val="auto"/>
                      <w:sz w:val="21"/>
                      <w:szCs w:val="21"/>
                      <w:highlight w:val="none"/>
                      <w:lang w:val="en-US" w:eastAsia="zh-CN"/>
                    </w:rPr>
                    <w:t>去向</w:t>
                  </w:r>
                </w:p>
              </w:tc>
            </w:tr>
            <w:tr w14:paraId="1468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9" w:hRule="atLeast"/>
                <w:jc w:val="center"/>
              </w:trPr>
              <w:tc>
                <w:tcPr>
                  <w:tcW w:w="350" w:type="pct"/>
                  <w:noWrap w:val="0"/>
                  <w:vAlign w:val="center"/>
                </w:tcPr>
                <w:p w14:paraId="3B032F5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1</w:t>
                  </w:r>
                </w:p>
              </w:tc>
              <w:tc>
                <w:tcPr>
                  <w:tcW w:w="1156" w:type="pct"/>
                  <w:noWrap w:val="0"/>
                  <w:vAlign w:val="center"/>
                </w:tcPr>
                <w:p w14:paraId="3EE3B936">
                  <w:pPr>
                    <w:pStyle w:val="34"/>
                    <w:bidi w:val="0"/>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olor w:val="auto"/>
                      <w:sz w:val="21"/>
                      <w:highlight w:val="none"/>
                      <w:lang w:val="en-US" w:eastAsia="zh-CN"/>
                    </w:rPr>
                    <w:t>生活污水</w:t>
                  </w:r>
                </w:p>
              </w:tc>
              <w:tc>
                <w:tcPr>
                  <w:tcW w:w="822" w:type="pct"/>
                  <w:noWrap w:val="0"/>
                  <w:vAlign w:val="center"/>
                </w:tcPr>
                <w:p w14:paraId="6BFB7D89">
                  <w:pPr>
                    <w:pStyle w:val="34"/>
                    <w:bidi w:val="0"/>
                    <w:ind w:firstLine="0" w:firstLineChars="0"/>
                    <w:jc w:val="center"/>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color w:val="auto"/>
                      <w:sz w:val="21"/>
                      <w:highlight w:val="none"/>
                      <w:lang w:val="en-US" w:eastAsia="zh-CN"/>
                    </w:rPr>
                    <w:t>办公生活</w:t>
                  </w:r>
                </w:p>
              </w:tc>
              <w:tc>
                <w:tcPr>
                  <w:tcW w:w="732" w:type="pct"/>
                  <w:noWrap w:val="0"/>
                  <w:vAlign w:val="center"/>
                </w:tcPr>
                <w:p w14:paraId="039F55E3">
                  <w:pPr>
                    <w:pStyle w:val="34"/>
                    <w:bidi w:val="0"/>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olor w:val="auto"/>
                      <w:sz w:val="21"/>
                      <w:highlight w:val="none"/>
                      <w:lang w:val="en-US" w:eastAsia="zh-CN"/>
                    </w:rPr>
                    <w:t>BOD</w:t>
                  </w:r>
                  <w:r>
                    <w:rPr>
                      <w:rFonts w:hint="eastAsia" w:ascii="Times New Roman" w:hAnsi="Times New Roman" w:eastAsia="宋体"/>
                      <w:color w:val="auto"/>
                      <w:sz w:val="21"/>
                      <w:highlight w:val="none"/>
                      <w:vertAlign w:val="subscript"/>
                      <w:lang w:val="en-US" w:eastAsia="zh-CN"/>
                    </w:rPr>
                    <w:t>5</w:t>
                  </w:r>
                  <w:r>
                    <w:rPr>
                      <w:rFonts w:hint="eastAsia" w:ascii="Times New Roman" w:hAnsi="Times New Roman" w:eastAsia="宋体"/>
                      <w:color w:val="auto"/>
                      <w:sz w:val="21"/>
                      <w:highlight w:val="none"/>
                      <w:lang w:val="en-US" w:eastAsia="zh-CN"/>
                    </w:rPr>
                    <w:t>、COD、氨氮、SS</w:t>
                  </w:r>
                </w:p>
              </w:tc>
              <w:tc>
                <w:tcPr>
                  <w:tcW w:w="1481" w:type="pct"/>
                  <w:noWrap w:val="0"/>
                  <w:vAlign w:val="center"/>
                </w:tcPr>
                <w:p w14:paraId="60E607D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通过厂区总排口排入市政污水管网进入壶关县第二污水处理厂处理</w:t>
                  </w:r>
                  <w:r>
                    <w:rPr>
                      <w:rFonts w:hint="eastAsia" w:ascii="Times New Roman" w:hAnsi="Times New Roman" w:cs="Times New Roman"/>
                      <w:color w:val="auto"/>
                      <w:sz w:val="21"/>
                      <w:szCs w:val="21"/>
                      <w:highlight w:val="none"/>
                      <w:lang w:val="en-US" w:eastAsia="zh-CN"/>
                    </w:rPr>
                    <w:t>。</w:t>
                  </w:r>
                </w:p>
              </w:tc>
              <w:tc>
                <w:tcPr>
                  <w:tcW w:w="456" w:type="pct"/>
                  <w:noWrap w:val="0"/>
                  <w:vAlign w:val="center"/>
                </w:tcPr>
                <w:p w14:paraId="1EB0D67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市政污水管网</w:t>
                  </w:r>
                </w:p>
              </w:tc>
            </w:tr>
            <w:tr w14:paraId="13E6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9" w:hRule="atLeast"/>
                <w:jc w:val="center"/>
              </w:trPr>
              <w:tc>
                <w:tcPr>
                  <w:tcW w:w="350" w:type="pct"/>
                  <w:noWrap w:val="0"/>
                  <w:vAlign w:val="center"/>
                </w:tcPr>
                <w:p w14:paraId="3136FCA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2</w:t>
                  </w:r>
                </w:p>
              </w:tc>
              <w:tc>
                <w:tcPr>
                  <w:tcW w:w="1156" w:type="pct"/>
                  <w:noWrap w:val="0"/>
                  <w:vAlign w:val="center"/>
                </w:tcPr>
                <w:p w14:paraId="41D1962C">
                  <w:pPr>
                    <w:pStyle w:val="34"/>
                    <w:bidi w:val="0"/>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olor w:val="auto"/>
                      <w:sz w:val="21"/>
                      <w:highlight w:val="none"/>
                      <w:lang w:val="en-US" w:eastAsia="zh-CN"/>
                    </w:rPr>
                    <w:t>洗砂废水</w:t>
                  </w:r>
                </w:p>
              </w:tc>
              <w:tc>
                <w:tcPr>
                  <w:tcW w:w="822" w:type="pct"/>
                  <w:noWrap w:val="0"/>
                  <w:vAlign w:val="center"/>
                </w:tcPr>
                <w:p w14:paraId="3F01B149">
                  <w:pPr>
                    <w:pStyle w:val="34"/>
                    <w:bidi w:val="0"/>
                    <w:ind w:firstLine="0" w:firstLineChars="0"/>
                    <w:jc w:val="center"/>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olor w:val="auto"/>
                      <w:sz w:val="21"/>
                      <w:highlight w:val="none"/>
                      <w:lang w:val="en-US" w:eastAsia="zh-CN"/>
                    </w:rPr>
                    <w:t>洗砂</w:t>
                  </w:r>
                </w:p>
              </w:tc>
              <w:tc>
                <w:tcPr>
                  <w:tcW w:w="732" w:type="pct"/>
                  <w:noWrap w:val="0"/>
                  <w:vAlign w:val="center"/>
                </w:tcPr>
                <w:p w14:paraId="0BA5E2C7">
                  <w:pPr>
                    <w:pStyle w:val="34"/>
                    <w:bidi w:val="0"/>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olor w:val="auto"/>
                      <w:sz w:val="21"/>
                      <w:highlight w:val="none"/>
                      <w:lang w:val="en-US" w:eastAsia="zh-CN"/>
                    </w:rPr>
                    <w:t>SS</w:t>
                  </w:r>
                </w:p>
              </w:tc>
              <w:tc>
                <w:tcPr>
                  <w:tcW w:w="1481" w:type="pct"/>
                  <w:noWrap w:val="0"/>
                  <w:vAlign w:val="center"/>
                </w:tcPr>
                <w:p w14:paraId="370CAA5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进入</w:t>
                  </w:r>
                  <w:r>
                    <w:rPr>
                      <w:rFonts w:hint="default" w:ascii="Times New Roman" w:hAnsi="Times New Roman" w:eastAsia="宋体" w:cs="Times New Roman"/>
                      <w:color w:val="auto"/>
                      <w:sz w:val="21"/>
                      <w:szCs w:val="21"/>
                      <w:highlight w:val="none"/>
                      <w:lang w:val="en-US" w:eastAsia="zh-CN"/>
                    </w:rPr>
                    <w:t>集水罐沉淀处理后，上清液泵入清水罐回用洗砂</w:t>
                  </w:r>
                </w:p>
              </w:tc>
              <w:tc>
                <w:tcPr>
                  <w:tcW w:w="456" w:type="pct"/>
                  <w:noWrap w:val="0"/>
                  <w:vAlign w:val="center"/>
                </w:tcPr>
                <w:p w14:paraId="3C605F0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回用不外排</w:t>
                  </w:r>
                </w:p>
              </w:tc>
            </w:tr>
            <w:tr w14:paraId="70E0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9" w:hRule="atLeast"/>
                <w:jc w:val="center"/>
              </w:trPr>
              <w:tc>
                <w:tcPr>
                  <w:tcW w:w="350" w:type="pct"/>
                  <w:noWrap w:val="0"/>
                  <w:vAlign w:val="center"/>
                </w:tcPr>
                <w:p w14:paraId="7C0992E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3</w:t>
                  </w:r>
                </w:p>
              </w:tc>
              <w:tc>
                <w:tcPr>
                  <w:tcW w:w="1156" w:type="pct"/>
                  <w:noWrap w:val="0"/>
                  <w:vAlign w:val="center"/>
                </w:tcPr>
                <w:p w14:paraId="517FABAA">
                  <w:pPr>
                    <w:pStyle w:val="34"/>
                    <w:bidi w:val="0"/>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olor w:val="auto"/>
                      <w:sz w:val="21"/>
                      <w:highlight w:val="none"/>
                      <w:lang w:val="en-US" w:eastAsia="zh-CN"/>
                    </w:rPr>
                    <w:t>搅拌机清洗废水</w:t>
                  </w:r>
                </w:p>
              </w:tc>
              <w:tc>
                <w:tcPr>
                  <w:tcW w:w="822" w:type="pct"/>
                  <w:noWrap w:val="0"/>
                  <w:vAlign w:val="center"/>
                </w:tcPr>
                <w:p w14:paraId="2981BBF5">
                  <w:pPr>
                    <w:pStyle w:val="34"/>
                    <w:bidi w:val="0"/>
                    <w:ind w:firstLine="0" w:firstLineChars="0"/>
                    <w:jc w:val="center"/>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olor w:val="auto"/>
                      <w:sz w:val="21"/>
                      <w:highlight w:val="none"/>
                      <w:lang w:val="en-US" w:eastAsia="zh-CN"/>
                    </w:rPr>
                    <w:t>搅拌机清洗</w:t>
                  </w:r>
                </w:p>
              </w:tc>
              <w:tc>
                <w:tcPr>
                  <w:tcW w:w="732" w:type="pct"/>
                  <w:noWrap w:val="0"/>
                  <w:vAlign w:val="center"/>
                </w:tcPr>
                <w:p w14:paraId="3B03BF3C">
                  <w:pPr>
                    <w:pStyle w:val="34"/>
                    <w:bidi w:val="0"/>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olor w:val="auto"/>
                      <w:sz w:val="21"/>
                      <w:highlight w:val="none"/>
                      <w:lang w:val="en-US" w:eastAsia="zh-CN"/>
                    </w:rPr>
                    <w:t>COD、SS</w:t>
                  </w:r>
                </w:p>
              </w:tc>
              <w:tc>
                <w:tcPr>
                  <w:tcW w:w="1481" w:type="pct"/>
                  <w:noWrap w:val="0"/>
                  <w:vAlign w:val="center"/>
                </w:tcPr>
                <w:p w14:paraId="19852A2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进入</w:t>
                  </w:r>
                  <w:r>
                    <w:rPr>
                      <w:rFonts w:hint="default" w:ascii="Times New Roman" w:hAnsi="Times New Roman" w:eastAsia="宋体" w:cs="Times New Roman"/>
                      <w:color w:val="auto"/>
                      <w:sz w:val="21"/>
                      <w:szCs w:val="21"/>
                      <w:highlight w:val="none"/>
                      <w:lang w:val="en-US" w:eastAsia="zh-CN"/>
                    </w:rPr>
                    <w:t>集水罐沉淀处理后，上清液泵入清水罐回用洗砂</w:t>
                  </w:r>
                </w:p>
              </w:tc>
              <w:tc>
                <w:tcPr>
                  <w:tcW w:w="456" w:type="pct"/>
                  <w:noWrap w:val="0"/>
                  <w:vAlign w:val="center"/>
                </w:tcPr>
                <w:p w14:paraId="253EFB7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回用不外排</w:t>
                  </w:r>
                </w:p>
              </w:tc>
            </w:tr>
            <w:tr w14:paraId="7FFE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9" w:hRule="atLeast"/>
                <w:jc w:val="center"/>
              </w:trPr>
              <w:tc>
                <w:tcPr>
                  <w:tcW w:w="350" w:type="pct"/>
                  <w:noWrap w:val="0"/>
                  <w:vAlign w:val="center"/>
                </w:tcPr>
                <w:p w14:paraId="7AB8923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4</w:t>
                  </w:r>
                </w:p>
              </w:tc>
              <w:tc>
                <w:tcPr>
                  <w:tcW w:w="1156" w:type="pct"/>
                  <w:noWrap w:val="0"/>
                  <w:vAlign w:val="center"/>
                </w:tcPr>
                <w:p w14:paraId="7D4C78A4">
                  <w:pPr>
                    <w:pStyle w:val="34"/>
                    <w:bidi w:val="0"/>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olor w:val="auto"/>
                      <w:sz w:val="21"/>
                      <w:highlight w:val="none"/>
                      <w:lang w:val="en-US" w:eastAsia="zh-CN"/>
                    </w:rPr>
                    <w:t>洗车废水</w:t>
                  </w:r>
                </w:p>
              </w:tc>
              <w:tc>
                <w:tcPr>
                  <w:tcW w:w="822" w:type="pct"/>
                  <w:noWrap w:val="0"/>
                  <w:vAlign w:val="center"/>
                </w:tcPr>
                <w:p w14:paraId="33796D39">
                  <w:pPr>
                    <w:pStyle w:val="34"/>
                    <w:bidi w:val="0"/>
                    <w:ind w:firstLine="0" w:firstLineChars="0"/>
                    <w:jc w:val="center"/>
                    <w:rPr>
                      <w:rFonts w:hint="eastAsia" w:ascii="Times New Roman" w:hAnsi="Times New Roman" w:eastAsia="宋体" w:cs="Times New Roman"/>
                      <w:b w:val="0"/>
                      <w:bCs/>
                      <w:color w:val="auto"/>
                      <w:sz w:val="21"/>
                      <w:szCs w:val="21"/>
                      <w:highlight w:val="none"/>
                      <w:lang w:val="en-US" w:eastAsia="zh-CN"/>
                    </w:rPr>
                  </w:pPr>
                  <w:r>
                    <w:rPr>
                      <w:rFonts w:hint="eastAsia" w:ascii="Times New Roman" w:hAnsi="Times New Roman" w:eastAsia="宋体"/>
                      <w:color w:val="auto"/>
                      <w:sz w:val="21"/>
                      <w:highlight w:val="none"/>
                      <w:lang w:val="en-US" w:eastAsia="zh-CN"/>
                    </w:rPr>
                    <w:t>洗车</w:t>
                  </w:r>
                </w:p>
              </w:tc>
              <w:tc>
                <w:tcPr>
                  <w:tcW w:w="732" w:type="pct"/>
                  <w:noWrap w:val="0"/>
                  <w:vAlign w:val="center"/>
                </w:tcPr>
                <w:p w14:paraId="0668FA78">
                  <w:pPr>
                    <w:pStyle w:val="34"/>
                    <w:bidi w:val="0"/>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olor w:val="auto"/>
                      <w:sz w:val="21"/>
                      <w:highlight w:val="none"/>
                      <w:lang w:val="en-US" w:eastAsia="zh-CN"/>
                    </w:rPr>
                    <w:t>SS</w:t>
                  </w:r>
                </w:p>
              </w:tc>
              <w:tc>
                <w:tcPr>
                  <w:tcW w:w="1481" w:type="pct"/>
                  <w:noWrap w:val="0"/>
                  <w:vAlign w:val="center"/>
                </w:tcPr>
                <w:p w14:paraId="65663C2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经沉淀池沉淀后循环使用</w:t>
                  </w:r>
                </w:p>
              </w:tc>
              <w:tc>
                <w:tcPr>
                  <w:tcW w:w="456" w:type="pct"/>
                  <w:noWrap w:val="0"/>
                  <w:vAlign w:val="center"/>
                </w:tcPr>
                <w:p w14:paraId="67CF6807">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沉淀池</w:t>
                  </w:r>
                </w:p>
              </w:tc>
            </w:tr>
            <w:tr w14:paraId="7350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99" w:hRule="atLeast"/>
                <w:jc w:val="center"/>
              </w:trPr>
              <w:tc>
                <w:tcPr>
                  <w:tcW w:w="350" w:type="pct"/>
                  <w:noWrap w:val="0"/>
                  <w:vAlign w:val="center"/>
                </w:tcPr>
                <w:p w14:paraId="51DF394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5</w:t>
                  </w:r>
                </w:p>
              </w:tc>
              <w:tc>
                <w:tcPr>
                  <w:tcW w:w="1156" w:type="pct"/>
                  <w:noWrap w:val="0"/>
                  <w:vAlign w:val="center"/>
                </w:tcPr>
                <w:p w14:paraId="3F4976E4">
                  <w:pPr>
                    <w:pStyle w:val="34"/>
                    <w:bidi w:val="0"/>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olor w:val="auto"/>
                      <w:sz w:val="21"/>
                      <w:highlight w:val="none"/>
                      <w:lang w:val="en-US" w:eastAsia="zh-CN"/>
                    </w:rPr>
                    <w:t>车辆罐体冲洗废水</w:t>
                  </w:r>
                </w:p>
              </w:tc>
              <w:tc>
                <w:tcPr>
                  <w:tcW w:w="822" w:type="pct"/>
                  <w:noWrap w:val="0"/>
                  <w:vAlign w:val="center"/>
                </w:tcPr>
                <w:p w14:paraId="540660B0">
                  <w:pPr>
                    <w:pStyle w:val="34"/>
                    <w:bidi w:val="0"/>
                    <w:ind w:firstLine="0" w:firstLineChars="0"/>
                    <w:jc w:val="center"/>
                    <w:rPr>
                      <w:rFonts w:hint="eastAsia" w:ascii="Times New Roman" w:hAnsi="Times New Roman" w:eastAsia="宋体" w:cs="Times New Roman"/>
                      <w:b w:val="0"/>
                      <w:bCs/>
                      <w:color w:val="auto"/>
                      <w:sz w:val="21"/>
                      <w:szCs w:val="21"/>
                      <w:highlight w:val="none"/>
                      <w:lang w:val="en-US" w:eastAsia="zh-CN"/>
                    </w:rPr>
                  </w:pPr>
                  <w:r>
                    <w:rPr>
                      <w:rFonts w:hint="eastAsia"/>
                      <w:color w:val="auto"/>
                      <w:sz w:val="21"/>
                      <w:highlight w:val="none"/>
                      <w:lang w:val="en-US" w:eastAsia="zh-CN"/>
                    </w:rPr>
                    <w:t>车辆罐体冲洗</w:t>
                  </w:r>
                </w:p>
              </w:tc>
              <w:tc>
                <w:tcPr>
                  <w:tcW w:w="732" w:type="pct"/>
                  <w:noWrap w:val="0"/>
                  <w:vAlign w:val="center"/>
                </w:tcPr>
                <w:p w14:paraId="3F68E92F">
                  <w:pPr>
                    <w:pStyle w:val="34"/>
                    <w:bidi w:val="0"/>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olor w:val="auto"/>
                      <w:sz w:val="21"/>
                      <w:highlight w:val="none"/>
                      <w:lang w:val="en-US" w:eastAsia="zh-CN"/>
                    </w:rPr>
                    <w:t>SS</w:t>
                  </w:r>
                </w:p>
              </w:tc>
              <w:tc>
                <w:tcPr>
                  <w:tcW w:w="2476" w:type="dxa"/>
                  <w:noWrap w:val="0"/>
                  <w:vAlign w:val="center"/>
                </w:tcPr>
                <w:p w14:paraId="52BB098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经沉淀池沉淀后循环使用</w:t>
                  </w:r>
                </w:p>
              </w:tc>
              <w:tc>
                <w:tcPr>
                  <w:tcW w:w="763" w:type="dxa"/>
                  <w:noWrap w:val="0"/>
                  <w:vAlign w:val="center"/>
                </w:tcPr>
                <w:p w14:paraId="5B436D6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沉淀池</w:t>
                  </w:r>
                </w:p>
              </w:tc>
            </w:tr>
          </w:tbl>
          <w:p w14:paraId="7131B986">
            <w:pPr>
              <w:keepNext/>
              <w:keepLines/>
              <w:pageBreakBefore w:val="0"/>
              <w:widowControl w:val="0"/>
              <w:numPr>
                <w:ilvl w:val="0"/>
                <w:numId w:val="0"/>
              </w:numPr>
              <w:kinsoku/>
              <w:wordWrap/>
              <w:overflowPunct/>
              <w:topLinePunct w:val="0"/>
              <w:autoSpaceDE/>
              <w:autoSpaceDN/>
              <w:bidi w:val="0"/>
              <w:adjustRightInd/>
              <w:snapToGrid/>
              <w:spacing w:line="360" w:lineRule="auto"/>
              <w:ind w:right="0"/>
              <w:jc w:val="both"/>
              <w:textAlignment w:val="auto"/>
              <w:outlineLvl w:val="3"/>
              <w:rPr>
                <w:rFonts w:hint="default" w:ascii="Times New Roman" w:hAnsi="Times New Roman" w:eastAsia="宋体" w:cs="Times New Roman"/>
                <w:b/>
                <w:bCs/>
                <w:color w:val="auto"/>
                <w:kern w:val="2"/>
                <w:sz w:val="24"/>
                <w:szCs w:val="24"/>
                <w:highlight w:val="none"/>
                <w:lang w:val="en-US" w:eastAsia="zh-CN" w:bidi="ar-SA"/>
              </w:rPr>
            </w:pPr>
          </w:p>
          <w:p w14:paraId="46921CCF">
            <w:pPr>
              <w:pStyle w:val="2"/>
              <w:rPr>
                <w:rFonts w:hint="default"/>
                <w:lang w:val="en-US" w:eastAsia="zh-CN"/>
              </w:rPr>
            </w:pPr>
          </w:p>
          <w:p w14:paraId="28B4DDC8">
            <w:pPr>
              <w:keepNext/>
              <w:keepLines/>
              <w:pageBreakBefore w:val="0"/>
              <w:widowControl w:val="0"/>
              <w:numPr>
                <w:ilvl w:val="0"/>
                <w:numId w:val="0"/>
              </w:numPr>
              <w:kinsoku/>
              <w:wordWrap/>
              <w:overflowPunct/>
              <w:topLinePunct w:val="0"/>
              <w:autoSpaceDE/>
              <w:autoSpaceDN/>
              <w:bidi w:val="0"/>
              <w:adjustRightInd/>
              <w:snapToGrid/>
              <w:spacing w:line="360" w:lineRule="auto"/>
              <w:ind w:left="0" w:leftChars="0" w:right="0" w:firstLine="482" w:firstLineChars="200"/>
              <w:jc w:val="both"/>
              <w:textAlignment w:val="auto"/>
              <w:outlineLvl w:val="3"/>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3.</w:t>
            </w:r>
            <w:r>
              <w:rPr>
                <w:rFonts w:hint="eastAsia" w:ascii="Times New Roman" w:hAnsi="Times New Roman" w:eastAsia="宋体" w:cs="Times New Roman"/>
                <w:b/>
                <w:bCs/>
                <w:color w:val="auto"/>
                <w:kern w:val="2"/>
                <w:sz w:val="24"/>
                <w:szCs w:val="24"/>
                <w:highlight w:val="none"/>
                <w:lang w:val="en-US" w:eastAsia="zh-CN" w:bidi="ar-SA"/>
              </w:rPr>
              <w:t>噪声</w:t>
            </w:r>
          </w:p>
          <w:p w14:paraId="5DD7148A">
            <w:pPr>
              <w:pageBreakBefore w:val="0"/>
              <w:widowControl w:val="0"/>
              <w:tabs>
                <w:tab w:val="left" w:pos="2768"/>
              </w:tabs>
              <w:kinsoku/>
              <w:wordWrap/>
              <w:overflowPunct/>
              <w:topLinePunct w:val="0"/>
              <w:autoSpaceDE/>
              <w:autoSpaceDN/>
              <w:bidi w:val="0"/>
              <w:adjustRightInd/>
              <w:snapToGrid/>
              <w:spacing w:line="360" w:lineRule="auto"/>
              <w:ind w:left="0" w:leftChars="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（1）噪声源</w:t>
            </w:r>
          </w:p>
          <w:p w14:paraId="7C66AA4A">
            <w:pPr>
              <w:pageBreakBefore w:val="0"/>
              <w:widowControl w:val="0"/>
              <w:kinsoku/>
              <w:wordWrap/>
              <w:overflowPunct/>
              <w:topLinePunct w:val="0"/>
              <w:autoSpaceDE/>
              <w:autoSpaceDN/>
              <w:bidi w:val="0"/>
              <w:adjustRightInd/>
              <w:snapToGrid/>
              <w:spacing w:line="360" w:lineRule="auto"/>
              <w:ind w:left="0" w:leftChars="0" w:right="0" w:firstLine="480" w:firstLineChars="200"/>
              <w:jc w:val="both"/>
              <w:textAlignment w:val="auto"/>
              <w:rPr>
                <w:rFonts w:hint="eastAsia"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color w:val="auto"/>
                <w:sz w:val="24"/>
                <w:szCs w:val="24"/>
              </w:rPr>
              <w:t>本次工程噪声主要为设备噪声和交通噪声，如</w:t>
            </w:r>
            <w:r>
              <w:rPr>
                <w:rFonts w:hint="eastAsia" w:ascii="Times New Roman" w:hAnsi="Times New Roman" w:eastAsia="宋体" w:cs="Times New Roman"/>
                <w:color w:val="auto"/>
                <w:sz w:val="24"/>
                <w:szCs w:val="24"/>
                <w:lang w:val="en-US" w:eastAsia="zh-CN"/>
              </w:rPr>
              <w:t>搅拌机、双螺旋洗砂机、布料预洗装置、轮式洗砂机</w:t>
            </w:r>
            <w:r>
              <w:rPr>
                <w:rFonts w:hint="default" w:ascii="Times New Roman" w:hAnsi="Times New Roman" w:eastAsia="宋体" w:cs="Times New Roman"/>
                <w:color w:val="auto"/>
                <w:sz w:val="24"/>
                <w:szCs w:val="24"/>
              </w:rPr>
              <w:t>等，经类比，其声级值在</w:t>
            </w:r>
            <w:r>
              <w:rPr>
                <w:rFonts w:hint="eastAsia" w:ascii="Times New Roman" w:hAnsi="Times New Roman" w:eastAsia="宋体" w:cs="Times New Roman"/>
                <w:color w:val="auto"/>
                <w:sz w:val="24"/>
                <w:szCs w:val="24"/>
                <w:highlight w:val="none"/>
                <w:lang w:val="en-US" w:eastAsia="zh-CN"/>
              </w:rPr>
              <w:t>68</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85</w:t>
            </w:r>
            <w:r>
              <w:rPr>
                <w:rFonts w:hint="default" w:ascii="Times New Roman" w:hAnsi="Times New Roman" w:eastAsia="宋体" w:cs="Times New Roman"/>
                <w:color w:val="auto"/>
                <w:sz w:val="24"/>
                <w:szCs w:val="24"/>
                <w:highlight w:val="none"/>
              </w:rPr>
              <w:t>dB(A)</w:t>
            </w:r>
            <w:r>
              <w:rPr>
                <w:rFonts w:hint="default" w:ascii="Times New Roman" w:hAnsi="Times New Roman" w:eastAsia="宋体" w:cs="Times New Roman"/>
                <w:color w:val="auto"/>
                <w:sz w:val="24"/>
                <w:szCs w:val="24"/>
              </w:rPr>
              <w:t>之间</w:t>
            </w:r>
            <w:r>
              <w:rPr>
                <w:rFonts w:hint="eastAsia" w:ascii="Times New Roman" w:hAnsi="Times New Roman" w:eastAsia="宋体" w:cs="Times New Roman"/>
                <w:color w:val="auto"/>
                <w:sz w:val="24"/>
                <w:szCs w:val="24"/>
                <w:lang w:eastAsia="zh-CN"/>
              </w:rPr>
              <w:t>，</w:t>
            </w:r>
            <w:r>
              <w:rPr>
                <w:rFonts w:ascii="Times New Roman" w:hAnsi="Times New Roman" w:eastAsia="宋体" w:cs="宋体"/>
                <w:color w:val="auto"/>
                <w:spacing w:val="1"/>
                <w:sz w:val="24"/>
                <w:szCs w:val="24"/>
              </w:rPr>
              <w:t>项目拟采取厂房全封闭、选用低噪声设备等</w:t>
            </w:r>
            <w:r>
              <w:rPr>
                <w:rFonts w:ascii="Times New Roman" w:hAnsi="Times New Roman" w:eastAsia="宋体" w:cs="宋体"/>
                <w:color w:val="auto"/>
                <w:sz w:val="24"/>
                <w:szCs w:val="24"/>
              </w:rPr>
              <w:t>噪声防治</w:t>
            </w:r>
            <w:r>
              <w:rPr>
                <w:rFonts w:ascii="Times New Roman" w:hAnsi="Times New Roman" w:eastAsia="宋体" w:cs="宋体"/>
                <w:color w:val="auto"/>
                <w:spacing w:val="-6"/>
                <w:sz w:val="24"/>
                <w:szCs w:val="24"/>
              </w:rPr>
              <w:t>措施</w:t>
            </w:r>
            <w:r>
              <w:rPr>
                <w:rFonts w:ascii="Times New Roman" w:hAnsi="Times New Roman" w:eastAsia="宋体" w:cs="宋体"/>
                <w:color w:val="auto"/>
                <w:spacing w:val="-4"/>
                <w:sz w:val="24"/>
                <w:szCs w:val="24"/>
              </w:rPr>
              <w:t>，</w:t>
            </w:r>
            <w:r>
              <w:rPr>
                <w:rFonts w:ascii="Times New Roman" w:hAnsi="Times New Roman" w:eastAsia="宋体" w:cs="宋体"/>
                <w:color w:val="auto"/>
                <w:spacing w:val="-3"/>
                <w:sz w:val="24"/>
                <w:szCs w:val="24"/>
              </w:rPr>
              <w:t>噪声可削减</w:t>
            </w:r>
            <w:r>
              <w:rPr>
                <w:rFonts w:ascii="Times New Roman" w:hAnsi="Times New Roman" w:eastAsia="宋体" w:cs="Times New Roman"/>
                <w:color w:val="auto"/>
                <w:spacing w:val="-3"/>
                <w:sz w:val="24"/>
                <w:szCs w:val="24"/>
              </w:rPr>
              <w:t>10~15dB</w:t>
            </w:r>
            <w:r>
              <w:rPr>
                <w:rFonts w:ascii="Times New Roman" w:hAnsi="Times New Roman" w:eastAsia="宋体" w:cs="宋体"/>
                <w:color w:val="auto"/>
                <w:spacing w:val="-3"/>
                <w:sz w:val="24"/>
                <w:szCs w:val="24"/>
              </w:rPr>
              <w:t>(</w:t>
            </w:r>
            <w:r>
              <w:rPr>
                <w:rFonts w:ascii="Times New Roman" w:hAnsi="Times New Roman" w:eastAsia="宋体" w:cs="Times New Roman"/>
                <w:color w:val="auto"/>
                <w:spacing w:val="-3"/>
                <w:sz w:val="24"/>
                <w:szCs w:val="24"/>
              </w:rPr>
              <w:t>A</w:t>
            </w:r>
            <w:r>
              <w:rPr>
                <w:rFonts w:ascii="Times New Roman" w:hAnsi="Times New Roman" w:eastAsia="宋体" w:cs="宋体"/>
                <w:color w:val="auto"/>
                <w:spacing w:val="-3"/>
                <w:sz w:val="24"/>
                <w:szCs w:val="24"/>
              </w:rPr>
              <w:t>)。主要噪声源见下表</w:t>
            </w:r>
            <w:r>
              <w:rPr>
                <w:rFonts w:hint="eastAsia" w:ascii="Times New Roman" w:hAnsi="Times New Roman" w:eastAsia="宋体" w:cs="宋体"/>
                <w:color w:val="auto"/>
                <w:spacing w:val="-3"/>
                <w:sz w:val="24"/>
                <w:szCs w:val="24"/>
                <w:lang w:eastAsia="zh-CN"/>
              </w:rPr>
              <w:t>：</w:t>
            </w:r>
          </w:p>
          <w:p w14:paraId="0D191168">
            <w:pPr>
              <w:pStyle w:val="13"/>
              <w:keepNext/>
              <w:keepLines/>
              <w:pageBreakBefore w:val="0"/>
              <w:widowControl w:val="0"/>
              <w:numPr>
                <w:ilvl w:val="3"/>
                <w:numId w:val="0"/>
              </w:numPr>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4"/>
                <w:highlight w:val="none"/>
                <w:lang w:val="en-US" w:eastAsia="zh-CN"/>
              </w:rPr>
            </w:pPr>
            <w:r>
              <w:rPr>
                <w:rFonts w:hint="eastAsia" w:ascii="Times New Roman" w:hAnsi="Times New Roman" w:eastAsia="宋体" w:cs="Times New Roman"/>
                <w:b/>
                <w:bCs/>
                <w:color w:val="auto"/>
                <w:sz w:val="21"/>
                <w:szCs w:val="24"/>
                <w:highlight w:val="none"/>
                <w:lang w:eastAsia="zh-CN"/>
              </w:rPr>
              <w:t>表</w:t>
            </w:r>
            <w:r>
              <w:rPr>
                <w:rFonts w:hint="eastAsia" w:ascii="Times New Roman" w:hAnsi="Times New Roman" w:eastAsia="宋体" w:cs="Times New Roman"/>
                <w:b/>
                <w:bCs/>
                <w:color w:val="auto"/>
                <w:sz w:val="21"/>
                <w:szCs w:val="24"/>
                <w:highlight w:val="none"/>
                <w:lang w:val="en-US" w:eastAsia="zh-CN"/>
              </w:rPr>
              <w:t>4-9 主要噪声源统计表（室外声源）</w:t>
            </w:r>
          </w:p>
          <w:tbl>
            <w:tblPr>
              <w:tblStyle w:val="28"/>
              <w:tblW w:w="8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1125"/>
              <w:gridCol w:w="1733"/>
              <w:gridCol w:w="1648"/>
              <w:gridCol w:w="1123"/>
              <w:gridCol w:w="1123"/>
              <w:gridCol w:w="1123"/>
            </w:tblGrid>
            <w:tr w14:paraId="3508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trPr>
              <w:tc>
                <w:tcPr>
                  <w:tcW w:w="513" w:type="dxa"/>
                  <w:vMerge w:val="restart"/>
                  <w:noWrap w:val="0"/>
                  <w:vAlign w:val="center"/>
                </w:tcPr>
                <w:p w14:paraId="6E991303">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序号</w:t>
                  </w:r>
                </w:p>
              </w:tc>
              <w:tc>
                <w:tcPr>
                  <w:tcW w:w="1125" w:type="dxa"/>
                  <w:vMerge w:val="restart"/>
                  <w:noWrap w:val="0"/>
                  <w:vAlign w:val="center"/>
                </w:tcPr>
                <w:p w14:paraId="1674A916">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声源名称</w:t>
                  </w:r>
                </w:p>
              </w:tc>
              <w:tc>
                <w:tcPr>
                  <w:tcW w:w="1733" w:type="dxa"/>
                  <w:noWrap w:val="0"/>
                  <w:vAlign w:val="center"/>
                </w:tcPr>
                <w:p w14:paraId="4D6FE7C9">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产生量</w:t>
                  </w:r>
                </w:p>
              </w:tc>
              <w:tc>
                <w:tcPr>
                  <w:tcW w:w="1648" w:type="dxa"/>
                  <w:vMerge w:val="restart"/>
                  <w:noWrap w:val="0"/>
                  <w:vAlign w:val="center"/>
                </w:tcPr>
                <w:p w14:paraId="49CCA059">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降噪措施</w:t>
                  </w:r>
                </w:p>
              </w:tc>
              <w:tc>
                <w:tcPr>
                  <w:tcW w:w="1123" w:type="dxa"/>
                  <w:vMerge w:val="restart"/>
                  <w:noWrap w:val="0"/>
                  <w:vAlign w:val="center"/>
                </w:tcPr>
                <w:p w14:paraId="31126904">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数量/（台）</w:t>
                  </w:r>
                </w:p>
              </w:tc>
              <w:tc>
                <w:tcPr>
                  <w:tcW w:w="1123" w:type="dxa"/>
                  <w:vMerge w:val="restart"/>
                  <w:noWrap w:val="0"/>
                  <w:vAlign w:val="center"/>
                </w:tcPr>
                <w:p w14:paraId="420D78AE">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降噪效果/dB(A)</w:t>
                  </w:r>
                </w:p>
              </w:tc>
              <w:tc>
                <w:tcPr>
                  <w:tcW w:w="1123" w:type="dxa"/>
                  <w:noWrap w:val="0"/>
                  <w:vAlign w:val="center"/>
                </w:tcPr>
                <w:p w14:paraId="4B39CDDE">
                  <w:pPr>
                    <w:pStyle w:val="34"/>
                    <w:bidi w:val="0"/>
                    <w:ind w:firstLine="0" w:firstLineChars="0"/>
                    <w:rPr>
                      <w:rFonts w:hint="eastAsia" w:cs="Times New Roman"/>
                      <w:color w:val="auto"/>
                      <w:sz w:val="21"/>
                      <w:szCs w:val="21"/>
                      <w:highlight w:val="none"/>
                      <w:lang w:val="en-US" w:eastAsia="zh-CN"/>
                    </w:rPr>
                  </w:pPr>
                  <w:r>
                    <w:rPr>
                      <w:rFonts w:hint="eastAsia"/>
                      <w:color w:val="auto"/>
                      <w:highlight w:val="none"/>
                      <w:lang w:val="en-US" w:eastAsia="zh-CN"/>
                    </w:rPr>
                    <w:t>排放量</w:t>
                  </w:r>
                </w:p>
              </w:tc>
            </w:tr>
            <w:tr w14:paraId="73B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513" w:type="dxa"/>
                  <w:vMerge w:val="continue"/>
                  <w:noWrap w:val="0"/>
                  <w:vAlign w:val="center"/>
                </w:tcPr>
                <w:p w14:paraId="22462EC0">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p>
              </w:tc>
              <w:tc>
                <w:tcPr>
                  <w:tcW w:w="1125" w:type="dxa"/>
                  <w:vMerge w:val="continue"/>
                  <w:noWrap w:val="0"/>
                  <w:vAlign w:val="center"/>
                </w:tcPr>
                <w:p w14:paraId="13AC8329">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p>
              </w:tc>
              <w:tc>
                <w:tcPr>
                  <w:tcW w:w="1733" w:type="dxa"/>
                  <w:noWrap w:val="0"/>
                  <w:vAlign w:val="center"/>
                </w:tcPr>
                <w:p w14:paraId="555D9C3E">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声级水平</w:t>
                  </w:r>
                  <w:r>
                    <w:rPr>
                      <w:rFonts w:ascii="Times New Roman" w:hAnsi="Times New Roman" w:eastAsia="宋体" w:cs="Times New Roman"/>
                      <w:color w:val="auto"/>
                      <w:sz w:val="21"/>
                      <w:szCs w:val="21"/>
                      <w:highlight w:val="none"/>
                    </w:rPr>
                    <w:t>/dB(A)</w:t>
                  </w:r>
                </w:p>
              </w:tc>
              <w:tc>
                <w:tcPr>
                  <w:tcW w:w="1648" w:type="dxa"/>
                  <w:vMerge w:val="continue"/>
                  <w:noWrap w:val="0"/>
                  <w:vAlign w:val="center"/>
                </w:tcPr>
                <w:p w14:paraId="37F2749C">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p>
              </w:tc>
              <w:tc>
                <w:tcPr>
                  <w:tcW w:w="1123" w:type="dxa"/>
                  <w:vMerge w:val="continue"/>
                  <w:noWrap w:val="0"/>
                  <w:vAlign w:val="center"/>
                </w:tcPr>
                <w:p w14:paraId="00D9511E">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p>
              </w:tc>
              <w:tc>
                <w:tcPr>
                  <w:tcW w:w="1123" w:type="dxa"/>
                  <w:vMerge w:val="continue"/>
                  <w:noWrap w:val="0"/>
                  <w:vAlign w:val="center"/>
                </w:tcPr>
                <w:p w14:paraId="6A113DCD">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p>
              </w:tc>
              <w:tc>
                <w:tcPr>
                  <w:tcW w:w="1123" w:type="dxa"/>
                  <w:noWrap w:val="0"/>
                  <w:vAlign w:val="center"/>
                </w:tcPr>
                <w:p w14:paraId="0B810F84">
                  <w:pPr>
                    <w:pStyle w:val="34"/>
                    <w:bidi w:val="0"/>
                    <w:ind w:firstLine="0" w:firstLineChars="0"/>
                    <w:rPr>
                      <w:rFonts w:ascii="Times New Roman" w:hAnsi="Times New Roman" w:eastAsia="宋体" w:cs="Times New Roman"/>
                      <w:color w:val="auto"/>
                      <w:sz w:val="21"/>
                      <w:szCs w:val="21"/>
                      <w:highlight w:val="none"/>
                    </w:rPr>
                  </w:pPr>
                  <w:r>
                    <w:rPr>
                      <w:rFonts w:hint="eastAsia"/>
                      <w:color w:val="auto"/>
                      <w:highlight w:val="none"/>
                      <w:lang w:val="en-US" w:eastAsia="zh-CN"/>
                    </w:rPr>
                    <w:t>声级水平</w:t>
                  </w:r>
                  <w:r>
                    <w:rPr>
                      <w:rFonts w:hint="default"/>
                      <w:color w:val="auto"/>
                      <w:highlight w:val="none"/>
                    </w:rPr>
                    <w:t>/dB</w:t>
                  </w:r>
                  <w:r>
                    <w:rPr>
                      <w:rFonts w:hint="eastAsia"/>
                      <w:color w:val="auto"/>
                      <w:highlight w:val="none"/>
                      <w:lang w:eastAsia="zh-CN"/>
                    </w:rPr>
                    <w:t>(A)</w:t>
                  </w:r>
                </w:p>
              </w:tc>
            </w:tr>
            <w:tr w14:paraId="0AF7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513" w:type="dxa"/>
                  <w:noWrap w:val="0"/>
                  <w:vAlign w:val="center"/>
                </w:tcPr>
                <w:p w14:paraId="44C210D1">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1</w:t>
                  </w:r>
                </w:p>
              </w:tc>
              <w:tc>
                <w:tcPr>
                  <w:tcW w:w="1125" w:type="dxa"/>
                  <w:noWrap w:val="0"/>
                  <w:vAlign w:val="center"/>
                </w:tcPr>
                <w:p w14:paraId="7813EB8E">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olor w:val="auto"/>
                      <w:sz w:val="21"/>
                      <w:szCs w:val="21"/>
                      <w:lang w:val="en-US" w:eastAsia="zh-CN"/>
                    </w:rPr>
                    <w:t>风机</w:t>
                  </w:r>
                </w:p>
              </w:tc>
              <w:tc>
                <w:tcPr>
                  <w:tcW w:w="1733" w:type="dxa"/>
                  <w:noWrap w:val="0"/>
                  <w:vAlign w:val="center"/>
                </w:tcPr>
                <w:p w14:paraId="7DD076F0">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76</w:t>
                  </w:r>
                </w:p>
              </w:tc>
              <w:tc>
                <w:tcPr>
                  <w:tcW w:w="1648" w:type="dxa"/>
                  <w:vMerge w:val="restart"/>
                  <w:noWrap w:val="0"/>
                  <w:vAlign w:val="center"/>
                </w:tcPr>
                <w:p w14:paraId="54FDD968">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t>采用低噪声设备，软管连接，安装消声器，基础减振</w:t>
                  </w:r>
                </w:p>
              </w:tc>
              <w:tc>
                <w:tcPr>
                  <w:tcW w:w="1123" w:type="dxa"/>
                  <w:noWrap w:val="0"/>
                  <w:vAlign w:val="center"/>
                </w:tcPr>
                <w:p w14:paraId="720770B2">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123" w:type="dxa"/>
                  <w:noWrap w:val="0"/>
                  <w:vAlign w:val="center"/>
                </w:tcPr>
                <w:p w14:paraId="64FA85E4">
                  <w:pPr>
                    <w:pStyle w:val="34"/>
                    <w:bidi w:val="0"/>
                    <w:ind w:firstLine="0" w:firstLineChars="0"/>
                    <w:rPr>
                      <w:rFonts w:hint="eastAsia" w:cs="Times New Roman"/>
                      <w:color w:val="auto"/>
                      <w:sz w:val="21"/>
                      <w:szCs w:val="21"/>
                      <w:highlight w:val="none"/>
                      <w:lang w:val="en-US" w:eastAsia="zh-CN"/>
                    </w:rPr>
                  </w:pPr>
                  <w:r>
                    <w:rPr>
                      <w:rFonts w:hint="eastAsia"/>
                      <w:color w:val="auto"/>
                      <w:highlight w:val="none"/>
                      <w:lang w:val="en-US" w:eastAsia="zh-CN"/>
                    </w:rPr>
                    <w:t>20</w:t>
                  </w:r>
                </w:p>
              </w:tc>
              <w:tc>
                <w:tcPr>
                  <w:tcW w:w="1123" w:type="dxa"/>
                  <w:noWrap w:val="0"/>
                  <w:vAlign w:val="center"/>
                </w:tcPr>
                <w:p w14:paraId="49292024">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r>
            <w:tr w14:paraId="4558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13" w:type="dxa"/>
                  <w:noWrap w:val="0"/>
                  <w:vAlign w:val="center"/>
                </w:tcPr>
                <w:p w14:paraId="783F582B">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2</w:t>
                  </w:r>
                </w:p>
              </w:tc>
              <w:tc>
                <w:tcPr>
                  <w:tcW w:w="1125" w:type="dxa"/>
                  <w:noWrap w:val="0"/>
                  <w:vAlign w:val="center"/>
                </w:tcPr>
                <w:p w14:paraId="05D2CDEB">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olor w:val="auto"/>
                      <w:sz w:val="21"/>
                      <w:szCs w:val="21"/>
                      <w:lang w:val="en-US" w:eastAsia="zh-CN"/>
                    </w:rPr>
                    <w:t>风机</w:t>
                  </w:r>
                </w:p>
              </w:tc>
              <w:tc>
                <w:tcPr>
                  <w:tcW w:w="1733" w:type="dxa"/>
                  <w:noWrap w:val="0"/>
                  <w:vAlign w:val="center"/>
                </w:tcPr>
                <w:p w14:paraId="2990C06D">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76</w:t>
                  </w:r>
                </w:p>
              </w:tc>
              <w:tc>
                <w:tcPr>
                  <w:tcW w:w="1648" w:type="dxa"/>
                  <w:vMerge w:val="continue"/>
                  <w:noWrap w:val="0"/>
                  <w:vAlign w:val="center"/>
                </w:tcPr>
                <w:p w14:paraId="36BB1504">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p>
              </w:tc>
              <w:tc>
                <w:tcPr>
                  <w:tcW w:w="1123" w:type="dxa"/>
                  <w:noWrap w:val="0"/>
                  <w:vAlign w:val="center"/>
                </w:tcPr>
                <w:p w14:paraId="3422CB2A">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123" w:type="dxa"/>
                  <w:noWrap w:val="0"/>
                  <w:vAlign w:val="center"/>
                </w:tcPr>
                <w:p w14:paraId="046E488F">
                  <w:pPr>
                    <w:pStyle w:val="34"/>
                    <w:bidi w:val="0"/>
                    <w:ind w:firstLine="0" w:firstLineChars="0"/>
                    <w:rPr>
                      <w:rFonts w:hint="eastAsia" w:cs="Times New Roman"/>
                      <w:color w:val="auto"/>
                      <w:sz w:val="21"/>
                      <w:szCs w:val="21"/>
                      <w:highlight w:val="none"/>
                      <w:lang w:val="en-US" w:eastAsia="zh-CN"/>
                    </w:rPr>
                  </w:pPr>
                  <w:r>
                    <w:rPr>
                      <w:rFonts w:hint="eastAsia"/>
                      <w:color w:val="auto"/>
                      <w:highlight w:val="none"/>
                      <w:lang w:val="en-US" w:eastAsia="zh-CN"/>
                    </w:rPr>
                    <w:t>20</w:t>
                  </w:r>
                </w:p>
              </w:tc>
              <w:tc>
                <w:tcPr>
                  <w:tcW w:w="1123" w:type="dxa"/>
                  <w:noWrap w:val="0"/>
                  <w:vAlign w:val="center"/>
                </w:tcPr>
                <w:p w14:paraId="6B9AFC28">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r>
            <w:tr w14:paraId="23CA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13" w:type="dxa"/>
                  <w:noWrap w:val="0"/>
                  <w:vAlign w:val="center"/>
                </w:tcPr>
                <w:p w14:paraId="186945C8">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p>
              </w:tc>
              <w:tc>
                <w:tcPr>
                  <w:tcW w:w="1125" w:type="dxa"/>
                  <w:noWrap w:val="0"/>
                  <w:vAlign w:val="center"/>
                </w:tcPr>
                <w:p w14:paraId="3AD1FD84">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olor w:val="auto"/>
                      <w:sz w:val="21"/>
                      <w:szCs w:val="21"/>
                      <w:lang w:val="en-US" w:eastAsia="zh-CN"/>
                    </w:rPr>
                    <w:t>风机</w:t>
                  </w:r>
                </w:p>
              </w:tc>
              <w:tc>
                <w:tcPr>
                  <w:tcW w:w="1733" w:type="dxa"/>
                  <w:noWrap w:val="0"/>
                  <w:vAlign w:val="center"/>
                </w:tcPr>
                <w:p w14:paraId="4B959F04">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76</w:t>
                  </w:r>
                </w:p>
              </w:tc>
              <w:tc>
                <w:tcPr>
                  <w:tcW w:w="1648" w:type="dxa"/>
                  <w:vMerge w:val="continue"/>
                  <w:noWrap w:val="0"/>
                  <w:vAlign w:val="center"/>
                </w:tcPr>
                <w:p w14:paraId="58866F9E">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p>
              </w:tc>
              <w:tc>
                <w:tcPr>
                  <w:tcW w:w="1123" w:type="dxa"/>
                  <w:noWrap w:val="0"/>
                  <w:vAlign w:val="center"/>
                </w:tcPr>
                <w:p w14:paraId="60AF5B23">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123" w:type="dxa"/>
                  <w:noWrap w:val="0"/>
                  <w:vAlign w:val="center"/>
                </w:tcPr>
                <w:p w14:paraId="01864081">
                  <w:pPr>
                    <w:pStyle w:val="34"/>
                    <w:bidi w:val="0"/>
                    <w:ind w:firstLine="0" w:firstLineChars="0"/>
                    <w:rPr>
                      <w:rFonts w:hint="eastAsia" w:cs="Times New Roman"/>
                      <w:color w:val="auto"/>
                      <w:sz w:val="21"/>
                      <w:szCs w:val="21"/>
                      <w:highlight w:val="none"/>
                      <w:lang w:val="en-US" w:eastAsia="zh-CN"/>
                    </w:rPr>
                  </w:pPr>
                  <w:r>
                    <w:rPr>
                      <w:rFonts w:hint="eastAsia"/>
                      <w:color w:val="auto"/>
                      <w:highlight w:val="none"/>
                      <w:lang w:val="en-US" w:eastAsia="zh-CN"/>
                    </w:rPr>
                    <w:t>20</w:t>
                  </w:r>
                </w:p>
              </w:tc>
              <w:tc>
                <w:tcPr>
                  <w:tcW w:w="1123" w:type="dxa"/>
                  <w:noWrap w:val="0"/>
                  <w:vAlign w:val="center"/>
                </w:tcPr>
                <w:p w14:paraId="3E0B1B39">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r>
            <w:tr w14:paraId="1D92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13" w:type="dxa"/>
                  <w:noWrap w:val="0"/>
                  <w:vAlign w:val="center"/>
                </w:tcPr>
                <w:p w14:paraId="6009EAEE">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w:t>
                  </w:r>
                </w:p>
              </w:tc>
              <w:tc>
                <w:tcPr>
                  <w:tcW w:w="1125" w:type="dxa"/>
                  <w:noWrap w:val="0"/>
                  <w:vAlign w:val="center"/>
                </w:tcPr>
                <w:p w14:paraId="53E00B5F">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olor w:val="auto"/>
                      <w:sz w:val="21"/>
                      <w:szCs w:val="21"/>
                      <w:lang w:val="en-US" w:eastAsia="zh-CN"/>
                    </w:rPr>
                    <w:t>风机</w:t>
                  </w:r>
                </w:p>
              </w:tc>
              <w:tc>
                <w:tcPr>
                  <w:tcW w:w="1733" w:type="dxa"/>
                  <w:noWrap w:val="0"/>
                  <w:vAlign w:val="center"/>
                </w:tcPr>
                <w:p w14:paraId="6038D758">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76</w:t>
                  </w:r>
                </w:p>
              </w:tc>
              <w:tc>
                <w:tcPr>
                  <w:tcW w:w="1648" w:type="dxa"/>
                  <w:vMerge w:val="continue"/>
                  <w:noWrap w:val="0"/>
                  <w:vAlign w:val="center"/>
                </w:tcPr>
                <w:p w14:paraId="4DFD935C">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p>
              </w:tc>
              <w:tc>
                <w:tcPr>
                  <w:tcW w:w="1123" w:type="dxa"/>
                  <w:noWrap w:val="0"/>
                  <w:vAlign w:val="center"/>
                </w:tcPr>
                <w:p w14:paraId="1B8A09E7">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123" w:type="dxa"/>
                  <w:noWrap w:val="0"/>
                  <w:vAlign w:val="center"/>
                </w:tcPr>
                <w:p w14:paraId="0D641391">
                  <w:pPr>
                    <w:pStyle w:val="34"/>
                    <w:bidi w:val="0"/>
                    <w:ind w:firstLine="0" w:firstLineChars="0"/>
                    <w:rPr>
                      <w:rFonts w:hint="eastAsia" w:cs="Times New Roman"/>
                      <w:color w:val="auto"/>
                      <w:sz w:val="21"/>
                      <w:szCs w:val="21"/>
                      <w:highlight w:val="none"/>
                      <w:lang w:val="en-US" w:eastAsia="zh-CN"/>
                    </w:rPr>
                  </w:pPr>
                  <w:r>
                    <w:rPr>
                      <w:rFonts w:hint="eastAsia"/>
                      <w:color w:val="auto"/>
                      <w:highlight w:val="none"/>
                      <w:lang w:val="en-US" w:eastAsia="zh-CN"/>
                    </w:rPr>
                    <w:t>20</w:t>
                  </w:r>
                </w:p>
              </w:tc>
              <w:tc>
                <w:tcPr>
                  <w:tcW w:w="1123" w:type="dxa"/>
                  <w:noWrap w:val="0"/>
                  <w:vAlign w:val="center"/>
                </w:tcPr>
                <w:p w14:paraId="4A063446">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46</w:t>
                  </w:r>
                </w:p>
              </w:tc>
            </w:tr>
            <w:tr w14:paraId="22E95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13" w:type="dxa"/>
                  <w:noWrap w:val="0"/>
                  <w:vAlign w:val="center"/>
                </w:tcPr>
                <w:p w14:paraId="6166C279">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p>
              </w:tc>
              <w:tc>
                <w:tcPr>
                  <w:tcW w:w="1125" w:type="dxa"/>
                  <w:noWrap w:val="0"/>
                  <w:vAlign w:val="center"/>
                </w:tcPr>
                <w:p w14:paraId="3F470C44">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风机</w:t>
                  </w:r>
                </w:p>
              </w:tc>
              <w:tc>
                <w:tcPr>
                  <w:tcW w:w="1733" w:type="dxa"/>
                  <w:noWrap w:val="0"/>
                  <w:vAlign w:val="center"/>
                </w:tcPr>
                <w:p w14:paraId="49D2BC7D">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80</w:t>
                  </w:r>
                </w:p>
              </w:tc>
              <w:tc>
                <w:tcPr>
                  <w:tcW w:w="1648" w:type="dxa"/>
                  <w:vMerge w:val="continue"/>
                  <w:noWrap w:val="0"/>
                  <w:vAlign w:val="center"/>
                </w:tcPr>
                <w:p w14:paraId="202A4603">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p>
              </w:tc>
              <w:tc>
                <w:tcPr>
                  <w:tcW w:w="1123" w:type="dxa"/>
                  <w:noWrap w:val="0"/>
                  <w:vAlign w:val="center"/>
                </w:tcPr>
                <w:p w14:paraId="29038608">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123" w:type="dxa"/>
                  <w:noWrap w:val="0"/>
                  <w:vAlign w:val="center"/>
                </w:tcPr>
                <w:p w14:paraId="69EE38BD">
                  <w:pPr>
                    <w:pStyle w:val="34"/>
                    <w:bidi w:val="0"/>
                    <w:ind w:firstLine="0" w:firstLineChars="0"/>
                    <w:rPr>
                      <w:rFonts w:hint="eastAsia" w:cs="Times New Roman"/>
                      <w:color w:val="auto"/>
                      <w:sz w:val="21"/>
                      <w:szCs w:val="21"/>
                      <w:highlight w:val="none"/>
                      <w:lang w:val="en-US" w:eastAsia="zh-CN"/>
                    </w:rPr>
                  </w:pPr>
                  <w:r>
                    <w:rPr>
                      <w:rFonts w:hint="eastAsia"/>
                      <w:color w:val="auto"/>
                      <w:highlight w:val="none"/>
                      <w:lang w:val="en-US" w:eastAsia="zh-CN"/>
                    </w:rPr>
                    <w:t>20</w:t>
                  </w:r>
                </w:p>
              </w:tc>
              <w:tc>
                <w:tcPr>
                  <w:tcW w:w="1123" w:type="dxa"/>
                  <w:noWrap w:val="0"/>
                  <w:vAlign w:val="center"/>
                </w:tcPr>
                <w:p w14:paraId="610B8776">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r>
            <w:tr w14:paraId="2F67F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13" w:type="dxa"/>
                  <w:noWrap w:val="0"/>
                  <w:vAlign w:val="center"/>
                </w:tcPr>
                <w:p w14:paraId="48290251">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6</w:t>
                  </w:r>
                </w:p>
              </w:tc>
              <w:tc>
                <w:tcPr>
                  <w:tcW w:w="1125" w:type="dxa"/>
                  <w:noWrap w:val="0"/>
                  <w:vAlign w:val="center"/>
                </w:tcPr>
                <w:p w14:paraId="58FC3F40">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olor w:val="auto"/>
                      <w:sz w:val="21"/>
                      <w:szCs w:val="21"/>
                      <w:lang w:val="en-US" w:eastAsia="zh-CN"/>
                    </w:rPr>
                    <w:t>风机</w:t>
                  </w:r>
                </w:p>
              </w:tc>
              <w:tc>
                <w:tcPr>
                  <w:tcW w:w="1733" w:type="dxa"/>
                  <w:noWrap w:val="0"/>
                  <w:vAlign w:val="center"/>
                </w:tcPr>
                <w:p w14:paraId="25A9333A">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80</w:t>
                  </w:r>
                </w:p>
              </w:tc>
              <w:tc>
                <w:tcPr>
                  <w:tcW w:w="1648" w:type="dxa"/>
                  <w:vMerge w:val="continue"/>
                  <w:noWrap w:val="0"/>
                  <w:vAlign w:val="center"/>
                </w:tcPr>
                <w:p w14:paraId="4F974F26">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p>
              </w:tc>
              <w:tc>
                <w:tcPr>
                  <w:tcW w:w="1123" w:type="dxa"/>
                  <w:noWrap w:val="0"/>
                  <w:vAlign w:val="center"/>
                </w:tcPr>
                <w:p w14:paraId="633A5A34">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123" w:type="dxa"/>
                  <w:noWrap w:val="0"/>
                  <w:vAlign w:val="center"/>
                </w:tcPr>
                <w:p w14:paraId="7A16398B">
                  <w:pPr>
                    <w:pStyle w:val="34"/>
                    <w:bidi w:val="0"/>
                    <w:ind w:firstLine="0" w:firstLineChars="0"/>
                    <w:rPr>
                      <w:rFonts w:hint="eastAsia" w:cs="Times New Roman"/>
                      <w:color w:val="auto"/>
                      <w:sz w:val="21"/>
                      <w:szCs w:val="21"/>
                      <w:highlight w:val="none"/>
                      <w:lang w:val="en-US" w:eastAsia="zh-CN"/>
                    </w:rPr>
                  </w:pPr>
                  <w:r>
                    <w:rPr>
                      <w:rFonts w:hint="eastAsia"/>
                      <w:color w:val="auto"/>
                      <w:highlight w:val="none"/>
                      <w:lang w:val="en-US" w:eastAsia="zh-CN"/>
                    </w:rPr>
                    <w:t>20</w:t>
                  </w:r>
                </w:p>
              </w:tc>
              <w:tc>
                <w:tcPr>
                  <w:tcW w:w="1123" w:type="dxa"/>
                  <w:noWrap w:val="0"/>
                  <w:vAlign w:val="center"/>
                </w:tcPr>
                <w:p w14:paraId="7AFD63C4">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r>
            <w:tr w14:paraId="2179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13" w:type="dxa"/>
                  <w:noWrap w:val="0"/>
                  <w:vAlign w:val="center"/>
                </w:tcPr>
                <w:p w14:paraId="65A70647">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7</w:t>
                  </w:r>
                </w:p>
              </w:tc>
              <w:tc>
                <w:tcPr>
                  <w:tcW w:w="1125" w:type="dxa"/>
                  <w:noWrap w:val="0"/>
                  <w:vAlign w:val="center"/>
                </w:tcPr>
                <w:p w14:paraId="02C72850">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olor w:val="auto"/>
                      <w:sz w:val="21"/>
                      <w:szCs w:val="21"/>
                      <w:lang w:val="en-US" w:eastAsia="zh-CN"/>
                    </w:rPr>
                    <w:t>风机</w:t>
                  </w:r>
                </w:p>
              </w:tc>
              <w:tc>
                <w:tcPr>
                  <w:tcW w:w="1733" w:type="dxa"/>
                  <w:noWrap w:val="0"/>
                  <w:vAlign w:val="center"/>
                </w:tcPr>
                <w:p w14:paraId="7EDC1BEA">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80</w:t>
                  </w:r>
                </w:p>
              </w:tc>
              <w:tc>
                <w:tcPr>
                  <w:tcW w:w="1648" w:type="dxa"/>
                  <w:vMerge w:val="continue"/>
                  <w:noWrap w:val="0"/>
                  <w:vAlign w:val="center"/>
                </w:tcPr>
                <w:p w14:paraId="1C452AC9">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p>
              </w:tc>
              <w:tc>
                <w:tcPr>
                  <w:tcW w:w="1123" w:type="dxa"/>
                  <w:noWrap w:val="0"/>
                  <w:vAlign w:val="center"/>
                </w:tcPr>
                <w:p w14:paraId="7283E90D">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123" w:type="dxa"/>
                  <w:noWrap w:val="0"/>
                  <w:vAlign w:val="center"/>
                </w:tcPr>
                <w:p w14:paraId="4DAFD38E">
                  <w:pPr>
                    <w:pStyle w:val="34"/>
                    <w:bidi w:val="0"/>
                    <w:ind w:firstLine="0" w:firstLineChars="0"/>
                    <w:rPr>
                      <w:rFonts w:hint="eastAsia" w:cs="Times New Roman"/>
                      <w:color w:val="auto"/>
                      <w:sz w:val="21"/>
                      <w:szCs w:val="21"/>
                      <w:highlight w:val="none"/>
                      <w:lang w:val="en-US" w:eastAsia="zh-CN"/>
                    </w:rPr>
                  </w:pPr>
                  <w:r>
                    <w:rPr>
                      <w:rFonts w:hint="eastAsia"/>
                      <w:color w:val="auto"/>
                      <w:highlight w:val="none"/>
                      <w:lang w:val="en-US" w:eastAsia="zh-CN"/>
                    </w:rPr>
                    <w:t>20</w:t>
                  </w:r>
                </w:p>
              </w:tc>
              <w:tc>
                <w:tcPr>
                  <w:tcW w:w="1123" w:type="dxa"/>
                  <w:noWrap w:val="0"/>
                  <w:vAlign w:val="center"/>
                </w:tcPr>
                <w:p w14:paraId="092F7EB8">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r>
            <w:tr w14:paraId="3602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513" w:type="dxa"/>
                  <w:noWrap w:val="0"/>
                  <w:vAlign w:val="center"/>
                </w:tcPr>
                <w:p w14:paraId="612FF38A">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8</w:t>
                  </w:r>
                </w:p>
              </w:tc>
              <w:tc>
                <w:tcPr>
                  <w:tcW w:w="1125" w:type="dxa"/>
                  <w:noWrap w:val="0"/>
                  <w:vAlign w:val="center"/>
                </w:tcPr>
                <w:p w14:paraId="69506370">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olor w:val="auto"/>
                      <w:sz w:val="21"/>
                      <w:szCs w:val="21"/>
                      <w:lang w:val="en-US" w:eastAsia="zh-CN"/>
                    </w:rPr>
                    <w:t>风机</w:t>
                  </w:r>
                </w:p>
              </w:tc>
              <w:tc>
                <w:tcPr>
                  <w:tcW w:w="1733" w:type="dxa"/>
                  <w:noWrap w:val="0"/>
                  <w:vAlign w:val="center"/>
                </w:tcPr>
                <w:p w14:paraId="226AB1B7">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80</w:t>
                  </w:r>
                </w:p>
              </w:tc>
              <w:tc>
                <w:tcPr>
                  <w:tcW w:w="1648" w:type="dxa"/>
                  <w:vMerge w:val="continue"/>
                  <w:noWrap w:val="0"/>
                  <w:vAlign w:val="center"/>
                </w:tcPr>
                <w:p w14:paraId="20F5C1FA">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ascii="Times New Roman" w:hAnsi="Times New Roman" w:eastAsia="宋体" w:cs="Times New Roman"/>
                      <w:color w:val="auto"/>
                      <w:sz w:val="21"/>
                      <w:szCs w:val="21"/>
                      <w:highlight w:val="none"/>
                    </w:rPr>
                  </w:pPr>
                </w:p>
              </w:tc>
              <w:tc>
                <w:tcPr>
                  <w:tcW w:w="1123" w:type="dxa"/>
                  <w:noWrap w:val="0"/>
                  <w:vAlign w:val="center"/>
                </w:tcPr>
                <w:p w14:paraId="0B6D8D9A">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123" w:type="dxa"/>
                  <w:noWrap w:val="0"/>
                  <w:vAlign w:val="center"/>
                </w:tcPr>
                <w:p w14:paraId="6BA391AC">
                  <w:pPr>
                    <w:pStyle w:val="34"/>
                    <w:bidi w:val="0"/>
                    <w:ind w:firstLine="0" w:firstLineChars="0"/>
                    <w:rPr>
                      <w:rFonts w:hint="eastAsia" w:cs="Times New Roman"/>
                      <w:color w:val="auto"/>
                      <w:sz w:val="21"/>
                      <w:szCs w:val="21"/>
                      <w:highlight w:val="none"/>
                      <w:lang w:val="en-US" w:eastAsia="zh-CN"/>
                    </w:rPr>
                  </w:pPr>
                  <w:r>
                    <w:rPr>
                      <w:rFonts w:hint="eastAsia"/>
                      <w:color w:val="auto"/>
                      <w:highlight w:val="none"/>
                      <w:lang w:val="en-US" w:eastAsia="zh-CN"/>
                    </w:rPr>
                    <w:t>20</w:t>
                  </w:r>
                </w:p>
              </w:tc>
              <w:tc>
                <w:tcPr>
                  <w:tcW w:w="1123" w:type="dxa"/>
                  <w:noWrap w:val="0"/>
                  <w:vAlign w:val="center"/>
                </w:tcPr>
                <w:p w14:paraId="5DC75544">
                  <w:pPr>
                    <w:keepNext w:val="0"/>
                    <w:keepLines w:val="0"/>
                    <w:pageBreakBefore w:val="0"/>
                    <w:widowControl w:val="0"/>
                    <w:tabs>
                      <w:tab w:val="left" w:pos="3495"/>
                    </w:tabs>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r>
          </w:tbl>
          <w:p w14:paraId="07BC530D">
            <w:pPr>
              <w:pageBreakBefore w:val="0"/>
              <w:widowControl w:val="0"/>
              <w:kinsoku/>
              <w:wordWrap/>
              <w:overflowPunct/>
              <w:topLinePunct w:val="0"/>
              <w:bidi w:val="0"/>
              <w:snapToGrid/>
              <w:ind w:left="0" w:leftChars="0" w:right="0" w:firstLine="0" w:firstLineChars="0"/>
              <w:jc w:val="both"/>
              <w:textAlignment w:val="auto"/>
              <w:rPr>
                <w:rFonts w:hint="default" w:ascii="Times New Roman" w:hAnsi="Times New Roman" w:eastAsia="宋体" w:cs="Times New Roman"/>
                <w:color w:val="auto"/>
                <w:vertAlign w:val="baseline"/>
              </w:rPr>
            </w:pPr>
          </w:p>
          <w:p w14:paraId="0FC15853">
            <w:pPr>
              <w:pageBreakBefore w:val="0"/>
              <w:widowControl w:val="0"/>
              <w:kinsoku/>
              <w:wordWrap/>
              <w:overflowPunct/>
              <w:topLinePunct w:val="0"/>
              <w:bidi w:val="0"/>
              <w:snapToGrid/>
              <w:ind w:left="0" w:leftChars="0" w:right="0" w:firstLine="0" w:firstLineChars="0"/>
              <w:jc w:val="both"/>
              <w:textAlignment w:val="auto"/>
              <w:rPr>
                <w:rFonts w:hint="default" w:ascii="Times New Roman" w:hAnsi="Times New Roman" w:eastAsia="宋体" w:cs="Times New Roman"/>
                <w:color w:val="auto"/>
                <w:vertAlign w:val="baseline"/>
              </w:rPr>
            </w:pPr>
          </w:p>
          <w:p w14:paraId="4B699930">
            <w:pPr>
              <w:pageBreakBefore w:val="0"/>
              <w:widowControl w:val="0"/>
              <w:kinsoku/>
              <w:wordWrap/>
              <w:overflowPunct/>
              <w:topLinePunct w:val="0"/>
              <w:bidi w:val="0"/>
              <w:snapToGrid/>
              <w:ind w:left="0" w:leftChars="0" w:right="0" w:firstLine="0" w:firstLineChars="0"/>
              <w:jc w:val="both"/>
              <w:textAlignment w:val="auto"/>
              <w:rPr>
                <w:rFonts w:hint="default" w:ascii="Times New Roman" w:hAnsi="Times New Roman" w:eastAsia="宋体" w:cs="Times New Roman"/>
                <w:color w:val="auto"/>
                <w:vertAlign w:val="baseline"/>
              </w:rPr>
            </w:pPr>
          </w:p>
          <w:p w14:paraId="2DCBB082">
            <w:pPr>
              <w:pageBreakBefore w:val="0"/>
              <w:widowControl w:val="0"/>
              <w:kinsoku/>
              <w:wordWrap/>
              <w:overflowPunct/>
              <w:topLinePunct w:val="0"/>
              <w:bidi w:val="0"/>
              <w:snapToGrid/>
              <w:ind w:left="0" w:leftChars="0" w:right="0" w:firstLine="0" w:firstLineChars="0"/>
              <w:jc w:val="both"/>
              <w:textAlignment w:val="auto"/>
              <w:rPr>
                <w:rFonts w:hint="default" w:ascii="Times New Roman" w:hAnsi="Times New Roman" w:eastAsia="宋体" w:cs="Times New Roman"/>
                <w:color w:val="auto"/>
                <w:vertAlign w:val="baseline"/>
              </w:rPr>
            </w:pPr>
          </w:p>
          <w:p w14:paraId="01E65DA6">
            <w:pPr>
              <w:pageBreakBefore w:val="0"/>
              <w:widowControl w:val="0"/>
              <w:kinsoku/>
              <w:wordWrap/>
              <w:overflowPunct/>
              <w:topLinePunct w:val="0"/>
              <w:bidi w:val="0"/>
              <w:snapToGrid/>
              <w:ind w:left="0" w:leftChars="0" w:right="0" w:firstLine="0" w:firstLineChars="0"/>
              <w:jc w:val="both"/>
              <w:textAlignment w:val="auto"/>
              <w:rPr>
                <w:rFonts w:hint="default" w:ascii="Times New Roman" w:hAnsi="Times New Roman" w:eastAsia="宋体" w:cs="Times New Roman"/>
                <w:color w:val="auto"/>
                <w:vertAlign w:val="baseline"/>
              </w:rPr>
            </w:pPr>
          </w:p>
          <w:p w14:paraId="0205C827">
            <w:pPr>
              <w:pageBreakBefore w:val="0"/>
              <w:widowControl w:val="0"/>
              <w:kinsoku/>
              <w:wordWrap/>
              <w:overflowPunct/>
              <w:topLinePunct w:val="0"/>
              <w:bidi w:val="0"/>
              <w:snapToGrid/>
              <w:ind w:left="0" w:leftChars="0" w:right="0" w:firstLine="0" w:firstLineChars="0"/>
              <w:jc w:val="both"/>
              <w:textAlignment w:val="auto"/>
              <w:rPr>
                <w:rFonts w:hint="default" w:ascii="Times New Roman" w:hAnsi="Times New Roman" w:eastAsia="宋体" w:cs="Times New Roman"/>
                <w:color w:val="auto"/>
                <w:vertAlign w:val="baseline"/>
              </w:rPr>
            </w:pPr>
          </w:p>
          <w:p w14:paraId="6B2C3A6D">
            <w:pPr>
              <w:pageBreakBefore w:val="0"/>
              <w:widowControl w:val="0"/>
              <w:kinsoku/>
              <w:wordWrap/>
              <w:overflowPunct/>
              <w:topLinePunct w:val="0"/>
              <w:bidi w:val="0"/>
              <w:snapToGrid/>
              <w:ind w:left="0" w:leftChars="0" w:right="0" w:firstLine="0" w:firstLineChars="0"/>
              <w:jc w:val="both"/>
              <w:textAlignment w:val="auto"/>
              <w:rPr>
                <w:rFonts w:hint="default" w:ascii="Times New Roman" w:hAnsi="Times New Roman" w:eastAsia="宋体" w:cs="Times New Roman"/>
                <w:color w:val="auto"/>
                <w:vertAlign w:val="baseline"/>
              </w:rPr>
            </w:pPr>
          </w:p>
          <w:p w14:paraId="5E8A9638">
            <w:pPr>
              <w:pageBreakBefore w:val="0"/>
              <w:widowControl w:val="0"/>
              <w:kinsoku/>
              <w:wordWrap/>
              <w:overflowPunct/>
              <w:topLinePunct w:val="0"/>
              <w:bidi w:val="0"/>
              <w:snapToGrid/>
              <w:ind w:left="0" w:leftChars="0" w:right="0" w:firstLine="0" w:firstLineChars="0"/>
              <w:jc w:val="both"/>
              <w:textAlignment w:val="auto"/>
              <w:rPr>
                <w:rFonts w:hint="default" w:ascii="Times New Roman" w:hAnsi="Times New Roman" w:eastAsia="宋体" w:cs="Times New Roman"/>
                <w:color w:val="auto"/>
                <w:vertAlign w:val="baseline"/>
              </w:rPr>
            </w:pPr>
          </w:p>
        </w:tc>
      </w:tr>
    </w:tbl>
    <w:p w14:paraId="594AEDA8">
      <w:pPr>
        <w:rPr>
          <w:rFonts w:hint="eastAsia"/>
          <w:color w:val="auto"/>
          <w:highlight w:val="none"/>
          <w:lang w:eastAsia="zh-CN"/>
        </w:rPr>
        <w:sectPr>
          <w:pgSz w:w="11906" w:h="16838"/>
          <w:pgMar w:top="1701" w:right="1417" w:bottom="1701" w:left="1417" w:header="851"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6A5551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highlight w:val="none"/>
          <w:lang w:eastAsia="zh-CN"/>
        </w:rPr>
      </w:pPr>
      <w:r>
        <w:rPr>
          <w:rFonts w:hint="eastAsia" w:ascii="Times New Roman" w:hAnsi="Times New Roman" w:eastAsia="宋体" w:cs="Times New Roman"/>
          <w:b/>
          <w:bCs/>
          <w:color w:val="auto"/>
          <w:sz w:val="21"/>
          <w:szCs w:val="24"/>
          <w:highlight w:val="none"/>
          <w:lang w:eastAsia="zh-CN"/>
        </w:rPr>
        <w:t>表</w:t>
      </w:r>
      <w:r>
        <w:rPr>
          <w:rFonts w:hint="eastAsia" w:ascii="Times New Roman" w:hAnsi="Times New Roman" w:eastAsia="宋体" w:cs="Times New Roman"/>
          <w:b/>
          <w:bCs/>
          <w:color w:val="auto"/>
          <w:sz w:val="21"/>
          <w:szCs w:val="24"/>
          <w:highlight w:val="none"/>
          <w:lang w:val="en-US" w:eastAsia="zh-CN"/>
        </w:rPr>
        <w:t>4-</w:t>
      </w:r>
      <w:r>
        <w:rPr>
          <w:rFonts w:hint="eastAsia" w:cs="Times New Roman"/>
          <w:b/>
          <w:bCs/>
          <w:color w:val="auto"/>
          <w:sz w:val="21"/>
          <w:szCs w:val="24"/>
          <w:highlight w:val="none"/>
          <w:lang w:val="en-US" w:eastAsia="zh-CN"/>
        </w:rPr>
        <w:t>10</w:t>
      </w:r>
      <w:r>
        <w:rPr>
          <w:rFonts w:hint="eastAsia" w:ascii="Times New Roman" w:hAnsi="Times New Roman" w:eastAsia="宋体" w:cs="Times New Roman"/>
          <w:b/>
          <w:bCs/>
          <w:color w:val="auto"/>
          <w:sz w:val="21"/>
          <w:szCs w:val="24"/>
          <w:highlight w:val="none"/>
          <w:lang w:val="en-US" w:eastAsia="zh-CN"/>
        </w:rPr>
        <w:t xml:space="preserve"> 主要噪声源统计表（室内声源）</w:t>
      </w:r>
    </w:p>
    <w:tbl>
      <w:tblPr>
        <w:tblStyle w:val="28"/>
        <w:tblpPr w:leftFromText="180" w:rightFromText="180" w:vertAnchor="text" w:horzAnchor="page" w:tblpXSpec="center" w:tblpY="323"/>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911"/>
        <w:gridCol w:w="1169"/>
        <w:gridCol w:w="694"/>
        <w:gridCol w:w="1973"/>
        <w:gridCol w:w="1160"/>
        <w:gridCol w:w="973"/>
        <w:gridCol w:w="747"/>
        <w:gridCol w:w="853"/>
        <w:gridCol w:w="814"/>
        <w:gridCol w:w="1333"/>
        <w:gridCol w:w="773"/>
        <w:gridCol w:w="774"/>
        <w:gridCol w:w="606"/>
      </w:tblGrid>
      <w:tr w14:paraId="5075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exact"/>
          <w:jc w:val="center"/>
        </w:trPr>
        <w:tc>
          <w:tcPr>
            <w:tcW w:w="448" w:type="dxa"/>
            <w:vMerge w:val="restart"/>
            <w:noWrap w:val="0"/>
            <w:vAlign w:val="center"/>
          </w:tcPr>
          <w:p w14:paraId="1C8BF6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bookmarkStart w:id="36" w:name="PT_6"/>
            <w:r>
              <w:rPr>
                <w:rFonts w:hint="default" w:ascii="Times New Roman" w:hAnsi="Times New Roman" w:eastAsia="宋体" w:cs="Times New Roman"/>
                <w:b w:val="0"/>
                <w:bCs/>
                <w:color w:val="auto"/>
                <w:sz w:val="21"/>
                <w:szCs w:val="21"/>
              </w:rPr>
              <w:t>序号</w:t>
            </w:r>
          </w:p>
        </w:tc>
        <w:tc>
          <w:tcPr>
            <w:tcW w:w="911" w:type="dxa"/>
            <w:vMerge w:val="restart"/>
            <w:noWrap w:val="0"/>
            <w:vAlign w:val="center"/>
          </w:tcPr>
          <w:p w14:paraId="4ACAB0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建筑物名称</w:t>
            </w:r>
          </w:p>
        </w:tc>
        <w:tc>
          <w:tcPr>
            <w:tcW w:w="1169" w:type="dxa"/>
            <w:vMerge w:val="restart"/>
            <w:noWrap w:val="0"/>
            <w:vAlign w:val="center"/>
          </w:tcPr>
          <w:p w14:paraId="755385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声源名称</w:t>
            </w:r>
          </w:p>
        </w:tc>
        <w:tc>
          <w:tcPr>
            <w:tcW w:w="694" w:type="dxa"/>
            <w:noWrap w:val="0"/>
            <w:vAlign w:val="center"/>
          </w:tcPr>
          <w:p w14:paraId="469B68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lang w:eastAsia="zh-CN"/>
              </w:rPr>
              <w:t>声源源强</w:t>
            </w:r>
          </w:p>
        </w:tc>
        <w:tc>
          <w:tcPr>
            <w:tcW w:w="1973" w:type="dxa"/>
            <w:vMerge w:val="restart"/>
            <w:noWrap w:val="0"/>
            <w:vAlign w:val="center"/>
          </w:tcPr>
          <w:p w14:paraId="0E1389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声源控制措施</w:t>
            </w:r>
          </w:p>
        </w:tc>
        <w:tc>
          <w:tcPr>
            <w:tcW w:w="2880" w:type="dxa"/>
            <w:gridSpan w:val="3"/>
            <w:noWrap w:val="0"/>
            <w:vAlign w:val="center"/>
          </w:tcPr>
          <w:p w14:paraId="10DB16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空间相对位置/m</w:t>
            </w:r>
          </w:p>
        </w:tc>
        <w:tc>
          <w:tcPr>
            <w:tcW w:w="853" w:type="dxa"/>
            <w:vMerge w:val="restart"/>
            <w:noWrap w:val="0"/>
            <w:vAlign w:val="center"/>
          </w:tcPr>
          <w:p w14:paraId="5A04D9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距室内边界距离/m</w:t>
            </w:r>
          </w:p>
        </w:tc>
        <w:tc>
          <w:tcPr>
            <w:tcW w:w="814" w:type="dxa"/>
            <w:vMerge w:val="restart"/>
            <w:noWrap w:val="0"/>
            <w:vAlign w:val="center"/>
          </w:tcPr>
          <w:p w14:paraId="15DF8E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室内边界声级/dB(A)</w:t>
            </w:r>
          </w:p>
        </w:tc>
        <w:tc>
          <w:tcPr>
            <w:tcW w:w="1333" w:type="dxa"/>
            <w:vMerge w:val="restart"/>
            <w:noWrap w:val="0"/>
            <w:vAlign w:val="center"/>
          </w:tcPr>
          <w:p w14:paraId="432B7B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运行时段</w:t>
            </w:r>
          </w:p>
        </w:tc>
        <w:tc>
          <w:tcPr>
            <w:tcW w:w="773" w:type="dxa"/>
            <w:vMerge w:val="restart"/>
            <w:noWrap w:val="0"/>
            <w:vAlign w:val="center"/>
          </w:tcPr>
          <w:p w14:paraId="3F51A5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建筑物插入损失 / dB(A)</w:t>
            </w:r>
            <w:bookmarkStart w:id="37" w:name="PT_10"/>
            <w:bookmarkEnd w:id="37"/>
          </w:p>
        </w:tc>
        <w:tc>
          <w:tcPr>
            <w:tcW w:w="1380" w:type="dxa"/>
            <w:gridSpan w:val="2"/>
            <w:noWrap w:val="0"/>
            <w:vAlign w:val="center"/>
          </w:tcPr>
          <w:p w14:paraId="574452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建筑物外噪声声压级/dB(A)</w:t>
            </w:r>
          </w:p>
        </w:tc>
      </w:tr>
      <w:tr w14:paraId="22FA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vMerge w:val="continue"/>
            <w:noWrap w:val="0"/>
            <w:tcMar>
              <w:top w:w="0" w:type="dxa"/>
              <w:left w:w="0" w:type="dxa"/>
              <w:bottom w:w="0" w:type="dxa"/>
              <w:right w:w="0" w:type="dxa"/>
            </w:tcMar>
            <w:vAlign w:val="center"/>
          </w:tcPr>
          <w:p w14:paraId="388BDE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p>
        </w:tc>
        <w:tc>
          <w:tcPr>
            <w:tcW w:w="911" w:type="dxa"/>
            <w:vMerge w:val="continue"/>
            <w:noWrap w:val="0"/>
            <w:tcMar>
              <w:top w:w="0" w:type="dxa"/>
              <w:left w:w="0" w:type="dxa"/>
              <w:bottom w:w="0" w:type="dxa"/>
              <w:right w:w="0" w:type="dxa"/>
            </w:tcMar>
            <w:vAlign w:val="center"/>
          </w:tcPr>
          <w:p w14:paraId="0F463F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1169" w:type="dxa"/>
            <w:vMerge w:val="continue"/>
            <w:noWrap w:val="0"/>
            <w:tcMar>
              <w:top w:w="0" w:type="dxa"/>
              <w:left w:w="0" w:type="dxa"/>
              <w:bottom w:w="0" w:type="dxa"/>
              <w:right w:w="0" w:type="dxa"/>
            </w:tcMar>
            <w:vAlign w:val="center"/>
          </w:tcPr>
          <w:p w14:paraId="4F6A74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694" w:type="dxa"/>
            <w:noWrap w:val="0"/>
            <w:tcMar>
              <w:top w:w="0" w:type="dxa"/>
              <w:left w:w="0" w:type="dxa"/>
              <w:bottom w:w="0" w:type="dxa"/>
              <w:right w:w="0" w:type="dxa"/>
            </w:tcMar>
            <w:vAlign w:val="center"/>
          </w:tcPr>
          <w:p w14:paraId="5AF834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声功率级/dB(A)</w:t>
            </w:r>
          </w:p>
        </w:tc>
        <w:tc>
          <w:tcPr>
            <w:tcW w:w="1973" w:type="dxa"/>
            <w:vMerge w:val="continue"/>
            <w:noWrap w:val="0"/>
            <w:tcMar>
              <w:top w:w="0" w:type="dxa"/>
              <w:left w:w="0" w:type="dxa"/>
              <w:bottom w:w="0" w:type="dxa"/>
              <w:right w:w="0" w:type="dxa"/>
            </w:tcMar>
            <w:vAlign w:val="center"/>
          </w:tcPr>
          <w:p w14:paraId="475DE2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1160" w:type="dxa"/>
            <w:noWrap w:val="0"/>
            <w:tcMar>
              <w:top w:w="0" w:type="dxa"/>
              <w:left w:w="0" w:type="dxa"/>
              <w:bottom w:w="0" w:type="dxa"/>
              <w:right w:w="0" w:type="dxa"/>
            </w:tcMar>
            <w:vAlign w:val="center"/>
          </w:tcPr>
          <w:p w14:paraId="67937F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X</w:t>
            </w:r>
          </w:p>
        </w:tc>
        <w:tc>
          <w:tcPr>
            <w:tcW w:w="973" w:type="dxa"/>
            <w:noWrap w:val="0"/>
            <w:tcMar>
              <w:top w:w="0" w:type="dxa"/>
              <w:left w:w="0" w:type="dxa"/>
              <w:bottom w:w="0" w:type="dxa"/>
              <w:right w:w="0" w:type="dxa"/>
            </w:tcMar>
            <w:vAlign w:val="center"/>
          </w:tcPr>
          <w:p w14:paraId="24B4A8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Y</w:t>
            </w:r>
          </w:p>
        </w:tc>
        <w:tc>
          <w:tcPr>
            <w:tcW w:w="747" w:type="dxa"/>
            <w:noWrap w:val="0"/>
            <w:tcMar>
              <w:top w:w="0" w:type="dxa"/>
              <w:left w:w="0" w:type="dxa"/>
              <w:bottom w:w="0" w:type="dxa"/>
              <w:right w:w="0" w:type="dxa"/>
            </w:tcMar>
            <w:vAlign w:val="center"/>
          </w:tcPr>
          <w:p w14:paraId="476471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Z</w:t>
            </w:r>
          </w:p>
        </w:tc>
        <w:tc>
          <w:tcPr>
            <w:tcW w:w="853" w:type="dxa"/>
            <w:vMerge w:val="continue"/>
            <w:noWrap w:val="0"/>
            <w:tcMar>
              <w:top w:w="0" w:type="dxa"/>
              <w:left w:w="0" w:type="dxa"/>
              <w:bottom w:w="0" w:type="dxa"/>
              <w:right w:w="0" w:type="dxa"/>
            </w:tcMar>
            <w:vAlign w:val="center"/>
          </w:tcPr>
          <w:p w14:paraId="6ABFC8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14" w:type="dxa"/>
            <w:vMerge w:val="continue"/>
            <w:noWrap w:val="0"/>
            <w:tcMar>
              <w:top w:w="0" w:type="dxa"/>
              <w:left w:w="0" w:type="dxa"/>
              <w:bottom w:w="0" w:type="dxa"/>
              <w:right w:w="0" w:type="dxa"/>
            </w:tcMar>
            <w:vAlign w:val="center"/>
          </w:tcPr>
          <w:p w14:paraId="1CED86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1333" w:type="dxa"/>
            <w:vMerge w:val="continue"/>
            <w:noWrap w:val="0"/>
            <w:tcMar>
              <w:top w:w="0" w:type="dxa"/>
              <w:left w:w="0" w:type="dxa"/>
              <w:bottom w:w="0" w:type="dxa"/>
              <w:right w:w="0" w:type="dxa"/>
            </w:tcMar>
            <w:vAlign w:val="center"/>
          </w:tcPr>
          <w:p w14:paraId="43D2EC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773" w:type="dxa"/>
            <w:vMerge w:val="continue"/>
            <w:noWrap w:val="0"/>
            <w:tcMar>
              <w:top w:w="0" w:type="dxa"/>
              <w:left w:w="0" w:type="dxa"/>
              <w:bottom w:w="0" w:type="dxa"/>
              <w:right w:w="0" w:type="dxa"/>
            </w:tcMar>
            <w:vAlign w:val="center"/>
          </w:tcPr>
          <w:p w14:paraId="70C2A7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774" w:type="dxa"/>
            <w:noWrap w:val="0"/>
            <w:tcMar>
              <w:top w:w="0" w:type="dxa"/>
              <w:left w:w="0" w:type="dxa"/>
              <w:bottom w:w="0" w:type="dxa"/>
              <w:right w:w="0" w:type="dxa"/>
            </w:tcMar>
            <w:vAlign w:val="center"/>
          </w:tcPr>
          <w:p w14:paraId="54F96D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声压级/dB(A)</w:t>
            </w:r>
          </w:p>
        </w:tc>
        <w:tc>
          <w:tcPr>
            <w:tcW w:w="606" w:type="dxa"/>
            <w:noWrap w:val="0"/>
            <w:tcMar>
              <w:top w:w="0" w:type="dxa"/>
              <w:left w:w="0" w:type="dxa"/>
              <w:bottom w:w="0" w:type="dxa"/>
              <w:right w:w="0" w:type="dxa"/>
            </w:tcMar>
            <w:vAlign w:val="center"/>
          </w:tcPr>
          <w:p w14:paraId="1393F3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建筑物外距离</w:t>
            </w:r>
          </w:p>
        </w:tc>
      </w:tr>
      <w:tr w14:paraId="225F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71AF39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c>
          <w:tcPr>
            <w:tcW w:w="911" w:type="dxa"/>
            <w:noWrap w:val="0"/>
            <w:tcMar>
              <w:top w:w="0" w:type="dxa"/>
              <w:left w:w="0" w:type="dxa"/>
              <w:bottom w:w="0" w:type="dxa"/>
              <w:right w:w="0" w:type="dxa"/>
            </w:tcMar>
            <w:vAlign w:val="center"/>
          </w:tcPr>
          <w:p w14:paraId="3467A7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7F053E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双螺旋洗砂机</w:t>
            </w:r>
          </w:p>
        </w:tc>
        <w:tc>
          <w:tcPr>
            <w:tcW w:w="694" w:type="dxa"/>
            <w:noWrap w:val="0"/>
            <w:tcMar>
              <w:top w:w="0" w:type="dxa"/>
              <w:left w:w="0" w:type="dxa"/>
              <w:bottom w:w="0" w:type="dxa"/>
              <w:right w:w="0" w:type="dxa"/>
            </w:tcMar>
            <w:vAlign w:val="center"/>
          </w:tcPr>
          <w:p w14:paraId="156F44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3</w:t>
            </w:r>
          </w:p>
        </w:tc>
        <w:tc>
          <w:tcPr>
            <w:tcW w:w="1973" w:type="dxa"/>
            <w:noWrap w:val="0"/>
            <w:tcMar>
              <w:top w:w="0" w:type="dxa"/>
              <w:left w:w="0" w:type="dxa"/>
              <w:bottom w:w="0" w:type="dxa"/>
              <w:right w:w="0" w:type="dxa"/>
            </w:tcMar>
            <w:vAlign w:val="center"/>
          </w:tcPr>
          <w:p w14:paraId="7E38EC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488767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191.22</w:t>
            </w:r>
          </w:p>
        </w:tc>
        <w:tc>
          <w:tcPr>
            <w:tcW w:w="973" w:type="dxa"/>
            <w:noWrap w:val="0"/>
            <w:tcMar>
              <w:top w:w="0" w:type="dxa"/>
              <w:left w:w="0" w:type="dxa"/>
              <w:bottom w:w="0" w:type="dxa"/>
              <w:right w:w="0" w:type="dxa"/>
            </w:tcMar>
            <w:vAlign w:val="center"/>
          </w:tcPr>
          <w:p w14:paraId="07A7A0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olor w:val="auto"/>
                <w:sz w:val="21"/>
                <w:szCs w:val="21"/>
              </w:rPr>
              <w:t>1</w:t>
            </w:r>
            <w:r>
              <w:rPr>
                <w:rFonts w:hint="eastAsia"/>
                <w:color w:val="auto"/>
                <w:sz w:val="21"/>
                <w:szCs w:val="21"/>
                <w:lang w:val="en-US" w:eastAsia="zh-CN"/>
              </w:rPr>
              <w:t>18.22</w:t>
            </w:r>
          </w:p>
        </w:tc>
        <w:tc>
          <w:tcPr>
            <w:tcW w:w="747" w:type="dxa"/>
            <w:noWrap w:val="0"/>
            <w:tcMar>
              <w:top w:w="0" w:type="dxa"/>
              <w:left w:w="0" w:type="dxa"/>
              <w:bottom w:w="0" w:type="dxa"/>
              <w:right w:w="0" w:type="dxa"/>
            </w:tcMar>
            <w:vAlign w:val="center"/>
          </w:tcPr>
          <w:p w14:paraId="4181AD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321ECB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68.17</w:t>
            </w:r>
          </w:p>
        </w:tc>
        <w:tc>
          <w:tcPr>
            <w:tcW w:w="814" w:type="dxa"/>
            <w:noWrap w:val="0"/>
            <w:tcMar>
              <w:top w:w="0" w:type="dxa"/>
              <w:left w:w="0" w:type="dxa"/>
              <w:bottom w:w="0" w:type="dxa"/>
              <w:right w:w="0" w:type="dxa"/>
            </w:tcMar>
            <w:vAlign w:val="center"/>
          </w:tcPr>
          <w:p w14:paraId="315466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66.5</w:t>
            </w:r>
            <w:r>
              <w:rPr>
                <w:rFonts w:hint="eastAsia" w:cs="Times New Roman"/>
                <w:b w:val="0"/>
                <w:bCs/>
                <w:color w:val="auto"/>
                <w:sz w:val="21"/>
                <w:szCs w:val="21"/>
                <w:lang w:val="en-US" w:eastAsia="zh-CN"/>
              </w:rPr>
              <w:t>5</w:t>
            </w:r>
          </w:p>
        </w:tc>
        <w:tc>
          <w:tcPr>
            <w:tcW w:w="1333" w:type="dxa"/>
            <w:noWrap w:val="0"/>
            <w:tcMar>
              <w:top w:w="0" w:type="dxa"/>
              <w:left w:w="0" w:type="dxa"/>
              <w:bottom w:w="0" w:type="dxa"/>
              <w:right w:w="0" w:type="dxa"/>
            </w:tcMar>
            <w:vAlign w:val="center"/>
          </w:tcPr>
          <w:p w14:paraId="1D5C0F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60F752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40337C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40.5</w:t>
            </w:r>
            <w:r>
              <w:rPr>
                <w:rFonts w:hint="eastAsia" w:cs="Times New Roman"/>
                <w:b w:val="0"/>
                <w:bCs/>
                <w:color w:val="auto"/>
                <w:sz w:val="21"/>
                <w:szCs w:val="21"/>
                <w:lang w:val="en-US" w:eastAsia="zh-CN"/>
              </w:rPr>
              <w:t>5</w:t>
            </w:r>
          </w:p>
        </w:tc>
        <w:tc>
          <w:tcPr>
            <w:tcW w:w="606" w:type="dxa"/>
            <w:noWrap w:val="0"/>
            <w:tcMar>
              <w:top w:w="0" w:type="dxa"/>
              <w:left w:w="0" w:type="dxa"/>
              <w:bottom w:w="0" w:type="dxa"/>
              <w:right w:w="0" w:type="dxa"/>
            </w:tcMar>
            <w:vAlign w:val="center"/>
          </w:tcPr>
          <w:p w14:paraId="16033A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0D8B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3EB977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w:t>
            </w:r>
          </w:p>
        </w:tc>
        <w:tc>
          <w:tcPr>
            <w:tcW w:w="911" w:type="dxa"/>
            <w:noWrap w:val="0"/>
            <w:tcMar>
              <w:top w:w="0" w:type="dxa"/>
              <w:left w:w="0" w:type="dxa"/>
              <w:bottom w:w="0" w:type="dxa"/>
              <w:right w:w="0" w:type="dxa"/>
            </w:tcMar>
            <w:vAlign w:val="center"/>
          </w:tcPr>
          <w:p w14:paraId="4D4BB7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306178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双螺旋洗砂机</w:t>
            </w:r>
          </w:p>
        </w:tc>
        <w:tc>
          <w:tcPr>
            <w:tcW w:w="694" w:type="dxa"/>
            <w:noWrap w:val="0"/>
            <w:tcMar>
              <w:top w:w="0" w:type="dxa"/>
              <w:left w:w="0" w:type="dxa"/>
              <w:bottom w:w="0" w:type="dxa"/>
              <w:right w:w="0" w:type="dxa"/>
            </w:tcMar>
            <w:vAlign w:val="center"/>
          </w:tcPr>
          <w:p w14:paraId="2A9010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3</w:t>
            </w:r>
          </w:p>
        </w:tc>
        <w:tc>
          <w:tcPr>
            <w:tcW w:w="1973" w:type="dxa"/>
            <w:noWrap w:val="0"/>
            <w:tcMar>
              <w:top w:w="0" w:type="dxa"/>
              <w:left w:w="0" w:type="dxa"/>
              <w:bottom w:w="0" w:type="dxa"/>
              <w:right w:w="0" w:type="dxa"/>
            </w:tcMar>
            <w:vAlign w:val="center"/>
          </w:tcPr>
          <w:p w14:paraId="7C2FAD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6AD01B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2</w:t>
            </w:r>
            <w:r>
              <w:rPr>
                <w:rFonts w:hint="eastAsia"/>
                <w:color w:val="auto"/>
                <w:sz w:val="21"/>
                <w:szCs w:val="21"/>
                <w:lang w:val="en-US" w:eastAsia="zh-CN"/>
              </w:rPr>
              <w:t>05.59</w:t>
            </w:r>
          </w:p>
        </w:tc>
        <w:tc>
          <w:tcPr>
            <w:tcW w:w="973" w:type="dxa"/>
            <w:noWrap w:val="0"/>
            <w:tcMar>
              <w:top w:w="0" w:type="dxa"/>
              <w:left w:w="0" w:type="dxa"/>
              <w:bottom w:w="0" w:type="dxa"/>
              <w:right w:w="0" w:type="dxa"/>
            </w:tcMar>
            <w:vAlign w:val="center"/>
          </w:tcPr>
          <w:p w14:paraId="51410B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1</w:t>
            </w:r>
            <w:r>
              <w:rPr>
                <w:rFonts w:hint="eastAsia"/>
                <w:color w:val="auto"/>
                <w:sz w:val="21"/>
                <w:szCs w:val="21"/>
                <w:lang w:val="en-US" w:eastAsia="zh-CN"/>
              </w:rPr>
              <w:t>13.33</w:t>
            </w:r>
          </w:p>
        </w:tc>
        <w:tc>
          <w:tcPr>
            <w:tcW w:w="747" w:type="dxa"/>
            <w:noWrap w:val="0"/>
            <w:tcMar>
              <w:top w:w="0" w:type="dxa"/>
              <w:left w:w="0" w:type="dxa"/>
              <w:bottom w:w="0" w:type="dxa"/>
              <w:right w:w="0" w:type="dxa"/>
            </w:tcMar>
            <w:vAlign w:val="center"/>
          </w:tcPr>
          <w:p w14:paraId="480F37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423D7F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67.47</w:t>
            </w:r>
          </w:p>
        </w:tc>
        <w:tc>
          <w:tcPr>
            <w:tcW w:w="814" w:type="dxa"/>
            <w:noWrap w:val="0"/>
            <w:tcMar>
              <w:top w:w="0" w:type="dxa"/>
              <w:left w:w="0" w:type="dxa"/>
              <w:bottom w:w="0" w:type="dxa"/>
              <w:right w:w="0" w:type="dxa"/>
            </w:tcMar>
            <w:vAlign w:val="center"/>
          </w:tcPr>
          <w:p w14:paraId="0A3857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66.55</w:t>
            </w:r>
          </w:p>
        </w:tc>
        <w:tc>
          <w:tcPr>
            <w:tcW w:w="1333" w:type="dxa"/>
            <w:noWrap w:val="0"/>
            <w:tcMar>
              <w:top w:w="0" w:type="dxa"/>
              <w:left w:w="0" w:type="dxa"/>
              <w:bottom w:w="0" w:type="dxa"/>
              <w:right w:w="0" w:type="dxa"/>
            </w:tcMar>
            <w:vAlign w:val="center"/>
          </w:tcPr>
          <w:p w14:paraId="4E15C2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729D78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649259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40.55</w:t>
            </w:r>
          </w:p>
        </w:tc>
        <w:tc>
          <w:tcPr>
            <w:tcW w:w="606" w:type="dxa"/>
            <w:noWrap w:val="0"/>
            <w:tcMar>
              <w:top w:w="0" w:type="dxa"/>
              <w:left w:w="0" w:type="dxa"/>
              <w:bottom w:w="0" w:type="dxa"/>
              <w:right w:w="0" w:type="dxa"/>
            </w:tcMar>
            <w:vAlign w:val="center"/>
          </w:tcPr>
          <w:p w14:paraId="01EE8D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03BE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642724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w:t>
            </w:r>
          </w:p>
        </w:tc>
        <w:tc>
          <w:tcPr>
            <w:tcW w:w="911" w:type="dxa"/>
            <w:noWrap w:val="0"/>
            <w:tcMar>
              <w:top w:w="0" w:type="dxa"/>
              <w:left w:w="0" w:type="dxa"/>
              <w:bottom w:w="0" w:type="dxa"/>
              <w:right w:w="0" w:type="dxa"/>
            </w:tcMar>
            <w:vAlign w:val="center"/>
          </w:tcPr>
          <w:p w14:paraId="724017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403A17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布料预洗装置</w:t>
            </w:r>
          </w:p>
        </w:tc>
        <w:tc>
          <w:tcPr>
            <w:tcW w:w="694" w:type="dxa"/>
            <w:noWrap w:val="0"/>
            <w:tcMar>
              <w:top w:w="0" w:type="dxa"/>
              <w:left w:w="0" w:type="dxa"/>
              <w:bottom w:w="0" w:type="dxa"/>
              <w:right w:w="0" w:type="dxa"/>
            </w:tcMar>
            <w:vAlign w:val="center"/>
          </w:tcPr>
          <w:p w14:paraId="626ABD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1</w:t>
            </w:r>
          </w:p>
        </w:tc>
        <w:tc>
          <w:tcPr>
            <w:tcW w:w="1973" w:type="dxa"/>
            <w:noWrap w:val="0"/>
            <w:tcMar>
              <w:top w:w="0" w:type="dxa"/>
              <w:left w:w="0" w:type="dxa"/>
              <w:bottom w:w="0" w:type="dxa"/>
              <w:right w:w="0" w:type="dxa"/>
            </w:tcMar>
            <w:vAlign w:val="center"/>
          </w:tcPr>
          <w:p w14:paraId="5322FB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4EF5EB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198.69</w:t>
            </w:r>
          </w:p>
        </w:tc>
        <w:tc>
          <w:tcPr>
            <w:tcW w:w="973" w:type="dxa"/>
            <w:noWrap w:val="0"/>
            <w:tcMar>
              <w:top w:w="0" w:type="dxa"/>
              <w:left w:w="0" w:type="dxa"/>
              <w:bottom w:w="0" w:type="dxa"/>
              <w:right w:w="0" w:type="dxa"/>
            </w:tcMar>
            <w:vAlign w:val="center"/>
          </w:tcPr>
          <w:p w14:paraId="1D4AE2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1</w:t>
            </w:r>
            <w:r>
              <w:rPr>
                <w:rFonts w:hint="eastAsia"/>
                <w:color w:val="auto"/>
                <w:sz w:val="21"/>
                <w:szCs w:val="21"/>
                <w:lang w:val="en-US" w:eastAsia="zh-CN"/>
              </w:rPr>
              <w:t>33.45</w:t>
            </w:r>
          </w:p>
        </w:tc>
        <w:tc>
          <w:tcPr>
            <w:tcW w:w="747" w:type="dxa"/>
            <w:noWrap w:val="0"/>
            <w:tcMar>
              <w:top w:w="0" w:type="dxa"/>
              <w:left w:w="0" w:type="dxa"/>
              <w:bottom w:w="0" w:type="dxa"/>
              <w:right w:w="0" w:type="dxa"/>
            </w:tcMar>
            <w:vAlign w:val="center"/>
          </w:tcPr>
          <w:p w14:paraId="2FD8CE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4E3B95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51.27</w:t>
            </w:r>
          </w:p>
        </w:tc>
        <w:tc>
          <w:tcPr>
            <w:tcW w:w="814" w:type="dxa"/>
            <w:noWrap w:val="0"/>
            <w:tcMar>
              <w:top w:w="0" w:type="dxa"/>
              <w:left w:w="0" w:type="dxa"/>
              <w:bottom w:w="0" w:type="dxa"/>
              <w:right w:w="0" w:type="dxa"/>
            </w:tcMar>
            <w:vAlign w:val="center"/>
          </w:tcPr>
          <w:p w14:paraId="251D72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64.5</w:t>
            </w:r>
            <w:r>
              <w:rPr>
                <w:rFonts w:hint="eastAsia" w:cs="Times New Roman"/>
                <w:b w:val="0"/>
                <w:bCs/>
                <w:color w:val="auto"/>
                <w:sz w:val="21"/>
                <w:szCs w:val="21"/>
                <w:lang w:val="en-US" w:eastAsia="zh-CN"/>
              </w:rPr>
              <w:t>5</w:t>
            </w:r>
          </w:p>
        </w:tc>
        <w:tc>
          <w:tcPr>
            <w:tcW w:w="1333" w:type="dxa"/>
            <w:noWrap w:val="0"/>
            <w:tcMar>
              <w:top w:w="0" w:type="dxa"/>
              <w:left w:w="0" w:type="dxa"/>
              <w:bottom w:w="0" w:type="dxa"/>
              <w:right w:w="0" w:type="dxa"/>
            </w:tcMar>
            <w:vAlign w:val="center"/>
          </w:tcPr>
          <w:p w14:paraId="770EBD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080936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7ED28D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38.5</w:t>
            </w:r>
            <w:r>
              <w:rPr>
                <w:rFonts w:hint="eastAsia" w:cs="Times New Roman"/>
                <w:b w:val="0"/>
                <w:bCs/>
                <w:color w:val="auto"/>
                <w:sz w:val="21"/>
                <w:szCs w:val="21"/>
                <w:lang w:val="en-US" w:eastAsia="zh-CN"/>
              </w:rPr>
              <w:t>5</w:t>
            </w:r>
          </w:p>
        </w:tc>
        <w:tc>
          <w:tcPr>
            <w:tcW w:w="606" w:type="dxa"/>
            <w:noWrap w:val="0"/>
            <w:tcMar>
              <w:top w:w="0" w:type="dxa"/>
              <w:left w:w="0" w:type="dxa"/>
              <w:bottom w:w="0" w:type="dxa"/>
              <w:right w:w="0" w:type="dxa"/>
            </w:tcMar>
            <w:vAlign w:val="center"/>
          </w:tcPr>
          <w:p w14:paraId="5F7502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71A8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13D72D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w:t>
            </w:r>
          </w:p>
        </w:tc>
        <w:tc>
          <w:tcPr>
            <w:tcW w:w="911" w:type="dxa"/>
            <w:noWrap w:val="0"/>
            <w:tcMar>
              <w:top w:w="0" w:type="dxa"/>
              <w:left w:w="0" w:type="dxa"/>
              <w:bottom w:w="0" w:type="dxa"/>
              <w:right w:w="0" w:type="dxa"/>
            </w:tcMar>
            <w:vAlign w:val="center"/>
          </w:tcPr>
          <w:p w14:paraId="260103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39D7AA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布料预洗装置</w:t>
            </w:r>
          </w:p>
        </w:tc>
        <w:tc>
          <w:tcPr>
            <w:tcW w:w="694" w:type="dxa"/>
            <w:noWrap w:val="0"/>
            <w:tcMar>
              <w:top w:w="0" w:type="dxa"/>
              <w:left w:w="0" w:type="dxa"/>
              <w:bottom w:w="0" w:type="dxa"/>
              <w:right w:w="0" w:type="dxa"/>
            </w:tcMar>
            <w:vAlign w:val="center"/>
          </w:tcPr>
          <w:p w14:paraId="06B953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1</w:t>
            </w:r>
          </w:p>
        </w:tc>
        <w:tc>
          <w:tcPr>
            <w:tcW w:w="1973" w:type="dxa"/>
            <w:noWrap w:val="0"/>
            <w:tcMar>
              <w:top w:w="0" w:type="dxa"/>
              <w:left w:w="0" w:type="dxa"/>
              <w:bottom w:w="0" w:type="dxa"/>
              <w:right w:w="0" w:type="dxa"/>
            </w:tcMar>
            <w:vAlign w:val="center"/>
          </w:tcPr>
          <w:p w14:paraId="41DFCB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2B0036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2</w:t>
            </w:r>
            <w:r>
              <w:rPr>
                <w:rFonts w:hint="eastAsia"/>
                <w:color w:val="auto"/>
                <w:sz w:val="21"/>
                <w:szCs w:val="21"/>
                <w:lang w:val="en-US" w:eastAsia="zh-CN"/>
              </w:rPr>
              <w:t>12.48</w:t>
            </w:r>
          </w:p>
        </w:tc>
        <w:tc>
          <w:tcPr>
            <w:tcW w:w="973" w:type="dxa"/>
            <w:noWrap w:val="0"/>
            <w:tcMar>
              <w:top w:w="0" w:type="dxa"/>
              <w:left w:w="0" w:type="dxa"/>
              <w:bottom w:w="0" w:type="dxa"/>
              <w:right w:w="0" w:type="dxa"/>
            </w:tcMar>
            <w:vAlign w:val="center"/>
          </w:tcPr>
          <w:p w14:paraId="2B6006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1</w:t>
            </w:r>
            <w:r>
              <w:rPr>
                <w:rFonts w:hint="eastAsia"/>
                <w:color w:val="auto"/>
                <w:sz w:val="21"/>
                <w:szCs w:val="21"/>
                <w:lang w:val="en-US" w:eastAsia="zh-CN"/>
              </w:rPr>
              <w:t>28.27</w:t>
            </w:r>
          </w:p>
        </w:tc>
        <w:tc>
          <w:tcPr>
            <w:tcW w:w="747" w:type="dxa"/>
            <w:noWrap w:val="0"/>
            <w:tcMar>
              <w:top w:w="0" w:type="dxa"/>
              <w:left w:w="0" w:type="dxa"/>
              <w:bottom w:w="0" w:type="dxa"/>
              <w:right w:w="0" w:type="dxa"/>
            </w:tcMar>
            <w:vAlign w:val="center"/>
          </w:tcPr>
          <w:p w14:paraId="15852A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3582DE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51.04</w:t>
            </w:r>
          </w:p>
        </w:tc>
        <w:tc>
          <w:tcPr>
            <w:tcW w:w="814" w:type="dxa"/>
            <w:noWrap w:val="0"/>
            <w:tcMar>
              <w:top w:w="0" w:type="dxa"/>
              <w:left w:w="0" w:type="dxa"/>
              <w:bottom w:w="0" w:type="dxa"/>
              <w:right w:w="0" w:type="dxa"/>
            </w:tcMar>
            <w:vAlign w:val="center"/>
          </w:tcPr>
          <w:p w14:paraId="47EF63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64.5</w:t>
            </w:r>
            <w:r>
              <w:rPr>
                <w:rFonts w:hint="eastAsia" w:cs="Times New Roman"/>
                <w:b w:val="0"/>
                <w:bCs/>
                <w:color w:val="auto"/>
                <w:sz w:val="21"/>
                <w:szCs w:val="21"/>
                <w:lang w:val="en-US" w:eastAsia="zh-CN"/>
              </w:rPr>
              <w:t>5</w:t>
            </w:r>
          </w:p>
        </w:tc>
        <w:tc>
          <w:tcPr>
            <w:tcW w:w="1333" w:type="dxa"/>
            <w:noWrap w:val="0"/>
            <w:tcMar>
              <w:top w:w="0" w:type="dxa"/>
              <w:left w:w="0" w:type="dxa"/>
              <w:bottom w:w="0" w:type="dxa"/>
              <w:right w:w="0" w:type="dxa"/>
            </w:tcMar>
            <w:vAlign w:val="center"/>
          </w:tcPr>
          <w:p w14:paraId="0A99C4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37C7B4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51BE64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38.5</w:t>
            </w:r>
            <w:r>
              <w:rPr>
                <w:rFonts w:hint="eastAsia" w:cs="Times New Roman"/>
                <w:b w:val="0"/>
                <w:bCs/>
                <w:color w:val="auto"/>
                <w:sz w:val="21"/>
                <w:szCs w:val="21"/>
                <w:lang w:val="en-US" w:eastAsia="zh-CN"/>
              </w:rPr>
              <w:t>5</w:t>
            </w:r>
          </w:p>
        </w:tc>
        <w:tc>
          <w:tcPr>
            <w:tcW w:w="606" w:type="dxa"/>
            <w:noWrap w:val="0"/>
            <w:tcMar>
              <w:top w:w="0" w:type="dxa"/>
              <w:left w:w="0" w:type="dxa"/>
              <w:bottom w:w="0" w:type="dxa"/>
              <w:right w:w="0" w:type="dxa"/>
            </w:tcMar>
            <w:vAlign w:val="center"/>
          </w:tcPr>
          <w:p w14:paraId="0B9D85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3CA8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624EBC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5</w:t>
            </w:r>
          </w:p>
        </w:tc>
        <w:tc>
          <w:tcPr>
            <w:tcW w:w="911" w:type="dxa"/>
            <w:noWrap w:val="0"/>
            <w:tcMar>
              <w:top w:w="0" w:type="dxa"/>
              <w:left w:w="0" w:type="dxa"/>
              <w:bottom w:w="0" w:type="dxa"/>
              <w:right w:w="0" w:type="dxa"/>
            </w:tcMar>
            <w:vAlign w:val="center"/>
          </w:tcPr>
          <w:p w14:paraId="319BC3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74E454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细砂回收装置</w:t>
            </w:r>
          </w:p>
        </w:tc>
        <w:tc>
          <w:tcPr>
            <w:tcW w:w="694" w:type="dxa"/>
            <w:noWrap w:val="0"/>
            <w:tcMar>
              <w:top w:w="0" w:type="dxa"/>
              <w:left w:w="0" w:type="dxa"/>
              <w:bottom w:w="0" w:type="dxa"/>
              <w:right w:w="0" w:type="dxa"/>
            </w:tcMar>
            <w:vAlign w:val="center"/>
          </w:tcPr>
          <w:p w14:paraId="0C4DF9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1</w:t>
            </w:r>
          </w:p>
        </w:tc>
        <w:tc>
          <w:tcPr>
            <w:tcW w:w="1973" w:type="dxa"/>
            <w:noWrap w:val="0"/>
            <w:tcMar>
              <w:top w:w="0" w:type="dxa"/>
              <w:left w:w="0" w:type="dxa"/>
              <w:bottom w:w="0" w:type="dxa"/>
              <w:right w:w="0" w:type="dxa"/>
            </w:tcMar>
            <w:vAlign w:val="center"/>
          </w:tcPr>
          <w:p w14:paraId="651E8F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3BBB49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16</w:t>
            </w:r>
            <w:r>
              <w:rPr>
                <w:rFonts w:hint="eastAsia"/>
                <w:color w:val="auto"/>
                <w:sz w:val="21"/>
                <w:szCs w:val="21"/>
                <w:lang w:val="en-US" w:eastAsia="zh-CN"/>
              </w:rPr>
              <w:t>9.67</w:t>
            </w:r>
          </w:p>
        </w:tc>
        <w:tc>
          <w:tcPr>
            <w:tcW w:w="973" w:type="dxa"/>
            <w:noWrap w:val="0"/>
            <w:tcMar>
              <w:top w:w="0" w:type="dxa"/>
              <w:left w:w="0" w:type="dxa"/>
              <w:bottom w:w="0" w:type="dxa"/>
              <w:right w:w="0" w:type="dxa"/>
            </w:tcMar>
            <w:vAlign w:val="center"/>
          </w:tcPr>
          <w:p w14:paraId="53B069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7</w:t>
            </w:r>
            <w:r>
              <w:rPr>
                <w:rFonts w:hint="eastAsia"/>
                <w:color w:val="auto"/>
                <w:sz w:val="21"/>
                <w:szCs w:val="21"/>
                <w:lang w:val="en-US" w:eastAsia="zh-CN"/>
              </w:rPr>
              <w:t>3.97</w:t>
            </w:r>
          </w:p>
        </w:tc>
        <w:tc>
          <w:tcPr>
            <w:tcW w:w="747" w:type="dxa"/>
            <w:noWrap w:val="0"/>
            <w:tcMar>
              <w:top w:w="0" w:type="dxa"/>
              <w:left w:w="0" w:type="dxa"/>
              <w:bottom w:w="0" w:type="dxa"/>
              <w:right w:w="0" w:type="dxa"/>
            </w:tcMar>
            <w:vAlign w:val="center"/>
          </w:tcPr>
          <w:p w14:paraId="0634A5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5FDDE2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11</w:t>
            </w:r>
            <w:r>
              <w:rPr>
                <w:rFonts w:hint="eastAsia" w:cs="Times New Roman"/>
                <w:b w:val="0"/>
                <w:bCs/>
                <w:color w:val="auto"/>
                <w:sz w:val="21"/>
                <w:szCs w:val="21"/>
                <w:lang w:val="en-US" w:eastAsia="zh-CN"/>
              </w:rPr>
              <w:t>7.24</w:t>
            </w:r>
          </w:p>
        </w:tc>
        <w:tc>
          <w:tcPr>
            <w:tcW w:w="814" w:type="dxa"/>
            <w:noWrap w:val="0"/>
            <w:tcMar>
              <w:top w:w="0" w:type="dxa"/>
              <w:left w:w="0" w:type="dxa"/>
              <w:bottom w:w="0" w:type="dxa"/>
              <w:right w:w="0" w:type="dxa"/>
            </w:tcMar>
            <w:vAlign w:val="center"/>
          </w:tcPr>
          <w:p w14:paraId="5C571F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64.54</w:t>
            </w:r>
          </w:p>
        </w:tc>
        <w:tc>
          <w:tcPr>
            <w:tcW w:w="1333" w:type="dxa"/>
            <w:noWrap w:val="0"/>
            <w:tcMar>
              <w:top w:w="0" w:type="dxa"/>
              <w:left w:w="0" w:type="dxa"/>
              <w:bottom w:w="0" w:type="dxa"/>
              <w:right w:w="0" w:type="dxa"/>
            </w:tcMar>
            <w:vAlign w:val="center"/>
          </w:tcPr>
          <w:p w14:paraId="4F1F3E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47A31D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18C822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38.54</w:t>
            </w:r>
          </w:p>
        </w:tc>
        <w:tc>
          <w:tcPr>
            <w:tcW w:w="606" w:type="dxa"/>
            <w:noWrap w:val="0"/>
            <w:tcMar>
              <w:top w:w="0" w:type="dxa"/>
              <w:left w:w="0" w:type="dxa"/>
              <w:bottom w:w="0" w:type="dxa"/>
              <w:right w:w="0" w:type="dxa"/>
            </w:tcMar>
            <w:vAlign w:val="center"/>
          </w:tcPr>
          <w:p w14:paraId="133EE2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626D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1C81FE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w:t>
            </w:r>
          </w:p>
        </w:tc>
        <w:tc>
          <w:tcPr>
            <w:tcW w:w="911" w:type="dxa"/>
            <w:noWrap w:val="0"/>
            <w:tcMar>
              <w:top w:w="0" w:type="dxa"/>
              <w:left w:w="0" w:type="dxa"/>
              <w:bottom w:w="0" w:type="dxa"/>
              <w:right w:w="0" w:type="dxa"/>
            </w:tcMar>
            <w:vAlign w:val="center"/>
          </w:tcPr>
          <w:p w14:paraId="23919E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2B88C6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细砂回收装置</w:t>
            </w:r>
          </w:p>
        </w:tc>
        <w:tc>
          <w:tcPr>
            <w:tcW w:w="694" w:type="dxa"/>
            <w:noWrap w:val="0"/>
            <w:tcMar>
              <w:top w:w="0" w:type="dxa"/>
              <w:left w:w="0" w:type="dxa"/>
              <w:bottom w:w="0" w:type="dxa"/>
              <w:right w:w="0" w:type="dxa"/>
            </w:tcMar>
            <w:vAlign w:val="center"/>
          </w:tcPr>
          <w:p w14:paraId="2B9F71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1</w:t>
            </w:r>
          </w:p>
        </w:tc>
        <w:tc>
          <w:tcPr>
            <w:tcW w:w="1973" w:type="dxa"/>
            <w:noWrap w:val="0"/>
            <w:tcMar>
              <w:top w:w="0" w:type="dxa"/>
              <w:left w:w="0" w:type="dxa"/>
              <w:bottom w:w="0" w:type="dxa"/>
              <w:right w:w="0" w:type="dxa"/>
            </w:tcMar>
            <w:vAlign w:val="center"/>
          </w:tcPr>
          <w:p w14:paraId="77563B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246815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18</w:t>
            </w:r>
            <w:r>
              <w:rPr>
                <w:rFonts w:hint="eastAsia"/>
                <w:color w:val="auto"/>
                <w:sz w:val="21"/>
                <w:szCs w:val="21"/>
                <w:lang w:val="en-US" w:eastAsia="zh-CN"/>
              </w:rPr>
              <w:t>3.75</w:t>
            </w:r>
          </w:p>
        </w:tc>
        <w:tc>
          <w:tcPr>
            <w:tcW w:w="973" w:type="dxa"/>
            <w:noWrap w:val="0"/>
            <w:tcMar>
              <w:top w:w="0" w:type="dxa"/>
              <w:left w:w="0" w:type="dxa"/>
              <w:bottom w:w="0" w:type="dxa"/>
              <w:right w:w="0" w:type="dxa"/>
            </w:tcMar>
            <w:vAlign w:val="center"/>
          </w:tcPr>
          <w:p w14:paraId="624345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67.</w:t>
            </w:r>
            <w:r>
              <w:rPr>
                <w:rFonts w:hint="eastAsia"/>
                <w:color w:val="auto"/>
                <w:sz w:val="21"/>
                <w:szCs w:val="21"/>
                <w:lang w:val="en-US" w:eastAsia="zh-CN"/>
              </w:rPr>
              <w:t>93</w:t>
            </w:r>
          </w:p>
        </w:tc>
        <w:tc>
          <w:tcPr>
            <w:tcW w:w="747" w:type="dxa"/>
            <w:noWrap w:val="0"/>
            <w:tcMar>
              <w:top w:w="0" w:type="dxa"/>
              <w:left w:w="0" w:type="dxa"/>
              <w:bottom w:w="0" w:type="dxa"/>
              <w:right w:w="0" w:type="dxa"/>
            </w:tcMar>
            <w:vAlign w:val="center"/>
          </w:tcPr>
          <w:p w14:paraId="19FDD3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68B3A7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11</w:t>
            </w:r>
            <w:r>
              <w:rPr>
                <w:rFonts w:hint="eastAsia" w:cs="Times New Roman"/>
                <w:b w:val="0"/>
                <w:bCs/>
                <w:color w:val="auto"/>
                <w:sz w:val="21"/>
                <w:szCs w:val="21"/>
                <w:lang w:val="en-US" w:eastAsia="zh-CN"/>
              </w:rPr>
              <w:t>7.71</w:t>
            </w:r>
          </w:p>
        </w:tc>
        <w:tc>
          <w:tcPr>
            <w:tcW w:w="814" w:type="dxa"/>
            <w:noWrap w:val="0"/>
            <w:tcMar>
              <w:top w:w="0" w:type="dxa"/>
              <w:left w:w="0" w:type="dxa"/>
              <w:bottom w:w="0" w:type="dxa"/>
              <w:right w:w="0" w:type="dxa"/>
            </w:tcMar>
            <w:vAlign w:val="center"/>
          </w:tcPr>
          <w:p w14:paraId="44A921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w:t>
            </w:r>
            <w:r>
              <w:rPr>
                <w:rFonts w:hint="eastAsia" w:cs="Times New Roman"/>
                <w:b w:val="0"/>
                <w:bCs/>
                <w:color w:val="auto"/>
                <w:sz w:val="21"/>
                <w:szCs w:val="21"/>
                <w:lang w:val="en-US" w:eastAsia="zh-CN"/>
              </w:rPr>
              <w:t>4</w:t>
            </w:r>
            <w:r>
              <w:rPr>
                <w:rFonts w:hint="eastAsia" w:ascii="Times New Roman" w:hAnsi="Times New Roman" w:eastAsia="宋体" w:cs="Times New Roman"/>
                <w:b w:val="0"/>
                <w:bCs/>
                <w:color w:val="auto"/>
                <w:sz w:val="21"/>
                <w:szCs w:val="21"/>
                <w:lang w:val="en-US" w:eastAsia="zh-CN"/>
              </w:rPr>
              <w:t>.54</w:t>
            </w:r>
          </w:p>
        </w:tc>
        <w:tc>
          <w:tcPr>
            <w:tcW w:w="1333" w:type="dxa"/>
            <w:noWrap w:val="0"/>
            <w:tcMar>
              <w:top w:w="0" w:type="dxa"/>
              <w:left w:w="0" w:type="dxa"/>
              <w:bottom w:w="0" w:type="dxa"/>
              <w:right w:w="0" w:type="dxa"/>
            </w:tcMar>
            <w:vAlign w:val="center"/>
          </w:tcPr>
          <w:p w14:paraId="25757F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5A6BA2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585A12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38.54</w:t>
            </w:r>
          </w:p>
        </w:tc>
        <w:tc>
          <w:tcPr>
            <w:tcW w:w="606" w:type="dxa"/>
            <w:noWrap w:val="0"/>
            <w:tcMar>
              <w:top w:w="0" w:type="dxa"/>
              <w:left w:w="0" w:type="dxa"/>
              <w:bottom w:w="0" w:type="dxa"/>
              <w:right w:w="0" w:type="dxa"/>
            </w:tcMar>
            <w:vAlign w:val="center"/>
          </w:tcPr>
          <w:p w14:paraId="00C12B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4877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12379B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7</w:t>
            </w:r>
          </w:p>
        </w:tc>
        <w:tc>
          <w:tcPr>
            <w:tcW w:w="911" w:type="dxa"/>
            <w:noWrap w:val="0"/>
            <w:tcMar>
              <w:top w:w="0" w:type="dxa"/>
              <w:left w:w="0" w:type="dxa"/>
              <w:bottom w:w="0" w:type="dxa"/>
              <w:right w:w="0" w:type="dxa"/>
            </w:tcMar>
            <w:vAlign w:val="center"/>
          </w:tcPr>
          <w:p w14:paraId="0EFAB7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3A46FD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脱水筛</w:t>
            </w:r>
          </w:p>
        </w:tc>
        <w:tc>
          <w:tcPr>
            <w:tcW w:w="694" w:type="dxa"/>
            <w:noWrap w:val="0"/>
            <w:tcMar>
              <w:top w:w="0" w:type="dxa"/>
              <w:left w:w="0" w:type="dxa"/>
              <w:bottom w:w="0" w:type="dxa"/>
              <w:right w:w="0" w:type="dxa"/>
            </w:tcMar>
            <w:vAlign w:val="center"/>
          </w:tcPr>
          <w:p w14:paraId="38048D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4</w:t>
            </w:r>
          </w:p>
        </w:tc>
        <w:tc>
          <w:tcPr>
            <w:tcW w:w="1973" w:type="dxa"/>
            <w:noWrap w:val="0"/>
            <w:tcMar>
              <w:top w:w="0" w:type="dxa"/>
              <w:left w:w="0" w:type="dxa"/>
              <w:bottom w:w="0" w:type="dxa"/>
              <w:right w:w="0" w:type="dxa"/>
            </w:tcMar>
            <w:vAlign w:val="center"/>
          </w:tcPr>
          <w:p w14:paraId="4247C1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20A67D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r>
              <w:rPr>
                <w:rFonts w:hint="eastAsia"/>
                <w:color w:val="auto"/>
                <w:sz w:val="21"/>
                <w:szCs w:val="21"/>
                <w:lang w:val="en-US" w:eastAsia="zh-CN"/>
              </w:rPr>
              <w:t>63.35</w:t>
            </w:r>
          </w:p>
        </w:tc>
        <w:tc>
          <w:tcPr>
            <w:tcW w:w="973" w:type="dxa"/>
            <w:noWrap w:val="0"/>
            <w:tcMar>
              <w:top w:w="0" w:type="dxa"/>
              <w:left w:w="0" w:type="dxa"/>
              <w:bottom w:w="0" w:type="dxa"/>
              <w:right w:w="0" w:type="dxa"/>
            </w:tcMar>
            <w:vAlign w:val="center"/>
          </w:tcPr>
          <w:p w14:paraId="07623E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60.18</w:t>
            </w:r>
          </w:p>
        </w:tc>
        <w:tc>
          <w:tcPr>
            <w:tcW w:w="747" w:type="dxa"/>
            <w:noWrap w:val="0"/>
            <w:tcMar>
              <w:top w:w="0" w:type="dxa"/>
              <w:left w:w="0" w:type="dxa"/>
              <w:bottom w:w="0" w:type="dxa"/>
              <w:right w:w="0" w:type="dxa"/>
            </w:tcMar>
            <w:vAlign w:val="center"/>
          </w:tcPr>
          <w:p w14:paraId="182787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1429D3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132.39</w:t>
            </w:r>
          </w:p>
        </w:tc>
        <w:tc>
          <w:tcPr>
            <w:tcW w:w="814" w:type="dxa"/>
            <w:noWrap w:val="0"/>
            <w:tcMar>
              <w:top w:w="0" w:type="dxa"/>
              <w:left w:w="0" w:type="dxa"/>
              <w:bottom w:w="0" w:type="dxa"/>
              <w:right w:w="0" w:type="dxa"/>
            </w:tcMar>
            <w:vAlign w:val="center"/>
          </w:tcPr>
          <w:p w14:paraId="59E03D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67.54</w:t>
            </w:r>
          </w:p>
        </w:tc>
        <w:tc>
          <w:tcPr>
            <w:tcW w:w="1333" w:type="dxa"/>
            <w:noWrap w:val="0"/>
            <w:tcMar>
              <w:top w:w="0" w:type="dxa"/>
              <w:left w:w="0" w:type="dxa"/>
              <w:bottom w:w="0" w:type="dxa"/>
              <w:right w:w="0" w:type="dxa"/>
            </w:tcMar>
            <w:vAlign w:val="center"/>
          </w:tcPr>
          <w:p w14:paraId="218A62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6205B5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17A0EB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41.54</w:t>
            </w:r>
          </w:p>
        </w:tc>
        <w:tc>
          <w:tcPr>
            <w:tcW w:w="606" w:type="dxa"/>
            <w:noWrap w:val="0"/>
            <w:tcMar>
              <w:top w:w="0" w:type="dxa"/>
              <w:left w:w="0" w:type="dxa"/>
              <w:bottom w:w="0" w:type="dxa"/>
              <w:right w:w="0" w:type="dxa"/>
            </w:tcMar>
            <w:vAlign w:val="center"/>
          </w:tcPr>
          <w:p w14:paraId="62A83C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6B4F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3C75B5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8</w:t>
            </w:r>
          </w:p>
        </w:tc>
        <w:tc>
          <w:tcPr>
            <w:tcW w:w="911" w:type="dxa"/>
            <w:noWrap w:val="0"/>
            <w:tcMar>
              <w:top w:w="0" w:type="dxa"/>
              <w:left w:w="0" w:type="dxa"/>
              <w:bottom w:w="0" w:type="dxa"/>
              <w:right w:w="0" w:type="dxa"/>
            </w:tcMar>
            <w:vAlign w:val="center"/>
          </w:tcPr>
          <w:p w14:paraId="36832B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72B8C8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脱水筛</w:t>
            </w:r>
          </w:p>
        </w:tc>
        <w:tc>
          <w:tcPr>
            <w:tcW w:w="694" w:type="dxa"/>
            <w:noWrap w:val="0"/>
            <w:tcMar>
              <w:top w:w="0" w:type="dxa"/>
              <w:left w:w="0" w:type="dxa"/>
              <w:bottom w:w="0" w:type="dxa"/>
              <w:right w:w="0" w:type="dxa"/>
            </w:tcMar>
            <w:vAlign w:val="center"/>
          </w:tcPr>
          <w:p w14:paraId="099D91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4</w:t>
            </w:r>
          </w:p>
        </w:tc>
        <w:tc>
          <w:tcPr>
            <w:tcW w:w="1973" w:type="dxa"/>
            <w:noWrap w:val="0"/>
            <w:tcMar>
              <w:top w:w="0" w:type="dxa"/>
              <w:left w:w="0" w:type="dxa"/>
              <w:bottom w:w="0" w:type="dxa"/>
              <w:right w:w="0" w:type="dxa"/>
            </w:tcMar>
            <w:vAlign w:val="center"/>
          </w:tcPr>
          <w:p w14:paraId="2F4616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3B8B3A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r>
              <w:rPr>
                <w:rFonts w:hint="eastAsia"/>
                <w:color w:val="auto"/>
                <w:sz w:val="21"/>
                <w:szCs w:val="21"/>
                <w:lang w:val="en-US" w:eastAsia="zh-CN"/>
              </w:rPr>
              <w:t>78.87</w:t>
            </w:r>
          </w:p>
        </w:tc>
        <w:tc>
          <w:tcPr>
            <w:tcW w:w="973" w:type="dxa"/>
            <w:noWrap w:val="0"/>
            <w:tcMar>
              <w:top w:w="0" w:type="dxa"/>
              <w:left w:w="0" w:type="dxa"/>
              <w:bottom w:w="0" w:type="dxa"/>
              <w:right w:w="0" w:type="dxa"/>
            </w:tcMar>
            <w:vAlign w:val="center"/>
          </w:tcPr>
          <w:p w14:paraId="18E197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54.72</w:t>
            </w:r>
          </w:p>
        </w:tc>
        <w:tc>
          <w:tcPr>
            <w:tcW w:w="747" w:type="dxa"/>
            <w:noWrap w:val="0"/>
            <w:tcMar>
              <w:top w:w="0" w:type="dxa"/>
              <w:left w:w="0" w:type="dxa"/>
              <w:bottom w:w="0" w:type="dxa"/>
              <w:right w:w="0" w:type="dxa"/>
            </w:tcMar>
            <w:vAlign w:val="center"/>
          </w:tcPr>
          <w:p w14:paraId="1EE929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3131B5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131.79</w:t>
            </w:r>
          </w:p>
        </w:tc>
        <w:tc>
          <w:tcPr>
            <w:tcW w:w="814" w:type="dxa"/>
            <w:noWrap w:val="0"/>
            <w:tcMar>
              <w:top w:w="0" w:type="dxa"/>
              <w:left w:w="0" w:type="dxa"/>
              <w:bottom w:w="0" w:type="dxa"/>
              <w:right w:w="0" w:type="dxa"/>
            </w:tcMar>
            <w:vAlign w:val="center"/>
          </w:tcPr>
          <w:p w14:paraId="638E3C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67.54</w:t>
            </w:r>
          </w:p>
        </w:tc>
        <w:tc>
          <w:tcPr>
            <w:tcW w:w="1333" w:type="dxa"/>
            <w:noWrap w:val="0"/>
            <w:tcMar>
              <w:top w:w="0" w:type="dxa"/>
              <w:left w:w="0" w:type="dxa"/>
              <w:bottom w:w="0" w:type="dxa"/>
              <w:right w:w="0" w:type="dxa"/>
            </w:tcMar>
            <w:vAlign w:val="center"/>
          </w:tcPr>
          <w:p w14:paraId="24884A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2D6ECF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5FDDC0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41.54</w:t>
            </w:r>
          </w:p>
        </w:tc>
        <w:tc>
          <w:tcPr>
            <w:tcW w:w="606" w:type="dxa"/>
            <w:noWrap w:val="0"/>
            <w:tcMar>
              <w:top w:w="0" w:type="dxa"/>
              <w:left w:w="0" w:type="dxa"/>
              <w:bottom w:w="0" w:type="dxa"/>
              <w:right w:w="0" w:type="dxa"/>
            </w:tcMar>
            <w:vAlign w:val="center"/>
          </w:tcPr>
          <w:p w14:paraId="0F146C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2A92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52CD56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9</w:t>
            </w:r>
          </w:p>
        </w:tc>
        <w:tc>
          <w:tcPr>
            <w:tcW w:w="911" w:type="dxa"/>
            <w:noWrap w:val="0"/>
            <w:tcMar>
              <w:top w:w="0" w:type="dxa"/>
              <w:left w:w="0" w:type="dxa"/>
              <w:bottom w:w="0" w:type="dxa"/>
              <w:right w:w="0" w:type="dxa"/>
            </w:tcMar>
            <w:vAlign w:val="center"/>
          </w:tcPr>
          <w:p w14:paraId="4A729E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33C26A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轮式洗砂机</w:t>
            </w:r>
          </w:p>
        </w:tc>
        <w:tc>
          <w:tcPr>
            <w:tcW w:w="694" w:type="dxa"/>
            <w:noWrap w:val="0"/>
            <w:tcMar>
              <w:top w:w="0" w:type="dxa"/>
              <w:left w:w="0" w:type="dxa"/>
              <w:bottom w:w="0" w:type="dxa"/>
              <w:right w:w="0" w:type="dxa"/>
            </w:tcMar>
            <w:vAlign w:val="center"/>
          </w:tcPr>
          <w:p w14:paraId="636632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2</w:t>
            </w:r>
          </w:p>
        </w:tc>
        <w:tc>
          <w:tcPr>
            <w:tcW w:w="1973" w:type="dxa"/>
            <w:noWrap w:val="0"/>
            <w:tcMar>
              <w:top w:w="0" w:type="dxa"/>
              <w:left w:w="0" w:type="dxa"/>
              <w:bottom w:w="0" w:type="dxa"/>
              <w:right w:w="0" w:type="dxa"/>
            </w:tcMar>
            <w:vAlign w:val="center"/>
          </w:tcPr>
          <w:p w14:paraId="75CE17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75F66A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r>
              <w:rPr>
                <w:rFonts w:hint="eastAsia"/>
                <w:color w:val="auto"/>
                <w:sz w:val="21"/>
                <w:szCs w:val="21"/>
                <w:lang w:val="en-US" w:eastAsia="zh-CN"/>
              </w:rPr>
              <w:t>76.85</w:t>
            </w:r>
          </w:p>
        </w:tc>
        <w:tc>
          <w:tcPr>
            <w:tcW w:w="973" w:type="dxa"/>
            <w:noWrap w:val="0"/>
            <w:tcMar>
              <w:top w:w="0" w:type="dxa"/>
              <w:left w:w="0" w:type="dxa"/>
              <w:bottom w:w="0" w:type="dxa"/>
              <w:right w:w="0" w:type="dxa"/>
            </w:tcMar>
            <w:vAlign w:val="center"/>
          </w:tcPr>
          <w:p w14:paraId="245FAE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88.34</w:t>
            </w:r>
          </w:p>
        </w:tc>
        <w:tc>
          <w:tcPr>
            <w:tcW w:w="747" w:type="dxa"/>
            <w:noWrap w:val="0"/>
            <w:tcMar>
              <w:top w:w="0" w:type="dxa"/>
              <w:left w:w="0" w:type="dxa"/>
              <w:bottom w:w="0" w:type="dxa"/>
              <w:right w:w="0" w:type="dxa"/>
            </w:tcMar>
            <w:vAlign w:val="center"/>
          </w:tcPr>
          <w:p w14:paraId="3E7D90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563059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101.24</w:t>
            </w:r>
          </w:p>
        </w:tc>
        <w:tc>
          <w:tcPr>
            <w:tcW w:w="814" w:type="dxa"/>
            <w:noWrap w:val="0"/>
            <w:tcMar>
              <w:top w:w="0" w:type="dxa"/>
              <w:left w:w="0" w:type="dxa"/>
              <w:bottom w:w="0" w:type="dxa"/>
              <w:right w:w="0" w:type="dxa"/>
            </w:tcMar>
            <w:vAlign w:val="center"/>
          </w:tcPr>
          <w:p w14:paraId="01FFA9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65.5</w:t>
            </w:r>
            <w:r>
              <w:rPr>
                <w:rFonts w:hint="eastAsia" w:cs="Times New Roman"/>
                <w:b w:val="0"/>
                <w:bCs/>
                <w:color w:val="auto"/>
                <w:sz w:val="21"/>
                <w:szCs w:val="21"/>
                <w:lang w:val="en-US" w:eastAsia="zh-CN"/>
              </w:rPr>
              <w:t>4</w:t>
            </w:r>
          </w:p>
        </w:tc>
        <w:tc>
          <w:tcPr>
            <w:tcW w:w="1333" w:type="dxa"/>
            <w:noWrap w:val="0"/>
            <w:tcMar>
              <w:top w:w="0" w:type="dxa"/>
              <w:left w:w="0" w:type="dxa"/>
              <w:bottom w:w="0" w:type="dxa"/>
              <w:right w:w="0" w:type="dxa"/>
            </w:tcMar>
            <w:vAlign w:val="center"/>
          </w:tcPr>
          <w:p w14:paraId="0E10EC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229E1E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5FE4FB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39.5</w:t>
            </w:r>
            <w:r>
              <w:rPr>
                <w:rFonts w:hint="eastAsia" w:cs="Times New Roman"/>
                <w:b w:val="0"/>
                <w:bCs/>
                <w:color w:val="auto"/>
                <w:sz w:val="21"/>
                <w:szCs w:val="21"/>
                <w:lang w:val="en-US" w:eastAsia="zh-CN"/>
              </w:rPr>
              <w:t>4</w:t>
            </w:r>
          </w:p>
        </w:tc>
        <w:tc>
          <w:tcPr>
            <w:tcW w:w="606" w:type="dxa"/>
            <w:noWrap w:val="0"/>
            <w:tcMar>
              <w:top w:w="0" w:type="dxa"/>
              <w:left w:w="0" w:type="dxa"/>
              <w:bottom w:w="0" w:type="dxa"/>
              <w:right w:w="0" w:type="dxa"/>
            </w:tcMar>
            <w:vAlign w:val="center"/>
          </w:tcPr>
          <w:p w14:paraId="718549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2A7A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08364E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1</w:t>
            </w:r>
            <w:r>
              <w:rPr>
                <w:rFonts w:hint="eastAsia" w:ascii="Times New Roman" w:hAnsi="Times New Roman" w:eastAsia="宋体" w:cs="Times New Roman"/>
                <w:b w:val="0"/>
                <w:bCs/>
                <w:color w:val="auto"/>
                <w:sz w:val="21"/>
                <w:szCs w:val="21"/>
                <w:lang w:val="en-US" w:eastAsia="zh-CN"/>
              </w:rPr>
              <w:t>0</w:t>
            </w:r>
          </w:p>
        </w:tc>
        <w:tc>
          <w:tcPr>
            <w:tcW w:w="911" w:type="dxa"/>
            <w:noWrap w:val="0"/>
            <w:tcMar>
              <w:top w:w="0" w:type="dxa"/>
              <w:left w:w="0" w:type="dxa"/>
              <w:bottom w:w="0" w:type="dxa"/>
              <w:right w:w="0" w:type="dxa"/>
            </w:tcMar>
            <w:vAlign w:val="center"/>
          </w:tcPr>
          <w:p w14:paraId="6D3038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4B30DD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轮式洗砂机</w:t>
            </w:r>
          </w:p>
        </w:tc>
        <w:tc>
          <w:tcPr>
            <w:tcW w:w="694" w:type="dxa"/>
            <w:noWrap w:val="0"/>
            <w:tcMar>
              <w:top w:w="0" w:type="dxa"/>
              <w:left w:w="0" w:type="dxa"/>
              <w:bottom w:w="0" w:type="dxa"/>
              <w:right w:w="0" w:type="dxa"/>
            </w:tcMar>
            <w:vAlign w:val="center"/>
          </w:tcPr>
          <w:p w14:paraId="76EDDC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2</w:t>
            </w:r>
          </w:p>
        </w:tc>
        <w:tc>
          <w:tcPr>
            <w:tcW w:w="1973" w:type="dxa"/>
            <w:noWrap w:val="0"/>
            <w:tcMar>
              <w:top w:w="0" w:type="dxa"/>
              <w:left w:w="0" w:type="dxa"/>
              <w:bottom w:w="0" w:type="dxa"/>
              <w:right w:w="0" w:type="dxa"/>
            </w:tcMar>
            <w:vAlign w:val="center"/>
          </w:tcPr>
          <w:p w14:paraId="03E5BD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0ABE2C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190.36</w:t>
            </w:r>
          </w:p>
        </w:tc>
        <w:tc>
          <w:tcPr>
            <w:tcW w:w="973" w:type="dxa"/>
            <w:noWrap w:val="0"/>
            <w:tcMar>
              <w:top w:w="0" w:type="dxa"/>
              <w:left w:w="0" w:type="dxa"/>
              <w:bottom w:w="0" w:type="dxa"/>
              <w:right w:w="0" w:type="dxa"/>
            </w:tcMar>
            <w:vAlign w:val="center"/>
          </w:tcPr>
          <w:p w14:paraId="0DCF64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83.16</w:t>
            </w:r>
          </w:p>
        </w:tc>
        <w:tc>
          <w:tcPr>
            <w:tcW w:w="747" w:type="dxa"/>
            <w:noWrap w:val="0"/>
            <w:tcMar>
              <w:top w:w="0" w:type="dxa"/>
              <w:left w:w="0" w:type="dxa"/>
              <w:bottom w:w="0" w:type="dxa"/>
              <w:right w:w="0" w:type="dxa"/>
            </w:tcMar>
            <w:vAlign w:val="center"/>
          </w:tcPr>
          <w:p w14:paraId="17E8D4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08EDA8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101.12</w:t>
            </w:r>
          </w:p>
        </w:tc>
        <w:tc>
          <w:tcPr>
            <w:tcW w:w="814" w:type="dxa"/>
            <w:noWrap w:val="0"/>
            <w:tcMar>
              <w:top w:w="0" w:type="dxa"/>
              <w:left w:w="0" w:type="dxa"/>
              <w:bottom w:w="0" w:type="dxa"/>
              <w:right w:w="0" w:type="dxa"/>
            </w:tcMar>
            <w:vAlign w:val="center"/>
          </w:tcPr>
          <w:p w14:paraId="4695AA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65.5</w:t>
            </w:r>
            <w:r>
              <w:rPr>
                <w:rFonts w:hint="eastAsia" w:cs="Times New Roman"/>
                <w:b w:val="0"/>
                <w:bCs/>
                <w:color w:val="auto"/>
                <w:sz w:val="21"/>
                <w:szCs w:val="21"/>
                <w:lang w:val="en-US" w:eastAsia="zh-CN"/>
              </w:rPr>
              <w:t>4</w:t>
            </w:r>
          </w:p>
        </w:tc>
        <w:tc>
          <w:tcPr>
            <w:tcW w:w="1333" w:type="dxa"/>
            <w:noWrap w:val="0"/>
            <w:tcMar>
              <w:top w:w="0" w:type="dxa"/>
              <w:left w:w="0" w:type="dxa"/>
              <w:bottom w:w="0" w:type="dxa"/>
              <w:right w:w="0" w:type="dxa"/>
            </w:tcMar>
            <w:vAlign w:val="center"/>
          </w:tcPr>
          <w:p w14:paraId="2BF904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797356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169F8A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39.5</w:t>
            </w:r>
            <w:r>
              <w:rPr>
                <w:rFonts w:hint="eastAsia" w:cs="Times New Roman"/>
                <w:b w:val="0"/>
                <w:bCs/>
                <w:color w:val="auto"/>
                <w:sz w:val="21"/>
                <w:szCs w:val="21"/>
                <w:lang w:val="en-US" w:eastAsia="zh-CN"/>
              </w:rPr>
              <w:t>4</w:t>
            </w:r>
          </w:p>
        </w:tc>
        <w:tc>
          <w:tcPr>
            <w:tcW w:w="606" w:type="dxa"/>
            <w:noWrap w:val="0"/>
            <w:tcMar>
              <w:top w:w="0" w:type="dxa"/>
              <w:left w:w="0" w:type="dxa"/>
              <w:bottom w:w="0" w:type="dxa"/>
              <w:right w:w="0" w:type="dxa"/>
            </w:tcMar>
            <w:vAlign w:val="center"/>
          </w:tcPr>
          <w:p w14:paraId="156801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29D0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21E3FB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1</w:t>
            </w:r>
            <w:r>
              <w:rPr>
                <w:rFonts w:hint="eastAsia" w:ascii="Times New Roman" w:hAnsi="Times New Roman" w:eastAsia="宋体" w:cs="Times New Roman"/>
                <w:b w:val="0"/>
                <w:bCs/>
                <w:color w:val="auto"/>
                <w:sz w:val="21"/>
                <w:szCs w:val="21"/>
                <w:lang w:val="en-US" w:eastAsia="zh-CN"/>
              </w:rPr>
              <w:t>1</w:t>
            </w:r>
          </w:p>
        </w:tc>
        <w:tc>
          <w:tcPr>
            <w:tcW w:w="911" w:type="dxa"/>
            <w:noWrap w:val="0"/>
            <w:tcMar>
              <w:top w:w="0" w:type="dxa"/>
              <w:left w:w="0" w:type="dxa"/>
              <w:bottom w:w="0" w:type="dxa"/>
              <w:right w:w="0" w:type="dxa"/>
            </w:tcMar>
            <w:vAlign w:val="center"/>
          </w:tcPr>
          <w:p w14:paraId="1CA51E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4C114A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轮式洗砂机</w:t>
            </w:r>
          </w:p>
        </w:tc>
        <w:tc>
          <w:tcPr>
            <w:tcW w:w="694" w:type="dxa"/>
            <w:noWrap w:val="0"/>
            <w:tcMar>
              <w:top w:w="0" w:type="dxa"/>
              <w:left w:w="0" w:type="dxa"/>
              <w:bottom w:w="0" w:type="dxa"/>
              <w:right w:w="0" w:type="dxa"/>
            </w:tcMar>
            <w:vAlign w:val="center"/>
          </w:tcPr>
          <w:p w14:paraId="07235F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2</w:t>
            </w:r>
          </w:p>
        </w:tc>
        <w:tc>
          <w:tcPr>
            <w:tcW w:w="1973" w:type="dxa"/>
            <w:noWrap w:val="0"/>
            <w:tcMar>
              <w:top w:w="0" w:type="dxa"/>
              <w:left w:w="0" w:type="dxa"/>
              <w:bottom w:w="0" w:type="dxa"/>
              <w:right w:w="0" w:type="dxa"/>
            </w:tcMar>
            <w:vAlign w:val="center"/>
          </w:tcPr>
          <w:p w14:paraId="16DA2A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7831E9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18</w:t>
            </w:r>
            <w:r>
              <w:rPr>
                <w:rFonts w:hint="eastAsia"/>
                <w:color w:val="auto"/>
                <w:sz w:val="21"/>
                <w:szCs w:val="21"/>
                <w:lang w:val="en-US" w:eastAsia="zh-CN"/>
              </w:rPr>
              <w:t>4.04</w:t>
            </w:r>
          </w:p>
        </w:tc>
        <w:tc>
          <w:tcPr>
            <w:tcW w:w="973" w:type="dxa"/>
            <w:noWrap w:val="0"/>
            <w:tcMar>
              <w:top w:w="0" w:type="dxa"/>
              <w:left w:w="0" w:type="dxa"/>
              <w:bottom w:w="0" w:type="dxa"/>
              <w:right w:w="0" w:type="dxa"/>
            </w:tcMar>
            <w:vAlign w:val="center"/>
          </w:tcPr>
          <w:p w14:paraId="348E43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103.56</w:t>
            </w:r>
          </w:p>
        </w:tc>
        <w:tc>
          <w:tcPr>
            <w:tcW w:w="747" w:type="dxa"/>
            <w:noWrap w:val="0"/>
            <w:tcMar>
              <w:top w:w="0" w:type="dxa"/>
              <w:left w:w="0" w:type="dxa"/>
              <w:bottom w:w="0" w:type="dxa"/>
              <w:right w:w="0" w:type="dxa"/>
            </w:tcMar>
            <w:vAlign w:val="center"/>
          </w:tcPr>
          <w:p w14:paraId="56B1A6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2A6403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84.44</w:t>
            </w:r>
          </w:p>
        </w:tc>
        <w:tc>
          <w:tcPr>
            <w:tcW w:w="814" w:type="dxa"/>
            <w:noWrap w:val="0"/>
            <w:tcMar>
              <w:top w:w="0" w:type="dxa"/>
              <w:left w:w="0" w:type="dxa"/>
              <w:bottom w:w="0" w:type="dxa"/>
              <w:right w:w="0" w:type="dxa"/>
            </w:tcMar>
            <w:vAlign w:val="center"/>
          </w:tcPr>
          <w:p w14:paraId="00CD8B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65.55</w:t>
            </w:r>
          </w:p>
        </w:tc>
        <w:tc>
          <w:tcPr>
            <w:tcW w:w="1333" w:type="dxa"/>
            <w:noWrap w:val="0"/>
            <w:tcMar>
              <w:top w:w="0" w:type="dxa"/>
              <w:left w:w="0" w:type="dxa"/>
              <w:bottom w:w="0" w:type="dxa"/>
              <w:right w:w="0" w:type="dxa"/>
            </w:tcMar>
            <w:vAlign w:val="center"/>
          </w:tcPr>
          <w:p w14:paraId="4726BF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21F000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06EA5B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39.55</w:t>
            </w:r>
          </w:p>
        </w:tc>
        <w:tc>
          <w:tcPr>
            <w:tcW w:w="606" w:type="dxa"/>
            <w:noWrap w:val="0"/>
            <w:tcMar>
              <w:top w:w="0" w:type="dxa"/>
              <w:left w:w="0" w:type="dxa"/>
              <w:bottom w:w="0" w:type="dxa"/>
              <w:right w:w="0" w:type="dxa"/>
            </w:tcMar>
            <w:vAlign w:val="center"/>
          </w:tcPr>
          <w:p w14:paraId="4ACEF8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6FB2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79161F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1</w:t>
            </w:r>
            <w:r>
              <w:rPr>
                <w:rFonts w:hint="eastAsia" w:ascii="Times New Roman" w:hAnsi="Times New Roman" w:eastAsia="宋体" w:cs="Times New Roman"/>
                <w:b w:val="0"/>
                <w:bCs/>
                <w:color w:val="auto"/>
                <w:sz w:val="21"/>
                <w:szCs w:val="21"/>
                <w:lang w:val="en-US" w:eastAsia="zh-CN"/>
              </w:rPr>
              <w:t>2</w:t>
            </w:r>
          </w:p>
        </w:tc>
        <w:tc>
          <w:tcPr>
            <w:tcW w:w="911" w:type="dxa"/>
            <w:noWrap w:val="0"/>
            <w:tcMar>
              <w:top w:w="0" w:type="dxa"/>
              <w:left w:w="0" w:type="dxa"/>
              <w:bottom w:w="0" w:type="dxa"/>
              <w:right w:w="0" w:type="dxa"/>
            </w:tcMar>
            <w:vAlign w:val="center"/>
          </w:tcPr>
          <w:p w14:paraId="34975F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1D66C1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轮式洗砂机</w:t>
            </w:r>
          </w:p>
        </w:tc>
        <w:tc>
          <w:tcPr>
            <w:tcW w:w="694" w:type="dxa"/>
            <w:noWrap w:val="0"/>
            <w:tcMar>
              <w:top w:w="0" w:type="dxa"/>
              <w:left w:w="0" w:type="dxa"/>
              <w:bottom w:w="0" w:type="dxa"/>
              <w:right w:w="0" w:type="dxa"/>
            </w:tcMar>
            <w:vAlign w:val="center"/>
          </w:tcPr>
          <w:p w14:paraId="426CEF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2</w:t>
            </w:r>
          </w:p>
        </w:tc>
        <w:tc>
          <w:tcPr>
            <w:tcW w:w="1973" w:type="dxa"/>
            <w:noWrap w:val="0"/>
            <w:tcMar>
              <w:top w:w="0" w:type="dxa"/>
              <w:left w:w="0" w:type="dxa"/>
              <w:bottom w:w="0" w:type="dxa"/>
              <w:right w:w="0" w:type="dxa"/>
            </w:tcMar>
            <w:vAlign w:val="center"/>
          </w:tcPr>
          <w:p w14:paraId="5709C3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3D7C98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197.83</w:t>
            </w:r>
          </w:p>
        </w:tc>
        <w:tc>
          <w:tcPr>
            <w:tcW w:w="973" w:type="dxa"/>
            <w:noWrap w:val="0"/>
            <w:tcMar>
              <w:top w:w="0" w:type="dxa"/>
              <w:left w:w="0" w:type="dxa"/>
              <w:bottom w:w="0" w:type="dxa"/>
              <w:right w:w="0" w:type="dxa"/>
            </w:tcMar>
            <w:vAlign w:val="center"/>
          </w:tcPr>
          <w:p w14:paraId="77283F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98.68</w:t>
            </w:r>
          </w:p>
        </w:tc>
        <w:tc>
          <w:tcPr>
            <w:tcW w:w="747" w:type="dxa"/>
            <w:noWrap w:val="0"/>
            <w:tcMar>
              <w:top w:w="0" w:type="dxa"/>
              <w:left w:w="0" w:type="dxa"/>
              <w:bottom w:w="0" w:type="dxa"/>
              <w:right w:w="0" w:type="dxa"/>
            </w:tcMar>
            <w:vAlign w:val="center"/>
          </w:tcPr>
          <w:p w14:paraId="411932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7A8133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83.94</w:t>
            </w:r>
          </w:p>
        </w:tc>
        <w:tc>
          <w:tcPr>
            <w:tcW w:w="814" w:type="dxa"/>
            <w:noWrap w:val="0"/>
            <w:tcMar>
              <w:top w:w="0" w:type="dxa"/>
              <w:left w:w="0" w:type="dxa"/>
              <w:bottom w:w="0" w:type="dxa"/>
              <w:right w:w="0" w:type="dxa"/>
            </w:tcMar>
            <w:vAlign w:val="center"/>
          </w:tcPr>
          <w:p w14:paraId="43AC11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65.55</w:t>
            </w:r>
          </w:p>
        </w:tc>
        <w:tc>
          <w:tcPr>
            <w:tcW w:w="1333" w:type="dxa"/>
            <w:noWrap w:val="0"/>
            <w:tcMar>
              <w:top w:w="0" w:type="dxa"/>
              <w:left w:w="0" w:type="dxa"/>
              <w:bottom w:w="0" w:type="dxa"/>
              <w:right w:w="0" w:type="dxa"/>
            </w:tcMar>
            <w:vAlign w:val="center"/>
          </w:tcPr>
          <w:p w14:paraId="4FA3A0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142706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20CDDF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39.55</w:t>
            </w:r>
          </w:p>
        </w:tc>
        <w:tc>
          <w:tcPr>
            <w:tcW w:w="606" w:type="dxa"/>
            <w:noWrap w:val="0"/>
            <w:tcMar>
              <w:top w:w="0" w:type="dxa"/>
              <w:left w:w="0" w:type="dxa"/>
              <w:bottom w:w="0" w:type="dxa"/>
              <w:right w:w="0" w:type="dxa"/>
            </w:tcMar>
            <w:vAlign w:val="center"/>
          </w:tcPr>
          <w:p w14:paraId="4E86AA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50E6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6C4F2E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13</w:t>
            </w:r>
          </w:p>
        </w:tc>
        <w:tc>
          <w:tcPr>
            <w:tcW w:w="911" w:type="dxa"/>
            <w:noWrap w:val="0"/>
            <w:tcMar>
              <w:top w:w="0" w:type="dxa"/>
              <w:left w:w="0" w:type="dxa"/>
              <w:bottom w:w="0" w:type="dxa"/>
              <w:right w:w="0" w:type="dxa"/>
            </w:tcMar>
            <w:vAlign w:val="center"/>
          </w:tcPr>
          <w:p w14:paraId="617EC2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76F4CA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压滤机专用泥浆泵</w:t>
            </w:r>
          </w:p>
        </w:tc>
        <w:tc>
          <w:tcPr>
            <w:tcW w:w="694" w:type="dxa"/>
            <w:noWrap w:val="0"/>
            <w:tcMar>
              <w:top w:w="0" w:type="dxa"/>
              <w:left w:w="0" w:type="dxa"/>
              <w:bottom w:w="0" w:type="dxa"/>
              <w:right w:w="0" w:type="dxa"/>
            </w:tcMar>
            <w:vAlign w:val="center"/>
          </w:tcPr>
          <w:p w14:paraId="20FD05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0</w:t>
            </w:r>
          </w:p>
        </w:tc>
        <w:tc>
          <w:tcPr>
            <w:tcW w:w="1973" w:type="dxa"/>
            <w:noWrap w:val="0"/>
            <w:tcMar>
              <w:top w:w="0" w:type="dxa"/>
              <w:left w:w="0" w:type="dxa"/>
              <w:bottom w:w="0" w:type="dxa"/>
              <w:right w:w="0" w:type="dxa"/>
            </w:tcMar>
            <w:vAlign w:val="center"/>
          </w:tcPr>
          <w:p w14:paraId="629059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1A279A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179.22</w:t>
            </w:r>
          </w:p>
        </w:tc>
        <w:tc>
          <w:tcPr>
            <w:tcW w:w="973" w:type="dxa"/>
            <w:noWrap w:val="0"/>
            <w:tcMar>
              <w:top w:w="0" w:type="dxa"/>
              <w:left w:w="0" w:type="dxa"/>
              <w:bottom w:w="0" w:type="dxa"/>
              <w:right w:w="0" w:type="dxa"/>
            </w:tcMar>
            <w:vAlign w:val="center"/>
          </w:tcPr>
          <w:p w14:paraId="0ECDAC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36.84</w:t>
            </w:r>
          </w:p>
        </w:tc>
        <w:tc>
          <w:tcPr>
            <w:tcW w:w="747" w:type="dxa"/>
            <w:noWrap w:val="0"/>
            <w:tcMar>
              <w:top w:w="0" w:type="dxa"/>
              <w:left w:w="0" w:type="dxa"/>
              <w:bottom w:w="0" w:type="dxa"/>
              <w:right w:w="0" w:type="dxa"/>
            </w:tcMar>
            <w:vAlign w:val="center"/>
          </w:tcPr>
          <w:p w14:paraId="746CDF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6778DC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148.3</w:t>
            </w:r>
          </w:p>
        </w:tc>
        <w:tc>
          <w:tcPr>
            <w:tcW w:w="814" w:type="dxa"/>
            <w:noWrap w:val="0"/>
            <w:tcMar>
              <w:top w:w="0" w:type="dxa"/>
              <w:left w:w="0" w:type="dxa"/>
              <w:bottom w:w="0" w:type="dxa"/>
              <w:right w:w="0" w:type="dxa"/>
            </w:tcMar>
            <w:vAlign w:val="center"/>
          </w:tcPr>
          <w:p w14:paraId="5FDBB7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63.54</w:t>
            </w:r>
          </w:p>
        </w:tc>
        <w:tc>
          <w:tcPr>
            <w:tcW w:w="1333" w:type="dxa"/>
            <w:noWrap w:val="0"/>
            <w:tcMar>
              <w:top w:w="0" w:type="dxa"/>
              <w:left w:w="0" w:type="dxa"/>
              <w:bottom w:w="0" w:type="dxa"/>
              <w:right w:w="0" w:type="dxa"/>
            </w:tcMar>
            <w:vAlign w:val="center"/>
          </w:tcPr>
          <w:p w14:paraId="7881BC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2D84C6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574160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37.54</w:t>
            </w:r>
          </w:p>
        </w:tc>
        <w:tc>
          <w:tcPr>
            <w:tcW w:w="606" w:type="dxa"/>
            <w:noWrap w:val="0"/>
            <w:tcMar>
              <w:top w:w="0" w:type="dxa"/>
              <w:left w:w="0" w:type="dxa"/>
              <w:bottom w:w="0" w:type="dxa"/>
              <w:right w:w="0" w:type="dxa"/>
            </w:tcMar>
            <w:vAlign w:val="center"/>
          </w:tcPr>
          <w:p w14:paraId="4BB156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49A8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283778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14</w:t>
            </w:r>
          </w:p>
        </w:tc>
        <w:tc>
          <w:tcPr>
            <w:tcW w:w="911" w:type="dxa"/>
            <w:noWrap w:val="0"/>
            <w:tcMar>
              <w:top w:w="0" w:type="dxa"/>
              <w:left w:w="0" w:type="dxa"/>
              <w:bottom w:w="0" w:type="dxa"/>
              <w:right w:w="0" w:type="dxa"/>
            </w:tcMar>
            <w:vAlign w:val="center"/>
          </w:tcPr>
          <w:p w14:paraId="5E9131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4C9282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压滤机专用泥浆泵</w:t>
            </w:r>
          </w:p>
        </w:tc>
        <w:tc>
          <w:tcPr>
            <w:tcW w:w="694" w:type="dxa"/>
            <w:noWrap w:val="0"/>
            <w:tcMar>
              <w:top w:w="0" w:type="dxa"/>
              <w:left w:w="0" w:type="dxa"/>
              <w:bottom w:w="0" w:type="dxa"/>
              <w:right w:w="0" w:type="dxa"/>
            </w:tcMar>
            <w:vAlign w:val="center"/>
          </w:tcPr>
          <w:p w14:paraId="4737E8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0</w:t>
            </w:r>
          </w:p>
        </w:tc>
        <w:tc>
          <w:tcPr>
            <w:tcW w:w="1973" w:type="dxa"/>
            <w:noWrap w:val="0"/>
            <w:tcMar>
              <w:top w:w="0" w:type="dxa"/>
              <w:left w:w="0" w:type="dxa"/>
              <w:bottom w:w="0" w:type="dxa"/>
              <w:right w:w="0" w:type="dxa"/>
            </w:tcMar>
            <w:vAlign w:val="center"/>
          </w:tcPr>
          <w:p w14:paraId="76382B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4E30DE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178.22</w:t>
            </w:r>
          </w:p>
        </w:tc>
        <w:tc>
          <w:tcPr>
            <w:tcW w:w="973" w:type="dxa"/>
            <w:noWrap w:val="0"/>
            <w:tcMar>
              <w:top w:w="0" w:type="dxa"/>
              <w:left w:w="0" w:type="dxa"/>
              <w:bottom w:w="0" w:type="dxa"/>
              <w:right w:w="0" w:type="dxa"/>
            </w:tcMar>
            <w:vAlign w:val="center"/>
          </w:tcPr>
          <w:p w14:paraId="16EBAC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34.55</w:t>
            </w:r>
          </w:p>
        </w:tc>
        <w:tc>
          <w:tcPr>
            <w:tcW w:w="747" w:type="dxa"/>
            <w:noWrap w:val="0"/>
            <w:tcMar>
              <w:top w:w="0" w:type="dxa"/>
              <w:left w:w="0" w:type="dxa"/>
              <w:bottom w:w="0" w:type="dxa"/>
              <w:right w:w="0" w:type="dxa"/>
            </w:tcMar>
            <w:vAlign w:val="center"/>
          </w:tcPr>
          <w:p w14:paraId="1B87E4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7AAFFA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150.8</w:t>
            </w:r>
          </w:p>
        </w:tc>
        <w:tc>
          <w:tcPr>
            <w:tcW w:w="814" w:type="dxa"/>
            <w:noWrap w:val="0"/>
            <w:tcMar>
              <w:top w:w="0" w:type="dxa"/>
              <w:left w:w="0" w:type="dxa"/>
              <w:bottom w:w="0" w:type="dxa"/>
              <w:right w:w="0" w:type="dxa"/>
            </w:tcMar>
            <w:vAlign w:val="center"/>
          </w:tcPr>
          <w:p w14:paraId="68D97E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63.54</w:t>
            </w:r>
          </w:p>
        </w:tc>
        <w:tc>
          <w:tcPr>
            <w:tcW w:w="1333" w:type="dxa"/>
            <w:noWrap w:val="0"/>
            <w:tcMar>
              <w:top w:w="0" w:type="dxa"/>
              <w:left w:w="0" w:type="dxa"/>
              <w:bottom w:w="0" w:type="dxa"/>
              <w:right w:w="0" w:type="dxa"/>
            </w:tcMar>
            <w:vAlign w:val="center"/>
          </w:tcPr>
          <w:p w14:paraId="113752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60587B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58A85F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37.54</w:t>
            </w:r>
          </w:p>
        </w:tc>
        <w:tc>
          <w:tcPr>
            <w:tcW w:w="606" w:type="dxa"/>
            <w:noWrap w:val="0"/>
            <w:tcMar>
              <w:top w:w="0" w:type="dxa"/>
              <w:left w:w="0" w:type="dxa"/>
              <w:bottom w:w="0" w:type="dxa"/>
              <w:right w:w="0" w:type="dxa"/>
            </w:tcMar>
            <w:vAlign w:val="center"/>
          </w:tcPr>
          <w:p w14:paraId="4C8796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2B33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128B7D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15</w:t>
            </w:r>
          </w:p>
        </w:tc>
        <w:tc>
          <w:tcPr>
            <w:tcW w:w="911" w:type="dxa"/>
            <w:noWrap w:val="0"/>
            <w:tcMar>
              <w:top w:w="0" w:type="dxa"/>
              <w:left w:w="0" w:type="dxa"/>
              <w:bottom w:w="0" w:type="dxa"/>
              <w:right w:w="0" w:type="dxa"/>
            </w:tcMar>
            <w:vAlign w:val="center"/>
          </w:tcPr>
          <w:p w14:paraId="21AADD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0307E4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压滤机专用泥浆泵</w:t>
            </w:r>
          </w:p>
        </w:tc>
        <w:tc>
          <w:tcPr>
            <w:tcW w:w="694" w:type="dxa"/>
            <w:noWrap w:val="0"/>
            <w:tcMar>
              <w:top w:w="0" w:type="dxa"/>
              <w:left w:w="0" w:type="dxa"/>
              <w:bottom w:w="0" w:type="dxa"/>
              <w:right w:w="0" w:type="dxa"/>
            </w:tcMar>
            <w:vAlign w:val="center"/>
          </w:tcPr>
          <w:p w14:paraId="4539E3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0</w:t>
            </w:r>
          </w:p>
        </w:tc>
        <w:tc>
          <w:tcPr>
            <w:tcW w:w="1973" w:type="dxa"/>
            <w:noWrap w:val="0"/>
            <w:tcMar>
              <w:top w:w="0" w:type="dxa"/>
              <w:left w:w="0" w:type="dxa"/>
              <w:bottom w:w="0" w:type="dxa"/>
              <w:right w:w="0" w:type="dxa"/>
            </w:tcMar>
            <w:vAlign w:val="center"/>
          </w:tcPr>
          <w:p w14:paraId="27B986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7260DC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177.13</w:t>
            </w:r>
          </w:p>
        </w:tc>
        <w:tc>
          <w:tcPr>
            <w:tcW w:w="973" w:type="dxa"/>
            <w:noWrap w:val="0"/>
            <w:tcMar>
              <w:top w:w="0" w:type="dxa"/>
              <w:left w:w="0" w:type="dxa"/>
              <w:bottom w:w="0" w:type="dxa"/>
              <w:right w:w="0" w:type="dxa"/>
            </w:tcMar>
            <w:vAlign w:val="center"/>
          </w:tcPr>
          <w:p w14:paraId="5DDB7B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31.97</w:t>
            </w:r>
          </w:p>
        </w:tc>
        <w:tc>
          <w:tcPr>
            <w:tcW w:w="747" w:type="dxa"/>
            <w:noWrap w:val="0"/>
            <w:tcMar>
              <w:top w:w="0" w:type="dxa"/>
              <w:left w:w="0" w:type="dxa"/>
              <w:bottom w:w="0" w:type="dxa"/>
              <w:right w:w="0" w:type="dxa"/>
            </w:tcMar>
            <w:vAlign w:val="center"/>
          </w:tcPr>
          <w:p w14:paraId="79E055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5A36F3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153.6</w:t>
            </w:r>
          </w:p>
        </w:tc>
        <w:tc>
          <w:tcPr>
            <w:tcW w:w="814" w:type="dxa"/>
            <w:noWrap w:val="0"/>
            <w:tcMar>
              <w:top w:w="0" w:type="dxa"/>
              <w:left w:w="0" w:type="dxa"/>
              <w:bottom w:w="0" w:type="dxa"/>
              <w:right w:w="0" w:type="dxa"/>
            </w:tcMar>
            <w:vAlign w:val="center"/>
          </w:tcPr>
          <w:p w14:paraId="701DF9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63.54</w:t>
            </w:r>
          </w:p>
        </w:tc>
        <w:tc>
          <w:tcPr>
            <w:tcW w:w="1333" w:type="dxa"/>
            <w:noWrap w:val="0"/>
            <w:tcMar>
              <w:top w:w="0" w:type="dxa"/>
              <w:left w:w="0" w:type="dxa"/>
              <w:bottom w:w="0" w:type="dxa"/>
              <w:right w:w="0" w:type="dxa"/>
            </w:tcMar>
            <w:vAlign w:val="center"/>
          </w:tcPr>
          <w:p w14:paraId="4A628D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53E489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5C82D5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37.54</w:t>
            </w:r>
          </w:p>
        </w:tc>
        <w:tc>
          <w:tcPr>
            <w:tcW w:w="606" w:type="dxa"/>
            <w:noWrap w:val="0"/>
            <w:tcMar>
              <w:top w:w="0" w:type="dxa"/>
              <w:left w:w="0" w:type="dxa"/>
              <w:bottom w:w="0" w:type="dxa"/>
              <w:right w:w="0" w:type="dxa"/>
            </w:tcMar>
            <w:vAlign w:val="center"/>
          </w:tcPr>
          <w:p w14:paraId="73FB55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0E984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783628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16</w:t>
            </w:r>
          </w:p>
        </w:tc>
        <w:tc>
          <w:tcPr>
            <w:tcW w:w="911" w:type="dxa"/>
            <w:noWrap w:val="0"/>
            <w:tcMar>
              <w:top w:w="0" w:type="dxa"/>
              <w:left w:w="0" w:type="dxa"/>
              <w:bottom w:w="0" w:type="dxa"/>
              <w:right w:w="0" w:type="dxa"/>
            </w:tcMar>
            <w:vAlign w:val="center"/>
          </w:tcPr>
          <w:p w14:paraId="714E6E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55C3DB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隔膜厢式</w:t>
            </w:r>
            <w:r>
              <w:rPr>
                <w:rFonts w:hint="eastAsia" w:ascii="Times New Roman" w:hAnsi="Times New Roman" w:eastAsia="宋体" w:cs="Times New Roman"/>
                <w:b w:val="0"/>
                <w:bCs/>
                <w:color w:val="auto"/>
                <w:sz w:val="21"/>
                <w:szCs w:val="21"/>
                <w:lang w:val="en-US" w:eastAsia="zh-CN"/>
              </w:rPr>
              <w:t>板框压滤机</w:t>
            </w:r>
          </w:p>
        </w:tc>
        <w:tc>
          <w:tcPr>
            <w:tcW w:w="694" w:type="dxa"/>
            <w:noWrap w:val="0"/>
            <w:tcMar>
              <w:top w:w="0" w:type="dxa"/>
              <w:left w:w="0" w:type="dxa"/>
              <w:bottom w:w="0" w:type="dxa"/>
              <w:right w:w="0" w:type="dxa"/>
            </w:tcMar>
            <w:vAlign w:val="center"/>
          </w:tcPr>
          <w:p w14:paraId="14F86E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2</w:t>
            </w:r>
          </w:p>
        </w:tc>
        <w:tc>
          <w:tcPr>
            <w:tcW w:w="1973" w:type="dxa"/>
            <w:noWrap w:val="0"/>
            <w:tcMar>
              <w:top w:w="0" w:type="dxa"/>
              <w:left w:w="0" w:type="dxa"/>
              <w:bottom w:w="0" w:type="dxa"/>
              <w:right w:w="0" w:type="dxa"/>
            </w:tcMar>
            <w:vAlign w:val="center"/>
          </w:tcPr>
          <w:p w14:paraId="32C9BB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25A738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179.51</w:t>
            </w:r>
          </w:p>
        </w:tc>
        <w:tc>
          <w:tcPr>
            <w:tcW w:w="973" w:type="dxa"/>
            <w:noWrap w:val="0"/>
            <w:tcMar>
              <w:top w:w="0" w:type="dxa"/>
              <w:left w:w="0" w:type="dxa"/>
              <w:bottom w:w="0" w:type="dxa"/>
              <w:right w:w="0" w:type="dxa"/>
            </w:tcMar>
            <w:vAlign w:val="center"/>
          </w:tcPr>
          <w:p w14:paraId="1A676F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31.08</w:t>
            </w:r>
          </w:p>
        </w:tc>
        <w:tc>
          <w:tcPr>
            <w:tcW w:w="747" w:type="dxa"/>
            <w:noWrap w:val="0"/>
            <w:tcMar>
              <w:top w:w="0" w:type="dxa"/>
              <w:left w:w="0" w:type="dxa"/>
              <w:bottom w:w="0" w:type="dxa"/>
              <w:right w:w="0" w:type="dxa"/>
            </w:tcMar>
            <w:vAlign w:val="center"/>
          </w:tcPr>
          <w:p w14:paraId="5E72D5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71EC85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4.35</w:t>
            </w:r>
          </w:p>
        </w:tc>
        <w:tc>
          <w:tcPr>
            <w:tcW w:w="814" w:type="dxa"/>
            <w:noWrap w:val="0"/>
            <w:tcMar>
              <w:top w:w="0" w:type="dxa"/>
              <w:left w:w="0" w:type="dxa"/>
              <w:bottom w:w="0" w:type="dxa"/>
              <w:right w:w="0" w:type="dxa"/>
            </w:tcMar>
            <w:vAlign w:val="center"/>
          </w:tcPr>
          <w:p w14:paraId="20CFDA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66.28</w:t>
            </w:r>
          </w:p>
        </w:tc>
        <w:tc>
          <w:tcPr>
            <w:tcW w:w="1333" w:type="dxa"/>
            <w:noWrap w:val="0"/>
            <w:tcMar>
              <w:top w:w="0" w:type="dxa"/>
              <w:left w:w="0" w:type="dxa"/>
              <w:bottom w:w="0" w:type="dxa"/>
              <w:right w:w="0" w:type="dxa"/>
            </w:tcMar>
            <w:vAlign w:val="center"/>
          </w:tcPr>
          <w:p w14:paraId="1DA311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7AA391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07FA64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40.28</w:t>
            </w:r>
          </w:p>
        </w:tc>
        <w:tc>
          <w:tcPr>
            <w:tcW w:w="606" w:type="dxa"/>
            <w:noWrap w:val="0"/>
            <w:tcMar>
              <w:top w:w="0" w:type="dxa"/>
              <w:left w:w="0" w:type="dxa"/>
              <w:bottom w:w="0" w:type="dxa"/>
              <w:right w:w="0" w:type="dxa"/>
            </w:tcMar>
            <w:vAlign w:val="center"/>
          </w:tcPr>
          <w:p w14:paraId="6DCC25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246E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392CB1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17</w:t>
            </w:r>
          </w:p>
        </w:tc>
        <w:tc>
          <w:tcPr>
            <w:tcW w:w="911" w:type="dxa"/>
            <w:noWrap w:val="0"/>
            <w:tcMar>
              <w:top w:w="0" w:type="dxa"/>
              <w:left w:w="0" w:type="dxa"/>
              <w:bottom w:w="0" w:type="dxa"/>
              <w:right w:w="0" w:type="dxa"/>
            </w:tcMar>
            <w:vAlign w:val="center"/>
          </w:tcPr>
          <w:p w14:paraId="1C7F1D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489339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隔膜厢式</w:t>
            </w:r>
            <w:r>
              <w:rPr>
                <w:rFonts w:hint="eastAsia" w:ascii="Times New Roman" w:hAnsi="Times New Roman" w:eastAsia="宋体" w:cs="Times New Roman"/>
                <w:b w:val="0"/>
                <w:bCs/>
                <w:color w:val="auto"/>
                <w:sz w:val="21"/>
                <w:szCs w:val="21"/>
                <w:lang w:val="en-US" w:eastAsia="zh-CN"/>
              </w:rPr>
              <w:t>板框压滤机</w:t>
            </w:r>
          </w:p>
        </w:tc>
        <w:tc>
          <w:tcPr>
            <w:tcW w:w="694" w:type="dxa"/>
            <w:noWrap w:val="0"/>
            <w:tcMar>
              <w:top w:w="0" w:type="dxa"/>
              <w:left w:w="0" w:type="dxa"/>
              <w:bottom w:w="0" w:type="dxa"/>
              <w:right w:w="0" w:type="dxa"/>
            </w:tcMar>
            <w:vAlign w:val="center"/>
          </w:tcPr>
          <w:p w14:paraId="7B5E99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2</w:t>
            </w:r>
          </w:p>
        </w:tc>
        <w:tc>
          <w:tcPr>
            <w:tcW w:w="1973" w:type="dxa"/>
            <w:noWrap w:val="0"/>
            <w:tcMar>
              <w:top w:w="0" w:type="dxa"/>
              <w:left w:w="0" w:type="dxa"/>
              <w:bottom w:w="0" w:type="dxa"/>
              <w:right w:w="0" w:type="dxa"/>
            </w:tcMar>
            <w:vAlign w:val="center"/>
          </w:tcPr>
          <w:p w14:paraId="790C0F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1F25CA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181.1</w:t>
            </w:r>
          </w:p>
        </w:tc>
        <w:tc>
          <w:tcPr>
            <w:tcW w:w="973" w:type="dxa"/>
            <w:noWrap w:val="0"/>
            <w:tcMar>
              <w:top w:w="0" w:type="dxa"/>
              <w:left w:w="0" w:type="dxa"/>
              <w:bottom w:w="0" w:type="dxa"/>
              <w:right w:w="0" w:type="dxa"/>
            </w:tcMar>
            <w:vAlign w:val="center"/>
          </w:tcPr>
          <w:p w14:paraId="12A6EF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33.26</w:t>
            </w:r>
          </w:p>
        </w:tc>
        <w:tc>
          <w:tcPr>
            <w:tcW w:w="747" w:type="dxa"/>
            <w:noWrap w:val="0"/>
            <w:tcMar>
              <w:top w:w="0" w:type="dxa"/>
              <w:left w:w="0" w:type="dxa"/>
              <w:bottom w:w="0" w:type="dxa"/>
              <w:right w:w="0" w:type="dxa"/>
            </w:tcMar>
            <w:vAlign w:val="center"/>
          </w:tcPr>
          <w:p w14:paraId="448A29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7D2536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150.95</w:t>
            </w:r>
          </w:p>
        </w:tc>
        <w:tc>
          <w:tcPr>
            <w:tcW w:w="814" w:type="dxa"/>
            <w:noWrap w:val="0"/>
            <w:tcMar>
              <w:top w:w="0" w:type="dxa"/>
              <w:left w:w="0" w:type="dxa"/>
              <w:bottom w:w="0" w:type="dxa"/>
              <w:right w:w="0" w:type="dxa"/>
            </w:tcMar>
            <w:vAlign w:val="center"/>
          </w:tcPr>
          <w:p w14:paraId="15A51E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65.54</w:t>
            </w:r>
          </w:p>
        </w:tc>
        <w:tc>
          <w:tcPr>
            <w:tcW w:w="1333" w:type="dxa"/>
            <w:noWrap w:val="0"/>
            <w:tcMar>
              <w:top w:w="0" w:type="dxa"/>
              <w:left w:w="0" w:type="dxa"/>
              <w:bottom w:w="0" w:type="dxa"/>
              <w:right w:w="0" w:type="dxa"/>
            </w:tcMar>
            <w:vAlign w:val="center"/>
          </w:tcPr>
          <w:p w14:paraId="728057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187205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0751AF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39.54</w:t>
            </w:r>
          </w:p>
        </w:tc>
        <w:tc>
          <w:tcPr>
            <w:tcW w:w="606" w:type="dxa"/>
            <w:noWrap w:val="0"/>
            <w:tcMar>
              <w:top w:w="0" w:type="dxa"/>
              <w:left w:w="0" w:type="dxa"/>
              <w:bottom w:w="0" w:type="dxa"/>
              <w:right w:w="0" w:type="dxa"/>
            </w:tcMar>
            <w:vAlign w:val="center"/>
          </w:tcPr>
          <w:p w14:paraId="360F92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199A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6A7477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18</w:t>
            </w:r>
          </w:p>
        </w:tc>
        <w:tc>
          <w:tcPr>
            <w:tcW w:w="911" w:type="dxa"/>
            <w:noWrap w:val="0"/>
            <w:tcMar>
              <w:top w:w="0" w:type="dxa"/>
              <w:left w:w="0" w:type="dxa"/>
              <w:bottom w:w="0" w:type="dxa"/>
              <w:right w:w="0" w:type="dxa"/>
            </w:tcMar>
            <w:vAlign w:val="center"/>
          </w:tcPr>
          <w:p w14:paraId="024D46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75C682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隔膜厢式</w:t>
            </w:r>
            <w:r>
              <w:rPr>
                <w:rFonts w:hint="eastAsia" w:ascii="Times New Roman" w:hAnsi="Times New Roman" w:eastAsia="宋体" w:cs="Times New Roman"/>
                <w:b w:val="0"/>
                <w:bCs/>
                <w:color w:val="auto"/>
                <w:sz w:val="21"/>
                <w:szCs w:val="21"/>
                <w:lang w:val="en-US" w:eastAsia="zh-CN"/>
              </w:rPr>
              <w:t>板框压滤机</w:t>
            </w:r>
          </w:p>
        </w:tc>
        <w:tc>
          <w:tcPr>
            <w:tcW w:w="694" w:type="dxa"/>
            <w:noWrap w:val="0"/>
            <w:tcMar>
              <w:top w:w="0" w:type="dxa"/>
              <w:left w:w="0" w:type="dxa"/>
              <w:bottom w:w="0" w:type="dxa"/>
              <w:right w:w="0" w:type="dxa"/>
            </w:tcMar>
            <w:vAlign w:val="center"/>
          </w:tcPr>
          <w:p w14:paraId="2B439D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2</w:t>
            </w:r>
          </w:p>
        </w:tc>
        <w:tc>
          <w:tcPr>
            <w:tcW w:w="1973" w:type="dxa"/>
            <w:noWrap w:val="0"/>
            <w:tcMar>
              <w:top w:w="0" w:type="dxa"/>
              <w:left w:w="0" w:type="dxa"/>
              <w:bottom w:w="0" w:type="dxa"/>
              <w:right w:w="0" w:type="dxa"/>
            </w:tcMar>
            <w:vAlign w:val="center"/>
          </w:tcPr>
          <w:p w14:paraId="6C3E03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560800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182.49</w:t>
            </w:r>
          </w:p>
        </w:tc>
        <w:tc>
          <w:tcPr>
            <w:tcW w:w="973" w:type="dxa"/>
            <w:noWrap w:val="0"/>
            <w:tcMar>
              <w:top w:w="0" w:type="dxa"/>
              <w:left w:w="0" w:type="dxa"/>
              <w:bottom w:w="0" w:type="dxa"/>
              <w:right w:w="0" w:type="dxa"/>
            </w:tcMar>
            <w:vAlign w:val="center"/>
          </w:tcPr>
          <w:p w14:paraId="33682D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35.84</w:t>
            </w:r>
          </w:p>
        </w:tc>
        <w:tc>
          <w:tcPr>
            <w:tcW w:w="747" w:type="dxa"/>
            <w:noWrap w:val="0"/>
            <w:tcMar>
              <w:top w:w="0" w:type="dxa"/>
              <w:left w:w="0" w:type="dxa"/>
              <w:bottom w:w="0" w:type="dxa"/>
              <w:right w:w="0" w:type="dxa"/>
            </w:tcMar>
            <w:vAlign w:val="center"/>
          </w:tcPr>
          <w:p w14:paraId="0F9408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69D5F6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148.04</w:t>
            </w:r>
          </w:p>
        </w:tc>
        <w:tc>
          <w:tcPr>
            <w:tcW w:w="814" w:type="dxa"/>
            <w:noWrap w:val="0"/>
            <w:tcMar>
              <w:top w:w="0" w:type="dxa"/>
              <w:left w:w="0" w:type="dxa"/>
              <w:bottom w:w="0" w:type="dxa"/>
              <w:right w:w="0" w:type="dxa"/>
            </w:tcMar>
            <w:vAlign w:val="center"/>
          </w:tcPr>
          <w:p w14:paraId="5D6097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65.54</w:t>
            </w:r>
          </w:p>
        </w:tc>
        <w:tc>
          <w:tcPr>
            <w:tcW w:w="1333" w:type="dxa"/>
            <w:noWrap w:val="0"/>
            <w:tcMar>
              <w:top w:w="0" w:type="dxa"/>
              <w:left w:w="0" w:type="dxa"/>
              <w:bottom w:w="0" w:type="dxa"/>
              <w:right w:w="0" w:type="dxa"/>
            </w:tcMar>
            <w:vAlign w:val="center"/>
          </w:tcPr>
          <w:p w14:paraId="73FAA6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5E906D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1EC72D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39.54</w:t>
            </w:r>
          </w:p>
        </w:tc>
        <w:tc>
          <w:tcPr>
            <w:tcW w:w="606" w:type="dxa"/>
            <w:noWrap w:val="0"/>
            <w:tcMar>
              <w:top w:w="0" w:type="dxa"/>
              <w:left w:w="0" w:type="dxa"/>
              <w:bottom w:w="0" w:type="dxa"/>
              <w:right w:w="0" w:type="dxa"/>
            </w:tcMar>
            <w:vAlign w:val="center"/>
          </w:tcPr>
          <w:p w14:paraId="056936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61B6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310A64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19</w:t>
            </w:r>
          </w:p>
        </w:tc>
        <w:tc>
          <w:tcPr>
            <w:tcW w:w="911" w:type="dxa"/>
            <w:noWrap w:val="0"/>
            <w:tcMar>
              <w:top w:w="0" w:type="dxa"/>
              <w:left w:w="0" w:type="dxa"/>
              <w:bottom w:w="0" w:type="dxa"/>
              <w:right w:w="0" w:type="dxa"/>
            </w:tcMar>
            <w:vAlign w:val="center"/>
          </w:tcPr>
          <w:p w14:paraId="7F9800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575B1B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污水泵</w:t>
            </w:r>
          </w:p>
        </w:tc>
        <w:tc>
          <w:tcPr>
            <w:tcW w:w="694" w:type="dxa"/>
            <w:noWrap w:val="0"/>
            <w:tcMar>
              <w:top w:w="0" w:type="dxa"/>
              <w:left w:w="0" w:type="dxa"/>
              <w:bottom w:w="0" w:type="dxa"/>
              <w:right w:w="0" w:type="dxa"/>
            </w:tcMar>
            <w:vAlign w:val="center"/>
          </w:tcPr>
          <w:p w14:paraId="44E7CC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78</w:t>
            </w:r>
          </w:p>
        </w:tc>
        <w:tc>
          <w:tcPr>
            <w:tcW w:w="1973" w:type="dxa"/>
            <w:noWrap w:val="0"/>
            <w:tcMar>
              <w:top w:w="0" w:type="dxa"/>
              <w:left w:w="0" w:type="dxa"/>
              <w:bottom w:w="0" w:type="dxa"/>
              <w:right w:w="0" w:type="dxa"/>
            </w:tcMar>
            <w:vAlign w:val="center"/>
          </w:tcPr>
          <w:p w14:paraId="1D8B9F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469462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183.72</w:t>
            </w:r>
          </w:p>
        </w:tc>
        <w:tc>
          <w:tcPr>
            <w:tcW w:w="973" w:type="dxa"/>
            <w:noWrap w:val="0"/>
            <w:tcMar>
              <w:top w:w="0" w:type="dxa"/>
              <w:left w:w="0" w:type="dxa"/>
              <w:bottom w:w="0" w:type="dxa"/>
              <w:right w:w="0" w:type="dxa"/>
            </w:tcMar>
            <w:vAlign w:val="center"/>
          </w:tcPr>
          <w:p w14:paraId="400461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38.38</w:t>
            </w:r>
          </w:p>
        </w:tc>
        <w:tc>
          <w:tcPr>
            <w:tcW w:w="747" w:type="dxa"/>
            <w:noWrap w:val="0"/>
            <w:tcMar>
              <w:top w:w="0" w:type="dxa"/>
              <w:left w:w="0" w:type="dxa"/>
              <w:bottom w:w="0" w:type="dxa"/>
              <w:right w:w="0" w:type="dxa"/>
            </w:tcMar>
            <w:vAlign w:val="center"/>
          </w:tcPr>
          <w:p w14:paraId="3D4BD6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2CDE55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145.22</w:t>
            </w:r>
          </w:p>
        </w:tc>
        <w:tc>
          <w:tcPr>
            <w:tcW w:w="814" w:type="dxa"/>
            <w:noWrap w:val="0"/>
            <w:tcMar>
              <w:top w:w="0" w:type="dxa"/>
              <w:left w:w="0" w:type="dxa"/>
              <w:bottom w:w="0" w:type="dxa"/>
              <w:right w:w="0" w:type="dxa"/>
            </w:tcMar>
            <w:vAlign w:val="center"/>
          </w:tcPr>
          <w:p w14:paraId="302BC7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61.54</w:t>
            </w:r>
          </w:p>
        </w:tc>
        <w:tc>
          <w:tcPr>
            <w:tcW w:w="1333" w:type="dxa"/>
            <w:noWrap w:val="0"/>
            <w:tcMar>
              <w:top w:w="0" w:type="dxa"/>
              <w:left w:w="0" w:type="dxa"/>
              <w:bottom w:w="0" w:type="dxa"/>
              <w:right w:w="0" w:type="dxa"/>
            </w:tcMar>
            <w:vAlign w:val="center"/>
          </w:tcPr>
          <w:p w14:paraId="2BCB77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68D5FB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515B3C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35.54</w:t>
            </w:r>
          </w:p>
        </w:tc>
        <w:tc>
          <w:tcPr>
            <w:tcW w:w="606" w:type="dxa"/>
            <w:noWrap w:val="0"/>
            <w:tcMar>
              <w:top w:w="0" w:type="dxa"/>
              <w:left w:w="0" w:type="dxa"/>
              <w:bottom w:w="0" w:type="dxa"/>
              <w:right w:w="0" w:type="dxa"/>
            </w:tcMar>
            <w:vAlign w:val="center"/>
          </w:tcPr>
          <w:p w14:paraId="50FFB0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59E2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5229BD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911" w:type="dxa"/>
            <w:noWrap w:val="0"/>
            <w:tcMar>
              <w:top w:w="0" w:type="dxa"/>
              <w:left w:w="0" w:type="dxa"/>
              <w:bottom w:w="0" w:type="dxa"/>
              <w:right w:w="0" w:type="dxa"/>
            </w:tcMar>
            <w:vAlign w:val="center"/>
          </w:tcPr>
          <w:p w14:paraId="791BBD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2EE3E8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污水泵</w:t>
            </w:r>
          </w:p>
        </w:tc>
        <w:tc>
          <w:tcPr>
            <w:tcW w:w="694" w:type="dxa"/>
            <w:noWrap w:val="0"/>
            <w:tcMar>
              <w:top w:w="0" w:type="dxa"/>
              <w:left w:w="0" w:type="dxa"/>
              <w:bottom w:w="0" w:type="dxa"/>
              <w:right w:w="0" w:type="dxa"/>
            </w:tcMar>
            <w:vAlign w:val="center"/>
          </w:tcPr>
          <w:p w14:paraId="0FF25C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78</w:t>
            </w:r>
          </w:p>
        </w:tc>
        <w:tc>
          <w:tcPr>
            <w:tcW w:w="1973" w:type="dxa"/>
            <w:noWrap w:val="0"/>
            <w:tcMar>
              <w:top w:w="0" w:type="dxa"/>
              <w:left w:w="0" w:type="dxa"/>
              <w:bottom w:w="0" w:type="dxa"/>
              <w:right w:w="0" w:type="dxa"/>
            </w:tcMar>
            <w:vAlign w:val="center"/>
          </w:tcPr>
          <w:p w14:paraId="0F9BE7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2E945D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180.67</w:t>
            </w:r>
          </w:p>
        </w:tc>
        <w:tc>
          <w:tcPr>
            <w:tcW w:w="973" w:type="dxa"/>
            <w:noWrap w:val="0"/>
            <w:tcMar>
              <w:top w:w="0" w:type="dxa"/>
              <w:left w:w="0" w:type="dxa"/>
              <w:bottom w:w="0" w:type="dxa"/>
              <w:right w:w="0" w:type="dxa"/>
            </w:tcMar>
            <w:vAlign w:val="center"/>
          </w:tcPr>
          <w:p w14:paraId="26752F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39.4</w:t>
            </w:r>
          </w:p>
        </w:tc>
        <w:tc>
          <w:tcPr>
            <w:tcW w:w="747" w:type="dxa"/>
            <w:noWrap w:val="0"/>
            <w:tcMar>
              <w:top w:w="0" w:type="dxa"/>
              <w:left w:w="0" w:type="dxa"/>
              <w:bottom w:w="0" w:type="dxa"/>
              <w:right w:w="0" w:type="dxa"/>
            </w:tcMar>
            <w:vAlign w:val="center"/>
          </w:tcPr>
          <w:p w14:paraId="24587A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52FE00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145.39</w:t>
            </w:r>
          </w:p>
        </w:tc>
        <w:tc>
          <w:tcPr>
            <w:tcW w:w="814" w:type="dxa"/>
            <w:noWrap w:val="0"/>
            <w:tcMar>
              <w:top w:w="0" w:type="dxa"/>
              <w:left w:w="0" w:type="dxa"/>
              <w:bottom w:w="0" w:type="dxa"/>
              <w:right w:w="0" w:type="dxa"/>
            </w:tcMar>
            <w:vAlign w:val="center"/>
          </w:tcPr>
          <w:p w14:paraId="5686B9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61.54</w:t>
            </w:r>
          </w:p>
        </w:tc>
        <w:tc>
          <w:tcPr>
            <w:tcW w:w="1333" w:type="dxa"/>
            <w:noWrap w:val="0"/>
            <w:tcMar>
              <w:top w:w="0" w:type="dxa"/>
              <w:left w:w="0" w:type="dxa"/>
              <w:bottom w:w="0" w:type="dxa"/>
              <w:right w:w="0" w:type="dxa"/>
            </w:tcMar>
            <w:vAlign w:val="center"/>
          </w:tcPr>
          <w:p w14:paraId="780A3E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15F977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180324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35.54</w:t>
            </w:r>
          </w:p>
        </w:tc>
        <w:tc>
          <w:tcPr>
            <w:tcW w:w="606" w:type="dxa"/>
            <w:noWrap w:val="0"/>
            <w:tcMar>
              <w:top w:w="0" w:type="dxa"/>
              <w:left w:w="0" w:type="dxa"/>
              <w:bottom w:w="0" w:type="dxa"/>
              <w:right w:w="0" w:type="dxa"/>
            </w:tcMar>
            <w:vAlign w:val="center"/>
          </w:tcPr>
          <w:p w14:paraId="78C144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1D55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674FB7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21</w:t>
            </w:r>
          </w:p>
        </w:tc>
        <w:tc>
          <w:tcPr>
            <w:tcW w:w="911" w:type="dxa"/>
            <w:noWrap w:val="0"/>
            <w:tcMar>
              <w:top w:w="0" w:type="dxa"/>
              <w:left w:w="0" w:type="dxa"/>
              <w:bottom w:w="0" w:type="dxa"/>
              <w:right w:w="0" w:type="dxa"/>
            </w:tcMar>
            <w:vAlign w:val="center"/>
          </w:tcPr>
          <w:p w14:paraId="1953AE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0F533E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污水泵</w:t>
            </w:r>
          </w:p>
        </w:tc>
        <w:tc>
          <w:tcPr>
            <w:tcW w:w="694" w:type="dxa"/>
            <w:noWrap w:val="0"/>
            <w:tcMar>
              <w:top w:w="0" w:type="dxa"/>
              <w:left w:w="0" w:type="dxa"/>
              <w:bottom w:w="0" w:type="dxa"/>
              <w:right w:w="0" w:type="dxa"/>
            </w:tcMar>
            <w:vAlign w:val="center"/>
          </w:tcPr>
          <w:p w14:paraId="0FF1E7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78</w:t>
            </w:r>
          </w:p>
        </w:tc>
        <w:tc>
          <w:tcPr>
            <w:tcW w:w="1973" w:type="dxa"/>
            <w:noWrap w:val="0"/>
            <w:tcMar>
              <w:top w:w="0" w:type="dxa"/>
              <w:left w:w="0" w:type="dxa"/>
              <w:bottom w:w="0" w:type="dxa"/>
              <w:right w:w="0" w:type="dxa"/>
            </w:tcMar>
            <w:vAlign w:val="center"/>
          </w:tcPr>
          <w:p w14:paraId="42A0A7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59F111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182.15</w:t>
            </w:r>
          </w:p>
        </w:tc>
        <w:tc>
          <w:tcPr>
            <w:tcW w:w="973" w:type="dxa"/>
            <w:noWrap w:val="0"/>
            <w:tcMar>
              <w:top w:w="0" w:type="dxa"/>
              <w:left w:w="0" w:type="dxa"/>
              <w:bottom w:w="0" w:type="dxa"/>
              <w:right w:w="0" w:type="dxa"/>
            </w:tcMar>
            <w:vAlign w:val="center"/>
          </w:tcPr>
          <w:p w14:paraId="0852BD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42.17</w:t>
            </w:r>
          </w:p>
        </w:tc>
        <w:tc>
          <w:tcPr>
            <w:tcW w:w="747" w:type="dxa"/>
            <w:noWrap w:val="0"/>
            <w:tcMar>
              <w:top w:w="0" w:type="dxa"/>
              <w:left w:w="0" w:type="dxa"/>
              <w:bottom w:w="0" w:type="dxa"/>
              <w:right w:w="0" w:type="dxa"/>
            </w:tcMar>
            <w:vAlign w:val="center"/>
          </w:tcPr>
          <w:p w14:paraId="509995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265909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147.27</w:t>
            </w:r>
          </w:p>
        </w:tc>
        <w:tc>
          <w:tcPr>
            <w:tcW w:w="814" w:type="dxa"/>
            <w:noWrap w:val="0"/>
            <w:tcMar>
              <w:top w:w="0" w:type="dxa"/>
              <w:left w:w="0" w:type="dxa"/>
              <w:bottom w:w="0" w:type="dxa"/>
              <w:right w:w="0" w:type="dxa"/>
            </w:tcMar>
            <w:vAlign w:val="center"/>
          </w:tcPr>
          <w:p w14:paraId="49AA72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61.54</w:t>
            </w:r>
          </w:p>
        </w:tc>
        <w:tc>
          <w:tcPr>
            <w:tcW w:w="1333" w:type="dxa"/>
            <w:noWrap w:val="0"/>
            <w:tcMar>
              <w:top w:w="0" w:type="dxa"/>
              <w:left w:w="0" w:type="dxa"/>
              <w:bottom w:w="0" w:type="dxa"/>
              <w:right w:w="0" w:type="dxa"/>
            </w:tcMar>
            <w:vAlign w:val="center"/>
          </w:tcPr>
          <w:p w14:paraId="38361E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0F21CE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6895A8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35.54</w:t>
            </w:r>
          </w:p>
        </w:tc>
        <w:tc>
          <w:tcPr>
            <w:tcW w:w="606" w:type="dxa"/>
            <w:noWrap w:val="0"/>
            <w:tcMar>
              <w:top w:w="0" w:type="dxa"/>
              <w:left w:w="0" w:type="dxa"/>
              <w:bottom w:w="0" w:type="dxa"/>
              <w:right w:w="0" w:type="dxa"/>
            </w:tcMar>
            <w:vAlign w:val="center"/>
          </w:tcPr>
          <w:p w14:paraId="6765CE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7380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605695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22</w:t>
            </w:r>
          </w:p>
        </w:tc>
        <w:tc>
          <w:tcPr>
            <w:tcW w:w="911" w:type="dxa"/>
            <w:noWrap w:val="0"/>
            <w:tcMar>
              <w:top w:w="0" w:type="dxa"/>
              <w:left w:w="0" w:type="dxa"/>
              <w:bottom w:w="0" w:type="dxa"/>
              <w:right w:w="0" w:type="dxa"/>
            </w:tcMar>
            <w:vAlign w:val="center"/>
          </w:tcPr>
          <w:p w14:paraId="785F97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73F915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污水泵</w:t>
            </w:r>
          </w:p>
        </w:tc>
        <w:tc>
          <w:tcPr>
            <w:tcW w:w="694" w:type="dxa"/>
            <w:noWrap w:val="0"/>
            <w:tcMar>
              <w:top w:w="0" w:type="dxa"/>
              <w:left w:w="0" w:type="dxa"/>
              <w:bottom w:w="0" w:type="dxa"/>
              <w:right w:w="0" w:type="dxa"/>
            </w:tcMar>
            <w:vAlign w:val="center"/>
          </w:tcPr>
          <w:p w14:paraId="2CC376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78</w:t>
            </w:r>
          </w:p>
        </w:tc>
        <w:tc>
          <w:tcPr>
            <w:tcW w:w="1973" w:type="dxa"/>
            <w:noWrap w:val="0"/>
            <w:tcMar>
              <w:top w:w="0" w:type="dxa"/>
              <w:left w:w="0" w:type="dxa"/>
              <w:bottom w:w="0" w:type="dxa"/>
              <w:right w:w="0" w:type="dxa"/>
            </w:tcMar>
            <w:vAlign w:val="center"/>
          </w:tcPr>
          <w:p w14:paraId="1D35E0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18ACD1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185.11</w:t>
            </w:r>
          </w:p>
        </w:tc>
        <w:tc>
          <w:tcPr>
            <w:tcW w:w="973" w:type="dxa"/>
            <w:noWrap w:val="0"/>
            <w:tcMar>
              <w:top w:w="0" w:type="dxa"/>
              <w:left w:w="0" w:type="dxa"/>
              <w:bottom w:w="0" w:type="dxa"/>
              <w:right w:w="0" w:type="dxa"/>
            </w:tcMar>
            <w:vAlign w:val="center"/>
          </w:tcPr>
          <w:p w14:paraId="3A62E8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41.34</w:t>
            </w:r>
          </w:p>
        </w:tc>
        <w:tc>
          <w:tcPr>
            <w:tcW w:w="747" w:type="dxa"/>
            <w:noWrap w:val="0"/>
            <w:tcMar>
              <w:top w:w="0" w:type="dxa"/>
              <w:left w:w="0" w:type="dxa"/>
              <w:bottom w:w="0" w:type="dxa"/>
              <w:right w:w="0" w:type="dxa"/>
            </w:tcMar>
            <w:vAlign w:val="center"/>
          </w:tcPr>
          <w:p w14:paraId="79BC61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48D348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141.96</w:t>
            </w:r>
          </w:p>
        </w:tc>
        <w:tc>
          <w:tcPr>
            <w:tcW w:w="814" w:type="dxa"/>
            <w:noWrap w:val="0"/>
            <w:tcMar>
              <w:top w:w="0" w:type="dxa"/>
              <w:left w:w="0" w:type="dxa"/>
              <w:bottom w:w="0" w:type="dxa"/>
              <w:right w:w="0" w:type="dxa"/>
            </w:tcMar>
            <w:vAlign w:val="center"/>
          </w:tcPr>
          <w:p w14:paraId="6649C2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61.54</w:t>
            </w:r>
          </w:p>
        </w:tc>
        <w:tc>
          <w:tcPr>
            <w:tcW w:w="1333" w:type="dxa"/>
            <w:noWrap w:val="0"/>
            <w:tcMar>
              <w:top w:w="0" w:type="dxa"/>
              <w:left w:w="0" w:type="dxa"/>
              <w:bottom w:w="0" w:type="dxa"/>
              <w:right w:w="0" w:type="dxa"/>
            </w:tcMar>
            <w:vAlign w:val="center"/>
          </w:tcPr>
          <w:p w14:paraId="60BFB8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09F4BC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6AF7CD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35.54</w:t>
            </w:r>
          </w:p>
        </w:tc>
        <w:tc>
          <w:tcPr>
            <w:tcW w:w="606" w:type="dxa"/>
            <w:noWrap w:val="0"/>
            <w:tcMar>
              <w:top w:w="0" w:type="dxa"/>
              <w:left w:w="0" w:type="dxa"/>
              <w:bottom w:w="0" w:type="dxa"/>
              <w:right w:w="0" w:type="dxa"/>
            </w:tcMar>
            <w:vAlign w:val="center"/>
          </w:tcPr>
          <w:p w14:paraId="6F0B68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4B88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4868B0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23</w:t>
            </w:r>
          </w:p>
        </w:tc>
        <w:tc>
          <w:tcPr>
            <w:tcW w:w="911" w:type="dxa"/>
            <w:noWrap w:val="0"/>
            <w:tcMar>
              <w:top w:w="0" w:type="dxa"/>
              <w:left w:w="0" w:type="dxa"/>
              <w:bottom w:w="0" w:type="dxa"/>
              <w:right w:w="0" w:type="dxa"/>
            </w:tcMar>
            <w:vAlign w:val="center"/>
          </w:tcPr>
          <w:p w14:paraId="74DCFF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1A462F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污水泵</w:t>
            </w:r>
          </w:p>
        </w:tc>
        <w:tc>
          <w:tcPr>
            <w:tcW w:w="694" w:type="dxa"/>
            <w:noWrap w:val="0"/>
            <w:tcMar>
              <w:top w:w="0" w:type="dxa"/>
              <w:left w:w="0" w:type="dxa"/>
              <w:bottom w:w="0" w:type="dxa"/>
              <w:right w:w="0" w:type="dxa"/>
            </w:tcMar>
            <w:vAlign w:val="center"/>
          </w:tcPr>
          <w:p w14:paraId="53CD6B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78</w:t>
            </w:r>
          </w:p>
        </w:tc>
        <w:tc>
          <w:tcPr>
            <w:tcW w:w="1973" w:type="dxa"/>
            <w:noWrap w:val="0"/>
            <w:tcMar>
              <w:top w:w="0" w:type="dxa"/>
              <w:left w:w="0" w:type="dxa"/>
              <w:bottom w:w="0" w:type="dxa"/>
              <w:right w:w="0" w:type="dxa"/>
            </w:tcMar>
            <w:vAlign w:val="center"/>
          </w:tcPr>
          <w:p w14:paraId="780487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47419F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182.98</w:t>
            </w:r>
          </w:p>
        </w:tc>
        <w:tc>
          <w:tcPr>
            <w:tcW w:w="973" w:type="dxa"/>
            <w:noWrap w:val="0"/>
            <w:tcMar>
              <w:top w:w="0" w:type="dxa"/>
              <w:left w:w="0" w:type="dxa"/>
              <w:bottom w:w="0" w:type="dxa"/>
              <w:right w:w="0" w:type="dxa"/>
            </w:tcMar>
            <w:vAlign w:val="center"/>
          </w:tcPr>
          <w:p w14:paraId="6950CF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45.03</w:t>
            </w:r>
          </w:p>
        </w:tc>
        <w:tc>
          <w:tcPr>
            <w:tcW w:w="747" w:type="dxa"/>
            <w:noWrap w:val="0"/>
            <w:tcMar>
              <w:top w:w="0" w:type="dxa"/>
              <w:left w:w="0" w:type="dxa"/>
              <w:bottom w:w="0" w:type="dxa"/>
              <w:right w:w="0" w:type="dxa"/>
            </w:tcMar>
            <w:vAlign w:val="center"/>
          </w:tcPr>
          <w:p w14:paraId="104656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00B6E3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139.31</w:t>
            </w:r>
          </w:p>
        </w:tc>
        <w:tc>
          <w:tcPr>
            <w:tcW w:w="814" w:type="dxa"/>
            <w:noWrap w:val="0"/>
            <w:tcMar>
              <w:top w:w="0" w:type="dxa"/>
              <w:left w:w="0" w:type="dxa"/>
              <w:bottom w:w="0" w:type="dxa"/>
              <w:right w:w="0" w:type="dxa"/>
            </w:tcMar>
            <w:vAlign w:val="center"/>
          </w:tcPr>
          <w:p w14:paraId="7D1786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61.54</w:t>
            </w:r>
          </w:p>
        </w:tc>
        <w:tc>
          <w:tcPr>
            <w:tcW w:w="1333" w:type="dxa"/>
            <w:noWrap w:val="0"/>
            <w:tcMar>
              <w:top w:w="0" w:type="dxa"/>
              <w:left w:w="0" w:type="dxa"/>
              <w:bottom w:w="0" w:type="dxa"/>
              <w:right w:w="0" w:type="dxa"/>
            </w:tcMar>
            <w:vAlign w:val="center"/>
          </w:tcPr>
          <w:p w14:paraId="19F985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0E7B70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1AB508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35.54</w:t>
            </w:r>
          </w:p>
        </w:tc>
        <w:tc>
          <w:tcPr>
            <w:tcW w:w="606" w:type="dxa"/>
            <w:noWrap w:val="0"/>
            <w:tcMar>
              <w:top w:w="0" w:type="dxa"/>
              <w:left w:w="0" w:type="dxa"/>
              <w:bottom w:w="0" w:type="dxa"/>
              <w:right w:w="0" w:type="dxa"/>
            </w:tcMar>
            <w:vAlign w:val="center"/>
          </w:tcPr>
          <w:p w14:paraId="640995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42EA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12E310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24</w:t>
            </w:r>
          </w:p>
        </w:tc>
        <w:tc>
          <w:tcPr>
            <w:tcW w:w="911" w:type="dxa"/>
            <w:noWrap w:val="0"/>
            <w:tcMar>
              <w:top w:w="0" w:type="dxa"/>
              <w:left w:w="0" w:type="dxa"/>
              <w:bottom w:w="0" w:type="dxa"/>
              <w:right w:w="0" w:type="dxa"/>
            </w:tcMar>
            <w:vAlign w:val="center"/>
          </w:tcPr>
          <w:p w14:paraId="1114E3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72380C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污水泵</w:t>
            </w:r>
          </w:p>
        </w:tc>
        <w:tc>
          <w:tcPr>
            <w:tcW w:w="694" w:type="dxa"/>
            <w:noWrap w:val="0"/>
            <w:tcMar>
              <w:top w:w="0" w:type="dxa"/>
              <w:left w:w="0" w:type="dxa"/>
              <w:bottom w:w="0" w:type="dxa"/>
              <w:right w:w="0" w:type="dxa"/>
            </w:tcMar>
            <w:vAlign w:val="center"/>
          </w:tcPr>
          <w:p w14:paraId="515FC1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78</w:t>
            </w:r>
          </w:p>
        </w:tc>
        <w:tc>
          <w:tcPr>
            <w:tcW w:w="1973" w:type="dxa"/>
            <w:noWrap w:val="0"/>
            <w:tcMar>
              <w:top w:w="0" w:type="dxa"/>
              <w:left w:w="0" w:type="dxa"/>
              <w:bottom w:w="0" w:type="dxa"/>
              <w:right w:w="0" w:type="dxa"/>
            </w:tcMar>
            <w:vAlign w:val="center"/>
          </w:tcPr>
          <w:p w14:paraId="28A59C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1C13B7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186.77</w:t>
            </w:r>
          </w:p>
        </w:tc>
        <w:tc>
          <w:tcPr>
            <w:tcW w:w="973" w:type="dxa"/>
            <w:noWrap w:val="0"/>
            <w:tcMar>
              <w:top w:w="0" w:type="dxa"/>
              <w:left w:w="0" w:type="dxa"/>
              <w:bottom w:w="0" w:type="dxa"/>
              <w:right w:w="0" w:type="dxa"/>
            </w:tcMar>
            <w:vAlign w:val="center"/>
          </w:tcPr>
          <w:p w14:paraId="3EDB29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44.57</w:t>
            </w:r>
          </w:p>
        </w:tc>
        <w:tc>
          <w:tcPr>
            <w:tcW w:w="747" w:type="dxa"/>
            <w:noWrap w:val="0"/>
            <w:tcMar>
              <w:top w:w="0" w:type="dxa"/>
              <w:left w:w="0" w:type="dxa"/>
              <w:bottom w:w="0" w:type="dxa"/>
              <w:right w:w="0" w:type="dxa"/>
            </w:tcMar>
            <w:vAlign w:val="center"/>
          </w:tcPr>
          <w:p w14:paraId="3DD9B2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04FE27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138.35</w:t>
            </w:r>
          </w:p>
        </w:tc>
        <w:tc>
          <w:tcPr>
            <w:tcW w:w="814" w:type="dxa"/>
            <w:noWrap w:val="0"/>
            <w:tcMar>
              <w:top w:w="0" w:type="dxa"/>
              <w:left w:w="0" w:type="dxa"/>
              <w:bottom w:w="0" w:type="dxa"/>
              <w:right w:w="0" w:type="dxa"/>
            </w:tcMar>
            <w:vAlign w:val="center"/>
          </w:tcPr>
          <w:p w14:paraId="08DAA6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61.54</w:t>
            </w:r>
          </w:p>
        </w:tc>
        <w:tc>
          <w:tcPr>
            <w:tcW w:w="1333" w:type="dxa"/>
            <w:noWrap w:val="0"/>
            <w:tcMar>
              <w:top w:w="0" w:type="dxa"/>
              <w:left w:w="0" w:type="dxa"/>
              <w:bottom w:w="0" w:type="dxa"/>
              <w:right w:w="0" w:type="dxa"/>
            </w:tcMar>
            <w:vAlign w:val="center"/>
          </w:tcPr>
          <w:p w14:paraId="1E8278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18526A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049CCE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35.54</w:t>
            </w:r>
          </w:p>
        </w:tc>
        <w:tc>
          <w:tcPr>
            <w:tcW w:w="606" w:type="dxa"/>
            <w:noWrap w:val="0"/>
            <w:tcMar>
              <w:top w:w="0" w:type="dxa"/>
              <w:left w:w="0" w:type="dxa"/>
              <w:bottom w:w="0" w:type="dxa"/>
              <w:right w:w="0" w:type="dxa"/>
            </w:tcMar>
            <w:vAlign w:val="center"/>
          </w:tcPr>
          <w:p w14:paraId="3BB2E9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15D9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1B8106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25</w:t>
            </w:r>
          </w:p>
        </w:tc>
        <w:tc>
          <w:tcPr>
            <w:tcW w:w="911" w:type="dxa"/>
            <w:noWrap w:val="0"/>
            <w:tcMar>
              <w:top w:w="0" w:type="dxa"/>
              <w:left w:w="0" w:type="dxa"/>
              <w:bottom w:w="0" w:type="dxa"/>
              <w:right w:w="0" w:type="dxa"/>
            </w:tcMar>
            <w:vAlign w:val="center"/>
          </w:tcPr>
          <w:p w14:paraId="7F37D0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水洗砂</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76B7C2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清水泵</w:t>
            </w:r>
          </w:p>
        </w:tc>
        <w:tc>
          <w:tcPr>
            <w:tcW w:w="694" w:type="dxa"/>
            <w:noWrap w:val="0"/>
            <w:tcMar>
              <w:top w:w="0" w:type="dxa"/>
              <w:left w:w="0" w:type="dxa"/>
              <w:bottom w:w="0" w:type="dxa"/>
              <w:right w:w="0" w:type="dxa"/>
            </w:tcMar>
            <w:vAlign w:val="center"/>
          </w:tcPr>
          <w:p w14:paraId="6A9980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78</w:t>
            </w:r>
          </w:p>
        </w:tc>
        <w:tc>
          <w:tcPr>
            <w:tcW w:w="1973" w:type="dxa"/>
            <w:noWrap w:val="0"/>
            <w:tcMar>
              <w:top w:w="0" w:type="dxa"/>
              <w:left w:w="0" w:type="dxa"/>
              <w:bottom w:w="0" w:type="dxa"/>
              <w:right w:w="0" w:type="dxa"/>
            </w:tcMar>
            <w:vAlign w:val="center"/>
          </w:tcPr>
          <w:p w14:paraId="23C268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4D83EB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187.86</w:t>
            </w:r>
          </w:p>
        </w:tc>
        <w:tc>
          <w:tcPr>
            <w:tcW w:w="973" w:type="dxa"/>
            <w:noWrap w:val="0"/>
            <w:tcMar>
              <w:top w:w="0" w:type="dxa"/>
              <w:left w:w="0" w:type="dxa"/>
              <w:bottom w:w="0" w:type="dxa"/>
              <w:right w:w="0" w:type="dxa"/>
            </w:tcMar>
            <w:vAlign w:val="center"/>
          </w:tcPr>
          <w:p w14:paraId="6BA489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47.74</w:t>
            </w:r>
          </w:p>
        </w:tc>
        <w:tc>
          <w:tcPr>
            <w:tcW w:w="747" w:type="dxa"/>
            <w:noWrap w:val="0"/>
            <w:tcMar>
              <w:top w:w="0" w:type="dxa"/>
              <w:left w:w="0" w:type="dxa"/>
              <w:bottom w:w="0" w:type="dxa"/>
              <w:right w:w="0" w:type="dxa"/>
            </w:tcMar>
            <w:vAlign w:val="center"/>
          </w:tcPr>
          <w:p w14:paraId="07D3D9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499952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135</w:t>
            </w:r>
          </w:p>
        </w:tc>
        <w:tc>
          <w:tcPr>
            <w:tcW w:w="814" w:type="dxa"/>
            <w:noWrap w:val="0"/>
            <w:tcMar>
              <w:top w:w="0" w:type="dxa"/>
              <w:left w:w="0" w:type="dxa"/>
              <w:bottom w:w="0" w:type="dxa"/>
              <w:right w:w="0" w:type="dxa"/>
            </w:tcMar>
            <w:vAlign w:val="center"/>
          </w:tcPr>
          <w:p w14:paraId="52466A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61.54</w:t>
            </w:r>
          </w:p>
        </w:tc>
        <w:tc>
          <w:tcPr>
            <w:tcW w:w="1333" w:type="dxa"/>
            <w:noWrap w:val="0"/>
            <w:tcMar>
              <w:top w:w="0" w:type="dxa"/>
              <w:left w:w="0" w:type="dxa"/>
              <w:bottom w:w="0" w:type="dxa"/>
              <w:right w:w="0" w:type="dxa"/>
            </w:tcMar>
            <w:vAlign w:val="center"/>
          </w:tcPr>
          <w:p w14:paraId="3E8D33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39F28E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016315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35.54</w:t>
            </w:r>
          </w:p>
        </w:tc>
        <w:tc>
          <w:tcPr>
            <w:tcW w:w="606" w:type="dxa"/>
            <w:noWrap w:val="0"/>
            <w:tcMar>
              <w:top w:w="0" w:type="dxa"/>
              <w:left w:w="0" w:type="dxa"/>
              <w:bottom w:w="0" w:type="dxa"/>
              <w:right w:w="0" w:type="dxa"/>
            </w:tcMar>
            <w:vAlign w:val="center"/>
          </w:tcPr>
          <w:p w14:paraId="55D017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3304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53D270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26</w:t>
            </w:r>
          </w:p>
        </w:tc>
        <w:tc>
          <w:tcPr>
            <w:tcW w:w="911" w:type="dxa"/>
            <w:noWrap w:val="0"/>
            <w:tcMar>
              <w:top w:w="0" w:type="dxa"/>
              <w:left w:w="0" w:type="dxa"/>
              <w:bottom w:w="0" w:type="dxa"/>
              <w:right w:w="0" w:type="dxa"/>
            </w:tcMar>
            <w:vAlign w:val="center"/>
          </w:tcPr>
          <w:p w14:paraId="5C0A2A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水稳料</w:t>
            </w:r>
            <w:r>
              <w:rPr>
                <w:rFonts w:hint="default" w:ascii="Times New Roman" w:hAnsi="Times New Roman" w:eastAsia="宋体" w:cs="Times New Roman"/>
                <w:b w:val="0"/>
                <w:bCs/>
                <w:color w:val="auto"/>
                <w:sz w:val="21"/>
                <w:szCs w:val="21"/>
              </w:rPr>
              <w:t>生产车间</w:t>
            </w:r>
          </w:p>
        </w:tc>
        <w:tc>
          <w:tcPr>
            <w:tcW w:w="1169" w:type="dxa"/>
            <w:noWrap w:val="0"/>
            <w:tcMar>
              <w:top w:w="0" w:type="dxa"/>
              <w:left w:w="0" w:type="dxa"/>
              <w:bottom w:w="0" w:type="dxa"/>
              <w:right w:w="0" w:type="dxa"/>
            </w:tcMar>
            <w:vAlign w:val="center"/>
          </w:tcPr>
          <w:p w14:paraId="06175E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搅拌机</w:t>
            </w:r>
          </w:p>
        </w:tc>
        <w:tc>
          <w:tcPr>
            <w:tcW w:w="694" w:type="dxa"/>
            <w:noWrap w:val="0"/>
            <w:tcMar>
              <w:top w:w="0" w:type="dxa"/>
              <w:left w:w="0" w:type="dxa"/>
              <w:bottom w:w="0" w:type="dxa"/>
              <w:right w:w="0" w:type="dxa"/>
            </w:tcMar>
            <w:vAlign w:val="center"/>
          </w:tcPr>
          <w:p w14:paraId="1D2784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4</w:t>
            </w:r>
          </w:p>
        </w:tc>
        <w:tc>
          <w:tcPr>
            <w:tcW w:w="1973" w:type="dxa"/>
            <w:noWrap w:val="0"/>
            <w:tcMar>
              <w:top w:w="0" w:type="dxa"/>
              <w:left w:w="0" w:type="dxa"/>
              <w:bottom w:w="0" w:type="dxa"/>
              <w:right w:w="0" w:type="dxa"/>
            </w:tcMar>
            <w:vAlign w:val="center"/>
          </w:tcPr>
          <w:p w14:paraId="5BFC2E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4FADD0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2</w:t>
            </w:r>
            <w:r>
              <w:rPr>
                <w:rFonts w:hint="eastAsia" w:ascii="Times New Roman" w:hAnsi="Times New Roman" w:eastAsia="宋体"/>
                <w:color w:val="auto"/>
                <w:sz w:val="21"/>
                <w:szCs w:val="21"/>
                <w:lang w:val="en-US" w:eastAsia="zh-CN"/>
              </w:rPr>
              <w:t>75.11</w:t>
            </w:r>
          </w:p>
        </w:tc>
        <w:tc>
          <w:tcPr>
            <w:tcW w:w="973" w:type="dxa"/>
            <w:noWrap w:val="0"/>
            <w:tcMar>
              <w:top w:w="0" w:type="dxa"/>
              <w:left w:w="0" w:type="dxa"/>
              <w:bottom w:w="0" w:type="dxa"/>
              <w:right w:w="0" w:type="dxa"/>
            </w:tcMar>
            <w:vAlign w:val="center"/>
          </w:tcPr>
          <w:p w14:paraId="4E8DDD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1</w:t>
            </w:r>
            <w:r>
              <w:rPr>
                <w:rFonts w:hint="eastAsia" w:ascii="Times New Roman" w:hAnsi="Times New Roman" w:eastAsia="宋体"/>
                <w:color w:val="auto"/>
                <w:sz w:val="21"/>
                <w:szCs w:val="21"/>
                <w:lang w:val="en-US" w:eastAsia="zh-CN"/>
              </w:rPr>
              <w:t>2.01</w:t>
            </w:r>
          </w:p>
        </w:tc>
        <w:tc>
          <w:tcPr>
            <w:tcW w:w="747" w:type="dxa"/>
            <w:noWrap w:val="0"/>
            <w:tcMar>
              <w:top w:w="0" w:type="dxa"/>
              <w:left w:w="0" w:type="dxa"/>
              <w:bottom w:w="0" w:type="dxa"/>
              <w:right w:w="0" w:type="dxa"/>
            </w:tcMar>
            <w:vAlign w:val="center"/>
          </w:tcPr>
          <w:p w14:paraId="46D7C8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2B4FB0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64.53</w:t>
            </w:r>
          </w:p>
        </w:tc>
        <w:tc>
          <w:tcPr>
            <w:tcW w:w="814" w:type="dxa"/>
            <w:noWrap w:val="0"/>
            <w:tcMar>
              <w:top w:w="0" w:type="dxa"/>
              <w:left w:w="0" w:type="dxa"/>
              <w:bottom w:w="0" w:type="dxa"/>
              <w:right w:w="0" w:type="dxa"/>
            </w:tcMar>
            <w:vAlign w:val="center"/>
          </w:tcPr>
          <w:p w14:paraId="03DEF5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66.99</w:t>
            </w:r>
          </w:p>
        </w:tc>
        <w:tc>
          <w:tcPr>
            <w:tcW w:w="1333" w:type="dxa"/>
            <w:noWrap w:val="0"/>
            <w:tcMar>
              <w:top w:w="0" w:type="dxa"/>
              <w:left w:w="0" w:type="dxa"/>
              <w:bottom w:w="0" w:type="dxa"/>
              <w:right w:w="0" w:type="dxa"/>
            </w:tcMar>
            <w:vAlign w:val="center"/>
          </w:tcPr>
          <w:p w14:paraId="334280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352BB0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087E09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40.99</w:t>
            </w:r>
          </w:p>
        </w:tc>
        <w:tc>
          <w:tcPr>
            <w:tcW w:w="606" w:type="dxa"/>
            <w:noWrap w:val="0"/>
            <w:tcMar>
              <w:top w:w="0" w:type="dxa"/>
              <w:left w:w="0" w:type="dxa"/>
              <w:bottom w:w="0" w:type="dxa"/>
              <w:right w:w="0" w:type="dxa"/>
            </w:tcMar>
            <w:vAlign w:val="center"/>
          </w:tcPr>
          <w:p w14:paraId="0203F9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3D1F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1E6F78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27</w:t>
            </w:r>
          </w:p>
        </w:tc>
        <w:tc>
          <w:tcPr>
            <w:tcW w:w="911" w:type="dxa"/>
            <w:noWrap w:val="0"/>
            <w:tcMar>
              <w:top w:w="0" w:type="dxa"/>
              <w:left w:w="0" w:type="dxa"/>
              <w:bottom w:w="0" w:type="dxa"/>
              <w:right w:w="0" w:type="dxa"/>
            </w:tcMar>
            <w:vAlign w:val="center"/>
          </w:tcPr>
          <w:p w14:paraId="5E6CB9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钢筋制作间</w:t>
            </w:r>
          </w:p>
        </w:tc>
        <w:tc>
          <w:tcPr>
            <w:tcW w:w="1169" w:type="dxa"/>
            <w:noWrap w:val="0"/>
            <w:tcMar>
              <w:top w:w="0" w:type="dxa"/>
              <w:left w:w="0" w:type="dxa"/>
              <w:bottom w:w="0" w:type="dxa"/>
              <w:right w:w="0" w:type="dxa"/>
            </w:tcMar>
            <w:vAlign w:val="center"/>
          </w:tcPr>
          <w:p w14:paraId="44AD1A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二保焊机</w:t>
            </w:r>
          </w:p>
        </w:tc>
        <w:tc>
          <w:tcPr>
            <w:tcW w:w="694" w:type="dxa"/>
            <w:noWrap w:val="0"/>
            <w:tcMar>
              <w:top w:w="0" w:type="dxa"/>
              <w:left w:w="0" w:type="dxa"/>
              <w:bottom w:w="0" w:type="dxa"/>
              <w:right w:w="0" w:type="dxa"/>
            </w:tcMar>
            <w:vAlign w:val="center"/>
          </w:tcPr>
          <w:p w14:paraId="3F2914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68</w:t>
            </w:r>
          </w:p>
        </w:tc>
        <w:tc>
          <w:tcPr>
            <w:tcW w:w="1973" w:type="dxa"/>
            <w:noWrap w:val="0"/>
            <w:tcMar>
              <w:top w:w="0" w:type="dxa"/>
              <w:left w:w="0" w:type="dxa"/>
              <w:bottom w:w="0" w:type="dxa"/>
              <w:right w:w="0" w:type="dxa"/>
            </w:tcMar>
            <w:vAlign w:val="center"/>
          </w:tcPr>
          <w:p w14:paraId="4083B1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242454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2</w:t>
            </w:r>
            <w:r>
              <w:rPr>
                <w:rFonts w:hint="eastAsia" w:ascii="Times New Roman" w:hAnsi="Times New Roman" w:eastAsia="宋体"/>
                <w:color w:val="auto"/>
                <w:sz w:val="21"/>
                <w:szCs w:val="21"/>
                <w:lang w:val="en-US" w:eastAsia="zh-CN"/>
              </w:rPr>
              <w:t>23.1</w:t>
            </w:r>
          </w:p>
        </w:tc>
        <w:tc>
          <w:tcPr>
            <w:tcW w:w="973" w:type="dxa"/>
            <w:noWrap w:val="0"/>
            <w:tcMar>
              <w:top w:w="0" w:type="dxa"/>
              <w:left w:w="0" w:type="dxa"/>
              <w:bottom w:w="0" w:type="dxa"/>
              <w:right w:w="0" w:type="dxa"/>
            </w:tcMar>
            <w:vAlign w:val="center"/>
          </w:tcPr>
          <w:p w14:paraId="782F45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71.29</w:t>
            </w:r>
          </w:p>
        </w:tc>
        <w:tc>
          <w:tcPr>
            <w:tcW w:w="747" w:type="dxa"/>
            <w:noWrap w:val="0"/>
            <w:tcMar>
              <w:top w:w="0" w:type="dxa"/>
              <w:left w:w="0" w:type="dxa"/>
              <w:bottom w:w="0" w:type="dxa"/>
              <w:right w:w="0" w:type="dxa"/>
            </w:tcMar>
            <w:vAlign w:val="center"/>
          </w:tcPr>
          <w:p w14:paraId="1BA471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647F46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2.8</w:t>
            </w:r>
          </w:p>
        </w:tc>
        <w:tc>
          <w:tcPr>
            <w:tcW w:w="814" w:type="dxa"/>
            <w:noWrap w:val="0"/>
            <w:tcMar>
              <w:top w:w="0" w:type="dxa"/>
              <w:left w:w="0" w:type="dxa"/>
              <w:bottom w:w="0" w:type="dxa"/>
              <w:right w:w="0" w:type="dxa"/>
            </w:tcMar>
            <w:vAlign w:val="center"/>
          </w:tcPr>
          <w:p w14:paraId="695C16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65.65</w:t>
            </w:r>
          </w:p>
        </w:tc>
        <w:tc>
          <w:tcPr>
            <w:tcW w:w="1333" w:type="dxa"/>
            <w:noWrap w:val="0"/>
            <w:tcMar>
              <w:top w:w="0" w:type="dxa"/>
              <w:left w:w="0" w:type="dxa"/>
              <w:bottom w:w="0" w:type="dxa"/>
              <w:right w:w="0" w:type="dxa"/>
            </w:tcMar>
            <w:vAlign w:val="center"/>
          </w:tcPr>
          <w:p w14:paraId="759A84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3DB171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046173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39.65</w:t>
            </w:r>
          </w:p>
        </w:tc>
        <w:tc>
          <w:tcPr>
            <w:tcW w:w="606" w:type="dxa"/>
            <w:noWrap w:val="0"/>
            <w:tcMar>
              <w:top w:w="0" w:type="dxa"/>
              <w:left w:w="0" w:type="dxa"/>
              <w:bottom w:w="0" w:type="dxa"/>
              <w:right w:w="0" w:type="dxa"/>
            </w:tcMar>
            <w:vAlign w:val="center"/>
          </w:tcPr>
          <w:p w14:paraId="57429D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39A9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1BAE75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28</w:t>
            </w:r>
          </w:p>
        </w:tc>
        <w:tc>
          <w:tcPr>
            <w:tcW w:w="911" w:type="dxa"/>
            <w:noWrap w:val="0"/>
            <w:tcMar>
              <w:top w:w="0" w:type="dxa"/>
              <w:left w:w="0" w:type="dxa"/>
              <w:bottom w:w="0" w:type="dxa"/>
              <w:right w:w="0" w:type="dxa"/>
            </w:tcMar>
            <w:vAlign w:val="center"/>
          </w:tcPr>
          <w:p w14:paraId="419C26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钢筋制作间</w:t>
            </w:r>
          </w:p>
        </w:tc>
        <w:tc>
          <w:tcPr>
            <w:tcW w:w="1169" w:type="dxa"/>
            <w:noWrap w:val="0"/>
            <w:tcMar>
              <w:top w:w="0" w:type="dxa"/>
              <w:left w:w="0" w:type="dxa"/>
              <w:bottom w:w="0" w:type="dxa"/>
              <w:right w:w="0" w:type="dxa"/>
            </w:tcMar>
            <w:vAlign w:val="center"/>
          </w:tcPr>
          <w:p w14:paraId="181133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二保焊机</w:t>
            </w:r>
          </w:p>
        </w:tc>
        <w:tc>
          <w:tcPr>
            <w:tcW w:w="694" w:type="dxa"/>
            <w:noWrap w:val="0"/>
            <w:tcMar>
              <w:top w:w="0" w:type="dxa"/>
              <w:left w:w="0" w:type="dxa"/>
              <w:bottom w:w="0" w:type="dxa"/>
              <w:right w:w="0" w:type="dxa"/>
            </w:tcMar>
            <w:vAlign w:val="center"/>
          </w:tcPr>
          <w:p w14:paraId="69475C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68</w:t>
            </w:r>
          </w:p>
        </w:tc>
        <w:tc>
          <w:tcPr>
            <w:tcW w:w="1973" w:type="dxa"/>
            <w:noWrap w:val="0"/>
            <w:tcMar>
              <w:top w:w="0" w:type="dxa"/>
              <w:left w:w="0" w:type="dxa"/>
              <w:bottom w:w="0" w:type="dxa"/>
              <w:right w:w="0" w:type="dxa"/>
            </w:tcMar>
            <w:vAlign w:val="center"/>
          </w:tcPr>
          <w:p w14:paraId="48F6EC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6DEED2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2</w:t>
            </w:r>
            <w:r>
              <w:rPr>
                <w:rFonts w:hint="eastAsia" w:ascii="Times New Roman" w:hAnsi="Times New Roman" w:eastAsia="宋体"/>
                <w:color w:val="auto"/>
                <w:sz w:val="21"/>
                <w:szCs w:val="21"/>
                <w:lang w:val="en-US" w:eastAsia="zh-CN"/>
              </w:rPr>
              <w:t>28.05</w:t>
            </w:r>
          </w:p>
        </w:tc>
        <w:tc>
          <w:tcPr>
            <w:tcW w:w="973" w:type="dxa"/>
            <w:noWrap w:val="0"/>
            <w:tcMar>
              <w:top w:w="0" w:type="dxa"/>
              <w:left w:w="0" w:type="dxa"/>
              <w:bottom w:w="0" w:type="dxa"/>
              <w:right w:w="0" w:type="dxa"/>
            </w:tcMar>
            <w:vAlign w:val="center"/>
          </w:tcPr>
          <w:p w14:paraId="3B6C99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69.66</w:t>
            </w:r>
          </w:p>
        </w:tc>
        <w:tc>
          <w:tcPr>
            <w:tcW w:w="747" w:type="dxa"/>
            <w:noWrap w:val="0"/>
            <w:tcMar>
              <w:top w:w="0" w:type="dxa"/>
              <w:left w:w="0" w:type="dxa"/>
              <w:bottom w:w="0" w:type="dxa"/>
              <w:right w:w="0" w:type="dxa"/>
            </w:tcMar>
            <w:vAlign w:val="center"/>
          </w:tcPr>
          <w:p w14:paraId="18D7EE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07B362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7.98</w:t>
            </w:r>
          </w:p>
        </w:tc>
        <w:tc>
          <w:tcPr>
            <w:tcW w:w="814" w:type="dxa"/>
            <w:noWrap w:val="0"/>
            <w:tcMar>
              <w:top w:w="0" w:type="dxa"/>
              <w:left w:w="0" w:type="dxa"/>
              <w:bottom w:w="0" w:type="dxa"/>
              <w:right w:w="0" w:type="dxa"/>
            </w:tcMar>
            <w:vAlign w:val="center"/>
          </w:tcPr>
          <w:p w14:paraId="35C710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65.58</w:t>
            </w:r>
          </w:p>
        </w:tc>
        <w:tc>
          <w:tcPr>
            <w:tcW w:w="1333" w:type="dxa"/>
            <w:noWrap w:val="0"/>
            <w:tcMar>
              <w:top w:w="0" w:type="dxa"/>
              <w:left w:w="0" w:type="dxa"/>
              <w:bottom w:w="0" w:type="dxa"/>
              <w:right w:w="0" w:type="dxa"/>
            </w:tcMar>
            <w:vAlign w:val="center"/>
          </w:tcPr>
          <w:p w14:paraId="4031B2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4F78B3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10E70A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39.58</w:t>
            </w:r>
          </w:p>
        </w:tc>
        <w:tc>
          <w:tcPr>
            <w:tcW w:w="606" w:type="dxa"/>
            <w:noWrap w:val="0"/>
            <w:tcMar>
              <w:top w:w="0" w:type="dxa"/>
              <w:left w:w="0" w:type="dxa"/>
              <w:bottom w:w="0" w:type="dxa"/>
              <w:right w:w="0" w:type="dxa"/>
            </w:tcMar>
            <w:vAlign w:val="center"/>
          </w:tcPr>
          <w:p w14:paraId="3217DB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576F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7FD95B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29</w:t>
            </w:r>
          </w:p>
        </w:tc>
        <w:tc>
          <w:tcPr>
            <w:tcW w:w="911" w:type="dxa"/>
            <w:noWrap w:val="0"/>
            <w:tcMar>
              <w:top w:w="0" w:type="dxa"/>
              <w:left w:w="0" w:type="dxa"/>
              <w:bottom w:w="0" w:type="dxa"/>
              <w:right w:w="0" w:type="dxa"/>
            </w:tcMar>
            <w:vAlign w:val="center"/>
          </w:tcPr>
          <w:p w14:paraId="2915A3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钢筋制作间</w:t>
            </w:r>
          </w:p>
        </w:tc>
        <w:tc>
          <w:tcPr>
            <w:tcW w:w="1169" w:type="dxa"/>
            <w:noWrap w:val="0"/>
            <w:tcMar>
              <w:top w:w="0" w:type="dxa"/>
              <w:left w:w="0" w:type="dxa"/>
              <w:bottom w:w="0" w:type="dxa"/>
              <w:right w:w="0" w:type="dxa"/>
            </w:tcMar>
            <w:vAlign w:val="center"/>
          </w:tcPr>
          <w:p w14:paraId="4F8C43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切断机</w:t>
            </w:r>
          </w:p>
        </w:tc>
        <w:tc>
          <w:tcPr>
            <w:tcW w:w="694" w:type="dxa"/>
            <w:noWrap w:val="0"/>
            <w:tcMar>
              <w:top w:w="0" w:type="dxa"/>
              <w:left w:w="0" w:type="dxa"/>
              <w:bottom w:w="0" w:type="dxa"/>
              <w:right w:w="0" w:type="dxa"/>
            </w:tcMar>
            <w:vAlign w:val="center"/>
          </w:tcPr>
          <w:p w14:paraId="330D41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5</w:t>
            </w:r>
          </w:p>
        </w:tc>
        <w:tc>
          <w:tcPr>
            <w:tcW w:w="1973" w:type="dxa"/>
            <w:noWrap w:val="0"/>
            <w:tcMar>
              <w:top w:w="0" w:type="dxa"/>
              <w:left w:w="0" w:type="dxa"/>
              <w:bottom w:w="0" w:type="dxa"/>
              <w:right w:w="0" w:type="dxa"/>
            </w:tcMar>
            <w:vAlign w:val="center"/>
          </w:tcPr>
          <w:p w14:paraId="4F7E2B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2EC1CB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2</w:t>
            </w:r>
            <w:r>
              <w:rPr>
                <w:rFonts w:hint="eastAsia" w:ascii="Times New Roman" w:hAnsi="Times New Roman" w:eastAsia="宋体"/>
                <w:color w:val="auto"/>
                <w:sz w:val="21"/>
                <w:szCs w:val="21"/>
                <w:lang w:val="en-US" w:eastAsia="zh-CN"/>
              </w:rPr>
              <w:t>26.78</w:t>
            </w:r>
          </w:p>
        </w:tc>
        <w:tc>
          <w:tcPr>
            <w:tcW w:w="973" w:type="dxa"/>
            <w:noWrap w:val="0"/>
            <w:tcMar>
              <w:top w:w="0" w:type="dxa"/>
              <w:left w:w="0" w:type="dxa"/>
              <w:bottom w:w="0" w:type="dxa"/>
              <w:right w:w="0" w:type="dxa"/>
            </w:tcMar>
            <w:vAlign w:val="center"/>
          </w:tcPr>
          <w:p w14:paraId="3F0351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74.01</w:t>
            </w:r>
          </w:p>
        </w:tc>
        <w:tc>
          <w:tcPr>
            <w:tcW w:w="747" w:type="dxa"/>
            <w:noWrap w:val="0"/>
            <w:tcMar>
              <w:top w:w="0" w:type="dxa"/>
              <w:left w:w="0" w:type="dxa"/>
              <w:bottom w:w="0" w:type="dxa"/>
              <w:right w:w="0" w:type="dxa"/>
            </w:tcMar>
            <w:vAlign w:val="center"/>
          </w:tcPr>
          <w:p w14:paraId="471B23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66CDE5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5.05</w:t>
            </w:r>
          </w:p>
        </w:tc>
        <w:tc>
          <w:tcPr>
            <w:tcW w:w="814" w:type="dxa"/>
            <w:noWrap w:val="0"/>
            <w:tcMar>
              <w:top w:w="0" w:type="dxa"/>
              <w:left w:w="0" w:type="dxa"/>
              <w:bottom w:w="0" w:type="dxa"/>
              <w:right w:w="0" w:type="dxa"/>
            </w:tcMar>
            <w:vAlign w:val="center"/>
          </w:tcPr>
          <w:p w14:paraId="108582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82.6</w:t>
            </w:r>
          </w:p>
        </w:tc>
        <w:tc>
          <w:tcPr>
            <w:tcW w:w="1333" w:type="dxa"/>
            <w:noWrap w:val="0"/>
            <w:tcMar>
              <w:top w:w="0" w:type="dxa"/>
              <w:left w:w="0" w:type="dxa"/>
              <w:bottom w:w="0" w:type="dxa"/>
              <w:right w:w="0" w:type="dxa"/>
            </w:tcMar>
            <w:vAlign w:val="center"/>
          </w:tcPr>
          <w:p w14:paraId="54FF7F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334AA2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0659AD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56.6</w:t>
            </w:r>
          </w:p>
        </w:tc>
        <w:tc>
          <w:tcPr>
            <w:tcW w:w="606" w:type="dxa"/>
            <w:noWrap w:val="0"/>
            <w:tcMar>
              <w:top w:w="0" w:type="dxa"/>
              <w:left w:w="0" w:type="dxa"/>
              <w:bottom w:w="0" w:type="dxa"/>
              <w:right w:w="0" w:type="dxa"/>
            </w:tcMar>
            <w:vAlign w:val="center"/>
          </w:tcPr>
          <w:p w14:paraId="69A1B8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4EE2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shd w:val="clear" w:color="auto" w:fill="auto"/>
            <w:noWrap w:val="0"/>
            <w:tcMar>
              <w:top w:w="0" w:type="dxa"/>
              <w:left w:w="0" w:type="dxa"/>
              <w:bottom w:w="0" w:type="dxa"/>
              <w:right w:w="0" w:type="dxa"/>
            </w:tcMar>
            <w:vAlign w:val="center"/>
          </w:tcPr>
          <w:p w14:paraId="462A1F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30</w:t>
            </w:r>
          </w:p>
        </w:tc>
        <w:tc>
          <w:tcPr>
            <w:tcW w:w="911" w:type="dxa"/>
            <w:shd w:val="clear" w:color="auto" w:fill="auto"/>
            <w:noWrap w:val="0"/>
            <w:tcMar>
              <w:top w:w="0" w:type="dxa"/>
              <w:left w:w="0" w:type="dxa"/>
              <w:bottom w:w="0" w:type="dxa"/>
              <w:right w:w="0" w:type="dxa"/>
            </w:tcMar>
            <w:vAlign w:val="center"/>
          </w:tcPr>
          <w:p w14:paraId="276078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钢筋制作间</w:t>
            </w:r>
          </w:p>
        </w:tc>
        <w:tc>
          <w:tcPr>
            <w:tcW w:w="1169" w:type="dxa"/>
            <w:shd w:val="clear" w:color="auto" w:fill="auto"/>
            <w:noWrap w:val="0"/>
            <w:tcMar>
              <w:top w:w="0" w:type="dxa"/>
              <w:left w:w="0" w:type="dxa"/>
              <w:bottom w:w="0" w:type="dxa"/>
              <w:right w:w="0" w:type="dxa"/>
            </w:tcMar>
            <w:vAlign w:val="center"/>
          </w:tcPr>
          <w:p w14:paraId="2E58C9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围弯机</w:t>
            </w:r>
          </w:p>
        </w:tc>
        <w:tc>
          <w:tcPr>
            <w:tcW w:w="694" w:type="dxa"/>
            <w:shd w:val="clear" w:color="auto" w:fill="auto"/>
            <w:noWrap w:val="0"/>
            <w:tcMar>
              <w:top w:w="0" w:type="dxa"/>
              <w:left w:w="0" w:type="dxa"/>
              <w:bottom w:w="0" w:type="dxa"/>
              <w:right w:w="0" w:type="dxa"/>
            </w:tcMar>
            <w:vAlign w:val="center"/>
          </w:tcPr>
          <w:p w14:paraId="58376C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78</w:t>
            </w:r>
          </w:p>
        </w:tc>
        <w:tc>
          <w:tcPr>
            <w:tcW w:w="1973" w:type="dxa"/>
            <w:shd w:val="clear" w:color="auto" w:fill="auto"/>
            <w:noWrap w:val="0"/>
            <w:tcMar>
              <w:top w:w="0" w:type="dxa"/>
              <w:left w:w="0" w:type="dxa"/>
              <w:bottom w:w="0" w:type="dxa"/>
              <w:right w:w="0" w:type="dxa"/>
            </w:tcMar>
            <w:vAlign w:val="center"/>
          </w:tcPr>
          <w:p w14:paraId="558921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shd w:val="clear" w:color="auto" w:fill="auto"/>
            <w:noWrap w:val="0"/>
            <w:tcMar>
              <w:top w:w="0" w:type="dxa"/>
              <w:left w:w="0" w:type="dxa"/>
              <w:bottom w:w="0" w:type="dxa"/>
              <w:right w:w="0" w:type="dxa"/>
            </w:tcMar>
            <w:vAlign w:val="center"/>
          </w:tcPr>
          <w:p w14:paraId="67941C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olor w:val="auto"/>
                <w:sz w:val="21"/>
                <w:szCs w:val="21"/>
              </w:rPr>
              <w:t>2</w:t>
            </w:r>
            <w:r>
              <w:rPr>
                <w:rFonts w:hint="eastAsia" w:ascii="Times New Roman" w:hAnsi="Times New Roman" w:eastAsia="宋体"/>
                <w:color w:val="auto"/>
                <w:sz w:val="21"/>
                <w:szCs w:val="21"/>
                <w:lang w:val="en-US" w:eastAsia="zh-CN"/>
              </w:rPr>
              <w:t>31.65</w:t>
            </w:r>
          </w:p>
        </w:tc>
        <w:tc>
          <w:tcPr>
            <w:tcW w:w="973" w:type="dxa"/>
            <w:shd w:val="clear" w:color="auto" w:fill="auto"/>
            <w:noWrap w:val="0"/>
            <w:tcMar>
              <w:top w:w="0" w:type="dxa"/>
              <w:left w:w="0" w:type="dxa"/>
              <w:bottom w:w="0" w:type="dxa"/>
              <w:right w:w="0" w:type="dxa"/>
            </w:tcMar>
            <w:vAlign w:val="center"/>
          </w:tcPr>
          <w:p w14:paraId="2B4A9C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olor w:val="auto"/>
                <w:sz w:val="21"/>
                <w:szCs w:val="21"/>
                <w:lang w:val="en-US" w:eastAsia="zh-CN"/>
              </w:rPr>
              <w:t>67.91</w:t>
            </w:r>
          </w:p>
        </w:tc>
        <w:tc>
          <w:tcPr>
            <w:tcW w:w="747" w:type="dxa"/>
            <w:shd w:val="clear" w:color="auto" w:fill="auto"/>
            <w:noWrap w:val="0"/>
            <w:tcMar>
              <w:top w:w="0" w:type="dxa"/>
              <w:left w:w="0" w:type="dxa"/>
              <w:bottom w:w="0" w:type="dxa"/>
              <w:right w:w="0" w:type="dxa"/>
            </w:tcMar>
            <w:vAlign w:val="center"/>
          </w:tcPr>
          <w:p w14:paraId="56E06A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宋体"/>
                <w:color w:val="auto"/>
                <w:kern w:val="2"/>
                <w:sz w:val="21"/>
                <w:szCs w:val="21"/>
                <w:lang w:val="en-US" w:eastAsia="zh-CN" w:bidi="ar-SA"/>
              </w:rPr>
            </w:pPr>
            <w:r>
              <w:rPr>
                <w:rFonts w:hint="eastAsia" w:ascii="Times New Roman" w:hAnsi="Times New Roman" w:eastAsia="宋体"/>
                <w:color w:val="auto"/>
                <w:sz w:val="21"/>
                <w:szCs w:val="21"/>
              </w:rPr>
              <w:t>1</w:t>
            </w:r>
          </w:p>
        </w:tc>
        <w:tc>
          <w:tcPr>
            <w:tcW w:w="853" w:type="dxa"/>
            <w:shd w:val="clear" w:color="auto" w:fill="auto"/>
            <w:noWrap w:val="0"/>
            <w:tcMar>
              <w:top w:w="0" w:type="dxa"/>
              <w:left w:w="0" w:type="dxa"/>
              <w:bottom w:w="0" w:type="dxa"/>
              <w:right w:w="0" w:type="dxa"/>
            </w:tcMar>
            <w:vAlign w:val="center"/>
          </w:tcPr>
          <w:p w14:paraId="3F82A7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11.98</w:t>
            </w:r>
          </w:p>
        </w:tc>
        <w:tc>
          <w:tcPr>
            <w:tcW w:w="814" w:type="dxa"/>
            <w:shd w:val="clear" w:color="auto" w:fill="auto"/>
            <w:noWrap w:val="0"/>
            <w:tcMar>
              <w:top w:w="0" w:type="dxa"/>
              <w:left w:w="0" w:type="dxa"/>
              <w:bottom w:w="0" w:type="dxa"/>
              <w:right w:w="0" w:type="dxa"/>
            </w:tcMar>
            <w:vAlign w:val="center"/>
          </w:tcPr>
          <w:p w14:paraId="52984C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75.58</w:t>
            </w:r>
          </w:p>
        </w:tc>
        <w:tc>
          <w:tcPr>
            <w:tcW w:w="1333" w:type="dxa"/>
            <w:shd w:val="clear" w:color="auto" w:fill="auto"/>
            <w:noWrap w:val="0"/>
            <w:tcMar>
              <w:top w:w="0" w:type="dxa"/>
              <w:left w:w="0" w:type="dxa"/>
              <w:bottom w:w="0" w:type="dxa"/>
              <w:right w:w="0" w:type="dxa"/>
            </w:tcMar>
            <w:vAlign w:val="center"/>
          </w:tcPr>
          <w:p w14:paraId="11E869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sz w:val="21"/>
                <w:szCs w:val="21"/>
                <w:lang w:val="en-US" w:eastAsia="zh-CN"/>
              </w:rPr>
              <w:t>8:00~24：00</w:t>
            </w:r>
          </w:p>
        </w:tc>
        <w:tc>
          <w:tcPr>
            <w:tcW w:w="773" w:type="dxa"/>
            <w:shd w:val="clear" w:color="auto" w:fill="auto"/>
            <w:noWrap w:val="0"/>
            <w:tcMar>
              <w:top w:w="0" w:type="dxa"/>
              <w:left w:w="0" w:type="dxa"/>
              <w:bottom w:w="0" w:type="dxa"/>
              <w:right w:w="0" w:type="dxa"/>
            </w:tcMar>
            <w:vAlign w:val="center"/>
          </w:tcPr>
          <w:p w14:paraId="2FC433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20</w:t>
            </w:r>
          </w:p>
        </w:tc>
        <w:tc>
          <w:tcPr>
            <w:tcW w:w="774" w:type="dxa"/>
            <w:shd w:val="clear" w:color="auto" w:fill="auto"/>
            <w:noWrap w:val="0"/>
            <w:tcMar>
              <w:top w:w="0" w:type="dxa"/>
              <w:left w:w="0" w:type="dxa"/>
              <w:bottom w:w="0" w:type="dxa"/>
              <w:right w:w="0" w:type="dxa"/>
            </w:tcMar>
            <w:vAlign w:val="center"/>
          </w:tcPr>
          <w:p w14:paraId="36C1E4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sz w:val="21"/>
                <w:szCs w:val="21"/>
                <w:lang w:val="en-US" w:eastAsia="zh-CN"/>
              </w:rPr>
              <w:t>49.58</w:t>
            </w:r>
          </w:p>
        </w:tc>
        <w:tc>
          <w:tcPr>
            <w:tcW w:w="606" w:type="dxa"/>
            <w:shd w:val="clear" w:color="auto" w:fill="auto"/>
            <w:noWrap w:val="0"/>
            <w:tcMar>
              <w:top w:w="0" w:type="dxa"/>
              <w:left w:w="0" w:type="dxa"/>
              <w:bottom w:w="0" w:type="dxa"/>
              <w:right w:w="0" w:type="dxa"/>
            </w:tcMar>
            <w:vAlign w:val="center"/>
          </w:tcPr>
          <w:p w14:paraId="5965E5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
                <w:sz w:val="21"/>
                <w:szCs w:val="21"/>
                <w:lang w:val="en-US" w:eastAsia="zh-CN" w:bidi="ar-SA"/>
              </w:rPr>
            </w:pPr>
            <w:r>
              <w:rPr>
                <w:rFonts w:hint="default" w:ascii="Times New Roman" w:hAnsi="Times New Roman" w:eastAsia="宋体" w:cs="Times New Roman"/>
                <w:b w:val="0"/>
                <w:bCs/>
                <w:color w:val="auto"/>
                <w:sz w:val="21"/>
                <w:szCs w:val="21"/>
              </w:rPr>
              <w:t>1</w:t>
            </w:r>
          </w:p>
        </w:tc>
      </w:tr>
      <w:tr w14:paraId="309B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3884EE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31</w:t>
            </w:r>
          </w:p>
        </w:tc>
        <w:tc>
          <w:tcPr>
            <w:tcW w:w="911" w:type="dxa"/>
            <w:noWrap w:val="0"/>
            <w:tcMar>
              <w:top w:w="0" w:type="dxa"/>
              <w:left w:w="0" w:type="dxa"/>
              <w:bottom w:w="0" w:type="dxa"/>
              <w:right w:w="0" w:type="dxa"/>
            </w:tcMar>
            <w:vAlign w:val="center"/>
          </w:tcPr>
          <w:p w14:paraId="59D953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钢筋制作间</w:t>
            </w:r>
          </w:p>
        </w:tc>
        <w:tc>
          <w:tcPr>
            <w:tcW w:w="1169" w:type="dxa"/>
            <w:noWrap w:val="0"/>
            <w:tcMar>
              <w:top w:w="0" w:type="dxa"/>
              <w:left w:w="0" w:type="dxa"/>
              <w:bottom w:w="0" w:type="dxa"/>
              <w:right w:w="0" w:type="dxa"/>
            </w:tcMar>
            <w:vAlign w:val="center"/>
          </w:tcPr>
          <w:p w14:paraId="64F998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拉直机</w:t>
            </w:r>
          </w:p>
        </w:tc>
        <w:tc>
          <w:tcPr>
            <w:tcW w:w="694" w:type="dxa"/>
            <w:noWrap w:val="0"/>
            <w:tcMar>
              <w:top w:w="0" w:type="dxa"/>
              <w:left w:w="0" w:type="dxa"/>
              <w:bottom w:w="0" w:type="dxa"/>
              <w:right w:w="0" w:type="dxa"/>
            </w:tcMar>
            <w:vAlign w:val="center"/>
          </w:tcPr>
          <w:p w14:paraId="49FC52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0</w:t>
            </w:r>
          </w:p>
        </w:tc>
        <w:tc>
          <w:tcPr>
            <w:tcW w:w="1973" w:type="dxa"/>
            <w:noWrap w:val="0"/>
            <w:tcMar>
              <w:top w:w="0" w:type="dxa"/>
              <w:left w:w="0" w:type="dxa"/>
              <w:bottom w:w="0" w:type="dxa"/>
              <w:right w:w="0" w:type="dxa"/>
            </w:tcMar>
            <w:vAlign w:val="center"/>
          </w:tcPr>
          <w:p w14:paraId="22EFCF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70518C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rPr>
            </w:pPr>
            <w:r>
              <w:rPr>
                <w:rFonts w:hint="eastAsia" w:ascii="Times New Roman" w:hAnsi="Times New Roman" w:eastAsia="宋体"/>
                <w:color w:val="auto"/>
                <w:sz w:val="21"/>
                <w:szCs w:val="21"/>
              </w:rPr>
              <w:t>2</w:t>
            </w:r>
            <w:r>
              <w:rPr>
                <w:rFonts w:hint="eastAsia" w:ascii="Times New Roman" w:hAnsi="Times New Roman" w:eastAsia="宋体"/>
                <w:color w:val="auto"/>
                <w:sz w:val="21"/>
                <w:szCs w:val="21"/>
                <w:lang w:val="en-US" w:eastAsia="zh-CN"/>
              </w:rPr>
              <w:t>32.22</w:t>
            </w:r>
          </w:p>
        </w:tc>
        <w:tc>
          <w:tcPr>
            <w:tcW w:w="973" w:type="dxa"/>
            <w:noWrap w:val="0"/>
            <w:tcMar>
              <w:top w:w="0" w:type="dxa"/>
              <w:left w:w="0" w:type="dxa"/>
              <w:bottom w:w="0" w:type="dxa"/>
              <w:right w:w="0" w:type="dxa"/>
            </w:tcMar>
            <w:vAlign w:val="center"/>
          </w:tcPr>
          <w:p w14:paraId="2EBE88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71.77</w:t>
            </w:r>
          </w:p>
        </w:tc>
        <w:tc>
          <w:tcPr>
            <w:tcW w:w="747" w:type="dxa"/>
            <w:noWrap w:val="0"/>
            <w:tcMar>
              <w:top w:w="0" w:type="dxa"/>
              <w:left w:w="0" w:type="dxa"/>
              <w:bottom w:w="0" w:type="dxa"/>
              <w:right w:w="0" w:type="dxa"/>
            </w:tcMar>
            <w:vAlign w:val="center"/>
          </w:tcPr>
          <w:p w14:paraId="409188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3547C6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10.93</w:t>
            </w:r>
          </w:p>
        </w:tc>
        <w:tc>
          <w:tcPr>
            <w:tcW w:w="814" w:type="dxa"/>
            <w:noWrap w:val="0"/>
            <w:tcMar>
              <w:top w:w="0" w:type="dxa"/>
              <w:left w:w="0" w:type="dxa"/>
              <w:bottom w:w="0" w:type="dxa"/>
              <w:right w:w="0" w:type="dxa"/>
            </w:tcMar>
            <w:vAlign w:val="center"/>
          </w:tcPr>
          <w:p w14:paraId="747C75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77.58</w:t>
            </w:r>
          </w:p>
        </w:tc>
        <w:tc>
          <w:tcPr>
            <w:tcW w:w="1333" w:type="dxa"/>
            <w:noWrap w:val="0"/>
            <w:tcMar>
              <w:top w:w="0" w:type="dxa"/>
              <w:left w:w="0" w:type="dxa"/>
              <w:bottom w:w="0" w:type="dxa"/>
              <w:right w:w="0" w:type="dxa"/>
            </w:tcMar>
            <w:vAlign w:val="center"/>
          </w:tcPr>
          <w:p w14:paraId="183DB2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7F5794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3FF283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51.58</w:t>
            </w:r>
          </w:p>
        </w:tc>
        <w:tc>
          <w:tcPr>
            <w:tcW w:w="606" w:type="dxa"/>
            <w:noWrap w:val="0"/>
            <w:tcMar>
              <w:top w:w="0" w:type="dxa"/>
              <w:left w:w="0" w:type="dxa"/>
              <w:bottom w:w="0" w:type="dxa"/>
              <w:right w:w="0" w:type="dxa"/>
            </w:tcMar>
            <w:vAlign w:val="center"/>
          </w:tcPr>
          <w:p w14:paraId="07B6D1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0779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60A000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32</w:t>
            </w:r>
          </w:p>
        </w:tc>
        <w:tc>
          <w:tcPr>
            <w:tcW w:w="911" w:type="dxa"/>
            <w:noWrap w:val="0"/>
            <w:tcMar>
              <w:top w:w="0" w:type="dxa"/>
              <w:left w:w="0" w:type="dxa"/>
              <w:bottom w:w="0" w:type="dxa"/>
              <w:right w:w="0" w:type="dxa"/>
            </w:tcMar>
            <w:vAlign w:val="center"/>
          </w:tcPr>
          <w:p w14:paraId="6E0092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预制构件生产车间</w:t>
            </w:r>
          </w:p>
        </w:tc>
        <w:tc>
          <w:tcPr>
            <w:tcW w:w="1169" w:type="dxa"/>
            <w:noWrap w:val="0"/>
            <w:tcMar>
              <w:top w:w="0" w:type="dxa"/>
              <w:left w:w="0" w:type="dxa"/>
              <w:bottom w:w="0" w:type="dxa"/>
              <w:right w:w="0" w:type="dxa"/>
            </w:tcMar>
            <w:vAlign w:val="center"/>
          </w:tcPr>
          <w:p w14:paraId="639C2F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搅拌机</w:t>
            </w:r>
          </w:p>
        </w:tc>
        <w:tc>
          <w:tcPr>
            <w:tcW w:w="694" w:type="dxa"/>
            <w:noWrap w:val="0"/>
            <w:tcMar>
              <w:top w:w="0" w:type="dxa"/>
              <w:left w:w="0" w:type="dxa"/>
              <w:bottom w:w="0" w:type="dxa"/>
              <w:right w:w="0" w:type="dxa"/>
            </w:tcMar>
            <w:vAlign w:val="center"/>
          </w:tcPr>
          <w:p w14:paraId="6A680B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4</w:t>
            </w:r>
          </w:p>
        </w:tc>
        <w:tc>
          <w:tcPr>
            <w:tcW w:w="1973" w:type="dxa"/>
            <w:noWrap w:val="0"/>
            <w:tcMar>
              <w:top w:w="0" w:type="dxa"/>
              <w:left w:w="0" w:type="dxa"/>
              <w:bottom w:w="0" w:type="dxa"/>
              <w:right w:w="0" w:type="dxa"/>
            </w:tcMar>
            <w:vAlign w:val="center"/>
          </w:tcPr>
          <w:p w14:paraId="3E54DC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018D12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rPr>
            </w:pPr>
            <w:r>
              <w:rPr>
                <w:rFonts w:hint="eastAsia" w:ascii="Times New Roman" w:hAnsi="Times New Roman" w:eastAsia="宋体"/>
                <w:color w:val="auto"/>
                <w:sz w:val="21"/>
                <w:szCs w:val="21"/>
              </w:rPr>
              <w:t>2</w:t>
            </w:r>
            <w:r>
              <w:rPr>
                <w:rFonts w:hint="eastAsia" w:ascii="Times New Roman" w:hAnsi="Times New Roman" w:eastAsia="宋体"/>
                <w:color w:val="auto"/>
                <w:sz w:val="21"/>
                <w:szCs w:val="21"/>
                <w:lang w:val="en-US" w:eastAsia="zh-CN"/>
              </w:rPr>
              <w:t>06.66</w:t>
            </w:r>
          </w:p>
        </w:tc>
        <w:tc>
          <w:tcPr>
            <w:tcW w:w="973" w:type="dxa"/>
            <w:noWrap w:val="0"/>
            <w:tcMar>
              <w:top w:w="0" w:type="dxa"/>
              <w:left w:w="0" w:type="dxa"/>
              <w:bottom w:w="0" w:type="dxa"/>
              <w:right w:w="0" w:type="dxa"/>
            </w:tcMar>
            <w:vAlign w:val="center"/>
          </w:tcPr>
          <w:p w14:paraId="7DF17A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44.57</w:t>
            </w:r>
          </w:p>
        </w:tc>
        <w:tc>
          <w:tcPr>
            <w:tcW w:w="747" w:type="dxa"/>
            <w:noWrap w:val="0"/>
            <w:tcMar>
              <w:top w:w="0" w:type="dxa"/>
              <w:left w:w="0" w:type="dxa"/>
              <w:bottom w:w="0" w:type="dxa"/>
              <w:right w:w="0" w:type="dxa"/>
            </w:tcMar>
            <w:vAlign w:val="center"/>
          </w:tcPr>
          <w:p w14:paraId="1D39EC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4123D7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116.23</w:t>
            </w:r>
          </w:p>
        </w:tc>
        <w:tc>
          <w:tcPr>
            <w:tcW w:w="814" w:type="dxa"/>
            <w:noWrap w:val="0"/>
            <w:tcMar>
              <w:top w:w="0" w:type="dxa"/>
              <w:left w:w="0" w:type="dxa"/>
              <w:bottom w:w="0" w:type="dxa"/>
              <w:right w:w="0" w:type="dxa"/>
            </w:tcMar>
            <w:vAlign w:val="center"/>
          </w:tcPr>
          <w:p w14:paraId="22CFB2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67.31</w:t>
            </w:r>
          </w:p>
        </w:tc>
        <w:tc>
          <w:tcPr>
            <w:tcW w:w="1333" w:type="dxa"/>
            <w:noWrap w:val="0"/>
            <w:tcMar>
              <w:top w:w="0" w:type="dxa"/>
              <w:left w:w="0" w:type="dxa"/>
              <w:bottom w:w="0" w:type="dxa"/>
              <w:right w:w="0" w:type="dxa"/>
            </w:tcMar>
            <w:vAlign w:val="center"/>
          </w:tcPr>
          <w:p w14:paraId="03D0C1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480BA0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42BD7B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41.31</w:t>
            </w:r>
          </w:p>
        </w:tc>
        <w:tc>
          <w:tcPr>
            <w:tcW w:w="606" w:type="dxa"/>
            <w:noWrap w:val="0"/>
            <w:tcMar>
              <w:top w:w="0" w:type="dxa"/>
              <w:left w:w="0" w:type="dxa"/>
              <w:bottom w:w="0" w:type="dxa"/>
              <w:right w:w="0" w:type="dxa"/>
            </w:tcMar>
            <w:vAlign w:val="center"/>
          </w:tcPr>
          <w:p w14:paraId="2929DD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tr w14:paraId="2FA4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48" w:type="dxa"/>
            <w:noWrap w:val="0"/>
            <w:tcMar>
              <w:top w:w="0" w:type="dxa"/>
              <w:left w:w="0" w:type="dxa"/>
              <w:bottom w:w="0" w:type="dxa"/>
              <w:right w:w="0" w:type="dxa"/>
            </w:tcMar>
            <w:vAlign w:val="center"/>
          </w:tcPr>
          <w:p w14:paraId="1453CE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33</w:t>
            </w:r>
          </w:p>
        </w:tc>
        <w:tc>
          <w:tcPr>
            <w:tcW w:w="911" w:type="dxa"/>
            <w:noWrap w:val="0"/>
            <w:tcMar>
              <w:top w:w="0" w:type="dxa"/>
              <w:left w:w="0" w:type="dxa"/>
              <w:bottom w:w="0" w:type="dxa"/>
              <w:right w:w="0" w:type="dxa"/>
            </w:tcMar>
            <w:vAlign w:val="center"/>
          </w:tcPr>
          <w:p w14:paraId="28F1F0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湿拌砂浆生产车间</w:t>
            </w:r>
          </w:p>
        </w:tc>
        <w:tc>
          <w:tcPr>
            <w:tcW w:w="1169" w:type="dxa"/>
            <w:noWrap w:val="0"/>
            <w:tcMar>
              <w:top w:w="0" w:type="dxa"/>
              <w:left w:w="0" w:type="dxa"/>
              <w:bottom w:w="0" w:type="dxa"/>
              <w:right w:w="0" w:type="dxa"/>
            </w:tcMar>
            <w:vAlign w:val="center"/>
          </w:tcPr>
          <w:p w14:paraId="564A30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搅拌机</w:t>
            </w:r>
          </w:p>
        </w:tc>
        <w:tc>
          <w:tcPr>
            <w:tcW w:w="694" w:type="dxa"/>
            <w:noWrap w:val="0"/>
            <w:tcMar>
              <w:top w:w="0" w:type="dxa"/>
              <w:left w:w="0" w:type="dxa"/>
              <w:bottom w:w="0" w:type="dxa"/>
              <w:right w:w="0" w:type="dxa"/>
            </w:tcMar>
            <w:vAlign w:val="center"/>
          </w:tcPr>
          <w:p w14:paraId="50BBD9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8</w:t>
            </w:r>
            <w:r>
              <w:rPr>
                <w:rFonts w:hint="eastAsia" w:ascii="Times New Roman" w:hAnsi="Times New Roman" w:eastAsia="宋体" w:cs="Times New Roman"/>
                <w:b w:val="0"/>
                <w:bCs/>
                <w:color w:val="auto"/>
                <w:sz w:val="21"/>
                <w:szCs w:val="21"/>
                <w:lang w:val="en-US" w:eastAsia="zh-CN"/>
              </w:rPr>
              <w:t>4</w:t>
            </w:r>
          </w:p>
        </w:tc>
        <w:tc>
          <w:tcPr>
            <w:tcW w:w="1973" w:type="dxa"/>
            <w:noWrap w:val="0"/>
            <w:tcMar>
              <w:top w:w="0" w:type="dxa"/>
              <w:left w:w="0" w:type="dxa"/>
              <w:bottom w:w="0" w:type="dxa"/>
              <w:right w:w="0" w:type="dxa"/>
            </w:tcMar>
            <w:vAlign w:val="center"/>
          </w:tcPr>
          <w:p w14:paraId="06A5FC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选用低噪声设备，置于室内，基础减震</w:t>
            </w:r>
          </w:p>
        </w:tc>
        <w:tc>
          <w:tcPr>
            <w:tcW w:w="1160" w:type="dxa"/>
            <w:noWrap w:val="0"/>
            <w:tcMar>
              <w:top w:w="0" w:type="dxa"/>
              <w:left w:w="0" w:type="dxa"/>
              <w:bottom w:w="0" w:type="dxa"/>
              <w:right w:w="0" w:type="dxa"/>
            </w:tcMar>
            <w:vAlign w:val="center"/>
          </w:tcPr>
          <w:p w14:paraId="18F6FA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r>
              <w:rPr>
                <w:rFonts w:hint="eastAsia"/>
                <w:color w:val="auto"/>
                <w:sz w:val="21"/>
                <w:szCs w:val="21"/>
                <w:lang w:val="en-US" w:eastAsia="zh-CN"/>
              </w:rPr>
              <w:t>53.59</w:t>
            </w:r>
          </w:p>
        </w:tc>
        <w:tc>
          <w:tcPr>
            <w:tcW w:w="973" w:type="dxa"/>
            <w:noWrap w:val="0"/>
            <w:tcMar>
              <w:top w:w="0" w:type="dxa"/>
              <w:left w:w="0" w:type="dxa"/>
              <w:bottom w:w="0" w:type="dxa"/>
              <w:right w:w="0" w:type="dxa"/>
            </w:tcMar>
            <w:vAlign w:val="center"/>
          </w:tcPr>
          <w:p w14:paraId="719B80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r>
              <w:rPr>
                <w:rFonts w:hint="eastAsia"/>
                <w:color w:val="auto"/>
                <w:sz w:val="21"/>
                <w:szCs w:val="21"/>
                <w:lang w:val="en-US" w:eastAsia="zh-CN"/>
              </w:rPr>
              <w:t>75.35</w:t>
            </w:r>
          </w:p>
        </w:tc>
        <w:tc>
          <w:tcPr>
            <w:tcW w:w="747" w:type="dxa"/>
            <w:noWrap w:val="0"/>
            <w:tcMar>
              <w:top w:w="0" w:type="dxa"/>
              <w:left w:w="0" w:type="dxa"/>
              <w:bottom w:w="0" w:type="dxa"/>
              <w:right w:w="0" w:type="dxa"/>
            </w:tcMar>
            <w:vAlign w:val="center"/>
          </w:tcPr>
          <w:p w14:paraId="6039A4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1</w:t>
            </w:r>
          </w:p>
        </w:tc>
        <w:tc>
          <w:tcPr>
            <w:tcW w:w="853" w:type="dxa"/>
            <w:noWrap w:val="0"/>
            <w:tcMar>
              <w:top w:w="0" w:type="dxa"/>
              <w:left w:w="0" w:type="dxa"/>
              <w:bottom w:w="0" w:type="dxa"/>
              <w:right w:w="0" w:type="dxa"/>
            </w:tcMar>
            <w:vAlign w:val="center"/>
          </w:tcPr>
          <w:p w14:paraId="333156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w:t>
            </w:r>
            <w:r>
              <w:rPr>
                <w:rFonts w:hint="eastAsia" w:cs="Times New Roman"/>
                <w:b w:val="0"/>
                <w:bCs/>
                <w:color w:val="auto"/>
                <w:sz w:val="21"/>
                <w:szCs w:val="21"/>
                <w:lang w:val="en-US" w:eastAsia="zh-CN"/>
              </w:rPr>
              <w:t>3.41</w:t>
            </w:r>
          </w:p>
        </w:tc>
        <w:tc>
          <w:tcPr>
            <w:tcW w:w="814" w:type="dxa"/>
            <w:noWrap w:val="0"/>
            <w:tcMar>
              <w:top w:w="0" w:type="dxa"/>
              <w:left w:w="0" w:type="dxa"/>
              <w:bottom w:w="0" w:type="dxa"/>
              <w:right w:w="0" w:type="dxa"/>
            </w:tcMar>
            <w:vAlign w:val="center"/>
          </w:tcPr>
          <w:p w14:paraId="182D22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71.4</w:t>
            </w:r>
            <w:r>
              <w:rPr>
                <w:rFonts w:hint="eastAsia" w:cs="Times New Roman"/>
                <w:b w:val="0"/>
                <w:bCs/>
                <w:color w:val="auto"/>
                <w:sz w:val="21"/>
                <w:szCs w:val="21"/>
                <w:lang w:val="en-US" w:eastAsia="zh-CN"/>
              </w:rPr>
              <w:t>6</w:t>
            </w:r>
          </w:p>
        </w:tc>
        <w:tc>
          <w:tcPr>
            <w:tcW w:w="1333" w:type="dxa"/>
            <w:noWrap w:val="0"/>
            <w:tcMar>
              <w:top w:w="0" w:type="dxa"/>
              <w:left w:w="0" w:type="dxa"/>
              <w:bottom w:w="0" w:type="dxa"/>
              <w:right w:w="0" w:type="dxa"/>
            </w:tcMar>
            <w:vAlign w:val="center"/>
          </w:tcPr>
          <w:p w14:paraId="4925A9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8:00~24：00</w:t>
            </w:r>
          </w:p>
        </w:tc>
        <w:tc>
          <w:tcPr>
            <w:tcW w:w="773" w:type="dxa"/>
            <w:noWrap w:val="0"/>
            <w:tcMar>
              <w:top w:w="0" w:type="dxa"/>
              <w:left w:w="0" w:type="dxa"/>
              <w:bottom w:w="0" w:type="dxa"/>
              <w:right w:w="0" w:type="dxa"/>
            </w:tcMar>
            <w:vAlign w:val="center"/>
          </w:tcPr>
          <w:p w14:paraId="3BBDD4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774" w:type="dxa"/>
            <w:noWrap w:val="0"/>
            <w:tcMar>
              <w:top w:w="0" w:type="dxa"/>
              <w:left w:w="0" w:type="dxa"/>
              <w:bottom w:w="0" w:type="dxa"/>
              <w:right w:w="0" w:type="dxa"/>
            </w:tcMar>
            <w:vAlign w:val="center"/>
          </w:tcPr>
          <w:p w14:paraId="272C7B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45.4</w:t>
            </w:r>
            <w:r>
              <w:rPr>
                <w:rFonts w:hint="eastAsia" w:cs="Times New Roman"/>
                <w:b w:val="0"/>
                <w:bCs/>
                <w:color w:val="auto"/>
                <w:sz w:val="21"/>
                <w:szCs w:val="21"/>
                <w:lang w:val="en-US" w:eastAsia="zh-CN"/>
              </w:rPr>
              <w:t>6</w:t>
            </w:r>
          </w:p>
        </w:tc>
        <w:tc>
          <w:tcPr>
            <w:tcW w:w="606" w:type="dxa"/>
            <w:noWrap w:val="0"/>
            <w:tcMar>
              <w:top w:w="0" w:type="dxa"/>
              <w:left w:w="0" w:type="dxa"/>
              <w:bottom w:w="0" w:type="dxa"/>
              <w:right w:w="0" w:type="dxa"/>
            </w:tcMar>
            <w:vAlign w:val="center"/>
          </w:tcPr>
          <w:p w14:paraId="6C7187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r>
      <w:bookmarkEnd w:id="36"/>
    </w:tbl>
    <w:p w14:paraId="2A343EDF">
      <w:pPr>
        <w:rPr>
          <w:rFonts w:hint="eastAsia"/>
          <w:color w:val="auto"/>
          <w:highlight w:val="none"/>
          <w:lang w:eastAsia="zh-CN"/>
        </w:rPr>
        <w:sectPr>
          <w:pgSz w:w="16838" w:h="11906" w:orient="landscape"/>
          <w:pgMar w:top="1417" w:right="1701" w:bottom="1417" w:left="1701" w:header="851"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806"/>
      </w:tblGrid>
      <w:tr w14:paraId="17AE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1" w:hRule="atLeast"/>
        </w:trPr>
        <w:tc>
          <w:tcPr>
            <w:tcW w:w="360" w:type="dxa"/>
            <w:noWrap w:val="0"/>
            <w:vAlign w:val="center"/>
          </w:tcPr>
          <w:p w14:paraId="7ADD1D1C">
            <w:pPr>
              <w:keepNext w:val="0"/>
              <w:keepLines w:val="0"/>
              <w:pageBreakBefore w:val="0"/>
              <w:widowControl w:val="0"/>
              <w:kinsoku/>
              <w:wordWrap/>
              <w:overflowPunct/>
              <w:topLinePunct w:val="0"/>
              <w:autoSpaceDE/>
              <w:autoSpaceDN/>
              <w:bidi w:val="0"/>
              <w:adjustRightInd w:val="0"/>
              <w:snapToGrid/>
              <w:spacing w:line="240" w:lineRule="auto"/>
              <w:ind w:left="0" w:leftChars="0" w:right="0" w:firstLine="0" w:firstLineChars="0"/>
              <w:jc w:val="left"/>
              <w:textAlignment w:val="auto"/>
              <w:rPr>
                <w:rFonts w:hint="default" w:ascii="Times New Roman" w:hAnsi="Times New Roman" w:eastAsia="宋体" w:cs="Times New Roman"/>
                <w:bCs/>
                <w:caps w:val="0"/>
                <w:color w:val="auto"/>
                <w:sz w:val="24"/>
                <w:szCs w:val="24"/>
              </w:rPr>
            </w:pPr>
            <w:r>
              <w:rPr>
                <w:rFonts w:hint="default" w:ascii="Times New Roman" w:hAnsi="Times New Roman" w:eastAsia="宋体" w:cs="Times New Roman"/>
                <w:bCs/>
                <w:caps w:val="0"/>
                <w:color w:val="auto"/>
                <w:sz w:val="24"/>
                <w:szCs w:val="24"/>
              </w:rPr>
              <w:t>运营</w:t>
            </w:r>
          </w:p>
          <w:p w14:paraId="78F300F4">
            <w:pPr>
              <w:keepNext w:val="0"/>
              <w:keepLines w:val="0"/>
              <w:pageBreakBefore w:val="0"/>
              <w:widowControl w:val="0"/>
              <w:kinsoku/>
              <w:wordWrap/>
              <w:overflowPunct/>
              <w:topLinePunct w:val="0"/>
              <w:autoSpaceDE/>
              <w:autoSpaceDN/>
              <w:bidi w:val="0"/>
              <w:adjustRightInd w:val="0"/>
              <w:snapToGrid/>
              <w:spacing w:line="240" w:lineRule="auto"/>
              <w:ind w:left="0" w:leftChars="0" w:right="0" w:firstLine="0" w:firstLineChars="0"/>
              <w:jc w:val="left"/>
              <w:textAlignment w:val="auto"/>
              <w:rPr>
                <w:rFonts w:hint="default" w:ascii="Times New Roman" w:hAnsi="Times New Roman" w:eastAsia="宋体" w:cs="Times New Roman"/>
                <w:bCs/>
                <w:caps w:val="0"/>
                <w:color w:val="auto"/>
                <w:sz w:val="24"/>
                <w:szCs w:val="24"/>
              </w:rPr>
            </w:pPr>
            <w:r>
              <w:rPr>
                <w:rFonts w:hint="default" w:ascii="Times New Roman" w:hAnsi="Times New Roman" w:eastAsia="宋体" w:cs="Times New Roman"/>
                <w:bCs/>
                <w:caps w:val="0"/>
                <w:color w:val="auto"/>
                <w:sz w:val="24"/>
                <w:szCs w:val="24"/>
              </w:rPr>
              <w:t>期环</w:t>
            </w:r>
          </w:p>
          <w:p w14:paraId="1322D11F">
            <w:pPr>
              <w:keepNext w:val="0"/>
              <w:keepLines w:val="0"/>
              <w:pageBreakBefore w:val="0"/>
              <w:widowControl w:val="0"/>
              <w:kinsoku/>
              <w:wordWrap/>
              <w:overflowPunct/>
              <w:topLinePunct w:val="0"/>
              <w:autoSpaceDE/>
              <w:autoSpaceDN/>
              <w:bidi w:val="0"/>
              <w:adjustRightInd w:val="0"/>
              <w:snapToGrid/>
              <w:spacing w:line="240" w:lineRule="auto"/>
              <w:ind w:left="0" w:leftChars="0" w:right="0" w:firstLine="0" w:firstLineChars="0"/>
              <w:jc w:val="left"/>
              <w:textAlignment w:val="auto"/>
              <w:rPr>
                <w:rFonts w:hint="default" w:ascii="Times New Roman" w:hAnsi="Times New Roman" w:eastAsia="宋体" w:cs="Times New Roman"/>
                <w:bCs/>
                <w:caps w:val="0"/>
                <w:color w:val="auto"/>
                <w:sz w:val="24"/>
                <w:szCs w:val="24"/>
              </w:rPr>
            </w:pPr>
            <w:r>
              <w:rPr>
                <w:rFonts w:hint="default" w:ascii="Times New Roman" w:hAnsi="Times New Roman" w:eastAsia="宋体" w:cs="Times New Roman"/>
                <w:bCs/>
                <w:caps w:val="0"/>
                <w:color w:val="auto"/>
                <w:sz w:val="24"/>
                <w:szCs w:val="24"/>
              </w:rPr>
              <w:t>境影</w:t>
            </w:r>
          </w:p>
          <w:p w14:paraId="3F2B507B">
            <w:pPr>
              <w:keepNext w:val="0"/>
              <w:keepLines w:val="0"/>
              <w:pageBreakBefore w:val="0"/>
              <w:widowControl w:val="0"/>
              <w:kinsoku/>
              <w:wordWrap/>
              <w:overflowPunct/>
              <w:topLinePunct w:val="0"/>
              <w:autoSpaceDE/>
              <w:autoSpaceDN/>
              <w:bidi w:val="0"/>
              <w:adjustRightInd w:val="0"/>
              <w:snapToGrid/>
              <w:spacing w:line="240" w:lineRule="auto"/>
              <w:ind w:left="0" w:leftChars="0" w:right="0" w:firstLine="0" w:firstLineChars="0"/>
              <w:jc w:val="left"/>
              <w:textAlignment w:val="auto"/>
              <w:rPr>
                <w:rFonts w:hint="default" w:ascii="Times New Roman" w:hAnsi="Times New Roman" w:eastAsia="宋体" w:cs="Times New Roman"/>
                <w:bCs/>
                <w:caps w:val="0"/>
                <w:color w:val="auto"/>
                <w:sz w:val="24"/>
                <w:szCs w:val="24"/>
              </w:rPr>
            </w:pPr>
            <w:r>
              <w:rPr>
                <w:rFonts w:hint="default" w:ascii="Times New Roman" w:hAnsi="Times New Roman" w:eastAsia="宋体" w:cs="Times New Roman"/>
                <w:bCs/>
                <w:caps w:val="0"/>
                <w:color w:val="auto"/>
                <w:sz w:val="24"/>
                <w:szCs w:val="24"/>
              </w:rPr>
              <w:t>响和</w:t>
            </w:r>
          </w:p>
          <w:p w14:paraId="5869831C">
            <w:pPr>
              <w:keepNext w:val="0"/>
              <w:keepLines w:val="0"/>
              <w:pageBreakBefore w:val="0"/>
              <w:widowControl w:val="0"/>
              <w:kinsoku/>
              <w:wordWrap/>
              <w:overflowPunct/>
              <w:topLinePunct w:val="0"/>
              <w:autoSpaceDE/>
              <w:autoSpaceDN/>
              <w:bidi w:val="0"/>
              <w:adjustRightInd w:val="0"/>
              <w:snapToGrid/>
              <w:spacing w:line="240" w:lineRule="auto"/>
              <w:ind w:left="0" w:leftChars="0" w:right="0" w:firstLine="0" w:firstLineChars="0"/>
              <w:jc w:val="left"/>
              <w:textAlignment w:val="auto"/>
              <w:rPr>
                <w:rFonts w:hint="default" w:ascii="Times New Roman" w:hAnsi="Times New Roman" w:eastAsia="宋体" w:cs="Times New Roman"/>
                <w:bCs/>
                <w:caps w:val="0"/>
                <w:color w:val="auto"/>
                <w:sz w:val="24"/>
                <w:szCs w:val="24"/>
              </w:rPr>
            </w:pPr>
            <w:r>
              <w:rPr>
                <w:rFonts w:hint="default" w:ascii="Times New Roman" w:hAnsi="Times New Roman" w:eastAsia="宋体" w:cs="Times New Roman"/>
                <w:bCs/>
                <w:caps w:val="0"/>
                <w:color w:val="auto"/>
                <w:sz w:val="24"/>
                <w:szCs w:val="24"/>
              </w:rPr>
              <w:t>保护</w:t>
            </w:r>
          </w:p>
          <w:p w14:paraId="77F3FA14">
            <w:pPr>
              <w:keepNext w:val="0"/>
              <w:keepLines w:val="0"/>
              <w:pageBreakBefore w:val="0"/>
              <w:widowControl w:val="0"/>
              <w:kinsoku/>
              <w:wordWrap/>
              <w:overflowPunct/>
              <w:topLinePunct w:val="0"/>
              <w:autoSpaceDE/>
              <w:autoSpaceDN/>
              <w:bidi w:val="0"/>
              <w:snapToGrid/>
              <w:spacing w:line="240" w:lineRule="auto"/>
              <w:ind w:left="0" w:leftChars="0" w:right="0" w:firstLine="0" w:firstLineChars="0"/>
              <w:jc w:val="left"/>
              <w:textAlignment w:val="auto"/>
              <w:rPr>
                <w:rFonts w:hint="default" w:ascii="Times New Roman" w:hAnsi="Times New Roman" w:eastAsia="宋体" w:cs="Times New Roman"/>
                <w:color w:val="auto"/>
                <w:vertAlign w:val="baseline"/>
              </w:rPr>
            </w:pPr>
            <w:r>
              <w:rPr>
                <w:rFonts w:hint="default" w:ascii="Times New Roman" w:hAnsi="Times New Roman" w:eastAsia="宋体" w:cs="Times New Roman"/>
                <w:bCs/>
                <w:caps w:val="0"/>
                <w:color w:val="auto"/>
                <w:sz w:val="24"/>
                <w:szCs w:val="24"/>
              </w:rPr>
              <w:t>措施</w:t>
            </w:r>
          </w:p>
        </w:tc>
        <w:tc>
          <w:tcPr>
            <w:tcW w:w="8701" w:type="dxa"/>
            <w:noWrap w:val="0"/>
            <w:vAlign w:val="top"/>
          </w:tcPr>
          <w:p w14:paraId="30C69214">
            <w:pPr>
              <w:keepNext w:val="0"/>
              <w:keepLines w:val="0"/>
              <w:pageBreakBefore w:val="0"/>
              <w:kinsoku/>
              <w:wordWrap/>
              <w:overflowPunct/>
              <w:topLinePunct w:val="0"/>
              <w:autoSpaceDE/>
              <w:autoSpaceDN/>
              <w:bidi w:val="0"/>
              <w:adjustRightInd/>
              <w:snapToGrid/>
              <w:spacing w:line="360" w:lineRule="auto"/>
              <w:ind w:leftChars="0"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（2）防治措施</w:t>
            </w:r>
          </w:p>
          <w:p w14:paraId="73CBDEBA">
            <w:pPr>
              <w:keepNext w:val="0"/>
              <w:keepLines w:val="0"/>
              <w:pageBreakBefore w:val="0"/>
              <w:kinsoku/>
              <w:wordWrap/>
              <w:overflowPunct/>
              <w:topLinePunct w:val="0"/>
              <w:autoSpaceDE/>
              <w:autoSpaceDN/>
              <w:bidi w:val="0"/>
              <w:adjustRightInd/>
              <w:snapToGrid/>
              <w:spacing w:line="360" w:lineRule="auto"/>
              <w:ind w:leftChars="0"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环评要求：</w:t>
            </w:r>
          </w:p>
          <w:p w14:paraId="4732F06E">
            <w:pPr>
              <w:keepNext w:val="0"/>
              <w:keepLines w:val="0"/>
              <w:pageBreakBefore w:val="0"/>
              <w:widowControl/>
              <w:kinsoku/>
              <w:wordWrap/>
              <w:overflowPunct/>
              <w:topLinePunct w:val="0"/>
              <w:autoSpaceDE/>
              <w:autoSpaceDN/>
              <w:bidi w:val="0"/>
              <w:adjustRightInd/>
              <w:snapToGrid/>
              <w:spacing w:line="360" w:lineRule="auto"/>
              <w:ind w:leftChars="0" w:firstLine="480" w:firstLineChars="200"/>
              <w:jc w:val="both"/>
              <w:textAlignment w:val="baseline"/>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1）选用符合国家噪声标准的设备，对企业所采用的产噪设备，如</w:t>
            </w:r>
            <w:r>
              <w:rPr>
                <w:rFonts w:hint="eastAsia" w:cs="Times New Roman"/>
                <w:color w:val="auto"/>
                <w:sz w:val="24"/>
                <w:szCs w:val="24"/>
                <w:lang w:val="en-US" w:eastAsia="zh-CN"/>
              </w:rPr>
              <w:t>搅拌机、双螺旋洗砂机、轮式洗砂机、布料预洗装置</w:t>
            </w:r>
            <w:r>
              <w:rPr>
                <w:rFonts w:hint="default" w:ascii="Times New Roman" w:hAnsi="Times New Roman" w:eastAsia="宋体" w:cs="Times New Roman"/>
                <w:color w:val="auto"/>
                <w:sz w:val="24"/>
                <w:szCs w:val="24"/>
              </w:rPr>
              <w:t>等必须加强管理，使其处于良好运行状态。</w:t>
            </w:r>
          </w:p>
          <w:p w14:paraId="133CC9BA">
            <w:pPr>
              <w:keepNext w:val="0"/>
              <w:keepLines w:val="0"/>
              <w:pageBreakBefore w:val="0"/>
              <w:tabs>
                <w:tab w:val="left" w:pos="2768"/>
              </w:tabs>
              <w:kinsoku/>
              <w:wordWrap/>
              <w:overflowPunct/>
              <w:topLinePunct w:val="0"/>
              <w:autoSpaceDE/>
              <w:autoSpaceDN/>
              <w:bidi w:val="0"/>
              <w:adjustRightInd/>
              <w:snapToGrid/>
              <w:spacing w:line="360" w:lineRule="auto"/>
              <w:ind w:leftChars="0"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机械设备产生的噪声不仅能以空气为媒介向外传播，还有直接激发固体构件振动以弹性波的形式在基础、地板、墙壁、管道中传播，并在传播过程中向外辐射噪声，为了防止振动产生的噪声污染，采取相应的减振措施进行控制。</w:t>
            </w:r>
            <w:r>
              <w:rPr>
                <w:rFonts w:hint="eastAsia" w:ascii="Times New Roman" w:hAnsi="Times New Roman" w:eastAsia="宋体" w:cs="Times New Roman"/>
                <w:color w:val="auto"/>
                <w:sz w:val="24"/>
                <w:szCs w:val="24"/>
                <w:lang w:val="en-US" w:eastAsia="zh-CN"/>
              </w:rPr>
              <w:t>破碎机、振动筛</w:t>
            </w:r>
            <w:r>
              <w:rPr>
                <w:rFonts w:hint="default" w:ascii="Times New Roman" w:hAnsi="Times New Roman" w:eastAsia="宋体" w:cs="Times New Roman"/>
                <w:color w:val="auto"/>
                <w:sz w:val="24"/>
                <w:szCs w:val="24"/>
              </w:rPr>
              <w:t>等设置基础减振。</w:t>
            </w:r>
          </w:p>
          <w:p w14:paraId="0BC8FA81">
            <w:pPr>
              <w:keepNext w:val="0"/>
              <w:keepLines w:val="0"/>
              <w:pageBreakBefore w:val="0"/>
              <w:tabs>
                <w:tab w:val="left" w:pos="2768"/>
              </w:tabs>
              <w:kinsoku/>
              <w:wordWrap/>
              <w:overflowPunct/>
              <w:topLinePunct w:val="0"/>
              <w:autoSpaceDE/>
              <w:autoSpaceDN/>
              <w:bidi w:val="0"/>
              <w:adjustRightInd/>
              <w:snapToGrid/>
              <w:spacing w:line="360" w:lineRule="auto"/>
              <w:ind w:leftChars="0" w:firstLine="480" w:firstLineChars="200"/>
              <w:jc w:val="both"/>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rPr>
              <w:t>）建立设备定期维护、保养的管理制度，以防止设备故障形成的非生产噪声；加强职工环保意识教育，提倡文明生产，防止人为噪声。</w:t>
            </w:r>
          </w:p>
          <w:p w14:paraId="3558CADF">
            <w:pPr>
              <w:keepNext w:val="0"/>
              <w:keepLines w:val="0"/>
              <w:pageBreakBefore w:val="0"/>
              <w:tabs>
                <w:tab w:val="left" w:pos="2768"/>
              </w:tabs>
              <w:kinsoku/>
              <w:wordWrap/>
              <w:overflowPunct/>
              <w:topLinePunct w:val="0"/>
              <w:autoSpaceDE/>
              <w:autoSpaceDN/>
              <w:bidi w:val="0"/>
              <w:adjustRightInd/>
              <w:snapToGrid/>
              <w:spacing w:line="360" w:lineRule="auto"/>
              <w:ind w:firstLine="480" w:firstLineChars="200"/>
              <w:jc w:val="both"/>
              <w:rPr>
                <w:color w:val="auto"/>
                <w:sz w:val="24"/>
                <w:highlight w:val="none"/>
              </w:rPr>
            </w:pPr>
            <w:r>
              <w:rPr>
                <w:rFonts w:hint="eastAsia"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w:t>
            </w:r>
            <w:r>
              <w:rPr>
                <w:color w:val="auto"/>
                <w:sz w:val="24"/>
                <w:highlight w:val="none"/>
              </w:rPr>
              <w:t>运输车辆</w:t>
            </w:r>
            <w:r>
              <w:rPr>
                <w:rFonts w:hint="eastAsia"/>
                <w:color w:val="auto"/>
                <w:sz w:val="24"/>
                <w:highlight w:val="none"/>
                <w:lang w:val="en-US" w:eastAsia="zh-CN"/>
              </w:rPr>
              <w:t>厂区内</w:t>
            </w:r>
            <w:r>
              <w:rPr>
                <w:rFonts w:hint="eastAsia"/>
                <w:color w:val="auto"/>
                <w:sz w:val="24"/>
                <w:highlight w:val="none"/>
              </w:rPr>
              <w:t>减速慢行，禁止鸣笛；车辆定期检修，保证车况良好；加强司机培训教育，增强环保意识。</w:t>
            </w:r>
          </w:p>
          <w:p w14:paraId="0BDBD93E">
            <w:pPr>
              <w:keepNext w:val="0"/>
              <w:keepLines w:val="0"/>
              <w:pageBreakBefore w:val="0"/>
              <w:kinsoku/>
              <w:wordWrap/>
              <w:overflowPunct/>
              <w:topLinePunct w:val="0"/>
              <w:autoSpaceDE/>
              <w:autoSpaceDN/>
              <w:bidi w:val="0"/>
              <w:adjustRightInd/>
              <w:snapToGrid/>
              <w:spacing w:line="360" w:lineRule="auto"/>
              <w:ind w:firstLine="480" w:firstLineChars="200"/>
              <w:jc w:val="both"/>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5）设置绿化隔离带，在厂区与村庄之间种植乔木、灌木绿化带，阻隔扬尘、噪声传播，减轻对村庄敏感点影响。</w:t>
            </w:r>
          </w:p>
          <w:p w14:paraId="6C3D0144">
            <w:pPr>
              <w:keepNext w:val="0"/>
              <w:keepLines w:val="0"/>
              <w:pageBreakBefore w:val="0"/>
              <w:kinsoku/>
              <w:wordWrap/>
              <w:overflowPunct/>
              <w:topLinePunct w:val="0"/>
              <w:autoSpaceDE/>
              <w:autoSpaceDN/>
              <w:bidi w:val="0"/>
              <w:adjustRightInd/>
              <w:snapToGrid/>
              <w:spacing w:line="360" w:lineRule="auto"/>
              <w:ind w:firstLine="480" w:firstLineChars="200"/>
              <w:jc w:val="both"/>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6）优化运输路线，厂区出入口、车辆行驶通道避开村庄方向，物料运输、污泥转运尽量远离居民区，减少交通噪声与扬尘影响。</w:t>
            </w:r>
          </w:p>
          <w:p w14:paraId="774E2B6A">
            <w:pPr>
              <w:keepNext w:val="0"/>
              <w:keepLines w:val="0"/>
              <w:pageBreakBefore w:val="0"/>
              <w:kinsoku/>
              <w:wordWrap/>
              <w:overflowPunct/>
              <w:topLinePunct w:val="0"/>
              <w:autoSpaceDE/>
              <w:autoSpaceDN/>
              <w:bidi w:val="0"/>
              <w:adjustRightInd/>
              <w:snapToGrid/>
              <w:spacing w:line="360" w:lineRule="auto"/>
              <w:ind w:firstLine="480" w:firstLineChars="200"/>
              <w:jc w:val="both"/>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7）高噪声设备（压滤机、风机、泵类）布置于厂区内部远离村庄位置，配套隔声、减震措施，优先选用低噪设备。</w:t>
            </w:r>
          </w:p>
          <w:p w14:paraId="75827E1F">
            <w:pPr>
              <w:keepNext w:val="0"/>
              <w:keepLines w:val="0"/>
              <w:pageBreakBefore w:val="0"/>
              <w:kinsoku/>
              <w:wordWrap/>
              <w:overflowPunct/>
              <w:topLinePunct w:val="0"/>
              <w:autoSpaceDE/>
              <w:autoSpaceDN/>
              <w:bidi w:val="0"/>
              <w:adjustRightInd/>
              <w:snapToGrid/>
              <w:spacing w:line="360" w:lineRule="auto"/>
              <w:ind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（3）噪声预测</w:t>
            </w:r>
          </w:p>
          <w:p w14:paraId="7A14CDA9">
            <w:pPr>
              <w:keepNext w:val="0"/>
              <w:keepLines w:val="0"/>
              <w:pageBreakBefore w:val="0"/>
              <w:kinsoku/>
              <w:wordWrap/>
              <w:overflowPunct/>
              <w:topLinePunct w:val="0"/>
              <w:autoSpaceDE/>
              <w:autoSpaceDN/>
              <w:bidi w:val="0"/>
              <w:adjustRightInd/>
              <w:snapToGrid/>
              <w:spacing w:line="360" w:lineRule="auto"/>
              <w:ind w:firstLine="480" w:firstLineChars="200"/>
              <w:jc w:val="both"/>
              <w:rPr>
                <w:color w:val="auto"/>
                <w:sz w:val="24"/>
                <w:highlight w:val="none"/>
              </w:rPr>
            </w:pPr>
            <w:r>
              <w:rPr>
                <w:color w:val="auto"/>
                <w:sz w:val="24"/>
                <w:highlight w:val="none"/>
              </w:rPr>
              <w:t>1）预测模式选择</w:t>
            </w:r>
          </w:p>
          <w:p w14:paraId="1C2415DE">
            <w:pPr>
              <w:keepNext w:val="0"/>
              <w:keepLines w:val="0"/>
              <w:pageBreakBefore w:val="0"/>
              <w:kinsoku/>
              <w:wordWrap/>
              <w:overflowPunct/>
              <w:topLinePunct w:val="0"/>
              <w:autoSpaceDE/>
              <w:autoSpaceDN/>
              <w:bidi w:val="0"/>
              <w:adjustRightInd/>
              <w:snapToGrid/>
              <w:spacing w:line="360" w:lineRule="auto"/>
              <w:ind w:firstLine="480" w:firstLineChars="200"/>
              <w:jc w:val="both"/>
              <w:rPr>
                <w:color w:val="auto"/>
                <w:sz w:val="24"/>
                <w:highlight w:val="none"/>
              </w:rPr>
            </w:pPr>
            <w:r>
              <w:rPr>
                <w:rFonts w:hint="eastAsia"/>
                <w:color w:val="auto"/>
                <w:sz w:val="24"/>
                <w:highlight w:val="none"/>
              </w:rPr>
              <w:t>根据项目建设内容及《环境影响评价技术导则—声环境》（HJ2.4-2021）的要求，项目环评</w:t>
            </w:r>
            <w:r>
              <w:rPr>
                <w:rFonts w:hint="eastAsia"/>
                <w:color w:val="auto"/>
                <w:sz w:val="24"/>
                <w:highlight w:val="none"/>
                <w:lang w:eastAsia="zh-CN"/>
              </w:rPr>
              <w:t>采用</w:t>
            </w:r>
            <w:r>
              <w:rPr>
                <w:rFonts w:hint="eastAsia"/>
                <w:color w:val="auto"/>
                <w:sz w:val="24"/>
                <w:highlight w:val="none"/>
              </w:rPr>
              <w:t>环保小智环境噪声预测评价模拟软件系统。该软件计算工业噪声时采用的模型为《环境影响评价技术导则 声环境》(HJ2.4.2021) 附录 B（规范性附录）中“B.1 工业噪声预测计算模型”。</w:t>
            </w:r>
            <w:r>
              <w:rPr>
                <w:color w:val="auto"/>
                <w:sz w:val="24"/>
                <w:highlight w:val="none"/>
              </w:rPr>
              <w:t>根据《环境影响评价技术导则 声环境》(HJ</w:t>
            </w:r>
            <w:r>
              <w:rPr>
                <w:rFonts w:hint="eastAsia"/>
                <w:color w:val="auto"/>
                <w:sz w:val="24"/>
                <w:highlight w:val="none"/>
                <w:lang w:val="en-US" w:eastAsia="zh-CN"/>
              </w:rPr>
              <w:t xml:space="preserve"> </w:t>
            </w:r>
            <w:r>
              <w:rPr>
                <w:color w:val="auto"/>
                <w:sz w:val="24"/>
                <w:highlight w:val="none"/>
              </w:rPr>
              <w:t>2.4-20</w:t>
            </w:r>
            <w:r>
              <w:rPr>
                <w:rFonts w:hint="eastAsia"/>
                <w:color w:val="auto"/>
                <w:sz w:val="24"/>
                <w:highlight w:val="none"/>
                <w:lang w:val="en-US" w:eastAsia="zh-CN"/>
              </w:rPr>
              <w:t>21</w:t>
            </w:r>
            <w:r>
              <w:rPr>
                <w:color w:val="auto"/>
                <w:sz w:val="24"/>
                <w:highlight w:val="none"/>
              </w:rPr>
              <w:t>)推荐的公式：</w:t>
            </w:r>
          </w:p>
          <w:p w14:paraId="6AFFAE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i/>
                <w:iCs/>
                <w:color w:val="auto"/>
                <w:kern w:val="0"/>
                <w:sz w:val="24"/>
                <w:szCs w:val="30"/>
                <w:highlight w:val="none"/>
                <w:lang w:val="en-US" w:eastAsia="zh-CN" w:bidi="ar"/>
              </w:rPr>
            </w:pPr>
            <w:r>
              <w:rPr>
                <w:rFonts w:hint="eastAsia" w:ascii="Times New Roman" w:hAnsi="Times New Roman"/>
                <w:color w:val="auto"/>
                <w:kern w:val="0"/>
                <w:sz w:val="24"/>
                <w:highlight w:val="none"/>
              </w:rPr>
              <w:t>在室内近似为扩散声场时，按公式计算出靠近室外围护结构处的声压级：</w:t>
            </w:r>
          </w:p>
          <w:p w14:paraId="11473C8E">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auto"/>
              <w:rPr>
                <w:rFonts w:hint="eastAsia" w:ascii="Times New Roman" w:hAnsi="Times New Roman"/>
                <w:color w:val="auto"/>
                <w:kern w:val="0"/>
                <w:sz w:val="24"/>
                <w:szCs w:val="24"/>
                <w:highlight w:val="none"/>
              </w:rPr>
            </w:pPr>
            <w:r>
              <w:rPr>
                <w:rFonts w:hint="default" w:ascii="Times New Roman" w:hAnsi="Times New Roman" w:eastAsia="宋体" w:cs="Times New Roman"/>
                <w:i/>
                <w:iCs/>
                <w:color w:val="auto"/>
                <w:kern w:val="0"/>
                <w:sz w:val="24"/>
                <w:szCs w:val="24"/>
                <w:highlight w:val="none"/>
                <w:lang w:val="en-US" w:eastAsia="zh-CN" w:bidi="ar"/>
              </w:rPr>
              <w:t>L</w:t>
            </w:r>
            <w:r>
              <w:rPr>
                <w:rFonts w:hint="default" w:ascii="Times New Roman" w:hAnsi="Times New Roman" w:eastAsia="宋体" w:cs="Times New Roman"/>
                <w:color w:val="auto"/>
                <w:kern w:val="0"/>
                <w:sz w:val="24"/>
                <w:szCs w:val="24"/>
                <w:highlight w:val="none"/>
                <w:vertAlign w:val="subscript"/>
                <w:lang w:val="en-US" w:eastAsia="zh-CN" w:bidi="ar"/>
              </w:rPr>
              <w:t>p2</w:t>
            </w:r>
            <w:r>
              <w:rPr>
                <w:rFonts w:hint="default"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i/>
                <w:iCs/>
                <w:color w:val="auto"/>
                <w:kern w:val="0"/>
                <w:sz w:val="24"/>
                <w:szCs w:val="24"/>
                <w:highlight w:val="none"/>
                <w:lang w:val="en-US" w:eastAsia="zh-CN" w:bidi="ar"/>
              </w:rPr>
              <w:t>T</w:t>
            </w:r>
            <w:r>
              <w:rPr>
                <w:rFonts w:hint="default" w:ascii="Times New Roman" w:hAnsi="Times New Roman" w:eastAsia="宋体" w:cs="Times New Roman"/>
                <w:color w:val="auto"/>
                <w:kern w:val="0"/>
                <w:sz w:val="24"/>
                <w:szCs w:val="24"/>
                <w:highlight w:val="none"/>
                <w:lang w:val="en-US" w:eastAsia="zh-CN" w:bidi="ar"/>
              </w:rPr>
              <w:t xml:space="preserve">) </w:t>
            </w:r>
            <w:r>
              <w:rPr>
                <w:rFonts w:ascii="Symbol" w:hAnsi="Symbol" w:eastAsia="宋体" w:cs="Symbol"/>
                <w:color w:val="auto"/>
                <w:kern w:val="0"/>
                <w:sz w:val="24"/>
                <w:szCs w:val="24"/>
                <w:highlight w:val="none"/>
                <w:lang w:val="en-US" w:eastAsia="zh-CN" w:bidi="ar"/>
              </w:rPr>
              <w:t xml:space="preserve"> </w:t>
            </w:r>
            <w:r>
              <w:rPr>
                <w:rFonts w:hint="default" w:ascii="Times New Roman" w:hAnsi="Times New Roman" w:eastAsia="宋体" w:cs="Times New Roman"/>
                <w:i/>
                <w:iCs/>
                <w:color w:val="auto"/>
                <w:kern w:val="0"/>
                <w:sz w:val="24"/>
                <w:szCs w:val="24"/>
                <w:highlight w:val="none"/>
                <w:lang w:val="en-US" w:eastAsia="zh-CN" w:bidi="ar"/>
              </w:rPr>
              <w:t>L</w:t>
            </w:r>
            <w:r>
              <w:rPr>
                <w:rFonts w:hint="default" w:ascii="Times New Roman" w:hAnsi="Times New Roman" w:eastAsia="宋体" w:cs="Times New Roman"/>
                <w:color w:val="auto"/>
                <w:kern w:val="0"/>
                <w:sz w:val="24"/>
                <w:szCs w:val="24"/>
                <w:highlight w:val="none"/>
                <w:vertAlign w:val="subscript"/>
                <w:lang w:val="en-US" w:eastAsia="zh-CN" w:bidi="ar"/>
              </w:rPr>
              <w:t>p1</w:t>
            </w:r>
            <w:r>
              <w:rPr>
                <w:rFonts w:hint="default"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i/>
                <w:iCs/>
                <w:color w:val="auto"/>
                <w:kern w:val="0"/>
                <w:sz w:val="24"/>
                <w:szCs w:val="24"/>
                <w:highlight w:val="none"/>
                <w:lang w:val="en-US" w:eastAsia="zh-CN" w:bidi="ar"/>
              </w:rPr>
              <w:t>T</w:t>
            </w:r>
            <w:r>
              <w:rPr>
                <w:rFonts w:hint="default" w:ascii="Times New Roman" w:hAnsi="Times New Roman" w:eastAsia="宋体" w:cs="Times New Roman"/>
                <w:color w:val="auto"/>
                <w:kern w:val="0"/>
                <w:sz w:val="24"/>
                <w:szCs w:val="24"/>
                <w:highlight w:val="none"/>
                <w:lang w:val="en-US" w:eastAsia="zh-CN" w:bidi="ar"/>
              </w:rPr>
              <w:t xml:space="preserve">) </w:t>
            </w:r>
            <w:r>
              <w:rPr>
                <w:rFonts w:hint="default" w:ascii="Symbol" w:hAnsi="Symbol" w:eastAsia="宋体" w:cs="Symbol"/>
                <w:color w:val="auto"/>
                <w:kern w:val="0"/>
                <w:sz w:val="24"/>
                <w:szCs w:val="24"/>
                <w:highlight w:val="none"/>
                <w:lang w:val="en-US" w:eastAsia="zh-CN" w:bidi="ar"/>
              </w:rPr>
              <w:t xml:space="preserve"> </w:t>
            </w:r>
            <w:r>
              <w:rPr>
                <w:rFonts w:hint="default"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i/>
                <w:iCs/>
                <w:color w:val="auto"/>
                <w:kern w:val="0"/>
                <w:sz w:val="24"/>
                <w:szCs w:val="24"/>
                <w:highlight w:val="none"/>
                <w:lang w:val="en-US" w:eastAsia="zh-CN" w:bidi="ar"/>
              </w:rPr>
              <w:t>TL</w:t>
            </w:r>
            <w:r>
              <w:rPr>
                <w:rFonts w:hint="default" w:ascii="Symbol" w:hAnsi="Symbol" w:eastAsia="宋体" w:cs="Symbol"/>
                <w:color w:val="auto"/>
                <w:kern w:val="0"/>
                <w:sz w:val="24"/>
                <w:szCs w:val="24"/>
                <w:highlight w:val="none"/>
                <w:lang w:val="en-US" w:eastAsia="zh-CN" w:bidi="ar"/>
              </w:rPr>
              <w:t xml:space="preserve"> </w:t>
            </w:r>
            <w:r>
              <w:rPr>
                <w:rFonts w:hint="default" w:ascii="Times New Roman" w:hAnsi="Times New Roman" w:eastAsia="宋体" w:cs="Times New Roman"/>
                <w:color w:val="auto"/>
                <w:kern w:val="0"/>
                <w:sz w:val="24"/>
                <w:szCs w:val="24"/>
                <w:highlight w:val="none"/>
                <w:lang w:val="en-US" w:eastAsia="zh-CN" w:bidi="ar"/>
              </w:rPr>
              <w:t>6)</w:t>
            </w:r>
          </w:p>
          <w:p w14:paraId="1CF1273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Times New Roman" w:hAnsi="Times New Roman"/>
                <w:color w:val="auto"/>
                <w:kern w:val="0"/>
                <w:sz w:val="24"/>
                <w:highlight w:val="none"/>
              </w:rPr>
            </w:pPr>
            <w:r>
              <w:rPr>
                <w:rFonts w:hint="eastAsia" w:ascii="Times New Roman" w:hAnsi="Times New Roman"/>
                <w:color w:val="auto"/>
                <w:kern w:val="0"/>
                <w:sz w:val="24"/>
                <w:highlight w:val="none"/>
              </w:rPr>
              <w:t>式中：</w:t>
            </w:r>
          </w:p>
          <w:p w14:paraId="0EBC117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Times New Roman" w:hAnsi="Times New Roman"/>
                <w:color w:val="auto"/>
                <w:kern w:val="0"/>
                <w:sz w:val="24"/>
                <w:highlight w:val="none"/>
              </w:rPr>
            </w:pPr>
            <w:r>
              <w:rPr>
                <w:rFonts w:hint="eastAsia" w:ascii="Times New Roman" w:hAnsi="Times New Roman"/>
                <w:color w:val="auto"/>
                <w:kern w:val="0"/>
                <w:sz w:val="24"/>
                <w:highlight w:val="none"/>
              </w:rPr>
              <w:t>L</w:t>
            </w:r>
            <w:r>
              <w:rPr>
                <w:rFonts w:hint="eastAsia" w:ascii="Times New Roman" w:hAnsi="Times New Roman"/>
                <w:color w:val="auto"/>
                <w:kern w:val="0"/>
                <w:sz w:val="24"/>
                <w:highlight w:val="none"/>
                <w:vertAlign w:val="subscript"/>
              </w:rPr>
              <w:t>p</w:t>
            </w:r>
            <w:r>
              <w:rPr>
                <w:rFonts w:hint="eastAsia" w:ascii="Times New Roman" w:hAnsi="Times New Roman"/>
                <w:color w:val="auto"/>
                <w:kern w:val="0"/>
                <w:sz w:val="24"/>
                <w:highlight w:val="none"/>
                <w:vertAlign w:val="subscript"/>
                <w:lang w:val="en-US" w:eastAsia="zh-CN"/>
              </w:rPr>
              <w:t>1</w:t>
            </w:r>
            <w:r>
              <w:rPr>
                <w:rFonts w:hint="eastAsia" w:ascii="Times New Roman" w:hAnsi="Times New Roman"/>
                <w:color w:val="auto"/>
                <w:kern w:val="0"/>
                <w:sz w:val="24"/>
                <w:highlight w:val="none"/>
              </w:rPr>
              <w:t>—靠近</w:t>
            </w:r>
            <w:r>
              <w:rPr>
                <w:rFonts w:hint="eastAsia" w:ascii="Times New Roman" w:hAnsi="Times New Roman"/>
                <w:color w:val="auto"/>
                <w:kern w:val="0"/>
                <w:sz w:val="24"/>
                <w:highlight w:val="none"/>
                <w:lang w:val="en-US" w:eastAsia="zh-CN"/>
              </w:rPr>
              <w:t>开口处（或窗户）室内某倍频带的声压级或A声级，dB；</w:t>
            </w:r>
          </w:p>
          <w:p w14:paraId="3879586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Times New Roman" w:hAnsi="Times New Roman"/>
                <w:color w:val="auto"/>
                <w:kern w:val="0"/>
                <w:sz w:val="24"/>
                <w:highlight w:val="none"/>
              </w:rPr>
            </w:pPr>
            <w:r>
              <w:rPr>
                <w:rFonts w:hint="eastAsia" w:ascii="Times New Roman" w:hAnsi="Times New Roman"/>
                <w:color w:val="auto"/>
                <w:kern w:val="0"/>
                <w:sz w:val="24"/>
                <w:highlight w:val="none"/>
              </w:rPr>
              <w:t>L</w:t>
            </w:r>
            <w:r>
              <w:rPr>
                <w:rFonts w:hint="eastAsia" w:ascii="Times New Roman" w:hAnsi="Times New Roman"/>
                <w:color w:val="auto"/>
                <w:kern w:val="0"/>
                <w:sz w:val="24"/>
                <w:highlight w:val="none"/>
                <w:vertAlign w:val="subscript"/>
              </w:rPr>
              <w:t>p2</w:t>
            </w:r>
            <w:r>
              <w:rPr>
                <w:rFonts w:hint="eastAsia" w:ascii="Times New Roman" w:hAnsi="Times New Roman"/>
                <w:color w:val="auto"/>
                <w:kern w:val="0"/>
                <w:sz w:val="24"/>
                <w:highlight w:val="none"/>
              </w:rPr>
              <w:t>—靠近开口处（或窗户）室外某倍频带的声压级或A声级，dB；</w:t>
            </w:r>
          </w:p>
          <w:p w14:paraId="7132735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ascii="Times New Roman" w:hAnsi="Times New Roman"/>
                <w:color w:val="auto"/>
                <w:kern w:val="0"/>
                <w:sz w:val="24"/>
                <w:highlight w:val="none"/>
              </w:rPr>
            </w:pPr>
            <w:r>
              <w:rPr>
                <w:rFonts w:hint="eastAsia" w:ascii="Times New Roman" w:hAnsi="Times New Roman"/>
                <w:color w:val="auto"/>
                <w:kern w:val="0"/>
                <w:sz w:val="24"/>
                <w:highlight w:val="none"/>
              </w:rPr>
              <w:t xml:space="preserve">TL—隔墙（或窗户）倍频带或A声级的隔声量，dB。 </w:t>
            </w:r>
          </w:p>
          <w:p w14:paraId="67437AF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ascii="Times New Roman" w:hAnsi="Times New Roman"/>
                <w:color w:val="auto"/>
                <w:kern w:val="0"/>
                <w:sz w:val="24"/>
                <w:highlight w:val="none"/>
              </w:rPr>
            </w:pPr>
            <w:r>
              <w:rPr>
                <w:rFonts w:hint="eastAsia" w:ascii="Times New Roman" w:hAnsi="Times New Roman"/>
                <w:color w:val="auto"/>
                <w:kern w:val="0"/>
                <w:sz w:val="24"/>
                <w:highlight w:val="none"/>
              </w:rPr>
              <w:t>然后按室外声源预测方法计算预测点处的 A 声级。</w:t>
            </w:r>
          </w:p>
          <w:p w14:paraId="2CD6D30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Times New Roman" w:hAnsi="Times New Roman" w:eastAsia="宋体"/>
                <w:color w:val="auto"/>
                <w:kern w:val="0"/>
                <w:sz w:val="24"/>
                <w:highlight w:val="none"/>
                <w:lang w:val="en-US" w:eastAsia="zh-CN"/>
              </w:rPr>
            </w:pPr>
            <w:r>
              <w:rPr>
                <w:rFonts w:hint="eastAsia" w:ascii="Times New Roman" w:hAnsi="Times New Roman"/>
                <w:color w:val="auto"/>
                <w:kern w:val="0"/>
                <w:sz w:val="24"/>
                <w:highlight w:val="none"/>
              </w:rPr>
              <w:t>本次环境噪声影响预测主要是针对本项目主要噪声源对厂界的影响进行预测，</w:t>
            </w:r>
            <w:r>
              <w:rPr>
                <w:rFonts w:hint="eastAsia" w:ascii="Times New Roman" w:hAnsi="Times New Roman"/>
                <w:color w:val="auto"/>
                <w:kern w:val="0"/>
                <w:sz w:val="24"/>
                <w:highlight w:val="none"/>
                <w:lang w:val="en-US" w:eastAsia="zh-CN"/>
              </w:rPr>
              <w:t>厂界四周分别设置一个受测点，</w:t>
            </w:r>
            <w:r>
              <w:rPr>
                <w:rFonts w:hint="eastAsia" w:ascii="Times New Roman" w:hAnsi="Times New Roman"/>
                <w:color w:val="auto"/>
                <w:kern w:val="0"/>
                <w:sz w:val="24"/>
                <w:highlight w:val="none"/>
              </w:rPr>
              <w:t>由于预测点距声源的距离比声源本身尺寸大得多，因此声源将当作点声源处理。本工程噪声预测时只考虑几何发散引起的A声级衰减，预测模式如下：</w:t>
            </w:r>
          </w:p>
          <w:p w14:paraId="7DA2A712">
            <w:pPr>
              <w:widowControl/>
              <w:spacing w:line="420" w:lineRule="exact"/>
              <w:ind w:firstLine="480" w:firstLineChars="200"/>
              <w:jc w:val="center"/>
              <w:textAlignment w:val="baseline"/>
              <w:rPr>
                <w:rFonts w:hint="eastAsia" w:ascii="Times New Roman" w:hAnsi="Times New Roman"/>
                <w:color w:val="auto"/>
                <w:kern w:val="0"/>
                <w:sz w:val="24"/>
                <w:highlight w:val="none"/>
              </w:rPr>
            </w:pPr>
            <w:r>
              <w:rPr>
                <w:rFonts w:hint="eastAsia" w:ascii="Times New Roman" w:hAnsi="Times New Roman"/>
                <w:color w:val="auto"/>
                <w:kern w:val="0"/>
                <w:sz w:val="24"/>
                <w:highlight w:val="none"/>
              </w:rPr>
              <w:t>L</w:t>
            </w:r>
            <w:r>
              <w:rPr>
                <w:rFonts w:hint="eastAsia" w:ascii="Times New Roman" w:hAnsi="Times New Roman"/>
                <w:color w:val="auto"/>
                <w:kern w:val="0"/>
                <w:sz w:val="24"/>
                <w:highlight w:val="none"/>
                <w:vertAlign w:val="subscript"/>
              </w:rPr>
              <w:t>p</w:t>
            </w:r>
            <w:r>
              <w:rPr>
                <w:rFonts w:hint="eastAsia" w:ascii="Times New Roman" w:hAnsi="Times New Roman"/>
                <w:color w:val="auto"/>
                <w:kern w:val="0"/>
                <w:sz w:val="24"/>
                <w:highlight w:val="none"/>
              </w:rPr>
              <w:t>(r)＝L</w:t>
            </w:r>
            <w:r>
              <w:rPr>
                <w:rFonts w:hint="eastAsia" w:ascii="Times New Roman" w:hAnsi="Times New Roman"/>
                <w:color w:val="auto"/>
                <w:kern w:val="0"/>
                <w:sz w:val="24"/>
                <w:highlight w:val="none"/>
                <w:vertAlign w:val="subscript"/>
                <w:lang w:val="en-US" w:eastAsia="zh-CN"/>
              </w:rPr>
              <w:t>p</w:t>
            </w:r>
            <w:r>
              <w:rPr>
                <w:rFonts w:hint="eastAsia" w:ascii="Times New Roman" w:hAnsi="Times New Roman"/>
                <w:color w:val="auto"/>
                <w:kern w:val="0"/>
                <w:sz w:val="24"/>
                <w:highlight w:val="none"/>
                <w:vertAlign w:val="baseline"/>
                <w:lang w:val="en-US" w:eastAsia="zh-CN"/>
              </w:rPr>
              <w:t>(r</w:t>
            </w:r>
            <w:r>
              <w:rPr>
                <w:rFonts w:hint="eastAsia" w:ascii="Times New Roman" w:hAnsi="Times New Roman"/>
                <w:color w:val="auto"/>
                <w:kern w:val="0"/>
                <w:sz w:val="24"/>
                <w:highlight w:val="none"/>
                <w:vertAlign w:val="subscript"/>
                <w:lang w:val="en-US" w:eastAsia="zh-CN"/>
              </w:rPr>
              <w:t>0</w:t>
            </w:r>
            <w:r>
              <w:rPr>
                <w:rFonts w:hint="eastAsia" w:ascii="Times New Roman" w:hAnsi="Times New Roman"/>
                <w:color w:val="auto"/>
                <w:kern w:val="0"/>
                <w:sz w:val="24"/>
                <w:highlight w:val="none"/>
                <w:vertAlign w:val="baseline"/>
                <w:lang w:val="en-US" w:eastAsia="zh-CN"/>
              </w:rPr>
              <w:t>)</w:t>
            </w:r>
            <w:r>
              <w:rPr>
                <w:rFonts w:hint="eastAsia" w:ascii="Times New Roman" w:hAnsi="Times New Roman"/>
                <w:color w:val="auto"/>
                <w:kern w:val="0"/>
                <w:sz w:val="24"/>
                <w:highlight w:val="none"/>
              </w:rPr>
              <w:t>－</w:t>
            </w:r>
            <w:r>
              <w:rPr>
                <w:rFonts w:hint="eastAsia" w:ascii="Times New Roman" w:hAnsi="Times New Roman"/>
                <w:color w:val="auto"/>
                <w:kern w:val="0"/>
                <w:sz w:val="24"/>
                <w:highlight w:val="none"/>
                <w:lang w:val="en-US" w:eastAsia="zh-CN"/>
              </w:rPr>
              <w:t>20lg</w:t>
            </w:r>
            <w:r>
              <w:rPr>
                <w:rFonts w:hint="eastAsia" w:ascii="Times New Roman" w:hAnsi="Times New Roman"/>
                <w:color w:val="auto"/>
                <w:kern w:val="0"/>
                <w:sz w:val="24"/>
                <w:highlight w:val="none"/>
              </w:rPr>
              <w:t>(r</w:t>
            </w:r>
            <w:r>
              <w:rPr>
                <w:rFonts w:hint="eastAsia" w:ascii="Times New Roman" w:hAnsi="Times New Roman"/>
                <w:color w:val="auto"/>
                <w:kern w:val="0"/>
                <w:sz w:val="24"/>
                <w:highlight w:val="none"/>
                <w:lang w:val="en-US" w:eastAsia="zh-CN"/>
              </w:rPr>
              <w:t>/</w:t>
            </w:r>
            <w:r>
              <w:rPr>
                <w:rFonts w:hint="eastAsia" w:ascii="Times New Roman" w:hAnsi="Times New Roman"/>
                <w:color w:val="auto"/>
                <w:kern w:val="0"/>
                <w:sz w:val="24"/>
                <w:highlight w:val="none"/>
                <w:vertAlign w:val="baseline"/>
                <w:lang w:val="en-US" w:eastAsia="zh-CN"/>
              </w:rPr>
              <w:t>r</w:t>
            </w:r>
            <w:r>
              <w:rPr>
                <w:rFonts w:hint="eastAsia" w:ascii="Times New Roman" w:hAnsi="Times New Roman"/>
                <w:color w:val="auto"/>
                <w:kern w:val="0"/>
                <w:sz w:val="24"/>
                <w:highlight w:val="none"/>
                <w:vertAlign w:val="subscript"/>
                <w:lang w:val="en-US" w:eastAsia="zh-CN"/>
              </w:rPr>
              <w:t>0</w:t>
            </w:r>
            <w:r>
              <w:rPr>
                <w:rFonts w:hint="eastAsia" w:ascii="Times New Roman" w:hAnsi="Times New Roman"/>
                <w:color w:val="auto"/>
                <w:kern w:val="0"/>
                <w:sz w:val="24"/>
                <w:highlight w:val="none"/>
              </w:rPr>
              <w:t>)</w:t>
            </w:r>
          </w:p>
          <w:p w14:paraId="1BB50E2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ascii="Times New Roman" w:hAnsi="Times New Roman"/>
                <w:color w:val="auto"/>
                <w:kern w:val="0"/>
                <w:sz w:val="24"/>
                <w:highlight w:val="none"/>
              </w:rPr>
            </w:pPr>
            <w:r>
              <w:rPr>
                <w:rFonts w:hint="eastAsia" w:ascii="Times New Roman" w:hAnsi="Times New Roman"/>
                <w:color w:val="auto"/>
                <w:kern w:val="0"/>
                <w:sz w:val="24"/>
                <w:highlight w:val="none"/>
              </w:rPr>
              <w:t>式中：L</w:t>
            </w:r>
            <w:r>
              <w:rPr>
                <w:rFonts w:hint="eastAsia" w:ascii="Times New Roman" w:hAnsi="Times New Roman"/>
                <w:color w:val="auto"/>
                <w:kern w:val="0"/>
                <w:sz w:val="24"/>
                <w:highlight w:val="none"/>
                <w:vertAlign w:val="subscript"/>
              </w:rPr>
              <w:t>p</w:t>
            </w:r>
            <w:r>
              <w:rPr>
                <w:rFonts w:hint="eastAsia" w:ascii="Times New Roman" w:hAnsi="Times New Roman"/>
                <w:color w:val="auto"/>
                <w:kern w:val="0"/>
                <w:sz w:val="24"/>
                <w:highlight w:val="none"/>
              </w:rPr>
              <w:t>(r) ——预测点处声压级，dB；</w:t>
            </w:r>
          </w:p>
          <w:p w14:paraId="60ECF47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color w:val="auto"/>
                <w:sz w:val="24"/>
                <w:highlight w:val="none"/>
              </w:rPr>
            </w:pPr>
            <w:r>
              <w:rPr>
                <w:rFonts w:hint="eastAsia"/>
                <w:color w:val="auto"/>
                <w:sz w:val="24"/>
                <w:highlight w:val="none"/>
              </w:rPr>
              <w:t>L</w:t>
            </w:r>
            <w:r>
              <w:rPr>
                <w:rFonts w:hint="eastAsia"/>
                <w:color w:val="auto"/>
                <w:sz w:val="24"/>
                <w:highlight w:val="none"/>
                <w:vertAlign w:val="subscript"/>
              </w:rPr>
              <w:t>p</w:t>
            </w:r>
            <w:r>
              <w:rPr>
                <w:rFonts w:hint="eastAsia"/>
                <w:color w:val="auto"/>
                <w:sz w:val="24"/>
                <w:highlight w:val="none"/>
              </w:rPr>
              <w:t>(r</w:t>
            </w:r>
            <w:r>
              <w:rPr>
                <w:rFonts w:hint="eastAsia"/>
                <w:color w:val="auto"/>
                <w:sz w:val="24"/>
                <w:highlight w:val="none"/>
                <w:vertAlign w:val="subscript"/>
              </w:rPr>
              <w:t>0</w:t>
            </w:r>
            <w:r>
              <w:rPr>
                <w:rFonts w:hint="eastAsia"/>
                <w:color w:val="auto"/>
                <w:sz w:val="24"/>
                <w:highlight w:val="none"/>
              </w:rPr>
              <w:t>) ——参考位置r</w:t>
            </w:r>
            <w:r>
              <w:rPr>
                <w:rFonts w:hint="eastAsia"/>
                <w:color w:val="auto"/>
                <w:sz w:val="24"/>
                <w:highlight w:val="none"/>
                <w:vertAlign w:val="subscript"/>
              </w:rPr>
              <w:t>0</w:t>
            </w:r>
            <w:r>
              <w:rPr>
                <w:rFonts w:hint="eastAsia"/>
                <w:color w:val="auto"/>
                <w:sz w:val="24"/>
                <w:highlight w:val="none"/>
              </w:rPr>
              <w:t>处的声压级，dB；</w:t>
            </w:r>
          </w:p>
          <w:p w14:paraId="00C5896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color w:val="auto"/>
                <w:sz w:val="24"/>
                <w:highlight w:val="none"/>
              </w:rPr>
            </w:pPr>
            <w:r>
              <w:rPr>
                <w:rFonts w:hint="eastAsia"/>
                <w:color w:val="auto"/>
                <w:sz w:val="24"/>
                <w:highlight w:val="none"/>
              </w:rPr>
              <w:t>r ——预测点距声源的距离；</w:t>
            </w:r>
          </w:p>
          <w:p w14:paraId="1F1CAC6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color w:val="auto"/>
                <w:sz w:val="24"/>
                <w:highlight w:val="lightGray"/>
              </w:rPr>
            </w:pPr>
            <w:r>
              <w:rPr>
                <w:rFonts w:hint="eastAsia"/>
                <w:color w:val="auto"/>
                <w:sz w:val="24"/>
                <w:highlight w:val="none"/>
              </w:rPr>
              <w:t>r</w:t>
            </w:r>
            <w:r>
              <w:rPr>
                <w:rFonts w:hint="eastAsia"/>
                <w:color w:val="auto"/>
                <w:sz w:val="24"/>
                <w:highlight w:val="none"/>
                <w:vertAlign w:val="subscript"/>
              </w:rPr>
              <w:t>0</w:t>
            </w:r>
            <w:r>
              <w:rPr>
                <w:rFonts w:hint="eastAsia"/>
                <w:color w:val="auto"/>
                <w:sz w:val="24"/>
                <w:highlight w:val="none"/>
              </w:rPr>
              <w:t>——参考位置距声源的距离</w:t>
            </w:r>
            <w:r>
              <w:rPr>
                <w:rFonts w:hint="eastAsia"/>
                <w:color w:val="auto"/>
                <w:sz w:val="24"/>
                <w:highlight w:val="none"/>
                <w:lang w:eastAsia="zh-CN"/>
              </w:rPr>
              <w:t>。</w:t>
            </w:r>
          </w:p>
          <w:p w14:paraId="415946C4">
            <w:pPr>
              <w:keepNext w:val="0"/>
              <w:keepLines w:val="0"/>
              <w:pageBreakBefore w:val="0"/>
              <w:kinsoku/>
              <w:wordWrap/>
              <w:overflowPunct/>
              <w:topLinePunct w:val="0"/>
              <w:autoSpaceDE/>
              <w:autoSpaceDN/>
              <w:bidi w:val="0"/>
              <w:adjustRightInd/>
              <w:snapToGrid/>
              <w:spacing w:line="360" w:lineRule="auto"/>
              <w:ind w:firstLine="480" w:firstLineChars="200"/>
              <w:rPr>
                <w:rFonts w:hint="default" w:eastAsia="宋体"/>
                <w:color w:val="auto"/>
                <w:sz w:val="24"/>
                <w:highlight w:val="none"/>
                <w:lang w:val="en-US" w:eastAsia="zh-CN"/>
              </w:rPr>
            </w:pPr>
            <w:r>
              <w:rPr>
                <w:rFonts w:hint="eastAsia"/>
                <w:color w:val="auto"/>
                <w:sz w:val="24"/>
                <w:highlight w:val="none"/>
                <w:lang w:val="en-US" w:eastAsia="zh-CN"/>
              </w:rPr>
              <w:t>2</w:t>
            </w:r>
            <w:r>
              <w:rPr>
                <w:color w:val="auto"/>
                <w:sz w:val="24"/>
                <w:highlight w:val="none"/>
              </w:rPr>
              <w:t>）预测</w:t>
            </w:r>
            <w:r>
              <w:rPr>
                <w:rFonts w:hint="eastAsia"/>
                <w:color w:val="auto"/>
                <w:sz w:val="24"/>
                <w:highlight w:val="none"/>
                <w:lang w:val="en-US" w:eastAsia="zh-CN"/>
              </w:rPr>
              <w:t>参数选取</w:t>
            </w:r>
          </w:p>
          <w:p w14:paraId="7C3BB4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color w:val="auto"/>
                <w:sz w:val="21"/>
                <w:highlight w:val="none"/>
                <w:lang w:val="en-US" w:eastAsia="zh-CN"/>
              </w:rPr>
            </w:pPr>
            <w:r>
              <w:rPr>
                <w:rFonts w:hint="eastAsia" w:ascii="Times New Roman" w:hAnsi="Times New Roman"/>
                <w:b/>
                <w:bCs/>
                <w:color w:val="auto"/>
                <w:sz w:val="21"/>
                <w:highlight w:val="none"/>
              </w:rPr>
              <w:t>表4-</w:t>
            </w:r>
            <w:r>
              <w:rPr>
                <w:rFonts w:hint="eastAsia"/>
                <w:b/>
                <w:bCs/>
                <w:color w:val="auto"/>
                <w:sz w:val="21"/>
                <w:highlight w:val="none"/>
                <w:lang w:val="en-US" w:eastAsia="zh-CN"/>
              </w:rPr>
              <w:t>11</w:t>
            </w:r>
            <w:r>
              <w:rPr>
                <w:rFonts w:hint="eastAsia" w:ascii="Times New Roman" w:hAnsi="Times New Roman"/>
                <w:b/>
                <w:bCs/>
                <w:color w:val="auto"/>
                <w:sz w:val="21"/>
                <w:highlight w:val="none"/>
              </w:rPr>
              <w:t xml:space="preserve"> 噪声预测</w:t>
            </w:r>
            <w:r>
              <w:rPr>
                <w:rFonts w:hint="eastAsia" w:ascii="Times New Roman" w:hAnsi="Times New Roman"/>
                <w:b/>
                <w:bCs/>
                <w:color w:val="auto"/>
                <w:sz w:val="21"/>
                <w:highlight w:val="none"/>
                <w:lang w:val="en-US" w:eastAsia="zh-CN"/>
              </w:rPr>
              <w:t>中的参数选取情况一览表</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3"/>
              <w:gridCol w:w="2282"/>
              <w:gridCol w:w="4382"/>
            </w:tblGrid>
            <w:tr w14:paraId="0E85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45" w:type="pct"/>
                  <w:gridSpan w:val="2"/>
                  <w:noWrap w:val="0"/>
                  <w:vAlign w:val="center"/>
                </w:tcPr>
                <w:p w14:paraId="53F48B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室内平均吸声系数</w:t>
                  </w:r>
                </w:p>
              </w:tc>
              <w:tc>
                <w:tcPr>
                  <w:tcW w:w="2554" w:type="pct"/>
                  <w:noWrap w:val="0"/>
                  <w:vAlign w:val="center"/>
                </w:tcPr>
                <w:p w14:paraId="085CB2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w:t>
                  </w:r>
                </w:p>
              </w:tc>
            </w:tr>
            <w:tr w14:paraId="5F0E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1115" w:type="pct"/>
                  <w:vMerge w:val="restart"/>
                  <w:noWrap w:val="0"/>
                  <w:vAlign w:val="center"/>
                </w:tcPr>
                <w:p w14:paraId="7D08EB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门</w:t>
                  </w:r>
                </w:p>
              </w:tc>
              <w:tc>
                <w:tcPr>
                  <w:tcW w:w="1329" w:type="pct"/>
                  <w:noWrap w:val="0"/>
                  <w:vAlign w:val="center"/>
                </w:tcPr>
                <w:p w14:paraId="5921D5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位置</w:t>
                  </w:r>
                </w:p>
              </w:tc>
              <w:tc>
                <w:tcPr>
                  <w:tcW w:w="2554" w:type="pct"/>
                  <w:noWrap w:val="0"/>
                  <w:vAlign w:val="center"/>
                </w:tcPr>
                <w:p w14:paraId="002B83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水洗砂生产车间，水稳料生产车间、湿拌砂浆生产车间、预制构件生产车间</w:t>
                  </w:r>
                </w:p>
              </w:tc>
            </w:tr>
            <w:tr w14:paraId="5A1B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15" w:type="pct"/>
                  <w:vMerge w:val="continue"/>
                  <w:noWrap w:val="0"/>
                  <w:vAlign w:val="center"/>
                </w:tcPr>
                <w:p w14:paraId="1770F9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rPr>
                  </w:pPr>
                </w:p>
              </w:tc>
              <w:tc>
                <w:tcPr>
                  <w:tcW w:w="1329" w:type="pct"/>
                  <w:noWrap w:val="0"/>
                  <w:vAlign w:val="center"/>
                </w:tcPr>
                <w:p w14:paraId="29487B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材质</w:t>
                  </w:r>
                </w:p>
              </w:tc>
              <w:tc>
                <w:tcPr>
                  <w:tcW w:w="2554" w:type="pct"/>
                  <w:noWrap w:val="0"/>
                  <w:vAlign w:val="center"/>
                </w:tcPr>
                <w:p w14:paraId="5106FF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彩钢卷帘门</w:t>
                  </w:r>
                </w:p>
              </w:tc>
            </w:tr>
            <w:tr w14:paraId="743D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15" w:type="pct"/>
                  <w:vMerge w:val="continue"/>
                  <w:noWrap w:val="0"/>
                  <w:vAlign w:val="center"/>
                </w:tcPr>
                <w:p w14:paraId="6CF2F3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rPr>
                  </w:pPr>
                </w:p>
              </w:tc>
              <w:tc>
                <w:tcPr>
                  <w:tcW w:w="1329" w:type="pct"/>
                  <w:noWrap w:val="0"/>
                  <w:vAlign w:val="center"/>
                </w:tcPr>
                <w:p w14:paraId="39828A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隔声量</w:t>
                  </w:r>
                </w:p>
              </w:tc>
              <w:tc>
                <w:tcPr>
                  <w:tcW w:w="2554" w:type="pct"/>
                  <w:noWrap w:val="0"/>
                  <w:vAlign w:val="center"/>
                </w:tcPr>
                <w:p w14:paraId="4BC2B9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25dB（A）</w:t>
                  </w:r>
                </w:p>
              </w:tc>
            </w:tr>
            <w:tr w14:paraId="54AE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15" w:type="pct"/>
                  <w:vMerge w:val="restart"/>
                  <w:noWrap w:val="0"/>
                  <w:vAlign w:val="center"/>
                </w:tcPr>
                <w:p w14:paraId="78B399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生产车间</w:t>
                  </w:r>
                </w:p>
              </w:tc>
              <w:tc>
                <w:tcPr>
                  <w:tcW w:w="1329" w:type="pct"/>
                  <w:noWrap w:val="0"/>
                  <w:vAlign w:val="center"/>
                </w:tcPr>
                <w:p w14:paraId="3BD290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材质</w:t>
                  </w:r>
                </w:p>
              </w:tc>
              <w:tc>
                <w:tcPr>
                  <w:tcW w:w="2554" w:type="pct"/>
                  <w:noWrap w:val="0"/>
                  <w:vAlign w:val="center"/>
                </w:tcPr>
                <w:p w14:paraId="69F0BD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钢结构</w:t>
                  </w:r>
                </w:p>
              </w:tc>
            </w:tr>
            <w:tr w14:paraId="4AAC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15" w:type="pct"/>
                  <w:vMerge w:val="continue"/>
                  <w:noWrap w:val="0"/>
                  <w:vAlign w:val="center"/>
                </w:tcPr>
                <w:p w14:paraId="077EDA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lang w:val="en-US" w:eastAsia="zh-CN"/>
                    </w:rPr>
                  </w:pPr>
                </w:p>
              </w:tc>
              <w:tc>
                <w:tcPr>
                  <w:tcW w:w="1329" w:type="pct"/>
                  <w:noWrap w:val="0"/>
                  <w:vAlign w:val="center"/>
                </w:tcPr>
                <w:p w14:paraId="4BF47A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隔声量</w:t>
                  </w:r>
                </w:p>
              </w:tc>
              <w:tc>
                <w:tcPr>
                  <w:tcW w:w="2554" w:type="pct"/>
                  <w:noWrap w:val="0"/>
                  <w:vAlign w:val="center"/>
                </w:tcPr>
                <w:p w14:paraId="0432DF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lang w:val="en-US" w:eastAsia="zh-CN"/>
                    </w:rPr>
                  </w:pPr>
                  <w:r>
                    <w:rPr>
                      <w:rFonts w:hint="eastAsia" w:ascii="Times New Roman" w:hAnsi="Times New Roman" w:eastAsia="宋体" w:cs="Times New Roman"/>
                      <w:color w:val="auto"/>
                      <w:sz w:val="21"/>
                      <w:lang w:val="en-US" w:eastAsia="zh-CN"/>
                    </w:rPr>
                    <w:t>35dB（A）</w:t>
                  </w:r>
                </w:p>
              </w:tc>
            </w:tr>
          </w:tbl>
          <w:p w14:paraId="04687C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预测结果</w:t>
            </w:r>
          </w:p>
          <w:p w14:paraId="4102C9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根据《环境影响评价技术导则 声环境》（HJ2.4-2021）推荐的公式进行噪声预测，噪声预测结果见表4</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1</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w:t>
            </w:r>
          </w:p>
          <w:p w14:paraId="56F7ED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4"/>
                <w:highlight w:val="none"/>
                <w:lang w:val="en-US" w:eastAsia="zh-CN" w:bidi="ar-SA"/>
              </w:rPr>
            </w:pPr>
          </w:p>
          <w:p w14:paraId="74012D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4"/>
                <w:highlight w:val="none"/>
                <w:lang w:val="en-US" w:eastAsia="zh-CN" w:bidi="ar-SA"/>
              </w:rPr>
            </w:pPr>
          </w:p>
          <w:p w14:paraId="144A2B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4"/>
                <w:highlight w:val="none"/>
                <w:lang w:val="en-US" w:eastAsia="zh-CN" w:bidi="ar-SA"/>
              </w:rPr>
            </w:pPr>
          </w:p>
          <w:p w14:paraId="2EDC5F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4"/>
                <w:highlight w:val="none"/>
                <w:lang w:val="en-US" w:eastAsia="zh-CN" w:bidi="ar-SA"/>
              </w:rPr>
            </w:pPr>
          </w:p>
          <w:p w14:paraId="6A130C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4"/>
                <w:highlight w:val="none"/>
                <w:lang w:val="en-US" w:eastAsia="zh-CN" w:bidi="ar-SA"/>
              </w:rPr>
            </w:pPr>
          </w:p>
          <w:p w14:paraId="402E48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4"/>
                <w:highlight w:val="none"/>
              </w:rPr>
            </w:pPr>
            <w:r>
              <w:rPr>
                <w:rFonts w:hint="default" w:ascii="Times New Roman" w:hAnsi="Times New Roman" w:eastAsia="宋体" w:cs="Times New Roman"/>
                <w:b/>
                <w:bCs/>
                <w:color w:val="auto"/>
                <w:kern w:val="2"/>
                <w:sz w:val="21"/>
                <w:szCs w:val="24"/>
                <w:highlight w:val="none"/>
                <w:lang w:val="en-US" w:eastAsia="zh-CN" w:bidi="ar-SA"/>
              </w:rPr>
              <w:t>表4-</w:t>
            </w:r>
            <w:r>
              <w:rPr>
                <w:rFonts w:hint="eastAsia" w:ascii="Times New Roman" w:hAnsi="Times New Roman" w:eastAsia="宋体" w:cs="Times New Roman"/>
                <w:b/>
                <w:bCs/>
                <w:color w:val="auto"/>
                <w:kern w:val="2"/>
                <w:sz w:val="21"/>
                <w:szCs w:val="24"/>
                <w:highlight w:val="none"/>
                <w:lang w:val="en-US" w:eastAsia="zh-CN" w:bidi="ar-SA"/>
              </w:rPr>
              <w:t>1</w:t>
            </w:r>
            <w:r>
              <w:rPr>
                <w:rFonts w:hint="eastAsia" w:cs="Times New Roman"/>
                <w:b/>
                <w:bCs/>
                <w:color w:val="auto"/>
                <w:kern w:val="2"/>
                <w:sz w:val="21"/>
                <w:szCs w:val="24"/>
                <w:highlight w:val="none"/>
                <w:lang w:val="en-US" w:eastAsia="zh-CN" w:bidi="ar-SA"/>
              </w:rPr>
              <w:t>2</w:t>
            </w:r>
            <w:r>
              <w:rPr>
                <w:rFonts w:hint="default" w:ascii="Times New Roman" w:hAnsi="Times New Roman" w:eastAsia="宋体" w:cs="Times New Roman"/>
                <w:b/>
                <w:bCs/>
                <w:color w:val="auto"/>
                <w:kern w:val="2"/>
                <w:sz w:val="21"/>
                <w:szCs w:val="24"/>
                <w:highlight w:val="none"/>
                <w:lang w:val="en-US" w:eastAsia="zh-CN" w:bidi="ar-SA"/>
              </w:rPr>
              <w:t xml:space="preserve"> 厂界噪声预测值</w:t>
            </w:r>
            <w:r>
              <w:rPr>
                <w:rFonts w:hint="eastAsia" w:ascii="Times New Roman" w:hAnsi="Times New Roman" w:eastAsia="宋体" w:cs="Times New Roman"/>
                <w:b/>
                <w:bCs/>
                <w:color w:val="auto"/>
                <w:kern w:val="2"/>
                <w:sz w:val="21"/>
                <w:szCs w:val="24"/>
                <w:highlight w:val="none"/>
                <w:lang w:val="en-US" w:eastAsia="zh-CN" w:bidi="ar-SA"/>
              </w:rPr>
              <w:t xml:space="preserve">      </w:t>
            </w:r>
            <w:r>
              <w:rPr>
                <w:rFonts w:hint="default" w:ascii="Times New Roman" w:hAnsi="Times New Roman" w:eastAsia="宋体" w:cs="Times New Roman"/>
                <w:b/>
                <w:bCs/>
                <w:color w:val="auto"/>
                <w:kern w:val="2"/>
                <w:sz w:val="21"/>
                <w:szCs w:val="24"/>
                <w:highlight w:val="none"/>
                <w:lang w:val="en-US" w:eastAsia="zh-CN" w:bidi="ar-SA"/>
              </w:rPr>
              <w:t>（dB（A））</w:t>
            </w:r>
          </w:p>
          <w:tbl>
            <w:tblPr>
              <w:tblStyle w:val="2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899"/>
              <w:gridCol w:w="795"/>
              <w:gridCol w:w="795"/>
              <w:gridCol w:w="985"/>
              <w:gridCol w:w="1410"/>
              <w:gridCol w:w="1412"/>
              <w:gridCol w:w="1186"/>
            </w:tblGrid>
            <w:tr w14:paraId="2C096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645" w:type="pct"/>
                  <w:vMerge w:val="restart"/>
                  <w:noWrap w:val="0"/>
                  <w:vAlign w:val="center"/>
                </w:tcPr>
                <w:p w14:paraId="462AE6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预测方位</w:t>
                  </w:r>
                </w:p>
              </w:tc>
              <w:tc>
                <w:tcPr>
                  <w:tcW w:w="1413" w:type="pct"/>
                  <w:gridSpan w:val="3"/>
                  <w:noWrap w:val="0"/>
                  <w:vAlign w:val="center"/>
                </w:tcPr>
                <w:p w14:paraId="51BF90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最大值点</w:t>
                  </w:r>
                  <w:r>
                    <w:rPr>
                      <w:rFonts w:hint="default" w:ascii="Times New Roman" w:hAnsi="Times New Roman" w:eastAsia="宋体" w:cs="Times New Roman"/>
                      <w:b w:val="0"/>
                      <w:bCs/>
                      <w:color w:val="auto"/>
                      <w:sz w:val="21"/>
                      <w:szCs w:val="21"/>
                    </w:rPr>
                    <w:t>空间相对位置/m</w:t>
                  </w:r>
                </w:p>
              </w:tc>
              <w:tc>
                <w:tcPr>
                  <w:tcW w:w="582" w:type="pct"/>
                  <w:vMerge w:val="restart"/>
                  <w:noWrap w:val="0"/>
                  <w:vAlign w:val="center"/>
                </w:tcPr>
                <w:p w14:paraId="1398EA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时段</w:t>
                  </w:r>
                </w:p>
              </w:tc>
              <w:tc>
                <w:tcPr>
                  <w:tcW w:w="830" w:type="pct"/>
                  <w:vMerge w:val="restart"/>
                  <w:noWrap w:val="0"/>
                  <w:vAlign w:val="center"/>
                </w:tcPr>
                <w:p w14:paraId="26C3C1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贡献值（dB(A)）</w:t>
                  </w:r>
                </w:p>
              </w:tc>
              <w:tc>
                <w:tcPr>
                  <w:tcW w:w="831" w:type="pct"/>
                  <w:vMerge w:val="restart"/>
                  <w:noWrap w:val="0"/>
                  <w:vAlign w:val="center"/>
                </w:tcPr>
                <w:p w14:paraId="4C17F4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标准限值（dB(A)）</w:t>
                  </w:r>
                </w:p>
              </w:tc>
              <w:tc>
                <w:tcPr>
                  <w:tcW w:w="696" w:type="pct"/>
                  <w:vMerge w:val="restart"/>
                  <w:noWrap w:val="0"/>
                  <w:vAlign w:val="center"/>
                </w:tcPr>
                <w:p w14:paraId="79A2A8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达标情况</w:t>
                  </w:r>
                </w:p>
              </w:tc>
            </w:tr>
            <w:tr w14:paraId="7D01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45" w:type="pct"/>
                  <w:vMerge w:val="continue"/>
                  <w:noWrap w:val="0"/>
                  <w:vAlign w:val="center"/>
                </w:tcPr>
                <w:p w14:paraId="5B7B40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471" w:type="pct"/>
                  <w:noWrap w:val="0"/>
                  <w:vAlign w:val="center"/>
                </w:tcPr>
                <w:p w14:paraId="5EC985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X</w:t>
                  </w:r>
                </w:p>
              </w:tc>
              <w:tc>
                <w:tcPr>
                  <w:tcW w:w="471" w:type="pct"/>
                  <w:noWrap w:val="0"/>
                  <w:vAlign w:val="center"/>
                </w:tcPr>
                <w:p w14:paraId="5379A7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Y</w:t>
                  </w:r>
                </w:p>
              </w:tc>
              <w:tc>
                <w:tcPr>
                  <w:tcW w:w="471" w:type="pct"/>
                  <w:noWrap w:val="0"/>
                  <w:vAlign w:val="center"/>
                </w:tcPr>
                <w:p w14:paraId="559924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Z</w:t>
                  </w:r>
                </w:p>
              </w:tc>
              <w:tc>
                <w:tcPr>
                  <w:tcW w:w="582" w:type="pct"/>
                  <w:vMerge w:val="continue"/>
                  <w:noWrap w:val="0"/>
                  <w:vAlign w:val="center"/>
                </w:tcPr>
                <w:p w14:paraId="26EA4D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30" w:type="pct"/>
                  <w:vMerge w:val="continue"/>
                  <w:noWrap w:val="0"/>
                  <w:vAlign w:val="center"/>
                </w:tcPr>
                <w:p w14:paraId="02F112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31" w:type="pct"/>
                  <w:vMerge w:val="continue"/>
                  <w:noWrap w:val="0"/>
                  <w:vAlign w:val="center"/>
                </w:tcPr>
                <w:p w14:paraId="17E976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696" w:type="pct"/>
                  <w:vMerge w:val="continue"/>
                  <w:noWrap w:val="0"/>
                  <w:vAlign w:val="center"/>
                </w:tcPr>
                <w:p w14:paraId="1360ED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r>
            <w:tr w14:paraId="6F2A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645" w:type="pct"/>
                  <w:vMerge w:val="restart"/>
                  <w:noWrap w:val="0"/>
                  <w:vAlign w:val="center"/>
                </w:tcPr>
                <w:p w14:paraId="6FEB2F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西</w:t>
                  </w:r>
                  <w:r>
                    <w:rPr>
                      <w:rFonts w:hint="default" w:ascii="Times New Roman" w:hAnsi="Times New Roman" w:eastAsia="宋体" w:cs="Times New Roman"/>
                      <w:b w:val="0"/>
                      <w:bCs/>
                      <w:color w:val="auto"/>
                      <w:sz w:val="21"/>
                      <w:szCs w:val="21"/>
                    </w:rPr>
                    <w:t>侧</w:t>
                  </w:r>
                </w:p>
              </w:tc>
              <w:tc>
                <w:tcPr>
                  <w:tcW w:w="471" w:type="pct"/>
                  <w:noWrap w:val="0"/>
                  <w:vAlign w:val="center"/>
                </w:tcPr>
                <w:p w14:paraId="002C0B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71.28</w:t>
                  </w:r>
                </w:p>
              </w:tc>
              <w:tc>
                <w:tcPr>
                  <w:tcW w:w="471" w:type="pct"/>
                  <w:noWrap w:val="0"/>
                  <w:vAlign w:val="center"/>
                </w:tcPr>
                <w:p w14:paraId="5E3EDC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138.13</w:t>
                  </w:r>
                </w:p>
              </w:tc>
              <w:tc>
                <w:tcPr>
                  <w:tcW w:w="471" w:type="pct"/>
                  <w:noWrap w:val="0"/>
                  <w:vAlign w:val="center"/>
                </w:tcPr>
                <w:p w14:paraId="120C0B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1.2</w:t>
                  </w:r>
                </w:p>
              </w:tc>
              <w:tc>
                <w:tcPr>
                  <w:tcW w:w="582" w:type="pct"/>
                  <w:noWrap w:val="0"/>
                  <w:vAlign w:val="center"/>
                </w:tcPr>
                <w:p w14:paraId="05C6C2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昼间</w:t>
                  </w:r>
                </w:p>
              </w:tc>
              <w:tc>
                <w:tcPr>
                  <w:tcW w:w="830" w:type="pct"/>
                  <w:noWrap w:val="0"/>
                  <w:vAlign w:val="center"/>
                </w:tcPr>
                <w:p w14:paraId="4F5D03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37.86</w:t>
                  </w:r>
                </w:p>
              </w:tc>
              <w:tc>
                <w:tcPr>
                  <w:tcW w:w="831" w:type="pct"/>
                  <w:noWrap w:val="0"/>
                  <w:vAlign w:val="center"/>
                </w:tcPr>
                <w:p w14:paraId="331677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6</w:t>
                  </w:r>
                  <w:r>
                    <w:rPr>
                      <w:rFonts w:hint="eastAsia" w:cs="Times New Roman"/>
                      <w:b w:val="0"/>
                      <w:bCs/>
                      <w:color w:val="auto"/>
                      <w:sz w:val="21"/>
                      <w:szCs w:val="21"/>
                      <w:lang w:val="en-US" w:eastAsia="zh-CN"/>
                    </w:rPr>
                    <w:t>5</w:t>
                  </w:r>
                </w:p>
              </w:tc>
              <w:tc>
                <w:tcPr>
                  <w:tcW w:w="696" w:type="pct"/>
                  <w:noWrap w:val="0"/>
                  <w:vAlign w:val="center"/>
                </w:tcPr>
                <w:p w14:paraId="651793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达标</w:t>
                  </w:r>
                </w:p>
              </w:tc>
            </w:tr>
            <w:tr w14:paraId="31F4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645" w:type="pct"/>
                  <w:vMerge w:val="continue"/>
                  <w:noWrap w:val="0"/>
                  <w:vAlign w:val="center"/>
                </w:tcPr>
                <w:p w14:paraId="37CA64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东侧</w:t>
                  </w:r>
                </w:p>
              </w:tc>
              <w:tc>
                <w:tcPr>
                  <w:tcW w:w="805" w:type="dxa"/>
                  <w:noWrap w:val="0"/>
                  <w:vAlign w:val="center"/>
                </w:tcPr>
                <w:p w14:paraId="07D59F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71.28</w:t>
                  </w:r>
                </w:p>
              </w:tc>
              <w:tc>
                <w:tcPr>
                  <w:tcW w:w="805" w:type="dxa"/>
                  <w:noWrap w:val="0"/>
                  <w:vAlign w:val="center"/>
                </w:tcPr>
                <w:p w14:paraId="7769A3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138.13</w:t>
                  </w:r>
                </w:p>
              </w:tc>
              <w:tc>
                <w:tcPr>
                  <w:tcW w:w="805" w:type="dxa"/>
                  <w:noWrap w:val="0"/>
                  <w:vAlign w:val="center"/>
                </w:tcPr>
                <w:p w14:paraId="27A3BA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1.2</w:t>
                  </w:r>
                </w:p>
              </w:tc>
              <w:tc>
                <w:tcPr>
                  <w:tcW w:w="994" w:type="dxa"/>
                  <w:noWrap w:val="0"/>
                  <w:vAlign w:val="center"/>
                </w:tcPr>
                <w:p w14:paraId="1C3E01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eastAsia="zh-CN"/>
                    </w:rPr>
                  </w:pPr>
                  <w:r>
                    <w:rPr>
                      <w:rFonts w:hint="eastAsia" w:ascii="Times New Roman" w:hAnsi="Times New Roman" w:eastAsia="宋体" w:cs="Times New Roman"/>
                      <w:b w:val="0"/>
                      <w:bCs/>
                      <w:color w:val="auto"/>
                      <w:sz w:val="21"/>
                      <w:szCs w:val="21"/>
                      <w:lang w:val="en-US" w:eastAsia="zh-CN"/>
                    </w:rPr>
                    <w:t>夜间</w:t>
                  </w:r>
                </w:p>
              </w:tc>
              <w:tc>
                <w:tcPr>
                  <w:tcW w:w="1418" w:type="dxa"/>
                  <w:noWrap w:val="0"/>
                  <w:vAlign w:val="center"/>
                </w:tcPr>
                <w:p w14:paraId="48F93B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37.86</w:t>
                  </w:r>
                </w:p>
              </w:tc>
              <w:tc>
                <w:tcPr>
                  <w:tcW w:w="1420" w:type="dxa"/>
                  <w:noWrap w:val="0"/>
                  <w:vAlign w:val="center"/>
                </w:tcPr>
                <w:p w14:paraId="463376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5</w:t>
                  </w:r>
                  <w:r>
                    <w:rPr>
                      <w:rFonts w:hint="eastAsia" w:cs="Times New Roman"/>
                      <w:b w:val="0"/>
                      <w:bCs/>
                      <w:color w:val="auto"/>
                      <w:sz w:val="21"/>
                      <w:szCs w:val="21"/>
                      <w:lang w:val="en-US" w:eastAsia="zh-CN"/>
                    </w:rPr>
                    <w:t>5</w:t>
                  </w:r>
                </w:p>
              </w:tc>
              <w:tc>
                <w:tcPr>
                  <w:tcW w:w="1193" w:type="dxa"/>
                  <w:noWrap w:val="0"/>
                  <w:vAlign w:val="center"/>
                </w:tcPr>
                <w:p w14:paraId="29D784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达标</w:t>
                  </w:r>
                </w:p>
              </w:tc>
            </w:tr>
            <w:tr w14:paraId="0DC0C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645" w:type="pct"/>
                  <w:vMerge w:val="restart"/>
                  <w:noWrap w:val="0"/>
                  <w:vAlign w:val="center"/>
                </w:tcPr>
                <w:p w14:paraId="237EAE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北</w:t>
                  </w:r>
                  <w:r>
                    <w:rPr>
                      <w:rFonts w:hint="default" w:ascii="Times New Roman" w:hAnsi="Times New Roman" w:eastAsia="宋体" w:cs="Times New Roman"/>
                      <w:b w:val="0"/>
                      <w:bCs/>
                      <w:color w:val="auto"/>
                      <w:sz w:val="21"/>
                      <w:szCs w:val="21"/>
                    </w:rPr>
                    <w:t>侧</w:t>
                  </w:r>
                </w:p>
              </w:tc>
              <w:tc>
                <w:tcPr>
                  <w:tcW w:w="471" w:type="pct"/>
                  <w:noWrap w:val="0"/>
                  <w:vAlign w:val="center"/>
                </w:tcPr>
                <w:p w14:paraId="67F64C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280.869</w:t>
                  </w:r>
                </w:p>
              </w:tc>
              <w:tc>
                <w:tcPr>
                  <w:tcW w:w="471" w:type="pct"/>
                  <w:noWrap w:val="0"/>
                  <w:vAlign w:val="center"/>
                </w:tcPr>
                <w:p w14:paraId="156AFA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217.07</w:t>
                  </w:r>
                </w:p>
              </w:tc>
              <w:tc>
                <w:tcPr>
                  <w:tcW w:w="471" w:type="pct"/>
                  <w:noWrap w:val="0"/>
                  <w:vAlign w:val="center"/>
                </w:tcPr>
                <w:p w14:paraId="4B7195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1.2</w:t>
                  </w:r>
                </w:p>
              </w:tc>
              <w:tc>
                <w:tcPr>
                  <w:tcW w:w="582" w:type="pct"/>
                  <w:noWrap w:val="0"/>
                  <w:vAlign w:val="center"/>
                </w:tcPr>
                <w:p w14:paraId="17D3A1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昼间</w:t>
                  </w:r>
                </w:p>
              </w:tc>
              <w:tc>
                <w:tcPr>
                  <w:tcW w:w="830" w:type="pct"/>
                  <w:noWrap w:val="0"/>
                  <w:vAlign w:val="center"/>
                </w:tcPr>
                <w:p w14:paraId="4B4991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rPr>
                  </w:pPr>
                  <w:r>
                    <w:rPr>
                      <w:rFonts w:hint="eastAsia" w:ascii="Times New Roman" w:hAnsi="Times New Roman" w:eastAsia="宋体" w:cs="Times New Roman"/>
                      <w:b w:val="0"/>
                      <w:bCs/>
                      <w:color w:val="auto"/>
                      <w:sz w:val="21"/>
                      <w:szCs w:val="21"/>
                      <w:lang w:val="en-US" w:eastAsia="zh-CN"/>
                    </w:rPr>
                    <w:t>39.64</w:t>
                  </w:r>
                </w:p>
              </w:tc>
              <w:tc>
                <w:tcPr>
                  <w:tcW w:w="831" w:type="pct"/>
                  <w:noWrap w:val="0"/>
                  <w:vAlign w:val="center"/>
                </w:tcPr>
                <w:p w14:paraId="6216F6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w:t>
                  </w:r>
                  <w:r>
                    <w:rPr>
                      <w:rFonts w:hint="eastAsia" w:cs="Times New Roman"/>
                      <w:b w:val="0"/>
                      <w:bCs/>
                      <w:color w:val="auto"/>
                      <w:sz w:val="21"/>
                      <w:szCs w:val="21"/>
                      <w:lang w:val="en-US" w:eastAsia="zh-CN"/>
                    </w:rPr>
                    <w:t>5</w:t>
                  </w:r>
                </w:p>
              </w:tc>
              <w:tc>
                <w:tcPr>
                  <w:tcW w:w="696" w:type="pct"/>
                  <w:noWrap w:val="0"/>
                  <w:vAlign w:val="center"/>
                </w:tcPr>
                <w:p w14:paraId="3D1D0C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达标</w:t>
                  </w:r>
                </w:p>
              </w:tc>
            </w:tr>
            <w:tr w14:paraId="0C5D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645" w:type="pct"/>
                  <w:vMerge w:val="continue"/>
                  <w:noWrap w:val="0"/>
                  <w:vAlign w:val="center"/>
                </w:tcPr>
                <w:p w14:paraId="2B6462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南侧</w:t>
                  </w:r>
                </w:p>
              </w:tc>
              <w:tc>
                <w:tcPr>
                  <w:tcW w:w="805" w:type="dxa"/>
                  <w:noWrap w:val="0"/>
                  <w:vAlign w:val="center"/>
                </w:tcPr>
                <w:p w14:paraId="260096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280.869</w:t>
                  </w:r>
                </w:p>
              </w:tc>
              <w:tc>
                <w:tcPr>
                  <w:tcW w:w="805" w:type="dxa"/>
                  <w:noWrap w:val="0"/>
                  <w:vAlign w:val="center"/>
                </w:tcPr>
                <w:p w14:paraId="6458F4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217.07</w:t>
                  </w:r>
                </w:p>
              </w:tc>
              <w:tc>
                <w:tcPr>
                  <w:tcW w:w="805" w:type="dxa"/>
                  <w:noWrap w:val="0"/>
                  <w:vAlign w:val="center"/>
                </w:tcPr>
                <w:p w14:paraId="2E953B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1.2</w:t>
                  </w:r>
                </w:p>
              </w:tc>
              <w:tc>
                <w:tcPr>
                  <w:tcW w:w="994" w:type="dxa"/>
                  <w:noWrap w:val="0"/>
                  <w:vAlign w:val="center"/>
                </w:tcPr>
                <w:p w14:paraId="6733E4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eastAsia="zh-CN"/>
                    </w:rPr>
                  </w:pPr>
                  <w:r>
                    <w:rPr>
                      <w:rFonts w:hint="eastAsia" w:ascii="Times New Roman" w:hAnsi="Times New Roman" w:eastAsia="宋体" w:cs="Times New Roman"/>
                      <w:b w:val="0"/>
                      <w:bCs/>
                      <w:color w:val="auto"/>
                      <w:sz w:val="21"/>
                      <w:szCs w:val="21"/>
                      <w:lang w:val="en-US" w:eastAsia="zh-CN"/>
                    </w:rPr>
                    <w:t>夜间</w:t>
                  </w:r>
                </w:p>
              </w:tc>
              <w:tc>
                <w:tcPr>
                  <w:tcW w:w="1418" w:type="dxa"/>
                  <w:noWrap w:val="0"/>
                  <w:vAlign w:val="center"/>
                </w:tcPr>
                <w:p w14:paraId="5AC6C9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39.64</w:t>
                  </w:r>
                </w:p>
              </w:tc>
              <w:tc>
                <w:tcPr>
                  <w:tcW w:w="831" w:type="pct"/>
                  <w:noWrap w:val="0"/>
                  <w:vAlign w:val="center"/>
                </w:tcPr>
                <w:p w14:paraId="09DC1A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5</w:t>
                  </w:r>
                  <w:r>
                    <w:rPr>
                      <w:rFonts w:hint="eastAsia" w:cs="Times New Roman"/>
                      <w:b w:val="0"/>
                      <w:bCs/>
                      <w:color w:val="auto"/>
                      <w:sz w:val="21"/>
                      <w:szCs w:val="21"/>
                      <w:lang w:val="en-US" w:eastAsia="zh-CN"/>
                    </w:rPr>
                    <w:t>5</w:t>
                  </w:r>
                </w:p>
              </w:tc>
              <w:tc>
                <w:tcPr>
                  <w:tcW w:w="696" w:type="pct"/>
                  <w:noWrap w:val="0"/>
                  <w:vAlign w:val="center"/>
                </w:tcPr>
                <w:p w14:paraId="033105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达标</w:t>
                  </w:r>
                </w:p>
              </w:tc>
            </w:tr>
            <w:tr w14:paraId="7AE5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645" w:type="pct"/>
                  <w:vMerge w:val="restart"/>
                  <w:noWrap w:val="0"/>
                  <w:vAlign w:val="center"/>
                </w:tcPr>
                <w:p w14:paraId="2707B2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东</w:t>
                  </w:r>
                  <w:r>
                    <w:rPr>
                      <w:rFonts w:hint="default" w:ascii="Times New Roman" w:hAnsi="Times New Roman" w:eastAsia="宋体" w:cs="Times New Roman"/>
                      <w:b w:val="0"/>
                      <w:bCs/>
                      <w:color w:val="auto"/>
                      <w:sz w:val="21"/>
                      <w:szCs w:val="21"/>
                    </w:rPr>
                    <w:t>侧</w:t>
                  </w:r>
                </w:p>
              </w:tc>
              <w:tc>
                <w:tcPr>
                  <w:tcW w:w="471" w:type="pct"/>
                  <w:noWrap w:val="0"/>
                  <w:vAlign w:val="center"/>
                </w:tcPr>
                <w:p w14:paraId="4DF2CE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390.37</w:t>
                  </w:r>
                </w:p>
              </w:tc>
              <w:tc>
                <w:tcPr>
                  <w:tcW w:w="471" w:type="pct"/>
                  <w:noWrap w:val="0"/>
                  <w:vAlign w:val="center"/>
                </w:tcPr>
                <w:p w14:paraId="742B62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1.38</w:t>
                  </w:r>
                </w:p>
              </w:tc>
              <w:tc>
                <w:tcPr>
                  <w:tcW w:w="471" w:type="pct"/>
                  <w:noWrap w:val="0"/>
                  <w:vAlign w:val="center"/>
                </w:tcPr>
                <w:p w14:paraId="385626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1.2</w:t>
                  </w:r>
                </w:p>
              </w:tc>
              <w:tc>
                <w:tcPr>
                  <w:tcW w:w="582" w:type="pct"/>
                  <w:noWrap w:val="0"/>
                  <w:vAlign w:val="center"/>
                </w:tcPr>
                <w:p w14:paraId="1A9224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昼间</w:t>
                  </w:r>
                </w:p>
              </w:tc>
              <w:tc>
                <w:tcPr>
                  <w:tcW w:w="830" w:type="pct"/>
                  <w:noWrap w:val="0"/>
                  <w:vAlign w:val="center"/>
                </w:tcPr>
                <w:p w14:paraId="7B54A2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32.74</w:t>
                  </w:r>
                </w:p>
              </w:tc>
              <w:tc>
                <w:tcPr>
                  <w:tcW w:w="831" w:type="pct"/>
                  <w:noWrap w:val="0"/>
                  <w:vAlign w:val="center"/>
                </w:tcPr>
                <w:p w14:paraId="6AF76E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6</w:t>
                  </w:r>
                  <w:r>
                    <w:rPr>
                      <w:rFonts w:hint="eastAsia" w:cs="Times New Roman"/>
                      <w:b w:val="0"/>
                      <w:bCs/>
                      <w:color w:val="auto"/>
                      <w:sz w:val="21"/>
                      <w:szCs w:val="21"/>
                      <w:lang w:val="en-US" w:eastAsia="zh-CN"/>
                    </w:rPr>
                    <w:t>5</w:t>
                  </w:r>
                </w:p>
              </w:tc>
              <w:tc>
                <w:tcPr>
                  <w:tcW w:w="696" w:type="pct"/>
                  <w:noWrap w:val="0"/>
                  <w:vAlign w:val="center"/>
                </w:tcPr>
                <w:p w14:paraId="4D0E16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达标</w:t>
                  </w:r>
                </w:p>
              </w:tc>
            </w:tr>
            <w:tr w14:paraId="716F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645" w:type="pct"/>
                  <w:vMerge w:val="continue"/>
                  <w:noWrap w:val="0"/>
                  <w:vAlign w:val="center"/>
                </w:tcPr>
                <w:p w14:paraId="4DBD5B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西侧</w:t>
                  </w:r>
                </w:p>
              </w:tc>
              <w:tc>
                <w:tcPr>
                  <w:tcW w:w="805" w:type="dxa"/>
                  <w:noWrap w:val="0"/>
                  <w:vAlign w:val="center"/>
                </w:tcPr>
                <w:p w14:paraId="3DA695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390.37</w:t>
                  </w:r>
                </w:p>
              </w:tc>
              <w:tc>
                <w:tcPr>
                  <w:tcW w:w="805" w:type="dxa"/>
                  <w:noWrap w:val="0"/>
                  <w:vAlign w:val="center"/>
                </w:tcPr>
                <w:p w14:paraId="373D3E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1.38</w:t>
                  </w:r>
                </w:p>
              </w:tc>
              <w:tc>
                <w:tcPr>
                  <w:tcW w:w="805" w:type="dxa"/>
                  <w:noWrap w:val="0"/>
                  <w:vAlign w:val="center"/>
                </w:tcPr>
                <w:p w14:paraId="4E2170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1.2</w:t>
                  </w:r>
                </w:p>
              </w:tc>
              <w:tc>
                <w:tcPr>
                  <w:tcW w:w="994" w:type="dxa"/>
                  <w:noWrap w:val="0"/>
                  <w:vAlign w:val="center"/>
                </w:tcPr>
                <w:p w14:paraId="017ADA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夜间</w:t>
                  </w:r>
                </w:p>
              </w:tc>
              <w:tc>
                <w:tcPr>
                  <w:tcW w:w="1418" w:type="dxa"/>
                  <w:noWrap w:val="0"/>
                  <w:vAlign w:val="center"/>
                </w:tcPr>
                <w:p w14:paraId="690BA9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32.74</w:t>
                  </w:r>
                </w:p>
              </w:tc>
              <w:tc>
                <w:tcPr>
                  <w:tcW w:w="831" w:type="pct"/>
                  <w:noWrap w:val="0"/>
                  <w:vAlign w:val="center"/>
                </w:tcPr>
                <w:p w14:paraId="3189FD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5</w:t>
                  </w:r>
                  <w:r>
                    <w:rPr>
                      <w:rFonts w:hint="eastAsia" w:cs="Times New Roman"/>
                      <w:b w:val="0"/>
                      <w:bCs/>
                      <w:color w:val="auto"/>
                      <w:sz w:val="21"/>
                      <w:szCs w:val="21"/>
                      <w:lang w:val="en-US" w:eastAsia="zh-CN"/>
                    </w:rPr>
                    <w:t>5</w:t>
                  </w:r>
                </w:p>
              </w:tc>
              <w:tc>
                <w:tcPr>
                  <w:tcW w:w="696" w:type="pct"/>
                  <w:noWrap w:val="0"/>
                  <w:vAlign w:val="center"/>
                </w:tcPr>
                <w:p w14:paraId="5F3384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达标</w:t>
                  </w:r>
                </w:p>
              </w:tc>
            </w:tr>
            <w:tr w14:paraId="2A58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645" w:type="pct"/>
                  <w:vMerge w:val="restart"/>
                  <w:noWrap w:val="0"/>
                  <w:vAlign w:val="center"/>
                </w:tcPr>
                <w:p w14:paraId="7F84B7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南</w:t>
                  </w:r>
                  <w:r>
                    <w:rPr>
                      <w:rFonts w:hint="default" w:ascii="Times New Roman" w:hAnsi="Times New Roman" w:eastAsia="宋体" w:cs="Times New Roman"/>
                      <w:b w:val="0"/>
                      <w:bCs/>
                      <w:color w:val="auto"/>
                      <w:sz w:val="21"/>
                      <w:szCs w:val="21"/>
                    </w:rPr>
                    <w:t>侧</w:t>
                  </w:r>
                </w:p>
              </w:tc>
              <w:tc>
                <w:tcPr>
                  <w:tcW w:w="471" w:type="pct"/>
                  <w:noWrap w:val="0"/>
                  <w:vAlign w:val="center"/>
                </w:tcPr>
                <w:p w14:paraId="4D378C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171.34</w:t>
                  </w:r>
                </w:p>
              </w:tc>
              <w:tc>
                <w:tcPr>
                  <w:tcW w:w="471" w:type="pct"/>
                  <w:noWrap w:val="0"/>
                  <w:vAlign w:val="center"/>
                </w:tcPr>
                <w:p w14:paraId="6D7F16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-43.65</w:t>
                  </w:r>
                </w:p>
              </w:tc>
              <w:tc>
                <w:tcPr>
                  <w:tcW w:w="471" w:type="pct"/>
                  <w:noWrap w:val="0"/>
                  <w:vAlign w:val="center"/>
                </w:tcPr>
                <w:p w14:paraId="108297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1.2</w:t>
                  </w:r>
                </w:p>
              </w:tc>
              <w:tc>
                <w:tcPr>
                  <w:tcW w:w="582" w:type="pct"/>
                  <w:noWrap w:val="0"/>
                  <w:vAlign w:val="center"/>
                </w:tcPr>
                <w:p w14:paraId="03EA8B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昼间</w:t>
                  </w:r>
                </w:p>
              </w:tc>
              <w:tc>
                <w:tcPr>
                  <w:tcW w:w="830" w:type="pct"/>
                  <w:noWrap w:val="0"/>
                  <w:vAlign w:val="center"/>
                </w:tcPr>
                <w:p w14:paraId="7553DE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39.81</w:t>
                  </w:r>
                </w:p>
              </w:tc>
              <w:tc>
                <w:tcPr>
                  <w:tcW w:w="831" w:type="pct"/>
                  <w:noWrap w:val="0"/>
                  <w:vAlign w:val="center"/>
                </w:tcPr>
                <w:p w14:paraId="4DAACD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6</w:t>
                  </w:r>
                  <w:r>
                    <w:rPr>
                      <w:rFonts w:hint="eastAsia" w:cs="Times New Roman"/>
                      <w:b w:val="0"/>
                      <w:bCs/>
                      <w:color w:val="auto"/>
                      <w:sz w:val="21"/>
                      <w:szCs w:val="21"/>
                      <w:lang w:val="en-US" w:eastAsia="zh-CN"/>
                    </w:rPr>
                    <w:t>5</w:t>
                  </w:r>
                </w:p>
              </w:tc>
              <w:tc>
                <w:tcPr>
                  <w:tcW w:w="696" w:type="pct"/>
                  <w:noWrap w:val="0"/>
                  <w:vAlign w:val="center"/>
                </w:tcPr>
                <w:p w14:paraId="3692D4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达标</w:t>
                  </w:r>
                </w:p>
              </w:tc>
            </w:tr>
            <w:tr w14:paraId="5895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jc w:val="center"/>
              </w:trPr>
              <w:tc>
                <w:tcPr>
                  <w:tcW w:w="645" w:type="pct"/>
                  <w:vMerge w:val="continue"/>
                  <w:noWrap w:val="0"/>
                  <w:vAlign w:val="center"/>
                </w:tcPr>
                <w:p w14:paraId="2D932E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北侧</w:t>
                  </w:r>
                </w:p>
              </w:tc>
              <w:tc>
                <w:tcPr>
                  <w:tcW w:w="805" w:type="dxa"/>
                  <w:noWrap w:val="0"/>
                  <w:vAlign w:val="center"/>
                </w:tcPr>
                <w:p w14:paraId="2D6B65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171.34</w:t>
                  </w:r>
                </w:p>
              </w:tc>
              <w:tc>
                <w:tcPr>
                  <w:tcW w:w="805" w:type="dxa"/>
                  <w:noWrap w:val="0"/>
                  <w:vAlign w:val="center"/>
                </w:tcPr>
                <w:p w14:paraId="53BC78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-43.65</w:t>
                  </w:r>
                </w:p>
              </w:tc>
              <w:tc>
                <w:tcPr>
                  <w:tcW w:w="805" w:type="dxa"/>
                  <w:noWrap w:val="0"/>
                  <w:vAlign w:val="center"/>
                </w:tcPr>
                <w:p w14:paraId="002196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1.2</w:t>
                  </w:r>
                </w:p>
              </w:tc>
              <w:tc>
                <w:tcPr>
                  <w:tcW w:w="994" w:type="dxa"/>
                  <w:noWrap w:val="0"/>
                  <w:vAlign w:val="center"/>
                </w:tcPr>
                <w:p w14:paraId="55A15E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eastAsia="zh-CN"/>
                    </w:rPr>
                  </w:pPr>
                  <w:r>
                    <w:rPr>
                      <w:rFonts w:hint="eastAsia" w:ascii="Times New Roman" w:hAnsi="Times New Roman" w:eastAsia="宋体" w:cs="Times New Roman"/>
                      <w:b w:val="0"/>
                      <w:bCs/>
                      <w:color w:val="auto"/>
                      <w:sz w:val="21"/>
                      <w:szCs w:val="21"/>
                      <w:lang w:val="en-US" w:eastAsia="zh-CN"/>
                    </w:rPr>
                    <w:t>夜间</w:t>
                  </w:r>
                </w:p>
              </w:tc>
              <w:tc>
                <w:tcPr>
                  <w:tcW w:w="1418" w:type="dxa"/>
                  <w:noWrap w:val="0"/>
                  <w:vAlign w:val="center"/>
                </w:tcPr>
                <w:p w14:paraId="7963C0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39.81</w:t>
                  </w:r>
                </w:p>
              </w:tc>
              <w:tc>
                <w:tcPr>
                  <w:tcW w:w="831" w:type="pct"/>
                  <w:noWrap w:val="0"/>
                  <w:vAlign w:val="center"/>
                </w:tcPr>
                <w:p w14:paraId="1EBA31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rPr>
                    <w:t>5</w:t>
                  </w:r>
                  <w:r>
                    <w:rPr>
                      <w:rFonts w:hint="eastAsia" w:cs="Times New Roman"/>
                      <w:b w:val="0"/>
                      <w:bCs/>
                      <w:color w:val="auto"/>
                      <w:sz w:val="21"/>
                      <w:szCs w:val="21"/>
                      <w:lang w:val="en-US" w:eastAsia="zh-CN"/>
                    </w:rPr>
                    <w:t>5</w:t>
                  </w:r>
                </w:p>
              </w:tc>
              <w:tc>
                <w:tcPr>
                  <w:tcW w:w="696" w:type="pct"/>
                  <w:noWrap w:val="0"/>
                  <w:vAlign w:val="center"/>
                </w:tcPr>
                <w:p w14:paraId="04434B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达标</w:t>
                  </w:r>
                </w:p>
              </w:tc>
            </w:tr>
            <w:tr w14:paraId="48A0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jc w:val="center"/>
              </w:trPr>
              <w:tc>
                <w:tcPr>
                  <w:tcW w:w="5000" w:type="pct"/>
                  <w:gridSpan w:val="8"/>
                  <w:noWrap w:val="0"/>
                  <w:vAlign w:val="center"/>
                </w:tcPr>
                <w:p w14:paraId="39A8AE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注：表中坐标以厂界中心为坐标原点，正东向为X轴正方向，正北向为Y轴正方向。</w:t>
                  </w:r>
                </w:p>
              </w:tc>
            </w:tr>
          </w:tbl>
          <w:p w14:paraId="239D8266">
            <w:pPr>
              <w:keepNext w:val="0"/>
              <w:keepLines w:val="0"/>
              <w:pageBreakBefore w:val="0"/>
              <w:widowControl w:val="0"/>
              <w:tabs>
                <w:tab w:val="left" w:pos="2768"/>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color w:val="auto"/>
                <w:sz w:val="24"/>
                <w:szCs w:val="24"/>
              </w:rPr>
              <w:t>由表</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1</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rPr>
              <w:t>可知，本项目运营期主要噪声源对厂界</w:t>
            </w:r>
            <w:r>
              <w:rPr>
                <w:rFonts w:hint="eastAsia" w:cs="Times New Roman"/>
                <w:color w:val="auto"/>
                <w:sz w:val="24"/>
                <w:szCs w:val="24"/>
                <w:lang w:val="en-US" w:eastAsia="zh-CN"/>
              </w:rPr>
              <w:t>四周</w:t>
            </w:r>
            <w:r>
              <w:rPr>
                <w:rFonts w:hint="default" w:ascii="Times New Roman" w:hAnsi="Times New Roman" w:eastAsia="宋体" w:cs="Times New Roman"/>
                <w:color w:val="auto"/>
                <w:sz w:val="24"/>
                <w:szCs w:val="24"/>
              </w:rPr>
              <w:t>的噪声</w:t>
            </w:r>
            <w:r>
              <w:rPr>
                <w:rFonts w:hint="default" w:ascii="Times New Roman" w:hAnsi="Times New Roman" w:eastAsia="宋体" w:cs="Times New Roman"/>
                <w:color w:val="auto"/>
                <w:sz w:val="24"/>
                <w:szCs w:val="24"/>
                <w:lang w:eastAsia="zh-CN"/>
              </w:rPr>
              <w:t>预测值</w:t>
            </w:r>
            <w:r>
              <w:rPr>
                <w:rFonts w:hint="default" w:ascii="Times New Roman" w:hAnsi="Times New Roman" w:eastAsia="宋体" w:cs="Times New Roman"/>
                <w:color w:val="auto"/>
                <w:sz w:val="24"/>
                <w:szCs w:val="24"/>
              </w:rPr>
              <w:t>满足</w:t>
            </w:r>
            <w:r>
              <w:rPr>
                <w:rFonts w:hint="eastAsia" w:cs="Times New Roman"/>
                <w:color w:val="auto"/>
                <w:sz w:val="24"/>
                <w:szCs w:val="24"/>
                <w:lang w:eastAsia="zh-CN"/>
              </w:rPr>
              <w:t>《</w:t>
            </w:r>
            <w:r>
              <w:rPr>
                <w:rFonts w:hint="eastAsia" w:cs="Times New Roman"/>
                <w:color w:val="auto"/>
                <w:sz w:val="24"/>
                <w:szCs w:val="24"/>
                <w:lang w:val="en-US" w:eastAsia="zh-CN"/>
              </w:rPr>
              <w:t>工业企业厂界环境噪声排放标准</w:t>
            </w:r>
            <w:r>
              <w:rPr>
                <w:rFonts w:hint="eastAsia" w:cs="Times New Roman"/>
                <w:color w:val="auto"/>
                <w:sz w:val="24"/>
                <w:szCs w:val="24"/>
                <w:lang w:eastAsia="zh-CN"/>
              </w:rPr>
              <w:t>》（GB</w:t>
            </w:r>
            <w:r>
              <w:rPr>
                <w:rFonts w:hint="eastAsia" w:cs="Times New Roman"/>
                <w:color w:val="auto"/>
                <w:sz w:val="24"/>
                <w:szCs w:val="24"/>
                <w:lang w:val="en-US" w:eastAsia="zh-CN"/>
              </w:rPr>
              <w:t>12348</w:t>
            </w:r>
            <w:r>
              <w:rPr>
                <w:rFonts w:hint="eastAsia" w:cs="Times New Roman"/>
                <w:color w:val="auto"/>
                <w:sz w:val="24"/>
                <w:szCs w:val="24"/>
                <w:lang w:eastAsia="zh-CN"/>
              </w:rPr>
              <w:t>-2008）</w:t>
            </w:r>
            <w:r>
              <w:rPr>
                <w:rFonts w:hint="default" w:ascii="Times New Roman" w:hAnsi="Times New Roman" w:eastAsia="宋体" w:cs="Times New Roman"/>
                <w:color w:val="auto"/>
                <w:sz w:val="24"/>
                <w:szCs w:val="24"/>
              </w:rPr>
              <w:t>中</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类标准昼间</w:t>
            </w:r>
            <w:r>
              <w:rPr>
                <w:rFonts w:hint="eastAsia" w:ascii="Times New Roman" w:hAnsi="Times New Roman" w:eastAsia="宋体" w:cs="Times New Roman"/>
                <w:color w:val="auto"/>
                <w:sz w:val="24"/>
                <w:szCs w:val="24"/>
                <w:lang w:val="en-US" w:eastAsia="zh-CN"/>
              </w:rPr>
              <w:t>6</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rPr>
              <w:t>dB(A)</w:t>
            </w:r>
            <w:r>
              <w:rPr>
                <w:rFonts w:hint="eastAsia" w:ascii="Times New Roman" w:hAnsi="Times New Roman" w:eastAsia="宋体" w:cs="Times New Roman"/>
                <w:color w:val="auto"/>
                <w:sz w:val="24"/>
                <w:szCs w:val="24"/>
                <w:lang w:val="en-US" w:eastAsia="zh-CN"/>
              </w:rPr>
              <w:t>夜</w:t>
            </w:r>
            <w:r>
              <w:rPr>
                <w:rFonts w:hint="default" w:ascii="Times New Roman" w:hAnsi="Times New Roman" w:eastAsia="宋体" w:cs="Times New Roman"/>
                <w:color w:val="auto"/>
                <w:sz w:val="24"/>
                <w:szCs w:val="24"/>
              </w:rPr>
              <w:t>间</w:t>
            </w:r>
            <w:r>
              <w:rPr>
                <w:rFonts w:hint="eastAsia" w:ascii="Times New Roman" w:hAnsi="Times New Roman" w:eastAsia="宋体" w:cs="Times New Roman"/>
                <w:color w:val="auto"/>
                <w:sz w:val="24"/>
                <w:szCs w:val="24"/>
                <w:lang w:val="en-US" w:eastAsia="zh-CN"/>
              </w:rPr>
              <w:t>5</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rPr>
              <w:t>dB(A)的要求。</w:t>
            </w:r>
          </w:p>
          <w:p w14:paraId="208BE680">
            <w:pPr>
              <w:keepNext w:val="0"/>
              <w:keepLines w:val="0"/>
              <w:pageBreakBefore w:val="0"/>
              <w:widowControl w:val="0"/>
              <w:tabs>
                <w:tab w:val="left" w:pos="2768"/>
              </w:tabs>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4"/>
                <w:highlight w:val="yellow"/>
              </w:rPr>
            </w:pPr>
            <w:r>
              <w:rPr>
                <w:rFonts w:hint="default" w:ascii="Times New Roman" w:hAnsi="Times New Roman" w:eastAsia="宋体" w:cs="Times New Roman"/>
                <w:b/>
                <w:bCs/>
                <w:color w:val="auto"/>
                <w:kern w:val="2"/>
                <w:sz w:val="21"/>
                <w:szCs w:val="24"/>
                <w:highlight w:val="none"/>
                <w:lang w:val="en-US" w:eastAsia="zh-CN" w:bidi="ar-SA"/>
              </w:rPr>
              <w:t>表4-</w:t>
            </w:r>
            <w:r>
              <w:rPr>
                <w:rFonts w:hint="eastAsia" w:ascii="Times New Roman" w:hAnsi="Times New Roman" w:eastAsia="宋体" w:cs="Times New Roman"/>
                <w:b/>
                <w:bCs/>
                <w:color w:val="auto"/>
                <w:kern w:val="2"/>
                <w:sz w:val="21"/>
                <w:szCs w:val="24"/>
                <w:highlight w:val="none"/>
                <w:lang w:val="en-US" w:eastAsia="zh-CN" w:bidi="ar-SA"/>
              </w:rPr>
              <w:t>1</w:t>
            </w:r>
            <w:r>
              <w:rPr>
                <w:rFonts w:hint="eastAsia" w:cs="Times New Roman"/>
                <w:b/>
                <w:bCs/>
                <w:color w:val="auto"/>
                <w:kern w:val="2"/>
                <w:sz w:val="21"/>
                <w:szCs w:val="24"/>
                <w:highlight w:val="none"/>
                <w:lang w:val="en-US" w:eastAsia="zh-CN" w:bidi="ar-SA"/>
              </w:rPr>
              <w:t>3</w:t>
            </w:r>
            <w:r>
              <w:rPr>
                <w:rFonts w:hint="default" w:ascii="Times New Roman" w:hAnsi="Times New Roman" w:eastAsia="宋体" w:cs="Times New Roman"/>
                <w:b/>
                <w:bCs/>
                <w:color w:val="auto"/>
                <w:kern w:val="2"/>
                <w:sz w:val="21"/>
                <w:szCs w:val="24"/>
                <w:highlight w:val="none"/>
                <w:lang w:val="en-US" w:eastAsia="zh-CN" w:bidi="ar-SA"/>
              </w:rPr>
              <w:t xml:space="preserve"> </w:t>
            </w:r>
            <w:r>
              <w:rPr>
                <w:rFonts w:hint="eastAsia" w:cs="Times New Roman"/>
                <w:b/>
                <w:bCs/>
                <w:color w:val="auto"/>
                <w:kern w:val="2"/>
                <w:sz w:val="21"/>
                <w:szCs w:val="24"/>
                <w:highlight w:val="none"/>
                <w:lang w:val="en-US" w:eastAsia="zh-CN" w:bidi="ar-SA"/>
              </w:rPr>
              <w:t>声环境保护目标敏感点</w:t>
            </w:r>
            <w:r>
              <w:rPr>
                <w:rFonts w:hint="default" w:ascii="Times New Roman" w:hAnsi="Times New Roman" w:eastAsia="宋体" w:cs="Times New Roman"/>
                <w:b/>
                <w:bCs/>
                <w:color w:val="auto"/>
                <w:kern w:val="2"/>
                <w:sz w:val="21"/>
                <w:szCs w:val="24"/>
                <w:highlight w:val="none"/>
                <w:lang w:val="en-US" w:eastAsia="zh-CN" w:bidi="ar-SA"/>
              </w:rPr>
              <w:t>噪声预测值</w:t>
            </w:r>
            <w:r>
              <w:rPr>
                <w:rFonts w:hint="eastAsia" w:ascii="Times New Roman" w:hAnsi="Times New Roman" w:eastAsia="宋体" w:cs="Times New Roman"/>
                <w:b/>
                <w:bCs/>
                <w:color w:val="auto"/>
                <w:kern w:val="2"/>
                <w:sz w:val="21"/>
                <w:szCs w:val="24"/>
                <w:highlight w:val="none"/>
                <w:lang w:val="en-US" w:eastAsia="zh-CN" w:bidi="ar-SA"/>
              </w:rPr>
              <w:t xml:space="preserve">      </w:t>
            </w:r>
            <w:r>
              <w:rPr>
                <w:rFonts w:hint="default" w:ascii="Times New Roman" w:hAnsi="Times New Roman" w:eastAsia="宋体" w:cs="Times New Roman"/>
                <w:b/>
                <w:bCs/>
                <w:color w:val="auto"/>
                <w:kern w:val="2"/>
                <w:sz w:val="21"/>
                <w:szCs w:val="24"/>
                <w:highlight w:val="none"/>
                <w:lang w:val="en-US" w:eastAsia="zh-CN" w:bidi="ar-SA"/>
              </w:rPr>
              <w:t>（dB（A））</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5"/>
              <w:gridCol w:w="957"/>
              <w:gridCol w:w="957"/>
              <w:gridCol w:w="577"/>
              <w:gridCol w:w="618"/>
              <w:gridCol w:w="823"/>
              <w:gridCol w:w="831"/>
              <w:gridCol w:w="831"/>
              <w:gridCol w:w="995"/>
              <w:gridCol w:w="996"/>
            </w:tblGrid>
            <w:tr w14:paraId="355F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995" w:type="dxa"/>
                  <w:vMerge w:val="restart"/>
                  <w:noWrap w:val="0"/>
                  <w:vAlign w:val="center"/>
                </w:tcPr>
                <w:p w14:paraId="442F4D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预测方位</w:t>
                  </w:r>
                </w:p>
              </w:tc>
              <w:tc>
                <w:tcPr>
                  <w:tcW w:w="2491" w:type="dxa"/>
                  <w:gridSpan w:val="3"/>
                  <w:noWrap w:val="0"/>
                  <w:vAlign w:val="center"/>
                </w:tcPr>
                <w:p w14:paraId="2069B7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lang w:val="en-US" w:eastAsia="zh-CN"/>
                    </w:rPr>
                    <w:t>最大值点</w:t>
                  </w:r>
                  <w:r>
                    <w:rPr>
                      <w:rFonts w:hint="default" w:ascii="Times New Roman" w:hAnsi="Times New Roman" w:eastAsia="宋体" w:cs="Times New Roman"/>
                      <w:b w:val="0"/>
                      <w:bCs/>
                      <w:color w:val="auto"/>
                      <w:sz w:val="21"/>
                      <w:szCs w:val="21"/>
                    </w:rPr>
                    <w:t>空间相对位置/m</w:t>
                  </w:r>
                </w:p>
              </w:tc>
              <w:tc>
                <w:tcPr>
                  <w:tcW w:w="618" w:type="dxa"/>
                  <w:vMerge w:val="restart"/>
                  <w:noWrap w:val="0"/>
                  <w:vAlign w:val="center"/>
                </w:tcPr>
                <w:p w14:paraId="059698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时段</w:t>
                  </w:r>
                </w:p>
              </w:tc>
              <w:tc>
                <w:tcPr>
                  <w:tcW w:w="823" w:type="dxa"/>
                  <w:vMerge w:val="restart"/>
                  <w:noWrap w:val="0"/>
                  <w:vAlign w:val="center"/>
                </w:tcPr>
                <w:p w14:paraId="110970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背景值</w:t>
                  </w:r>
                </w:p>
              </w:tc>
              <w:tc>
                <w:tcPr>
                  <w:tcW w:w="831" w:type="dxa"/>
                  <w:vMerge w:val="restart"/>
                  <w:noWrap w:val="0"/>
                  <w:vAlign w:val="center"/>
                </w:tcPr>
                <w:p w14:paraId="4CADD8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贡献值</w:t>
                  </w:r>
                </w:p>
              </w:tc>
              <w:tc>
                <w:tcPr>
                  <w:tcW w:w="831" w:type="dxa"/>
                  <w:vMerge w:val="restart"/>
                  <w:noWrap w:val="0"/>
                  <w:vAlign w:val="center"/>
                </w:tcPr>
                <w:p w14:paraId="42D795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叠加值</w:t>
                  </w:r>
                </w:p>
              </w:tc>
              <w:tc>
                <w:tcPr>
                  <w:tcW w:w="995" w:type="dxa"/>
                  <w:vMerge w:val="restart"/>
                  <w:noWrap w:val="0"/>
                  <w:vAlign w:val="center"/>
                </w:tcPr>
                <w:p w14:paraId="598D0F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标准限值</w:t>
                  </w:r>
                </w:p>
              </w:tc>
              <w:tc>
                <w:tcPr>
                  <w:tcW w:w="995" w:type="dxa"/>
                  <w:vMerge w:val="restart"/>
                  <w:noWrap w:val="0"/>
                  <w:vAlign w:val="center"/>
                </w:tcPr>
                <w:p w14:paraId="209505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达标情况</w:t>
                  </w:r>
                </w:p>
              </w:tc>
            </w:tr>
            <w:tr w14:paraId="6827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95" w:type="dxa"/>
                  <w:vMerge w:val="continue"/>
                  <w:noWrap w:val="0"/>
                  <w:vAlign w:val="center"/>
                </w:tcPr>
                <w:p w14:paraId="188091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957" w:type="dxa"/>
                  <w:noWrap w:val="0"/>
                  <w:vAlign w:val="center"/>
                </w:tcPr>
                <w:p w14:paraId="785B84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X</w:t>
                  </w:r>
                </w:p>
              </w:tc>
              <w:tc>
                <w:tcPr>
                  <w:tcW w:w="957" w:type="dxa"/>
                  <w:noWrap w:val="0"/>
                  <w:vAlign w:val="center"/>
                </w:tcPr>
                <w:p w14:paraId="513D91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Y</w:t>
                  </w:r>
                </w:p>
              </w:tc>
              <w:tc>
                <w:tcPr>
                  <w:tcW w:w="577" w:type="dxa"/>
                  <w:noWrap w:val="0"/>
                  <w:vAlign w:val="center"/>
                </w:tcPr>
                <w:p w14:paraId="3A6C68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Z</w:t>
                  </w:r>
                </w:p>
              </w:tc>
              <w:tc>
                <w:tcPr>
                  <w:tcW w:w="618" w:type="dxa"/>
                  <w:vMerge w:val="continue"/>
                  <w:noWrap w:val="0"/>
                  <w:vAlign w:val="center"/>
                </w:tcPr>
                <w:p w14:paraId="132D60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23" w:type="dxa"/>
                  <w:vMerge w:val="continue"/>
                  <w:noWrap w:val="0"/>
                  <w:vAlign w:val="center"/>
                </w:tcPr>
                <w:p w14:paraId="2D42F6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31" w:type="dxa"/>
                  <w:vMerge w:val="continue"/>
                  <w:noWrap w:val="0"/>
                  <w:vAlign w:val="center"/>
                </w:tcPr>
                <w:p w14:paraId="5ECA2E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831" w:type="dxa"/>
                  <w:vMerge w:val="continue"/>
                  <w:noWrap w:val="0"/>
                  <w:vAlign w:val="center"/>
                </w:tcPr>
                <w:p w14:paraId="6AD6FB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995" w:type="dxa"/>
                  <w:vMerge w:val="continue"/>
                  <w:noWrap w:val="0"/>
                  <w:vAlign w:val="center"/>
                </w:tcPr>
                <w:p w14:paraId="277134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c>
                <w:tcPr>
                  <w:tcW w:w="995" w:type="dxa"/>
                  <w:vMerge w:val="continue"/>
                  <w:noWrap w:val="0"/>
                  <w:vAlign w:val="center"/>
                </w:tcPr>
                <w:p w14:paraId="2CEAD8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p>
              </w:tc>
            </w:tr>
            <w:tr w14:paraId="6333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995" w:type="dxa"/>
                  <w:vMerge w:val="restart"/>
                  <w:noWrap w:val="0"/>
                  <w:vAlign w:val="center"/>
                </w:tcPr>
                <w:p w14:paraId="5BFFDA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常平村</w:t>
                  </w:r>
                </w:p>
              </w:tc>
              <w:tc>
                <w:tcPr>
                  <w:tcW w:w="957" w:type="dxa"/>
                  <w:noWrap w:val="0"/>
                  <w:vAlign w:val="center"/>
                </w:tcPr>
                <w:p w14:paraId="784957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265.53</w:t>
                  </w:r>
                </w:p>
              </w:tc>
              <w:tc>
                <w:tcPr>
                  <w:tcW w:w="957" w:type="dxa"/>
                  <w:noWrap w:val="0"/>
                  <w:vAlign w:val="center"/>
                </w:tcPr>
                <w:p w14:paraId="68F4DE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234.77</w:t>
                  </w:r>
                </w:p>
              </w:tc>
              <w:tc>
                <w:tcPr>
                  <w:tcW w:w="577" w:type="dxa"/>
                  <w:noWrap w:val="0"/>
                  <w:vAlign w:val="center"/>
                </w:tcPr>
                <w:p w14:paraId="43A8CD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1.2</w:t>
                  </w:r>
                </w:p>
              </w:tc>
              <w:tc>
                <w:tcPr>
                  <w:tcW w:w="618" w:type="dxa"/>
                  <w:noWrap w:val="0"/>
                  <w:vAlign w:val="center"/>
                </w:tcPr>
                <w:p w14:paraId="0C8EA8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昼间</w:t>
                  </w:r>
                </w:p>
              </w:tc>
              <w:tc>
                <w:tcPr>
                  <w:tcW w:w="823" w:type="dxa"/>
                  <w:noWrap w:val="0"/>
                  <w:vAlign w:val="center"/>
                </w:tcPr>
                <w:p w14:paraId="5F70E8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58.6</w:t>
                  </w:r>
                </w:p>
              </w:tc>
              <w:tc>
                <w:tcPr>
                  <w:tcW w:w="831" w:type="dxa"/>
                  <w:noWrap w:val="0"/>
                  <w:vAlign w:val="center"/>
                </w:tcPr>
                <w:p w14:paraId="3682AB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38.71</w:t>
                  </w:r>
                </w:p>
              </w:tc>
              <w:tc>
                <w:tcPr>
                  <w:tcW w:w="831" w:type="dxa"/>
                  <w:noWrap w:val="0"/>
                  <w:vAlign w:val="center"/>
                </w:tcPr>
                <w:p w14:paraId="5DA31A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58.66</w:t>
                  </w:r>
                </w:p>
              </w:tc>
              <w:tc>
                <w:tcPr>
                  <w:tcW w:w="995" w:type="dxa"/>
                  <w:noWrap w:val="0"/>
                  <w:vAlign w:val="center"/>
                </w:tcPr>
                <w:p w14:paraId="3F039B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60</w:t>
                  </w:r>
                </w:p>
              </w:tc>
              <w:tc>
                <w:tcPr>
                  <w:tcW w:w="995" w:type="dxa"/>
                  <w:noWrap w:val="0"/>
                  <w:vAlign w:val="center"/>
                </w:tcPr>
                <w:p w14:paraId="1A7583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达标</w:t>
                  </w:r>
                </w:p>
              </w:tc>
            </w:tr>
            <w:tr w14:paraId="700AF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995" w:type="dxa"/>
                  <w:vMerge w:val="continue"/>
                  <w:noWrap w:val="0"/>
                  <w:vAlign w:val="center"/>
                </w:tcPr>
                <w:p w14:paraId="678634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东侧</w:t>
                  </w:r>
                </w:p>
              </w:tc>
              <w:tc>
                <w:tcPr>
                  <w:tcW w:w="957" w:type="dxa"/>
                  <w:noWrap w:val="0"/>
                  <w:vAlign w:val="center"/>
                </w:tcPr>
                <w:p w14:paraId="0975E0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265.53</w:t>
                  </w:r>
                </w:p>
              </w:tc>
              <w:tc>
                <w:tcPr>
                  <w:tcW w:w="957" w:type="dxa"/>
                  <w:noWrap w:val="0"/>
                  <w:vAlign w:val="center"/>
                </w:tcPr>
                <w:p w14:paraId="0DFCD8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234.77</w:t>
                  </w:r>
                </w:p>
              </w:tc>
              <w:tc>
                <w:tcPr>
                  <w:tcW w:w="577" w:type="dxa"/>
                  <w:noWrap w:val="0"/>
                  <w:vAlign w:val="center"/>
                </w:tcPr>
                <w:p w14:paraId="248D7E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1.2</w:t>
                  </w:r>
                </w:p>
              </w:tc>
              <w:tc>
                <w:tcPr>
                  <w:tcW w:w="618" w:type="dxa"/>
                  <w:noWrap w:val="0"/>
                  <w:vAlign w:val="center"/>
                </w:tcPr>
                <w:p w14:paraId="6879FE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eastAsia="zh-CN"/>
                    </w:rPr>
                  </w:pPr>
                  <w:r>
                    <w:rPr>
                      <w:rFonts w:hint="eastAsia" w:ascii="Times New Roman" w:hAnsi="Times New Roman" w:eastAsia="宋体" w:cs="Times New Roman"/>
                      <w:b w:val="0"/>
                      <w:bCs/>
                      <w:color w:val="auto"/>
                      <w:sz w:val="21"/>
                      <w:szCs w:val="21"/>
                      <w:lang w:val="en-US" w:eastAsia="zh-CN"/>
                    </w:rPr>
                    <w:t>夜间</w:t>
                  </w:r>
                </w:p>
              </w:tc>
              <w:tc>
                <w:tcPr>
                  <w:tcW w:w="823" w:type="dxa"/>
                  <w:noWrap w:val="0"/>
                  <w:vAlign w:val="center"/>
                </w:tcPr>
                <w:p w14:paraId="7ED5EE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43.8</w:t>
                  </w:r>
                </w:p>
              </w:tc>
              <w:tc>
                <w:tcPr>
                  <w:tcW w:w="831" w:type="dxa"/>
                  <w:noWrap w:val="0"/>
                  <w:vAlign w:val="center"/>
                </w:tcPr>
                <w:p w14:paraId="535A76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38.71</w:t>
                  </w:r>
                </w:p>
              </w:tc>
              <w:tc>
                <w:tcPr>
                  <w:tcW w:w="831" w:type="dxa"/>
                  <w:noWrap w:val="0"/>
                  <w:vAlign w:val="center"/>
                </w:tcPr>
                <w:p w14:paraId="77504E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45.4</w:t>
                  </w:r>
                </w:p>
              </w:tc>
              <w:tc>
                <w:tcPr>
                  <w:tcW w:w="995" w:type="dxa"/>
                  <w:noWrap w:val="0"/>
                  <w:vAlign w:val="center"/>
                </w:tcPr>
                <w:p w14:paraId="34C5D0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50</w:t>
                  </w:r>
                </w:p>
              </w:tc>
              <w:tc>
                <w:tcPr>
                  <w:tcW w:w="995" w:type="dxa"/>
                  <w:noWrap w:val="0"/>
                  <w:vAlign w:val="center"/>
                </w:tcPr>
                <w:p w14:paraId="320F57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达标</w:t>
                  </w:r>
                </w:p>
              </w:tc>
            </w:tr>
            <w:tr w14:paraId="29E4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jc w:val="center"/>
              </w:trPr>
              <w:tc>
                <w:tcPr>
                  <w:tcW w:w="8580" w:type="dxa"/>
                  <w:gridSpan w:val="10"/>
                  <w:noWrap w:val="0"/>
                  <w:vAlign w:val="center"/>
                </w:tcPr>
                <w:p w14:paraId="546A0C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注：表中坐标以厂界中心为坐标原点，正东向为X轴正方向，正北向为Y轴正方向。</w:t>
                  </w:r>
                </w:p>
              </w:tc>
            </w:tr>
          </w:tbl>
          <w:p w14:paraId="0B290186">
            <w:pPr>
              <w:keepNext w:val="0"/>
              <w:keepLines w:val="0"/>
              <w:pageBreakBefore w:val="0"/>
              <w:widowControl w:val="0"/>
              <w:tabs>
                <w:tab w:val="left" w:pos="2768"/>
              </w:tabs>
              <w:kinsoku/>
              <w:wordWrap/>
              <w:overflowPunct/>
              <w:topLinePunct w:val="0"/>
              <w:bidi w:val="0"/>
              <w:snapToGrid/>
              <w:spacing w:line="360" w:lineRule="auto"/>
              <w:ind w:firstLine="480" w:firstLineChars="200"/>
              <w:textAlignment w:val="auto"/>
              <w:rPr>
                <w:rFonts w:hint="eastAsia" w:ascii="Times New Roman" w:hAnsi="Times New Roman" w:eastAsia="宋体" w:cs="宋体"/>
                <w:b/>
                <w:bCs/>
                <w:color w:val="auto"/>
                <w:sz w:val="24"/>
                <w:lang w:val="en-US" w:eastAsia="zh-CN"/>
              </w:rPr>
            </w:pPr>
            <w:r>
              <w:rPr>
                <w:rFonts w:hint="default" w:ascii="Times New Roman" w:hAnsi="Times New Roman" w:eastAsia="宋体" w:cs="Times New Roman"/>
                <w:color w:val="auto"/>
                <w:sz w:val="24"/>
                <w:szCs w:val="24"/>
              </w:rPr>
              <w:t>由表</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1</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可知，本项目主要噪声源对</w:t>
            </w:r>
            <w:r>
              <w:rPr>
                <w:rFonts w:hint="eastAsia" w:ascii="Times New Roman" w:hAnsi="Times New Roman" w:cs="Times New Roman"/>
                <w:color w:val="auto"/>
                <w:sz w:val="24"/>
                <w:szCs w:val="24"/>
                <w:lang w:val="en-US" w:eastAsia="zh-CN"/>
              </w:rPr>
              <w:t>声环境保护目标敏感点</w:t>
            </w:r>
            <w:r>
              <w:rPr>
                <w:rFonts w:hint="default" w:ascii="Times New Roman" w:hAnsi="Times New Roman" w:eastAsia="宋体" w:cs="Times New Roman"/>
                <w:color w:val="auto"/>
                <w:sz w:val="24"/>
                <w:szCs w:val="24"/>
              </w:rPr>
              <w:t>的噪声</w:t>
            </w:r>
            <w:r>
              <w:rPr>
                <w:rFonts w:hint="default" w:ascii="Times New Roman" w:hAnsi="Times New Roman" w:eastAsia="宋体" w:cs="Times New Roman"/>
                <w:color w:val="auto"/>
                <w:sz w:val="24"/>
                <w:szCs w:val="24"/>
                <w:lang w:eastAsia="zh-CN"/>
              </w:rPr>
              <w:t>预测值</w:t>
            </w:r>
            <w:r>
              <w:rPr>
                <w:rFonts w:hint="default" w:ascii="Times New Roman" w:hAnsi="Times New Roman" w:eastAsia="宋体" w:cs="Times New Roman"/>
                <w:color w:val="auto"/>
                <w:sz w:val="24"/>
                <w:szCs w:val="24"/>
              </w:rPr>
              <w:t>满足</w:t>
            </w:r>
            <w:r>
              <w:rPr>
                <w:rFonts w:hint="eastAsia" w:ascii="Times New Roman" w:hAnsi="Times New Roman" w:cs="Times New Roman"/>
                <w:color w:val="auto"/>
                <w:sz w:val="24"/>
                <w:szCs w:val="24"/>
                <w:lang w:eastAsia="zh-CN"/>
              </w:rPr>
              <w:t>《声环境质量标准》（GB3096-2008）</w:t>
            </w:r>
            <w:r>
              <w:rPr>
                <w:rFonts w:hint="default" w:ascii="Times New Roman" w:hAnsi="Times New Roman" w:eastAsia="宋体" w:cs="Times New Roman"/>
                <w:color w:val="auto"/>
                <w:sz w:val="24"/>
                <w:szCs w:val="24"/>
              </w:rPr>
              <w:t>中</w:t>
            </w:r>
            <w:r>
              <w:rPr>
                <w:rFonts w:hint="eastAsia" w:ascii="Times New Roman" w:hAnsi="Times New Roman" w:cs="Times New Roman"/>
                <w:color w:val="auto"/>
                <w:sz w:val="24"/>
                <w:szCs w:val="24"/>
                <w:lang w:val="en-US" w:eastAsia="zh-CN"/>
              </w:rPr>
              <w:t>2</w:t>
            </w:r>
            <w:r>
              <w:rPr>
                <w:rFonts w:hint="default" w:ascii="Times New Roman" w:hAnsi="Times New Roman" w:eastAsia="宋体" w:cs="Times New Roman"/>
                <w:color w:val="auto"/>
                <w:sz w:val="24"/>
                <w:szCs w:val="24"/>
              </w:rPr>
              <w:t>类标准昼间</w:t>
            </w:r>
            <w:r>
              <w:rPr>
                <w:rFonts w:hint="eastAsia" w:ascii="Times New Roman" w:hAnsi="Times New Roman" w:cs="Times New Roman"/>
                <w:color w:val="auto"/>
                <w:sz w:val="24"/>
                <w:szCs w:val="24"/>
                <w:lang w:val="en-US" w:eastAsia="zh-CN"/>
              </w:rPr>
              <w:t>6</w:t>
            </w:r>
            <w:r>
              <w:rPr>
                <w:rFonts w:hint="eastAsia" w:ascii="Times New Roman" w:hAnsi="Times New Roman" w:eastAsia="宋体" w:cs="Times New Roman"/>
                <w:color w:val="auto"/>
                <w:sz w:val="24"/>
                <w:szCs w:val="24"/>
                <w:lang w:val="en-US" w:eastAsia="zh-CN"/>
              </w:rPr>
              <w:t>0</w:t>
            </w:r>
            <w:r>
              <w:rPr>
                <w:rFonts w:hint="default" w:ascii="Times New Roman" w:hAnsi="Times New Roman" w:eastAsia="宋体" w:cs="Times New Roman"/>
                <w:color w:val="auto"/>
                <w:sz w:val="24"/>
                <w:szCs w:val="24"/>
              </w:rPr>
              <w:t>dB(A)</w:t>
            </w:r>
            <w:r>
              <w:rPr>
                <w:rFonts w:hint="eastAsia" w:ascii="Times New Roman" w:hAnsi="Times New Roman" w:eastAsia="宋体" w:cs="Times New Roman"/>
                <w:color w:val="auto"/>
                <w:sz w:val="24"/>
                <w:szCs w:val="24"/>
                <w:lang w:val="en-US" w:eastAsia="zh-CN"/>
              </w:rPr>
              <w:t>夜</w:t>
            </w:r>
            <w:r>
              <w:rPr>
                <w:rFonts w:hint="default" w:ascii="Times New Roman" w:hAnsi="Times New Roman" w:eastAsia="宋体" w:cs="Times New Roman"/>
                <w:color w:val="auto"/>
                <w:sz w:val="24"/>
                <w:szCs w:val="24"/>
              </w:rPr>
              <w:t>间</w:t>
            </w:r>
            <w:r>
              <w:rPr>
                <w:rFonts w:hint="eastAsia" w:ascii="Times New Roman" w:hAnsi="Times New Roman" w:eastAsia="宋体" w:cs="Times New Roman"/>
                <w:color w:val="auto"/>
                <w:sz w:val="24"/>
                <w:szCs w:val="24"/>
                <w:lang w:val="en-US" w:eastAsia="zh-CN"/>
              </w:rPr>
              <w:t>5</w:t>
            </w:r>
            <w:r>
              <w:rPr>
                <w:rFonts w:hint="eastAsia" w:ascii="Times New Roman" w:hAnsi="Times New Roman" w:cs="Times New Roman"/>
                <w:color w:val="auto"/>
                <w:sz w:val="24"/>
                <w:szCs w:val="24"/>
                <w:lang w:val="en-US" w:eastAsia="zh-CN"/>
              </w:rPr>
              <w:t>0</w:t>
            </w:r>
            <w:r>
              <w:rPr>
                <w:rFonts w:hint="default" w:ascii="Times New Roman" w:hAnsi="Times New Roman" w:eastAsia="宋体" w:cs="Times New Roman"/>
                <w:color w:val="auto"/>
                <w:sz w:val="24"/>
                <w:szCs w:val="24"/>
              </w:rPr>
              <w:t>dB(A)的要求。</w:t>
            </w:r>
          </w:p>
          <w:p w14:paraId="43CA7389">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2" w:firstLineChars="200"/>
              <w:textAlignment w:val="auto"/>
              <w:rPr>
                <w:rFonts w:hint="eastAsia" w:ascii="Times New Roman" w:hAnsi="Times New Roman" w:eastAsia="宋体" w:cs="宋体"/>
                <w:b/>
                <w:bCs/>
                <w:color w:val="auto"/>
                <w:sz w:val="24"/>
                <w:lang w:val="en-US" w:eastAsia="zh-CN"/>
              </w:rPr>
            </w:pPr>
            <w:r>
              <w:rPr>
                <w:rFonts w:hint="eastAsia" w:ascii="Times New Roman" w:hAnsi="Times New Roman" w:eastAsia="宋体" w:cs="宋体"/>
                <w:b/>
                <w:bCs/>
                <w:color w:val="auto"/>
                <w:sz w:val="24"/>
                <w:lang w:val="en-US" w:eastAsia="zh-CN"/>
              </w:rPr>
              <w:t>厂外运输对沿线保护目标的影响分析及保护措施</w:t>
            </w:r>
          </w:p>
          <w:p w14:paraId="652DDA0F">
            <w:pPr>
              <w:keepNext w:val="0"/>
              <w:keepLines w:val="0"/>
              <w:pageBreakBefore w:val="0"/>
              <w:widowControl w:val="0"/>
              <w:kinsoku/>
              <w:wordWrap/>
              <w:overflowPunct/>
              <w:topLinePunct w:val="0"/>
              <w:bidi w:val="0"/>
              <w:snapToGrid/>
              <w:spacing w:line="360" w:lineRule="auto"/>
              <w:ind w:firstLine="482" w:firstLineChars="200"/>
              <w:textAlignment w:val="auto"/>
              <w:rPr>
                <w:rFonts w:ascii="Times New Roman" w:hAnsi="Times New Roman"/>
                <w:color w:val="auto"/>
                <w:sz w:val="24"/>
                <w:highlight w:val="none"/>
              </w:rPr>
            </w:pPr>
            <w:r>
              <w:rPr>
                <w:rFonts w:hint="eastAsia" w:ascii="Times New Roman" w:hAnsi="Times New Roman"/>
                <w:b/>
                <w:bCs/>
                <w:color w:val="auto"/>
                <w:sz w:val="24"/>
                <w:highlight w:val="none"/>
                <w:lang w:val="en-US" w:eastAsia="zh-CN"/>
              </w:rPr>
              <w:t>影响分析：</w:t>
            </w:r>
            <w:r>
              <w:rPr>
                <w:rFonts w:hint="eastAsia" w:ascii="Times New Roman" w:hAnsi="Times New Roman"/>
                <w:color w:val="auto"/>
                <w:sz w:val="24"/>
                <w:highlight w:val="none"/>
                <w:lang w:val="en-US" w:eastAsia="zh-CN"/>
              </w:rPr>
              <w:t>运输车辆行驶时会因路况、地形等原因产生不可避免的自发噪声，噪声大但持续时间短，</w:t>
            </w:r>
            <w:r>
              <w:rPr>
                <w:rFonts w:hint="eastAsia" w:ascii="Times New Roman" w:hAnsi="Times New Roman" w:eastAsia="宋体" w:cs="Times New Roman"/>
                <w:color w:val="auto"/>
                <w:kern w:val="2"/>
                <w:sz w:val="24"/>
                <w:szCs w:val="24"/>
                <w:highlight w:val="none"/>
                <w:lang w:val="en-US" w:eastAsia="zh-CN" w:bidi="ar-SA"/>
              </w:rPr>
              <w:t>即仅在车辆经过的时间段内对道路两侧一定范围内的人群产生影响，随车辆驶离，对其产生的影响也随即消失。</w:t>
            </w:r>
          </w:p>
          <w:p w14:paraId="7D6D3B64">
            <w:pPr>
              <w:keepNext w:val="0"/>
              <w:keepLines w:val="0"/>
              <w:pageBreakBefore w:val="0"/>
              <w:widowControl w:val="0"/>
              <w:kinsoku/>
              <w:wordWrap/>
              <w:overflowPunct/>
              <w:topLinePunct w:val="0"/>
              <w:bidi w:val="0"/>
              <w:snapToGrid/>
              <w:spacing w:line="360" w:lineRule="auto"/>
              <w:ind w:firstLine="482" w:firstLineChars="200"/>
              <w:textAlignment w:val="auto"/>
              <w:rPr>
                <w:rFonts w:ascii="Times New Roman" w:hAnsi="Times New Roman"/>
                <w:color w:val="auto"/>
                <w:sz w:val="24"/>
                <w:highlight w:val="none"/>
              </w:rPr>
            </w:pPr>
            <w:r>
              <w:rPr>
                <w:rFonts w:hint="eastAsia" w:ascii="Times New Roman" w:hAnsi="Times New Roman"/>
                <w:b/>
                <w:bCs/>
                <w:color w:val="auto"/>
                <w:sz w:val="24"/>
                <w:highlight w:val="none"/>
                <w:lang w:val="en-US" w:eastAsia="zh-CN"/>
              </w:rPr>
              <w:t>保护措施：</w:t>
            </w:r>
            <w:r>
              <w:rPr>
                <w:rFonts w:hint="eastAsia" w:ascii="Times New Roman" w:hAnsi="Times New Roman" w:eastAsia="宋体" w:cs="Times New Roman"/>
                <w:color w:val="auto"/>
                <w:kern w:val="2"/>
                <w:sz w:val="24"/>
                <w:szCs w:val="24"/>
                <w:highlight w:val="none"/>
                <w:lang w:val="en-US" w:eastAsia="zh-CN" w:bidi="ar-SA"/>
              </w:rPr>
              <w:t>①</w:t>
            </w:r>
            <w:r>
              <w:rPr>
                <w:rFonts w:hint="default" w:ascii="Times New Roman" w:hAnsi="Times New Roman"/>
                <w:color w:val="auto"/>
                <w:sz w:val="24"/>
                <w:szCs w:val="24"/>
                <w:highlight w:val="none"/>
                <w:lang w:val="en-US" w:eastAsia="zh-CN"/>
              </w:rPr>
              <w:t>运输车辆经过</w:t>
            </w:r>
            <w:r>
              <w:rPr>
                <w:rFonts w:hint="eastAsia" w:ascii="Times New Roman" w:hAnsi="Times New Roman"/>
                <w:color w:val="auto"/>
                <w:sz w:val="24"/>
                <w:szCs w:val="24"/>
                <w:highlight w:val="none"/>
                <w:lang w:val="en-US" w:eastAsia="zh-CN"/>
              </w:rPr>
              <w:t>邻近</w:t>
            </w:r>
            <w:r>
              <w:rPr>
                <w:rFonts w:hint="default" w:ascii="Times New Roman" w:hAnsi="Times New Roman"/>
                <w:color w:val="auto"/>
                <w:sz w:val="24"/>
                <w:szCs w:val="24"/>
                <w:highlight w:val="none"/>
                <w:lang w:val="en-US" w:eastAsia="zh-CN"/>
              </w:rPr>
              <w:t>村庄时减速慢行，禁止鸣笛</w:t>
            </w:r>
            <w:r>
              <w:rPr>
                <w:rFonts w:hint="eastAsia" w:ascii="Times New Roman" w:hAnsi="Times New Roman"/>
                <w:color w:val="auto"/>
                <w:sz w:val="24"/>
                <w:szCs w:val="24"/>
                <w:highlight w:val="none"/>
                <w:lang w:val="en-US" w:eastAsia="zh-CN"/>
              </w:rPr>
              <w:t>；②运输</w:t>
            </w:r>
            <w:r>
              <w:rPr>
                <w:rFonts w:hint="default" w:ascii="Times New Roman" w:hAnsi="Times New Roman"/>
                <w:color w:val="auto"/>
                <w:sz w:val="24"/>
                <w:szCs w:val="24"/>
                <w:highlight w:val="none"/>
                <w:lang w:val="en-US" w:eastAsia="zh-CN"/>
              </w:rPr>
              <w:t>车辆</w:t>
            </w:r>
            <w:r>
              <w:rPr>
                <w:rFonts w:hint="eastAsia" w:ascii="Times New Roman" w:hAnsi="Times New Roman"/>
                <w:color w:val="auto"/>
                <w:sz w:val="24"/>
                <w:szCs w:val="24"/>
                <w:highlight w:val="none"/>
                <w:lang w:val="en-US" w:eastAsia="zh-CN"/>
              </w:rPr>
              <w:t>应</w:t>
            </w:r>
            <w:r>
              <w:rPr>
                <w:rFonts w:hint="default" w:ascii="Times New Roman" w:hAnsi="Times New Roman"/>
                <w:color w:val="auto"/>
                <w:sz w:val="24"/>
                <w:szCs w:val="24"/>
                <w:highlight w:val="none"/>
                <w:lang w:val="en-US" w:eastAsia="zh-CN"/>
              </w:rPr>
              <w:t>定期检修，保证车况良好；</w:t>
            </w:r>
            <w:r>
              <w:rPr>
                <w:rFonts w:hint="eastAsia" w:ascii="Times New Roman" w:hAnsi="Times New Roman"/>
                <w:color w:val="auto"/>
                <w:sz w:val="24"/>
                <w:szCs w:val="24"/>
                <w:highlight w:val="none"/>
                <w:lang w:val="en-US" w:eastAsia="zh-CN"/>
              </w:rPr>
              <w:t>③</w:t>
            </w:r>
            <w:r>
              <w:rPr>
                <w:rFonts w:hint="default" w:ascii="Times New Roman" w:hAnsi="Times New Roman"/>
                <w:color w:val="auto"/>
                <w:sz w:val="24"/>
                <w:szCs w:val="24"/>
                <w:highlight w:val="none"/>
                <w:lang w:val="en-US" w:eastAsia="zh-CN"/>
              </w:rPr>
              <w:t>加强司机培训教育，增强环保意识。</w:t>
            </w:r>
          </w:p>
          <w:p w14:paraId="4BD0ABF3">
            <w:pPr>
              <w:keepNext w:val="0"/>
              <w:keepLines w:val="0"/>
              <w:pageBreakBefore w:val="0"/>
              <w:widowControl w:val="0"/>
              <w:kinsoku/>
              <w:wordWrap/>
              <w:overflowPunct/>
              <w:topLinePunct w:val="0"/>
              <w:bidi w:val="0"/>
              <w:snapToGrid/>
              <w:spacing w:line="360" w:lineRule="auto"/>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因此，本项目营运期噪声不会对周围声环境产生明显的不利影响。</w:t>
            </w:r>
          </w:p>
          <w:p w14:paraId="49DA26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lang w:eastAsia="zh-CN"/>
              </w:rPr>
              <w:t>）监测</w:t>
            </w:r>
            <w:r>
              <w:rPr>
                <w:rFonts w:hint="eastAsia" w:ascii="Times New Roman" w:hAnsi="Times New Roman" w:eastAsia="宋体" w:cs="Times New Roman"/>
                <w:color w:val="auto"/>
                <w:sz w:val="24"/>
                <w:szCs w:val="24"/>
                <w:lang w:val="en-US" w:eastAsia="zh-CN"/>
              </w:rPr>
              <w:t>要求</w:t>
            </w:r>
          </w:p>
          <w:p w14:paraId="7DAFFA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b/>
                <w:bCs/>
                <w:color w:val="auto"/>
                <w:sz w:val="21"/>
                <w:highlight w:val="none"/>
                <w:lang w:val="en-US" w:eastAsia="zh-CN"/>
              </w:rPr>
            </w:pPr>
            <w:r>
              <w:rPr>
                <w:rFonts w:hint="eastAsia" w:ascii="Times New Roman" w:hAnsi="Times New Roman"/>
                <w:b/>
                <w:bCs/>
                <w:color w:val="auto"/>
                <w:sz w:val="21"/>
                <w:highlight w:val="none"/>
              </w:rPr>
              <w:t>表4-</w:t>
            </w:r>
            <w:r>
              <w:rPr>
                <w:rFonts w:hint="eastAsia" w:ascii="Times New Roman" w:hAnsi="Times New Roman"/>
                <w:b/>
                <w:bCs/>
                <w:color w:val="auto"/>
                <w:sz w:val="21"/>
                <w:highlight w:val="none"/>
                <w:lang w:val="en-US" w:eastAsia="zh-CN"/>
              </w:rPr>
              <w:t>1</w:t>
            </w:r>
            <w:r>
              <w:rPr>
                <w:rFonts w:hint="eastAsia"/>
                <w:b/>
                <w:bCs/>
                <w:color w:val="auto"/>
                <w:sz w:val="21"/>
                <w:highlight w:val="none"/>
                <w:lang w:val="en-US" w:eastAsia="zh-CN"/>
              </w:rPr>
              <w:t>4</w:t>
            </w:r>
            <w:r>
              <w:rPr>
                <w:rFonts w:hint="eastAsia" w:ascii="Times New Roman" w:hAnsi="Times New Roman"/>
                <w:b/>
                <w:bCs/>
                <w:color w:val="auto"/>
                <w:sz w:val="21"/>
                <w:highlight w:val="none"/>
              </w:rPr>
              <w:t xml:space="preserve"> </w:t>
            </w:r>
            <w:r>
              <w:rPr>
                <w:rFonts w:hint="eastAsia" w:ascii="Times New Roman" w:hAnsi="Times New Roman"/>
                <w:b/>
                <w:bCs/>
                <w:color w:val="auto"/>
                <w:sz w:val="21"/>
                <w:highlight w:val="none"/>
                <w:lang w:val="en-US" w:eastAsia="zh-CN"/>
              </w:rPr>
              <w:t>噪声监测计划</w:t>
            </w:r>
          </w:p>
          <w:tbl>
            <w:tblPr>
              <w:tblStyle w:val="29"/>
              <w:tblW w:w="8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1129"/>
              <w:gridCol w:w="1165"/>
              <w:gridCol w:w="1067"/>
              <w:gridCol w:w="4145"/>
            </w:tblGrid>
            <w:tr w14:paraId="447F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4" w:type="dxa"/>
                  <w:noWrap w:val="0"/>
                  <w:vAlign w:val="center"/>
                </w:tcPr>
                <w:p w14:paraId="2EDFDD45">
                  <w:pPr>
                    <w:pStyle w:val="2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环境要素</w:t>
                  </w:r>
                </w:p>
              </w:tc>
              <w:tc>
                <w:tcPr>
                  <w:tcW w:w="1129" w:type="dxa"/>
                  <w:noWrap w:val="0"/>
                  <w:vAlign w:val="center"/>
                </w:tcPr>
                <w:p w14:paraId="0D7385D4">
                  <w:pPr>
                    <w:pStyle w:val="2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监测点</w:t>
                  </w:r>
                </w:p>
              </w:tc>
              <w:tc>
                <w:tcPr>
                  <w:tcW w:w="1165" w:type="dxa"/>
                  <w:noWrap w:val="0"/>
                  <w:vAlign w:val="center"/>
                </w:tcPr>
                <w:p w14:paraId="5D93FA7D">
                  <w:pPr>
                    <w:pStyle w:val="2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监测项目</w:t>
                  </w:r>
                </w:p>
              </w:tc>
              <w:tc>
                <w:tcPr>
                  <w:tcW w:w="1067" w:type="dxa"/>
                  <w:noWrap w:val="0"/>
                  <w:vAlign w:val="center"/>
                </w:tcPr>
                <w:p w14:paraId="24D7CDE1">
                  <w:pPr>
                    <w:pStyle w:val="2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监测频次</w:t>
                  </w:r>
                </w:p>
              </w:tc>
              <w:tc>
                <w:tcPr>
                  <w:tcW w:w="4145" w:type="dxa"/>
                  <w:noWrap w:val="0"/>
                  <w:vAlign w:val="center"/>
                </w:tcPr>
                <w:p w14:paraId="06706B9A">
                  <w:pPr>
                    <w:pStyle w:val="2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执行标准</w:t>
                  </w:r>
                </w:p>
              </w:tc>
            </w:tr>
            <w:tr w14:paraId="69A0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4" w:type="dxa"/>
                  <w:noWrap w:val="0"/>
                  <w:vAlign w:val="center"/>
                </w:tcPr>
                <w:p w14:paraId="2A79CF2E">
                  <w:pPr>
                    <w:pStyle w:val="2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噪声</w:t>
                  </w:r>
                </w:p>
              </w:tc>
              <w:tc>
                <w:tcPr>
                  <w:tcW w:w="1129" w:type="dxa"/>
                  <w:noWrap w:val="0"/>
                  <w:vAlign w:val="center"/>
                </w:tcPr>
                <w:p w14:paraId="14A3F7ED">
                  <w:pPr>
                    <w:pStyle w:val="2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厂界四周</w:t>
                  </w:r>
                </w:p>
              </w:tc>
              <w:tc>
                <w:tcPr>
                  <w:tcW w:w="1165" w:type="dxa"/>
                  <w:noWrap w:val="0"/>
                  <w:vAlign w:val="center"/>
                </w:tcPr>
                <w:p w14:paraId="4085A3D9">
                  <w:pPr>
                    <w:pStyle w:val="2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等效连续A声级</w:t>
                  </w:r>
                </w:p>
              </w:tc>
              <w:tc>
                <w:tcPr>
                  <w:tcW w:w="1067" w:type="dxa"/>
                  <w:noWrap w:val="0"/>
                  <w:vAlign w:val="center"/>
                </w:tcPr>
                <w:p w14:paraId="5C14594F">
                  <w:pPr>
                    <w:pStyle w:val="2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季度</w:t>
                  </w:r>
                </w:p>
              </w:tc>
              <w:tc>
                <w:tcPr>
                  <w:tcW w:w="4145" w:type="dxa"/>
                  <w:noWrap w:val="0"/>
                  <w:vAlign w:val="center"/>
                </w:tcPr>
                <w:p w14:paraId="64FA7F97">
                  <w:pPr>
                    <w:pStyle w:val="2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《工业企业厂界环境噪声排放标准》（GB12348-2008）3</w:t>
                  </w:r>
                  <w:r>
                    <w:rPr>
                      <w:rFonts w:hint="eastAsia" w:ascii="Times New Roman" w:hAnsi="Times New Roman" w:eastAsia="宋体"/>
                      <w:color w:val="auto"/>
                      <w:sz w:val="21"/>
                      <w:vertAlign w:val="baseline"/>
                      <w:lang w:val="en-US" w:eastAsia="zh-CN"/>
                    </w:rPr>
                    <w:t>类</w:t>
                  </w:r>
                </w:p>
              </w:tc>
            </w:tr>
          </w:tbl>
          <w:p w14:paraId="6B1A73F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4</w:t>
            </w:r>
            <w:r>
              <w:rPr>
                <w:rFonts w:hint="default" w:ascii="Times New Roman" w:hAnsi="Times New Roman" w:eastAsia="宋体" w:cs="Times New Roman"/>
                <w:b/>
                <w:bCs/>
                <w:color w:val="auto"/>
                <w:sz w:val="24"/>
                <w:szCs w:val="24"/>
              </w:rPr>
              <w:t>.</w:t>
            </w:r>
            <w:r>
              <w:rPr>
                <w:rFonts w:hint="eastAsia" w:ascii="Times New Roman" w:hAnsi="Times New Roman" w:eastAsia="宋体" w:cs="Times New Roman"/>
                <w:b/>
                <w:bCs/>
                <w:color w:val="auto"/>
                <w:sz w:val="24"/>
                <w:szCs w:val="24"/>
                <w:lang w:val="en-US" w:eastAsia="zh-CN"/>
              </w:rPr>
              <w:t>固体废物</w:t>
            </w:r>
          </w:p>
          <w:p w14:paraId="000A896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olor w:val="auto"/>
                <w:sz w:val="24"/>
                <w:szCs w:val="24"/>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color w:val="auto"/>
                <w:sz w:val="24"/>
                <w:szCs w:val="24"/>
                <w:highlight w:val="none"/>
              </w:rPr>
              <w:t>本项目</w:t>
            </w:r>
            <w:r>
              <w:rPr>
                <w:rFonts w:hint="eastAsia"/>
                <w:color w:val="auto"/>
                <w:sz w:val="24"/>
                <w:szCs w:val="24"/>
                <w:highlight w:val="none"/>
                <w:lang w:eastAsia="zh-CN"/>
              </w:rPr>
              <w:t>固体废物分为一般固体废物和危险废物。</w:t>
            </w:r>
          </w:p>
          <w:p w14:paraId="6BCF73B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olor w:val="auto"/>
                <w:sz w:val="24"/>
                <w:szCs w:val="24"/>
                <w:highlight w:val="none"/>
                <w:lang w:eastAsia="zh-CN"/>
              </w:rPr>
            </w:pPr>
            <w:r>
              <w:rPr>
                <w:rFonts w:hint="eastAsia"/>
                <w:color w:val="auto"/>
                <w:sz w:val="24"/>
                <w:szCs w:val="24"/>
                <w:highlight w:val="none"/>
                <w:lang w:eastAsia="zh-CN"/>
              </w:rPr>
              <w:t>一般固体废物</w:t>
            </w:r>
            <w:r>
              <w:rPr>
                <w:color w:val="auto"/>
                <w:sz w:val="24"/>
                <w:szCs w:val="24"/>
                <w:highlight w:val="none"/>
              </w:rPr>
              <w:t>主要为</w:t>
            </w:r>
            <w:r>
              <w:rPr>
                <w:rFonts w:hint="eastAsia"/>
                <w:color w:val="auto"/>
                <w:sz w:val="24"/>
                <w:szCs w:val="24"/>
                <w:highlight w:val="none"/>
                <w:lang w:val="en-US" w:eastAsia="zh-CN"/>
              </w:rPr>
              <w:t>职工生活垃圾、</w:t>
            </w:r>
            <w:r>
              <w:rPr>
                <w:rFonts w:hint="default" w:ascii="Times New Roman" w:hAnsi="Times New Roman" w:eastAsia="宋体" w:cs="Times New Roman"/>
                <w:color w:val="auto"/>
                <w:sz w:val="24"/>
                <w:szCs w:val="24"/>
                <w:lang w:eastAsia="zh-CN"/>
              </w:rPr>
              <w:t>除尘灰、</w:t>
            </w:r>
            <w:r>
              <w:rPr>
                <w:rFonts w:hint="eastAsia" w:ascii="Times New Roman" w:hAnsi="Times New Roman" w:cs="Times New Roman"/>
                <w:color w:val="auto"/>
                <w:sz w:val="24"/>
                <w:szCs w:val="24"/>
                <w:highlight w:val="none"/>
                <w:lang w:val="en-US" w:eastAsia="zh-CN"/>
              </w:rPr>
              <w:t>废边角料</w:t>
            </w:r>
            <w:r>
              <w:rPr>
                <w:rFonts w:hint="eastAsia" w:cs="Times New Roman"/>
                <w:color w:val="auto"/>
                <w:sz w:val="24"/>
                <w:szCs w:val="24"/>
                <w:highlight w:val="none"/>
                <w:lang w:val="en-US" w:eastAsia="zh-CN"/>
              </w:rPr>
              <w:t>（废钢筋）</w:t>
            </w: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lang w:val="en-US" w:eastAsia="zh-CN"/>
              </w:rPr>
              <w:t>泥饼、残次品（不合格砂石料、配比及强度不达标混合料、外观缺陷构件）、</w:t>
            </w:r>
            <w:r>
              <w:rPr>
                <w:rFonts w:hint="eastAsia" w:cs="Times New Roman"/>
                <w:color w:val="auto"/>
                <w:sz w:val="24"/>
                <w:szCs w:val="24"/>
                <w:highlight w:val="none"/>
                <w:lang w:val="en-US" w:eastAsia="zh-CN"/>
              </w:rPr>
              <w:t>废润滑油、废油桶</w:t>
            </w:r>
            <w:r>
              <w:rPr>
                <w:rFonts w:hint="eastAsia" w:ascii="Times New Roman" w:hAnsi="Times New Roman" w:eastAsia="宋体" w:cs="Times New Roman"/>
                <w:color w:val="auto"/>
                <w:sz w:val="24"/>
                <w:szCs w:val="24"/>
                <w:highlight w:val="none"/>
                <w:lang w:eastAsia="zh-CN"/>
              </w:rPr>
              <w:t>。</w:t>
            </w:r>
          </w:p>
          <w:p w14:paraId="3553EB4D">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lang w:val="en-US" w:eastAsia="zh-CN" w:bidi="ar-SA"/>
              </w:rPr>
              <w:t>1）</w:t>
            </w:r>
            <w:r>
              <w:rPr>
                <w:rFonts w:hint="default" w:ascii="Times New Roman" w:hAnsi="Times New Roman" w:eastAsia="宋体" w:cs="Times New Roman"/>
                <w:color w:val="auto"/>
                <w:sz w:val="24"/>
                <w:szCs w:val="24"/>
              </w:rPr>
              <w:t>职工生活垃圾产生量按每人每天0.5kg计，劳动定员共</w:t>
            </w:r>
            <w:r>
              <w:rPr>
                <w:rFonts w:hint="eastAsia" w:cs="Times New Roman"/>
                <w:color w:val="auto"/>
                <w:sz w:val="24"/>
                <w:szCs w:val="24"/>
                <w:lang w:val="en-US" w:eastAsia="zh-CN"/>
              </w:rPr>
              <w:t>21</w:t>
            </w:r>
            <w:r>
              <w:rPr>
                <w:rFonts w:hint="default" w:ascii="Times New Roman" w:hAnsi="Times New Roman" w:eastAsia="宋体" w:cs="Times New Roman"/>
                <w:color w:val="auto"/>
                <w:sz w:val="24"/>
                <w:szCs w:val="24"/>
              </w:rPr>
              <w:t>人，年工作</w:t>
            </w:r>
            <w:r>
              <w:rPr>
                <w:rFonts w:hint="eastAsia" w:cs="Times New Roman"/>
                <w:color w:val="auto"/>
                <w:sz w:val="24"/>
                <w:szCs w:val="24"/>
                <w:lang w:val="en-US" w:eastAsia="zh-CN"/>
              </w:rPr>
              <w:t>280</w:t>
            </w:r>
            <w:r>
              <w:rPr>
                <w:rFonts w:hint="default" w:ascii="Times New Roman" w:hAnsi="Times New Roman" w:eastAsia="宋体" w:cs="Times New Roman"/>
                <w:color w:val="auto"/>
                <w:sz w:val="24"/>
                <w:szCs w:val="24"/>
                <w:highlight w:val="none"/>
              </w:rPr>
              <w:t>天，则生活垃圾产生量为</w:t>
            </w:r>
            <w:r>
              <w:rPr>
                <w:rFonts w:hint="eastAsia" w:cs="Times New Roman"/>
                <w:color w:val="auto"/>
                <w:sz w:val="24"/>
                <w:szCs w:val="24"/>
                <w:highlight w:val="none"/>
                <w:lang w:val="en-US" w:eastAsia="zh-CN"/>
              </w:rPr>
              <w:t>2.94</w:t>
            </w:r>
            <w:r>
              <w:rPr>
                <w:rFonts w:hint="default" w:ascii="Times New Roman" w:hAnsi="Times New Roman" w:eastAsia="宋体" w:cs="Times New Roman"/>
                <w:color w:val="auto"/>
                <w:sz w:val="24"/>
                <w:szCs w:val="24"/>
                <w:highlight w:val="none"/>
              </w:rPr>
              <w:t>t/a，</w:t>
            </w:r>
            <w:r>
              <w:rPr>
                <w:rFonts w:hint="default" w:ascii="Times New Roman" w:hAnsi="Times New Roman" w:eastAsia="宋体" w:cs="Times New Roman"/>
                <w:color w:val="auto"/>
                <w:sz w:val="24"/>
                <w:szCs w:val="24"/>
                <w:highlight w:val="none"/>
                <w:lang w:eastAsia="zh-CN"/>
              </w:rPr>
              <w:t>集中收集后</w:t>
            </w:r>
            <w:r>
              <w:rPr>
                <w:rFonts w:hint="default" w:ascii="Times New Roman" w:hAnsi="Times New Roman" w:eastAsia="宋体" w:cs="Times New Roman"/>
                <w:color w:val="auto"/>
                <w:sz w:val="24"/>
                <w:szCs w:val="24"/>
                <w:highlight w:val="none"/>
                <w:lang w:val="en-US" w:eastAsia="zh-CN"/>
              </w:rPr>
              <w:t xml:space="preserve">交由当地环卫部门处置 </w:t>
            </w:r>
            <w:r>
              <w:rPr>
                <w:rFonts w:hint="default" w:ascii="Times New Roman" w:hAnsi="Times New Roman" w:eastAsia="宋体" w:cs="Times New Roman"/>
                <w:color w:val="auto"/>
                <w:sz w:val="24"/>
                <w:szCs w:val="24"/>
                <w:highlight w:val="none"/>
              </w:rPr>
              <w:t>。</w:t>
            </w:r>
          </w:p>
          <w:p w14:paraId="155BCDE4">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kern w:val="2"/>
                <w:sz w:val="24"/>
                <w:szCs w:val="24"/>
                <w:lang w:val="en-US" w:eastAsia="zh-CN" w:bidi="ar-SA"/>
              </w:rPr>
              <w:t>2）</w:t>
            </w:r>
            <w:r>
              <w:rPr>
                <w:rFonts w:hint="default" w:ascii="Times New Roman" w:hAnsi="Times New Roman" w:eastAsia="宋体" w:cs="Times New Roman"/>
                <w:color w:val="auto"/>
                <w:sz w:val="24"/>
                <w:szCs w:val="24"/>
                <w:highlight w:val="none"/>
                <w:lang w:eastAsia="zh-CN"/>
              </w:rPr>
              <w:t>布袋除尘器除尘灰产生量约</w:t>
            </w:r>
            <w:r>
              <w:rPr>
                <w:rFonts w:hint="eastAsia" w:cs="Times New Roman"/>
                <w:color w:val="auto"/>
                <w:sz w:val="24"/>
                <w:szCs w:val="24"/>
                <w:highlight w:val="none"/>
                <w:lang w:val="en-US" w:eastAsia="zh-CN"/>
              </w:rPr>
              <w:t>13</w:t>
            </w:r>
            <w:r>
              <w:rPr>
                <w:rFonts w:hint="default" w:ascii="Times New Roman" w:hAnsi="Times New Roman" w:eastAsia="宋体" w:cs="Times New Roman"/>
                <w:color w:val="auto"/>
                <w:sz w:val="24"/>
                <w:szCs w:val="24"/>
                <w:highlight w:val="none"/>
              </w:rPr>
              <w:t>t/a</w:t>
            </w:r>
            <w:r>
              <w:rPr>
                <w:rFonts w:hint="eastAsia" w:ascii="Times New Roman" w:hAnsi="Times New Roman" w:eastAsia="宋体" w:cs="Times New Roman"/>
                <w:color w:val="auto"/>
                <w:sz w:val="24"/>
                <w:szCs w:val="24"/>
                <w:highlight w:val="none"/>
                <w:lang w:val="en-US" w:eastAsia="zh-CN"/>
              </w:rPr>
              <w:t>，生产线除尘灰作为原料</w:t>
            </w:r>
            <w:r>
              <w:rPr>
                <w:rFonts w:hint="default" w:ascii="Times New Roman" w:hAnsi="Times New Roman" w:eastAsia="宋体" w:cs="Times New Roman"/>
                <w:color w:val="auto"/>
                <w:sz w:val="24"/>
                <w:szCs w:val="24"/>
                <w:highlight w:val="none"/>
                <w:lang w:val="en-US" w:eastAsia="zh-CN"/>
              </w:rPr>
              <w:t>回收利用</w:t>
            </w:r>
            <w:r>
              <w:rPr>
                <w:rFonts w:hint="eastAsia" w:ascii="Times New Roman" w:hAnsi="Times New Roman" w:eastAsia="宋体" w:cs="Times New Roman"/>
                <w:color w:val="auto"/>
                <w:sz w:val="24"/>
                <w:szCs w:val="24"/>
                <w:highlight w:val="none"/>
                <w:lang w:eastAsia="zh-CN"/>
              </w:rPr>
              <w:t>。</w:t>
            </w:r>
          </w:p>
          <w:p w14:paraId="3D7C5B5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highlight w:val="none"/>
                <w:lang w:val="en-US" w:eastAsia="zh-CN"/>
              </w:rPr>
              <w:t>废边角料</w:t>
            </w:r>
            <w:r>
              <w:rPr>
                <w:rFonts w:hint="eastAsia" w:ascii="Times New Roman" w:hAnsi="Times New Roman" w:eastAsia="宋体" w:cs="Times New Roman"/>
                <w:color w:val="auto"/>
                <w:sz w:val="24"/>
                <w:szCs w:val="24"/>
                <w:highlight w:val="none"/>
                <w:lang w:val="en-US" w:eastAsia="zh-CN"/>
              </w:rPr>
              <w:t>按原料用量的0.5%计，则废边角料的产生量约</w:t>
            </w:r>
            <w:r>
              <w:rPr>
                <w:rFonts w:hint="eastAsia"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val="en-US" w:eastAsia="zh-CN"/>
              </w:rPr>
              <w:t>t/a，外售废品收购站。</w:t>
            </w:r>
          </w:p>
          <w:p w14:paraId="225C83E3">
            <w:pPr>
              <w:keepNext w:val="0"/>
              <w:keepLines w:val="0"/>
              <w:pageBreakBefore w:val="0"/>
              <w:widowControl w:val="0"/>
              <w:kinsoku/>
              <w:wordWrap/>
              <w:overflowPunct/>
              <w:topLinePunct w:val="0"/>
              <w:autoSpaceDE/>
              <w:autoSpaceDN/>
              <w:bidi w:val="0"/>
              <w:spacing w:line="360" w:lineRule="auto"/>
              <w:textAlignment w:val="auto"/>
              <w:rPr>
                <w:rFonts w:hint="eastAsia"/>
                <w:color w:val="auto"/>
                <w:highlight w:val="none"/>
                <w:lang w:val="en-US" w:eastAsia="zh-CN"/>
              </w:rPr>
            </w:pPr>
            <w:r>
              <w:rPr>
                <w:rFonts w:hint="eastAsia" w:cs="Times New Roman"/>
                <w:color w:val="auto"/>
                <w:sz w:val="24"/>
                <w:szCs w:val="24"/>
                <w:highlight w:val="none"/>
                <w:lang w:val="en-US" w:eastAsia="zh-CN"/>
              </w:rPr>
              <w:t>4</w:t>
            </w:r>
            <w:r>
              <w:rPr>
                <w:rFonts w:hint="eastAsia" w:cs="Times New Roman"/>
                <w:color w:val="auto"/>
                <w:sz w:val="24"/>
                <w:szCs w:val="24"/>
                <w:highlight w:val="none"/>
                <w:lang w:eastAsia="zh-CN"/>
              </w:rPr>
              <w:t>）</w:t>
            </w:r>
            <w:r>
              <w:rPr>
                <w:rFonts w:hint="default"/>
                <w:color w:val="auto"/>
                <w:highlight w:val="none"/>
                <w:lang w:val="en-US" w:eastAsia="zh-CN"/>
              </w:rPr>
              <w:t>项目洗砂废水</w:t>
            </w:r>
            <w:r>
              <w:rPr>
                <w:rFonts w:hint="eastAsia"/>
                <w:color w:val="auto"/>
                <w:highlight w:val="none"/>
                <w:lang w:val="en-US" w:eastAsia="zh-CN"/>
              </w:rPr>
              <w:t>、搅拌机清洗废水、洗车废水经沉淀池沉淀后</w:t>
            </w:r>
            <w:r>
              <w:rPr>
                <w:rFonts w:hint="default"/>
                <w:color w:val="auto"/>
                <w:highlight w:val="none"/>
                <w:lang w:val="en-US" w:eastAsia="zh-CN"/>
              </w:rPr>
              <w:t>，池底泥经提升泵泵入</w:t>
            </w:r>
            <w:r>
              <w:rPr>
                <w:rFonts w:hint="eastAsia"/>
                <w:color w:val="auto"/>
                <w:highlight w:val="none"/>
                <w:lang w:val="en-US" w:eastAsia="zh-CN"/>
              </w:rPr>
              <w:t>污泥罐</w:t>
            </w:r>
            <w:r>
              <w:rPr>
                <w:rFonts w:hint="default"/>
                <w:color w:val="auto"/>
                <w:highlight w:val="none"/>
                <w:lang w:val="en-US" w:eastAsia="zh-CN"/>
              </w:rPr>
              <w:t>后经</w:t>
            </w:r>
            <w:r>
              <w:rPr>
                <w:rFonts w:hint="eastAsia"/>
                <w:color w:val="auto"/>
                <w:highlight w:val="none"/>
                <w:lang w:val="en-US" w:eastAsia="zh-CN"/>
              </w:rPr>
              <w:t>隔膜厢式板框</w:t>
            </w:r>
            <w:r>
              <w:rPr>
                <w:rFonts w:hint="default"/>
                <w:color w:val="auto"/>
                <w:highlight w:val="none"/>
                <w:lang w:val="en-US" w:eastAsia="zh-CN"/>
              </w:rPr>
              <w:t>压滤机进行压滤，泥饼产生量约为</w:t>
            </w:r>
            <w:r>
              <w:rPr>
                <w:rFonts w:hint="eastAsia"/>
                <w:color w:val="auto"/>
                <w:highlight w:val="none"/>
                <w:lang w:val="en-US" w:eastAsia="zh-CN"/>
              </w:rPr>
              <w:t>6200</w:t>
            </w:r>
            <w:r>
              <w:rPr>
                <w:rFonts w:hint="default"/>
                <w:color w:val="auto"/>
                <w:highlight w:val="none"/>
                <w:lang w:val="en-US" w:eastAsia="zh-CN"/>
              </w:rPr>
              <w:t>t/a，压滤后的</w:t>
            </w:r>
            <w:r>
              <w:rPr>
                <w:rFonts w:hint="eastAsia"/>
                <w:color w:val="auto"/>
                <w:highlight w:val="none"/>
                <w:lang w:val="en-US" w:eastAsia="zh-CN"/>
              </w:rPr>
              <w:t>泥饼不进行贮存，立即运至壶关县鑫融建材有限公司用于生产。泥饼运输过程中应采取密闭或覆盖措施，防止沿途撒漏和扬尘污染。</w:t>
            </w:r>
          </w:p>
          <w:p w14:paraId="6947BAD6">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5</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本项目残次品产生量约为0.5t/a，集中收集后送至建材厂或砖厂综合处置。</w:t>
            </w:r>
          </w:p>
          <w:p w14:paraId="7391ED9E">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2</w:t>
            </w:r>
            <w:r>
              <w:rPr>
                <w:rFonts w:hint="eastAsia"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eastAsia="zh-CN"/>
              </w:rPr>
              <w:t>危险废物主要为</w:t>
            </w:r>
            <w:r>
              <w:rPr>
                <w:rFonts w:hint="eastAsia" w:ascii="Times New Roman" w:hAnsi="Times New Roman" w:eastAsia="宋体" w:cs="Times New Roman"/>
                <w:color w:val="auto"/>
                <w:sz w:val="24"/>
                <w:szCs w:val="24"/>
                <w:highlight w:val="none"/>
                <w:lang w:val="en-US" w:eastAsia="zh-CN"/>
              </w:rPr>
              <w:t>设备维护保养及生产过程产生的废润滑油和废油桶</w:t>
            </w:r>
            <w:r>
              <w:rPr>
                <w:rFonts w:hint="eastAsia" w:cs="Times New Roman"/>
                <w:color w:val="auto"/>
                <w:sz w:val="24"/>
                <w:szCs w:val="24"/>
                <w:highlight w:val="none"/>
                <w:lang w:val="en-US" w:eastAsia="zh-CN"/>
              </w:rPr>
              <w:t>。</w:t>
            </w:r>
          </w:p>
          <w:p w14:paraId="18ECAA81">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1）</w:t>
            </w:r>
            <w:r>
              <w:rPr>
                <w:rFonts w:hint="eastAsia" w:cs="Times New Roman"/>
                <w:color w:val="auto"/>
                <w:kern w:val="2"/>
                <w:sz w:val="24"/>
                <w:szCs w:val="24"/>
                <w:lang w:val="en-US" w:eastAsia="zh-CN" w:bidi="ar-SA"/>
              </w:rPr>
              <w:t>废润滑油</w:t>
            </w:r>
          </w:p>
          <w:p w14:paraId="3B67E97D">
            <w:pPr>
              <w:keepNext w:val="0"/>
              <w:keepLines w:val="0"/>
              <w:pageBreakBefore w:val="0"/>
              <w:widowControl w:val="0"/>
              <w:kinsoku/>
              <w:wordWrap/>
              <w:overflowPunct/>
              <w:topLinePunct w:val="0"/>
              <w:autoSpaceDE/>
              <w:autoSpaceDN/>
              <w:bidi w:val="0"/>
              <w:spacing w:line="360" w:lineRule="auto"/>
              <w:textAlignment w:val="auto"/>
              <w:rPr>
                <w:rFonts w:hint="eastAsia"/>
                <w:color w:val="auto"/>
                <w:highlight w:val="none"/>
                <w:lang w:val="en-US" w:eastAsia="zh-CN"/>
              </w:rPr>
            </w:pPr>
            <w:r>
              <w:rPr>
                <w:rFonts w:hint="eastAsia"/>
                <w:color w:val="auto"/>
                <w:highlight w:val="none"/>
                <w:lang w:val="en-US" w:eastAsia="zh-CN"/>
              </w:rPr>
              <w:t>本项目在非正常工况下，设备维护保养及生产过程中产生的少量废润滑油。经与同类型企业类比分析，废润滑油的产生量为0.2t/a。属于《国家危险废物名录（2025年版）》HW08废矿物油与含矿物油废物中“使用工业齿轮油进行机械设备润滑过程中产生的废润滑油”，废物代码900-217-08，储存在废油桶中，在危废贮存库暂存后，定期委托有资质单位收集处置。</w:t>
            </w:r>
          </w:p>
          <w:p w14:paraId="57E8888D">
            <w:pPr>
              <w:keepNext w:val="0"/>
              <w:keepLines w:val="0"/>
              <w:pageBreakBefore w:val="0"/>
              <w:widowControl w:val="0"/>
              <w:numPr>
                <w:ilvl w:val="0"/>
                <w:numId w:val="0"/>
              </w:numPr>
              <w:kinsoku/>
              <w:wordWrap/>
              <w:overflowPunct/>
              <w:topLinePunct w:val="0"/>
              <w:autoSpaceDE/>
              <w:autoSpaceDN/>
              <w:bidi w:val="0"/>
              <w:spacing w:line="360" w:lineRule="auto"/>
              <w:ind w:firstLine="480" w:firstLineChars="200"/>
              <w:textAlignment w:val="auto"/>
              <w:rPr>
                <w:rFonts w:hint="default"/>
                <w:color w:val="auto"/>
                <w:highlight w:val="none"/>
                <w:lang w:val="en-US" w:eastAsia="zh-CN"/>
              </w:rPr>
            </w:pPr>
            <w:r>
              <w:rPr>
                <w:rFonts w:hint="eastAsia" w:cs="宋体"/>
                <w:color w:val="auto"/>
                <w:kern w:val="2"/>
                <w:sz w:val="24"/>
                <w:szCs w:val="24"/>
                <w:lang w:val="en-US" w:eastAsia="zh-CN" w:bidi="ar-SA"/>
              </w:rPr>
              <w:t>2</w:t>
            </w:r>
            <w:r>
              <w:rPr>
                <w:rFonts w:hint="default" w:ascii="Times New Roman" w:hAnsi="Times New Roman" w:eastAsia="宋体" w:cs="宋体"/>
                <w:color w:val="auto"/>
                <w:kern w:val="2"/>
                <w:sz w:val="24"/>
                <w:szCs w:val="24"/>
                <w:lang w:val="en-US" w:eastAsia="zh-CN" w:bidi="ar-SA"/>
              </w:rPr>
              <w:t>）</w:t>
            </w:r>
            <w:r>
              <w:rPr>
                <w:rFonts w:hint="eastAsia"/>
                <w:color w:val="auto"/>
                <w:highlight w:val="none"/>
                <w:lang w:val="en-US" w:eastAsia="zh-CN"/>
              </w:rPr>
              <w:t>废油桶</w:t>
            </w:r>
          </w:p>
          <w:p w14:paraId="2F60F8F0">
            <w:pPr>
              <w:keepNext w:val="0"/>
              <w:keepLines w:val="0"/>
              <w:pageBreakBefore w:val="0"/>
              <w:widowControl w:val="0"/>
              <w:kinsoku/>
              <w:wordWrap/>
              <w:overflowPunct/>
              <w:topLinePunct w:val="0"/>
              <w:autoSpaceDE/>
              <w:autoSpaceDN/>
              <w:bidi w:val="0"/>
              <w:spacing w:line="360" w:lineRule="auto"/>
              <w:textAlignment w:val="auto"/>
              <w:rPr>
                <w:rFonts w:ascii="Times New Roman" w:hAnsi="Times New Roman"/>
                <w:color w:val="auto"/>
                <w:sz w:val="24"/>
              </w:rPr>
            </w:pPr>
            <w:r>
              <w:rPr>
                <w:rFonts w:hint="eastAsia"/>
                <w:color w:val="auto"/>
                <w:highlight w:val="none"/>
                <w:lang w:val="en-US" w:eastAsia="zh-CN"/>
              </w:rPr>
              <w:t>本项目在非正常工况下，设备维护保养及生产过程中使用废润滑油而产生的废油桶。经与同类型企业类比分析，废油桶的产生量约为0.06t/a，属于《国家危险废物名录（2025年版）》HW49其他废物中“含有或者沾染毒性、感染性危险废物的废弃的包装物、容器、过滤吸附介质”，废物代码900-041-49，在危废贮存库暂存后，定期委托有资质单位收集处置。</w:t>
            </w:r>
          </w:p>
          <w:p w14:paraId="297BB6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color w:val="auto"/>
                <w:sz w:val="21"/>
                <w:lang w:val="en-US" w:eastAsia="zh-CN"/>
              </w:rPr>
            </w:pPr>
            <w:r>
              <w:rPr>
                <w:rFonts w:ascii="Times New Roman" w:hAnsi="Times New Roman"/>
                <w:b/>
                <w:bCs/>
                <w:color w:val="auto"/>
                <w:sz w:val="21"/>
              </w:rPr>
              <w:t>表4-</w:t>
            </w:r>
            <w:r>
              <w:rPr>
                <w:rFonts w:hint="eastAsia" w:ascii="Times New Roman" w:hAnsi="Times New Roman"/>
                <w:b/>
                <w:bCs/>
                <w:color w:val="auto"/>
                <w:sz w:val="21"/>
                <w:lang w:val="en-US" w:eastAsia="zh-CN"/>
              </w:rPr>
              <w:t>1</w:t>
            </w:r>
            <w:r>
              <w:rPr>
                <w:rFonts w:hint="eastAsia"/>
                <w:b/>
                <w:bCs/>
                <w:color w:val="auto"/>
                <w:sz w:val="21"/>
                <w:lang w:val="en-US" w:eastAsia="zh-CN"/>
              </w:rPr>
              <w:t>5</w:t>
            </w:r>
            <w:r>
              <w:rPr>
                <w:rFonts w:ascii="Times New Roman" w:hAnsi="Times New Roman"/>
                <w:b/>
                <w:bCs/>
                <w:color w:val="auto"/>
                <w:sz w:val="21"/>
              </w:rPr>
              <w:t xml:space="preserve">  </w:t>
            </w:r>
            <w:r>
              <w:rPr>
                <w:rFonts w:hint="eastAsia"/>
                <w:b/>
                <w:bCs/>
                <w:color w:val="auto"/>
                <w:sz w:val="21"/>
                <w:lang w:val="en-US" w:eastAsia="zh-CN"/>
              </w:rPr>
              <w:t>固体废物产生情况及处置利用情况表</w:t>
            </w:r>
          </w:p>
          <w:tbl>
            <w:tblPr>
              <w:tblStyle w:val="2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739"/>
              <w:gridCol w:w="1074"/>
              <w:gridCol w:w="1196"/>
              <w:gridCol w:w="1071"/>
              <w:gridCol w:w="1047"/>
              <w:gridCol w:w="926"/>
              <w:gridCol w:w="1605"/>
            </w:tblGrid>
            <w:tr w14:paraId="1FEA2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noWrap w:val="0"/>
                  <w:vAlign w:val="center"/>
                </w:tcPr>
                <w:p w14:paraId="380058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bCs w:val="0"/>
                      <w:color w:val="auto"/>
                      <w:sz w:val="21"/>
                      <w:szCs w:val="21"/>
                      <w:lang w:val="en-US" w:eastAsia="zh-CN"/>
                    </w:rPr>
                  </w:pPr>
                  <w:r>
                    <w:rPr>
                      <w:rFonts w:hint="eastAsia" w:ascii="Times New Roman" w:hAnsi="Times New Roman" w:eastAsia="宋体"/>
                      <w:b w:val="0"/>
                      <w:bCs w:val="0"/>
                      <w:color w:val="auto"/>
                      <w:sz w:val="21"/>
                      <w:szCs w:val="21"/>
                      <w:lang w:val="en-US" w:eastAsia="zh-CN"/>
                    </w:rPr>
                    <w:t>固废分类</w:t>
                  </w:r>
                </w:p>
              </w:tc>
              <w:tc>
                <w:tcPr>
                  <w:tcW w:w="739" w:type="dxa"/>
                  <w:noWrap w:val="0"/>
                  <w:vAlign w:val="center"/>
                </w:tcPr>
                <w:p w14:paraId="0FA519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bCs w:val="0"/>
                      <w:color w:val="auto"/>
                      <w:sz w:val="21"/>
                      <w:szCs w:val="21"/>
                      <w:lang w:val="en-US" w:eastAsia="zh-CN"/>
                    </w:rPr>
                  </w:pPr>
                  <w:r>
                    <w:rPr>
                      <w:rFonts w:hint="eastAsia" w:ascii="Times New Roman" w:hAnsi="Times New Roman" w:eastAsia="宋体"/>
                      <w:b w:val="0"/>
                      <w:bCs w:val="0"/>
                      <w:color w:val="auto"/>
                      <w:sz w:val="21"/>
                      <w:szCs w:val="21"/>
                      <w:lang w:val="en-US" w:eastAsia="zh-CN"/>
                    </w:rPr>
                    <w:t>名称</w:t>
                  </w:r>
                </w:p>
              </w:tc>
              <w:tc>
                <w:tcPr>
                  <w:tcW w:w="1074" w:type="dxa"/>
                  <w:noWrap w:val="0"/>
                  <w:vAlign w:val="center"/>
                </w:tcPr>
                <w:p w14:paraId="5F536D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bCs w:val="0"/>
                      <w:color w:val="auto"/>
                      <w:sz w:val="21"/>
                      <w:szCs w:val="21"/>
                      <w:lang w:val="en-US" w:eastAsia="zh-CN"/>
                    </w:rPr>
                  </w:pPr>
                  <w:r>
                    <w:rPr>
                      <w:rFonts w:hint="eastAsia"/>
                      <w:b w:val="0"/>
                      <w:bCs w:val="0"/>
                      <w:color w:val="auto"/>
                      <w:sz w:val="21"/>
                      <w:szCs w:val="21"/>
                      <w:lang w:val="en-US" w:eastAsia="zh-CN"/>
                    </w:rPr>
                    <w:t>主要成分</w:t>
                  </w:r>
                </w:p>
              </w:tc>
              <w:tc>
                <w:tcPr>
                  <w:tcW w:w="1196" w:type="dxa"/>
                  <w:noWrap w:val="0"/>
                  <w:vAlign w:val="center"/>
                </w:tcPr>
                <w:p w14:paraId="711159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bCs w:val="0"/>
                      <w:color w:val="auto"/>
                      <w:sz w:val="21"/>
                      <w:szCs w:val="21"/>
                      <w:lang w:val="en-US" w:eastAsia="zh-CN"/>
                    </w:rPr>
                  </w:pPr>
                  <w:r>
                    <w:rPr>
                      <w:rFonts w:hint="eastAsia"/>
                      <w:b w:val="0"/>
                      <w:bCs w:val="0"/>
                      <w:color w:val="auto"/>
                      <w:sz w:val="21"/>
                      <w:szCs w:val="21"/>
                      <w:lang w:val="en-US" w:eastAsia="zh-CN"/>
                    </w:rPr>
                    <w:t>代码</w:t>
                  </w:r>
                </w:p>
              </w:tc>
              <w:tc>
                <w:tcPr>
                  <w:tcW w:w="1071" w:type="dxa"/>
                  <w:noWrap w:val="0"/>
                  <w:vAlign w:val="center"/>
                </w:tcPr>
                <w:p w14:paraId="20C9D7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bCs w:val="0"/>
                      <w:color w:val="auto"/>
                      <w:sz w:val="21"/>
                      <w:szCs w:val="21"/>
                      <w:lang w:val="en-US" w:eastAsia="zh-CN"/>
                    </w:rPr>
                  </w:pPr>
                  <w:r>
                    <w:rPr>
                      <w:rFonts w:hint="eastAsia" w:ascii="Times New Roman" w:hAnsi="Times New Roman" w:eastAsia="宋体"/>
                      <w:b w:val="0"/>
                      <w:bCs w:val="0"/>
                      <w:color w:val="auto"/>
                      <w:sz w:val="21"/>
                      <w:szCs w:val="21"/>
                      <w:lang w:val="en-US" w:eastAsia="zh-CN"/>
                    </w:rPr>
                    <w:t>产生量（t/a）</w:t>
                  </w:r>
                </w:p>
              </w:tc>
              <w:tc>
                <w:tcPr>
                  <w:tcW w:w="1047" w:type="dxa"/>
                  <w:noWrap w:val="0"/>
                  <w:vAlign w:val="center"/>
                </w:tcPr>
                <w:p w14:paraId="5D57D8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bCs w:val="0"/>
                      <w:color w:val="auto"/>
                      <w:sz w:val="21"/>
                      <w:szCs w:val="21"/>
                      <w:lang w:val="en-US" w:eastAsia="zh-CN"/>
                    </w:rPr>
                  </w:pPr>
                  <w:r>
                    <w:rPr>
                      <w:rFonts w:hint="eastAsia" w:ascii="Times New Roman" w:hAnsi="Times New Roman" w:eastAsia="宋体"/>
                      <w:b w:val="0"/>
                      <w:bCs w:val="0"/>
                      <w:color w:val="auto"/>
                      <w:sz w:val="21"/>
                      <w:szCs w:val="21"/>
                      <w:lang w:val="en-US" w:eastAsia="zh-CN"/>
                    </w:rPr>
                    <w:t>综合利用量（t/a）</w:t>
                  </w:r>
                </w:p>
              </w:tc>
              <w:tc>
                <w:tcPr>
                  <w:tcW w:w="926" w:type="dxa"/>
                  <w:noWrap w:val="0"/>
                  <w:vAlign w:val="center"/>
                </w:tcPr>
                <w:p w14:paraId="76BC1A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bCs w:val="0"/>
                      <w:color w:val="auto"/>
                      <w:sz w:val="21"/>
                      <w:szCs w:val="21"/>
                      <w:lang w:val="en-US" w:eastAsia="zh-CN"/>
                    </w:rPr>
                  </w:pPr>
                  <w:r>
                    <w:rPr>
                      <w:rFonts w:hint="eastAsia" w:ascii="Times New Roman" w:hAnsi="Times New Roman" w:eastAsia="宋体"/>
                      <w:b w:val="0"/>
                      <w:bCs w:val="0"/>
                      <w:color w:val="auto"/>
                      <w:sz w:val="21"/>
                      <w:szCs w:val="21"/>
                      <w:lang w:val="en-US" w:eastAsia="zh-CN"/>
                    </w:rPr>
                    <w:t>处置量（t/a）</w:t>
                  </w:r>
                </w:p>
              </w:tc>
              <w:tc>
                <w:tcPr>
                  <w:tcW w:w="1605" w:type="dxa"/>
                  <w:noWrap w:val="0"/>
                  <w:vAlign w:val="center"/>
                </w:tcPr>
                <w:p w14:paraId="646FB9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bCs w:val="0"/>
                      <w:color w:val="auto"/>
                      <w:sz w:val="21"/>
                      <w:szCs w:val="21"/>
                      <w:lang w:val="en-US" w:eastAsia="zh-CN"/>
                    </w:rPr>
                  </w:pPr>
                  <w:r>
                    <w:rPr>
                      <w:rFonts w:hint="eastAsia" w:ascii="Times New Roman" w:hAnsi="Times New Roman" w:eastAsia="宋体"/>
                      <w:b w:val="0"/>
                      <w:bCs w:val="0"/>
                      <w:color w:val="auto"/>
                      <w:sz w:val="21"/>
                      <w:szCs w:val="21"/>
                      <w:lang w:val="en-US" w:eastAsia="zh-CN"/>
                    </w:rPr>
                    <w:t>综合利用或</w:t>
                  </w:r>
                </w:p>
                <w:p w14:paraId="06AAD7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bCs w:val="0"/>
                      <w:color w:val="auto"/>
                      <w:sz w:val="21"/>
                      <w:szCs w:val="21"/>
                      <w:lang w:val="en-US" w:eastAsia="zh-CN"/>
                    </w:rPr>
                  </w:pPr>
                  <w:r>
                    <w:rPr>
                      <w:rFonts w:hint="eastAsia" w:ascii="Times New Roman" w:hAnsi="Times New Roman" w:eastAsia="宋体"/>
                      <w:b w:val="0"/>
                      <w:bCs w:val="0"/>
                      <w:color w:val="auto"/>
                      <w:sz w:val="21"/>
                      <w:szCs w:val="21"/>
                      <w:lang w:val="en-US" w:eastAsia="zh-CN"/>
                    </w:rPr>
                    <w:t>处置方式</w:t>
                  </w:r>
                </w:p>
              </w:tc>
            </w:tr>
            <w:tr w14:paraId="269B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17" w:type="dxa"/>
                  <w:noWrap w:val="0"/>
                  <w:vAlign w:val="center"/>
                </w:tcPr>
                <w:p w14:paraId="01B9DE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一般工业固体废物</w:t>
                  </w:r>
                </w:p>
              </w:tc>
              <w:tc>
                <w:tcPr>
                  <w:tcW w:w="739" w:type="dxa"/>
                  <w:noWrap w:val="0"/>
                  <w:vAlign w:val="center"/>
                </w:tcPr>
                <w:p w14:paraId="6387F6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生活</w:t>
                  </w:r>
                </w:p>
                <w:p w14:paraId="4DD452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垃圾</w:t>
                  </w:r>
                </w:p>
              </w:tc>
              <w:tc>
                <w:tcPr>
                  <w:tcW w:w="1074" w:type="dxa"/>
                  <w:noWrap w:val="0"/>
                  <w:vAlign w:val="center"/>
                </w:tcPr>
                <w:p w14:paraId="294651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纸类、塑料、织物、灰土等有机物及无机物</w:t>
                  </w:r>
                </w:p>
              </w:tc>
              <w:tc>
                <w:tcPr>
                  <w:tcW w:w="1196" w:type="dxa"/>
                  <w:noWrap w:val="0"/>
                  <w:vAlign w:val="center"/>
                </w:tcPr>
                <w:p w14:paraId="4A4216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w:t>
                  </w:r>
                </w:p>
              </w:tc>
              <w:tc>
                <w:tcPr>
                  <w:tcW w:w="1071" w:type="dxa"/>
                  <w:noWrap w:val="0"/>
                  <w:vAlign w:val="center"/>
                </w:tcPr>
                <w:p w14:paraId="7B2C3D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2.94</w:t>
                  </w:r>
                </w:p>
              </w:tc>
              <w:tc>
                <w:tcPr>
                  <w:tcW w:w="1047" w:type="dxa"/>
                  <w:noWrap w:val="0"/>
                  <w:vAlign w:val="center"/>
                </w:tcPr>
                <w:p w14:paraId="1CE9C30B">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w:t>
                  </w:r>
                </w:p>
              </w:tc>
              <w:tc>
                <w:tcPr>
                  <w:tcW w:w="926" w:type="dxa"/>
                  <w:noWrap w:val="0"/>
                  <w:vAlign w:val="center"/>
                </w:tcPr>
                <w:p w14:paraId="02FC156F">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color w:val="auto"/>
                      <w:kern w:val="2"/>
                      <w:sz w:val="21"/>
                      <w:szCs w:val="21"/>
                      <w:lang w:val="en-US" w:eastAsia="zh-CN" w:bidi="ar-SA"/>
                    </w:rPr>
                    <w:t>2.94</w:t>
                  </w:r>
                </w:p>
              </w:tc>
              <w:tc>
                <w:tcPr>
                  <w:tcW w:w="1605" w:type="dxa"/>
                  <w:noWrap w:val="0"/>
                  <w:vAlign w:val="center"/>
                </w:tcPr>
                <w:p w14:paraId="7A6AA032">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交由环卫部门</w:t>
                  </w:r>
                </w:p>
              </w:tc>
            </w:tr>
            <w:tr w14:paraId="04859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17" w:type="dxa"/>
                  <w:noWrap w:val="0"/>
                  <w:vAlign w:val="center"/>
                </w:tcPr>
                <w:p w14:paraId="6424D2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一般工业固体废物</w:t>
                  </w:r>
                </w:p>
              </w:tc>
              <w:tc>
                <w:tcPr>
                  <w:tcW w:w="739" w:type="dxa"/>
                  <w:noWrap w:val="0"/>
                  <w:vAlign w:val="center"/>
                </w:tcPr>
                <w:p w14:paraId="52CE0C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除尘灰</w:t>
                  </w:r>
                </w:p>
              </w:tc>
              <w:tc>
                <w:tcPr>
                  <w:tcW w:w="1074" w:type="dxa"/>
                  <w:noWrap w:val="0"/>
                  <w:vAlign w:val="center"/>
                </w:tcPr>
                <w:p w14:paraId="3F2F2C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val="en-US" w:eastAsia="zh-CN"/>
                    </w:rPr>
                  </w:pPr>
                  <w:r>
                    <w:rPr>
                      <w:rFonts w:hint="eastAsia"/>
                      <w:color w:val="auto"/>
                      <w:sz w:val="21"/>
                      <w:szCs w:val="21"/>
                      <w:lang w:val="en-US" w:eastAsia="zh-CN"/>
                    </w:rPr>
                    <w:t>工艺粉尘</w:t>
                  </w:r>
                </w:p>
              </w:tc>
              <w:tc>
                <w:tcPr>
                  <w:tcW w:w="1196" w:type="dxa"/>
                  <w:noWrap w:val="0"/>
                  <w:vAlign w:val="center"/>
                </w:tcPr>
                <w:p w14:paraId="784E79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lang w:val="en-US" w:eastAsia="zh-CN"/>
                    </w:rPr>
                  </w:pPr>
                  <w:r>
                    <w:rPr>
                      <w:rFonts w:hint="eastAsia"/>
                      <w:color w:val="auto"/>
                      <w:sz w:val="21"/>
                      <w:szCs w:val="21"/>
                      <w:lang w:val="en-US" w:eastAsia="zh-CN"/>
                    </w:rPr>
                    <w:t>/</w:t>
                  </w:r>
                </w:p>
              </w:tc>
              <w:tc>
                <w:tcPr>
                  <w:tcW w:w="1071" w:type="dxa"/>
                  <w:noWrap w:val="0"/>
                  <w:vAlign w:val="center"/>
                </w:tcPr>
                <w:p w14:paraId="746D6F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13</w:t>
                  </w:r>
                </w:p>
              </w:tc>
              <w:tc>
                <w:tcPr>
                  <w:tcW w:w="1047" w:type="dxa"/>
                  <w:noWrap w:val="0"/>
                  <w:vAlign w:val="center"/>
                </w:tcPr>
                <w:p w14:paraId="08D4D7BC">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13</w:t>
                  </w:r>
                </w:p>
              </w:tc>
              <w:tc>
                <w:tcPr>
                  <w:tcW w:w="926" w:type="dxa"/>
                  <w:noWrap w:val="0"/>
                  <w:vAlign w:val="center"/>
                </w:tcPr>
                <w:p w14:paraId="0A0FD53B">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13</w:t>
                  </w:r>
                </w:p>
              </w:tc>
              <w:tc>
                <w:tcPr>
                  <w:tcW w:w="1605" w:type="dxa"/>
                  <w:noWrap w:val="0"/>
                  <w:vAlign w:val="center"/>
                </w:tcPr>
                <w:p w14:paraId="5DF4A582">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作为原料回收利用</w:t>
                  </w:r>
                </w:p>
              </w:tc>
            </w:tr>
            <w:tr w14:paraId="6F26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17" w:type="dxa"/>
                  <w:noWrap w:val="0"/>
                  <w:vAlign w:val="center"/>
                </w:tcPr>
                <w:p w14:paraId="1CA877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一般工业固体废物</w:t>
                  </w:r>
                </w:p>
              </w:tc>
              <w:tc>
                <w:tcPr>
                  <w:tcW w:w="739" w:type="dxa"/>
                  <w:noWrap w:val="0"/>
                  <w:vAlign w:val="center"/>
                </w:tcPr>
                <w:p w14:paraId="10B805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废边角料</w:t>
                  </w:r>
                </w:p>
              </w:tc>
              <w:tc>
                <w:tcPr>
                  <w:tcW w:w="1074" w:type="dxa"/>
                  <w:noWrap w:val="0"/>
                  <w:vAlign w:val="center"/>
                </w:tcPr>
                <w:p w14:paraId="4AD0C4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铁为主，含少量 C、Mn、Si 等</w:t>
                  </w:r>
                </w:p>
              </w:tc>
              <w:tc>
                <w:tcPr>
                  <w:tcW w:w="1196" w:type="dxa"/>
                  <w:noWrap w:val="0"/>
                  <w:vAlign w:val="center"/>
                </w:tcPr>
                <w:p w14:paraId="565470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w:t>
                  </w:r>
                </w:p>
              </w:tc>
              <w:tc>
                <w:tcPr>
                  <w:tcW w:w="1071" w:type="dxa"/>
                  <w:noWrap w:val="0"/>
                  <w:vAlign w:val="center"/>
                </w:tcPr>
                <w:p w14:paraId="4DFD9E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5</w:t>
                  </w:r>
                </w:p>
              </w:tc>
              <w:tc>
                <w:tcPr>
                  <w:tcW w:w="1047" w:type="dxa"/>
                  <w:noWrap w:val="0"/>
                  <w:vAlign w:val="center"/>
                </w:tcPr>
                <w:p w14:paraId="68849BC7">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w:t>
                  </w:r>
                </w:p>
              </w:tc>
              <w:tc>
                <w:tcPr>
                  <w:tcW w:w="926" w:type="dxa"/>
                  <w:noWrap w:val="0"/>
                  <w:vAlign w:val="center"/>
                </w:tcPr>
                <w:p w14:paraId="6AE7847A">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5</w:t>
                  </w:r>
                </w:p>
              </w:tc>
              <w:tc>
                <w:tcPr>
                  <w:tcW w:w="1605" w:type="dxa"/>
                  <w:noWrap w:val="0"/>
                  <w:vAlign w:val="center"/>
                </w:tcPr>
                <w:p w14:paraId="6F331340">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外售废品收购站</w:t>
                  </w:r>
                </w:p>
              </w:tc>
            </w:tr>
            <w:tr w14:paraId="23D4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17" w:type="dxa"/>
                  <w:noWrap w:val="0"/>
                  <w:vAlign w:val="center"/>
                </w:tcPr>
                <w:p w14:paraId="7456F0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一般工业固体废物</w:t>
                  </w:r>
                </w:p>
              </w:tc>
              <w:tc>
                <w:tcPr>
                  <w:tcW w:w="739" w:type="dxa"/>
                  <w:noWrap w:val="0"/>
                  <w:vAlign w:val="center"/>
                </w:tcPr>
                <w:p w14:paraId="284D46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泥饼</w:t>
                  </w:r>
                </w:p>
              </w:tc>
              <w:tc>
                <w:tcPr>
                  <w:tcW w:w="1074" w:type="dxa"/>
                  <w:noWrap w:val="0"/>
                  <w:vAlign w:val="center"/>
                </w:tcPr>
                <w:p w14:paraId="3D2146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污泥絮体</w:t>
                  </w:r>
                </w:p>
              </w:tc>
              <w:tc>
                <w:tcPr>
                  <w:tcW w:w="1196" w:type="dxa"/>
                  <w:noWrap w:val="0"/>
                  <w:vAlign w:val="center"/>
                </w:tcPr>
                <w:p w14:paraId="7F9577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w:t>
                  </w:r>
                </w:p>
              </w:tc>
              <w:tc>
                <w:tcPr>
                  <w:tcW w:w="1071" w:type="dxa"/>
                  <w:noWrap w:val="0"/>
                  <w:vAlign w:val="center"/>
                </w:tcPr>
                <w:p w14:paraId="1861E1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6200</w:t>
                  </w:r>
                </w:p>
              </w:tc>
              <w:tc>
                <w:tcPr>
                  <w:tcW w:w="1047" w:type="dxa"/>
                  <w:noWrap w:val="0"/>
                  <w:vAlign w:val="center"/>
                </w:tcPr>
                <w:p w14:paraId="7DDE6CC6">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w:t>
                  </w:r>
                </w:p>
              </w:tc>
              <w:tc>
                <w:tcPr>
                  <w:tcW w:w="926" w:type="dxa"/>
                  <w:noWrap w:val="0"/>
                  <w:vAlign w:val="center"/>
                </w:tcPr>
                <w:p w14:paraId="30016711">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6200</w:t>
                  </w:r>
                </w:p>
              </w:tc>
              <w:tc>
                <w:tcPr>
                  <w:tcW w:w="1605" w:type="dxa"/>
                  <w:noWrap w:val="0"/>
                  <w:vAlign w:val="center"/>
                </w:tcPr>
                <w:p w14:paraId="12ABFAD7">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default" w:ascii="Times New Roman" w:hAnsi="Times New Roman" w:eastAsia="宋体"/>
                      <w:color w:val="auto"/>
                      <w:kern w:val="2"/>
                      <w:sz w:val="21"/>
                      <w:szCs w:val="21"/>
                      <w:lang w:val="en-US" w:eastAsia="zh-CN" w:bidi="ar-SA"/>
                    </w:rPr>
                    <w:t>压滤后的泥饼不进行贮存，立即运至壶关县鑫融建材有限公司用于生产</w:t>
                  </w:r>
                </w:p>
              </w:tc>
            </w:tr>
            <w:tr w14:paraId="59E5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17" w:type="dxa"/>
                  <w:noWrap w:val="0"/>
                  <w:vAlign w:val="center"/>
                </w:tcPr>
                <w:p w14:paraId="424C4A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一般工业固体废物</w:t>
                  </w:r>
                </w:p>
              </w:tc>
              <w:tc>
                <w:tcPr>
                  <w:tcW w:w="739" w:type="dxa"/>
                  <w:noWrap w:val="0"/>
                  <w:vAlign w:val="center"/>
                </w:tcPr>
                <w:p w14:paraId="36C1D6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残次品</w:t>
                  </w:r>
                </w:p>
              </w:tc>
              <w:tc>
                <w:tcPr>
                  <w:tcW w:w="1074" w:type="dxa"/>
                  <w:noWrap w:val="0"/>
                  <w:vAlign w:val="center"/>
                </w:tcPr>
                <w:p w14:paraId="407426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kern w:val="2"/>
                      <w:sz w:val="21"/>
                      <w:szCs w:val="21"/>
                      <w:lang w:val="en-US" w:eastAsia="zh-CN" w:bidi="ar-SA"/>
                    </w:rPr>
                  </w:pPr>
                  <w:r>
                    <w:rPr>
                      <w:rFonts w:hint="eastAsia" w:ascii="Times New Roman" w:hAnsi="Times New Roman" w:eastAsia="宋体"/>
                      <w:color w:val="auto"/>
                      <w:sz w:val="21"/>
                      <w:szCs w:val="21"/>
                      <w:lang w:val="en-US" w:eastAsia="zh-CN"/>
                    </w:rPr>
                    <w:t>一般工业固体废物</w:t>
                  </w:r>
                </w:p>
              </w:tc>
              <w:tc>
                <w:tcPr>
                  <w:tcW w:w="1196" w:type="dxa"/>
                  <w:noWrap w:val="0"/>
                  <w:vAlign w:val="center"/>
                </w:tcPr>
                <w:p w14:paraId="579226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w:t>
                  </w:r>
                </w:p>
              </w:tc>
              <w:tc>
                <w:tcPr>
                  <w:tcW w:w="1071" w:type="dxa"/>
                  <w:noWrap w:val="0"/>
                  <w:vAlign w:val="center"/>
                </w:tcPr>
                <w:p w14:paraId="389971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sz w:val="21"/>
                      <w:szCs w:val="21"/>
                      <w:lang w:val="en-US" w:eastAsia="zh-CN"/>
                    </w:rPr>
                    <w:t>0.5</w:t>
                  </w:r>
                </w:p>
              </w:tc>
              <w:tc>
                <w:tcPr>
                  <w:tcW w:w="1047" w:type="dxa"/>
                  <w:noWrap w:val="0"/>
                  <w:vAlign w:val="center"/>
                </w:tcPr>
                <w:p w14:paraId="3B8A823B">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w:t>
                  </w:r>
                </w:p>
              </w:tc>
              <w:tc>
                <w:tcPr>
                  <w:tcW w:w="926" w:type="dxa"/>
                  <w:noWrap w:val="0"/>
                  <w:vAlign w:val="center"/>
                </w:tcPr>
                <w:p w14:paraId="3809DF41">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0.5</w:t>
                  </w:r>
                </w:p>
              </w:tc>
              <w:tc>
                <w:tcPr>
                  <w:tcW w:w="1605" w:type="dxa"/>
                  <w:noWrap w:val="0"/>
                  <w:vAlign w:val="center"/>
                </w:tcPr>
                <w:p w14:paraId="6851CA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default" w:ascii="Times New Roman" w:hAnsi="Times New Roman" w:eastAsia="宋体"/>
                      <w:color w:val="auto"/>
                      <w:kern w:val="2"/>
                      <w:sz w:val="21"/>
                      <w:szCs w:val="21"/>
                      <w:lang w:val="en-US" w:eastAsia="zh-CN" w:bidi="ar-SA"/>
                    </w:rPr>
                    <w:t>集中收集后送至建材厂</w:t>
                  </w:r>
                  <w:r>
                    <w:rPr>
                      <w:rFonts w:hint="eastAsia"/>
                      <w:color w:val="auto"/>
                      <w:kern w:val="2"/>
                      <w:sz w:val="21"/>
                      <w:szCs w:val="21"/>
                      <w:lang w:val="en-US" w:eastAsia="zh-CN" w:bidi="ar-SA"/>
                    </w:rPr>
                    <w:t>或砖厂</w:t>
                  </w:r>
                  <w:r>
                    <w:rPr>
                      <w:rFonts w:hint="default" w:ascii="Times New Roman" w:hAnsi="Times New Roman" w:eastAsia="宋体"/>
                      <w:color w:val="auto"/>
                      <w:kern w:val="2"/>
                      <w:sz w:val="21"/>
                      <w:szCs w:val="21"/>
                      <w:lang w:val="en-US" w:eastAsia="zh-CN" w:bidi="ar-SA"/>
                    </w:rPr>
                    <w:t>综合处置</w:t>
                  </w:r>
                </w:p>
              </w:tc>
            </w:tr>
            <w:tr w14:paraId="2976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17" w:type="dxa"/>
                  <w:noWrap w:val="0"/>
                  <w:vAlign w:val="center"/>
                </w:tcPr>
                <w:p w14:paraId="2582DF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危险废物</w:t>
                  </w:r>
                </w:p>
              </w:tc>
              <w:tc>
                <w:tcPr>
                  <w:tcW w:w="739" w:type="dxa"/>
                  <w:noWrap w:val="0"/>
                  <w:vAlign w:val="center"/>
                </w:tcPr>
                <w:p w14:paraId="1FA2F9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废润滑油</w:t>
                  </w:r>
                </w:p>
              </w:tc>
              <w:tc>
                <w:tcPr>
                  <w:tcW w:w="1074" w:type="dxa"/>
                  <w:noWrap w:val="0"/>
                  <w:vAlign w:val="center"/>
                </w:tcPr>
                <w:p w14:paraId="2493E7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default" w:ascii="Times New Roman" w:hAnsi="Times New Roman" w:eastAsia="宋体"/>
                      <w:color w:val="auto"/>
                      <w:sz w:val="21"/>
                      <w:szCs w:val="21"/>
                      <w:lang w:val="en-US" w:eastAsia="zh-CN"/>
                    </w:rPr>
                    <w:t>基础矿物油 / 合成油、添加剂、氧化产物、金属磨损颗粒</w:t>
                  </w:r>
                </w:p>
              </w:tc>
              <w:tc>
                <w:tcPr>
                  <w:tcW w:w="1196" w:type="dxa"/>
                  <w:noWrap w:val="0"/>
                  <w:vAlign w:val="center"/>
                </w:tcPr>
                <w:p w14:paraId="1BD4CA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900-217-08</w:t>
                  </w:r>
                </w:p>
              </w:tc>
              <w:tc>
                <w:tcPr>
                  <w:tcW w:w="1071" w:type="dxa"/>
                  <w:noWrap w:val="0"/>
                  <w:vAlign w:val="center"/>
                </w:tcPr>
                <w:p w14:paraId="07FC2A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0.2</w:t>
                  </w:r>
                </w:p>
              </w:tc>
              <w:tc>
                <w:tcPr>
                  <w:tcW w:w="1047" w:type="dxa"/>
                  <w:noWrap w:val="0"/>
                  <w:vAlign w:val="center"/>
                </w:tcPr>
                <w:p w14:paraId="1ABC8B9B">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w:t>
                  </w:r>
                </w:p>
              </w:tc>
              <w:tc>
                <w:tcPr>
                  <w:tcW w:w="926" w:type="dxa"/>
                  <w:noWrap w:val="0"/>
                  <w:vAlign w:val="center"/>
                </w:tcPr>
                <w:p w14:paraId="08E05D8E">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0.2</w:t>
                  </w:r>
                </w:p>
              </w:tc>
              <w:tc>
                <w:tcPr>
                  <w:tcW w:w="1605" w:type="dxa"/>
                  <w:vMerge w:val="restart"/>
                  <w:noWrap w:val="0"/>
                  <w:vAlign w:val="center"/>
                </w:tcPr>
                <w:p w14:paraId="2145E3CE">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委托资质单位定期清运处置</w:t>
                  </w:r>
                </w:p>
              </w:tc>
            </w:tr>
            <w:tr w14:paraId="26AD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17" w:type="dxa"/>
                  <w:noWrap w:val="0"/>
                  <w:vAlign w:val="center"/>
                </w:tcPr>
                <w:p w14:paraId="7E4308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危险废物</w:t>
                  </w:r>
                </w:p>
              </w:tc>
              <w:tc>
                <w:tcPr>
                  <w:tcW w:w="739" w:type="dxa"/>
                  <w:noWrap w:val="0"/>
                  <w:vAlign w:val="center"/>
                </w:tcPr>
                <w:p w14:paraId="5319EF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废油桶</w:t>
                  </w:r>
                </w:p>
              </w:tc>
              <w:tc>
                <w:tcPr>
                  <w:tcW w:w="1074" w:type="dxa"/>
                  <w:noWrap w:val="0"/>
                  <w:vAlign w:val="center"/>
                </w:tcPr>
                <w:p w14:paraId="328291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金属 / 塑料桶体，沾染残留废润滑油及油污</w:t>
                  </w:r>
                </w:p>
              </w:tc>
              <w:tc>
                <w:tcPr>
                  <w:tcW w:w="1196" w:type="dxa"/>
                  <w:noWrap w:val="0"/>
                  <w:vAlign w:val="center"/>
                </w:tcPr>
                <w:p w14:paraId="1D528C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900-041-49</w:t>
                  </w:r>
                </w:p>
              </w:tc>
              <w:tc>
                <w:tcPr>
                  <w:tcW w:w="1071" w:type="dxa"/>
                  <w:noWrap w:val="0"/>
                  <w:vAlign w:val="center"/>
                </w:tcPr>
                <w:p w14:paraId="6C7302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0.06</w:t>
                  </w:r>
                </w:p>
              </w:tc>
              <w:tc>
                <w:tcPr>
                  <w:tcW w:w="1047" w:type="dxa"/>
                  <w:noWrap w:val="0"/>
                  <w:vAlign w:val="center"/>
                </w:tcPr>
                <w:p w14:paraId="67CFFEA8">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w:t>
                  </w:r>
                </w:p>
              </w:tc>
              <w:tc>
                <w:tcPr>
                  <w:tcW w:w="926" w:type="dxa"/>
                  <w:noWrap w:val="0"/>
                  <w:vAlign w:val="center"/>
                </w:tcPr>
                <w:p w14:paraId="6452E269">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2"/>
                      <w:sz w:val="21"/>
                      <w:szCs w:val="21"/>
                      <w:lang w:val="en-US" w:eastAsia="zh-CN" w:bidi="ar-SA"/>
                    </w:rPr>
                  </w:pPr>
                  <w:r>
                    <w:rPr>
                      <w:rFonts w:hint="eastAsia" w:ascii="Times New Roman" w:hAnsi="Times New Roman" w:eastAsia="宋体"/>
                      <w:color w:val="auto"/>
                      <w:kern w:val="2"/>
                      <w:sz w:val="21"/>
                      <w:szCs w:val="21"/>
                      <w:lang w:val="en-US" w:eastAsia="zh-CN" w:bidi="ar-SA"/>
                    </w:rPr>
                    <w:t>0.06</w:t>
                  </w:r>
                </w:p>
              </w:tc>
              <w:tc>
                <w:tcPr>
                  <w:tcW w:w="1605" w:type="dxa"/>
                  <w:vMerge w:val="continue"/>
                  <w:noWrap w:val="0"/>
                  <w:vAlign w:val="center"/>
                </w:tcPr>
                <w:p w14:paraId="1B72C559">
                  <w:pPr>
                    <w:keepNext w:val="0"/>
                    <w:keepLines w:val="0"/>
                    <w:pageBreakBefore w:val="0"/>
                    <w:widowControl w:val="0"/>
                    <w:tabs>
                      <w:tab w:val="left" w:pos="7500"/>
                    </w:tabs>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kern w:val="2"/>
                      <w:sz w:val="21"/>
                      <w:szCs w:val="21"/>
                      <w:lang w:val="en-US" w:eastAsia="zh-CN" w:bidi="ar-SA"/>
                    </w:rPr>
                  </w:pPr>
                </w:p>
              </w:tc>
            </w:tr>
          </w:tbl>
          <w:p w14:paraId="30D8572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b/>
                <w:bCs/>
                <w:color w:val="auto"/>
                <w:sz w:val="21"/>
              </w:rPr>
            </w:pPr>
            <w:r>
              <w:rPr>
                <w:rFonts w:ascii="Times New Roman" w:hAnsi="Times New Roman"/>
                <w:color w:val="auto"/>
                <w:sz w:val="24"/>
              </w:rPr>
              <w:t>根据《建设项目危险废物环境影响评价指南》，本项目产生的危险废物汇总表见表4</w:t>
            </w:r>
            <w:r>
              <w:rPr>
                <w:rFonts w:hint="eastAsia" w:ascii="Times New Roman" w:hAnsi="Times New Roman"/>
                <w:color w:val="auto"/>
                <w:sz w:val="24"/>
                <w:lang w:val="en-US" w:eastAsia="zh-CN"/>
              </w:rPr>
              <w:t>-1</w:t>
            </w:r>
            <w:r>
              <w:rPr>
                <w:rFonts w:hint="eastAsia"/>
                <w:color w:val="auto"/>
                <w:sz w:val="24"/>
                <w:lang w:val="en-US" w:eastAsia="zh-CN"/>
              </w:rPr>
              <w:t>6</w:t>
            </w:r>
            <w:r>
              <w:rPr>
                <w:rFonts w:ascii="Times New Roman" w:hAnsi="Times New Roman"/>
                <w:color w:val="auto"/>
                <w:sz w:val="24"/>
              </w:rPr>
              <w:t>。</w:t>
            </w:r>
          </w:p>
          <w:p w14:paraId="0C1582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
                <w:bCs/>
                <w:color w:val="auto"/>
                <w:sz w:val="21"/>
              </w:rPr>
            </w:pPr>
            <w:r>
              <w:rPr>
                <w:rFonts w:ascii="Times New Roman" w:hAnsi="Times New Roman"/>
                <w:b/>
                <w:bCs/>
                <w:color w:val="auto"/>
                <w:sz w:val="21"/>
              </w:rPr>
              <w:t>表4-</w:t>
            </w:r>
            <w:r>
              <w:rPr>
                <w:rFonts w:hint="eastAsia" w:ascii="Times New Roman" w:hAnsi="Times New Roman"/>
                <w:b/>
                <w:bCs/>
                <w:color w:val="auto"/>
                <w:sz w:val="21"/>
                <w:lang w:val="en-US" w:eastAsia="zh-CN"/>
              </w:rPr>
              <w:t>1</w:t>
            </w:r>
            <w:r>
              <w:rPr>
                <w:rFonts w:hint="eastAsia"/>
                <w:b/>
                <w:bCs/>
                <w:color w:val="auto"/>
                <w:sz w:val="21"/>
                <w:lang w:val="en-US" w:eastAsia="zh-CN"/>
              </w:rPr>
              <w:t>6</w:t>
            </w:r>
            <w:r>
              <w:rPr>
                <w:rFonts w:ascii="Times New Roman" w:hAnsi="Times New Roman"/>
                <w:b/>
                <w:bCs/>
                <w:color w:val="auto"/>
                <w:sz w:val="21"/>
              </w:rPr>
              <w:t xml:space="preserve">  危险废物汇总表</w:t>
            </w:r>
          </w:p>
          <w:tbl>
            <w:tblPr>
              <w:tblStyle w:val="2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28"/>
              <w:gridCol w:w="857"/>
              <w:gridCol w:w="1337"/>
              <w:gridCol w:w="936"/>
              <w:gridCol w:w="1058"/>
              <w:gridCol w:w="455"/>
              <w:gridCol w:w="862"/>
              <w:gridCol w:w="694"/>
              <w:gridCol w:w="1092"/>
            </w:tblGrid>
            <w:tr w14:paraId="4FE5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266" w:type="pct"/>
                  <w:noWrap w:val="0"/>
                  <w:vAlign w:val="center"/>
                </w:tcPr>
                <w:p w14:paraId="11AE14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序号</w:t>
                  </w:r>
                </w:p>
              </w:tc>
              <w:tc>
                <w:tcPr>
                  <w:tcW w:w="483" w:type="pct"/>
                  <w:noWrap w:val="0"/>
                  <w:vAlign w:val="center"/>
                </w:tcPr>
                <w:p w14:paraId="35D539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危险废物</w:t>
                  </w:r>
                  <w:r>
                    <w:rPr>
                      <w:rFonts w:hint="eastAsia" w:ascii="Times New Roman" w:hAnsi="Times New Roman" w:eastAsia="宋体"/>
                      <w:color w:val="auto"/>
                      <w:sz w:val="21"/>
                      <w:szCs w:val="21"/>
                    </w:rPr>
                    <w:t>名称</w:t>
                  </w:r>
                </w:p>
              </w:tc>
              <w:tc>
                <w:tcPr>
                  <w:tcW w:w="499" w:type="pct"/>
                  <w:noWrap w:val="0"/>
                  <w:vAlign w:val="center"/>
                </w:tcPr>
                <w:p w14:paraId="2D8F07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lang w:val="en-US" w:eastAsia="zh-CN"/>
                    </w:rPr>
                    <w:t>危险废物</w:t>
                  </w:r>
                  <w:r>
                    <w:rPr>
                      <w:rFonts w:hint="eastAsia" w:ascii="Times New Roman" w:hAnsi="Times New Roman" w:eastAsia="宋体"/>
                      <w:color w:val="auto"/>
                      <w:sz w:val="21"/>
                      <w:szCs w:val="21"/>
                    </w:rPr>
                    <w:t>类别</w:t>
                  </w:r>
                </w:p>
              </w:tc>
              <w:tc>
                <w:tcPr>
                  <w:tcW w:w="779" w:type="pct"/>
                  <w:noWrap w:val="0"/>
                  <w:vAlign w:val="center"/>
                </w:tcPr>
                <w:p w14:paraId="535BB2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废物代码</w:t>
                  </w:r>
                </w:p>
              </w:tc>
              <w:tc>
                <w:tcPr>
                  <w:tcW w:w="545" w:type="pct"/>
                  <w:noWrap w:val="0"/>
                  <w:vAlign w:val="center"/>
                </w:tcPr>
                <w:p w14:paraId="5F320B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rPr>
                    <w:t>产生量</w:t>
                  </w:r>
                  <w:r>
                    <w:rPr>
                      <w:rFonts w:hint="eastAsia" w:ascii="Times New Roman" w:hAnsi="Times New Roman" w:eastAsia="宋体"/>
                      <w:color w:val="auto"/>
                      <w:sz w:val="21"/>
                      <w:szCs w:val="21"/>
                      <w:lang w:eastAsia="zh-CN"/>
                    </w:rPr>
                    <w:t>（</w:t>
                  </w:r>
                  <w:r>
                    <w:rPr>
                      <w:rFonts w:hint="eastAsia" w:ascii="Times New Roman" w:hAnsi="Times New Roman" w:eastAsia="宋体"/>
                      <w:color w:val="auto"/>
                      <w:sz w:val="21"/>
                      <w:szCs w:val="21"/>
                      <w:lang w:val="en-US" w:eastAsia="zh-CN"/>
                    </w:rPr>
                    <w:t>t/a</w:t>
                  </w:r>
                  <w:r>
                    <w:rPr>
                      <w:rFonts w:hint="eastAsia" w:ascii="Times New Roman" w:hAnsi="Times New Roman" w:eastAsia="宋体"/>
                      <w:color w:val="auto"/>
                      <w:sz w:val="21"/>
                      <w:szCs w:val="21"/>
                      <w:lang w:eastAsia="zh-CN"/>
                    </w:rPr>
                    <w:t>）</w:t>
                  </w:r>
                </w:p>
              </w:tc>
              <w:tc>
                <w:tcPr>
                  <w:tcW w:w="616" w:type="pct"/>
                  <w:noWrap w:val="0"/>
                  <w:vAlign w:val="center"/>
                </w:tcPr>
                <w:p w14:paraId="40337E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rPr>
                    <w:t>产生工序</w:t>
                  </w:r>
                  <w:r>
                    <w:rPr>
                      <w:rFonts w:hint="eastAsia" w:ascii="Times New Roman" w:hAnsi="Times New Roman" w:eastAsia="宋体"/>
                      <w:color w:val="auto"/>
                      <w:sz w:val="21"/>
                      <w:szCs w:val="21"/>
                      <w:lang w:val="en-US" w:eastAsia="zh-CN"/>
                    </w:rPr>
                    <w:t>及装置</w:t>
                  </w:r>
                </w:p>
              </w:tc>
              <w:tc>
                <w:tcPr>
                  <w:tcW w:w="265" w:type="pct"/>
                  <w:noWrap w:val="0"/>
                  <w:vAlign w:val="center"/>
                </w:tcPr>
                <w:p w14:paraId="1BBCE9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形态</w:t>
                  </w:r>
                </w:p>
              </w:tc>
              <w:tc>
                <w:tcPr>
                  <w:tcW w:w="502" w:type="pct"/>
                  <w:noWrap w:val="0"/>
                  <w:vAlign w:val="center"/>
                </w:tcPr>
                <w:p w14:paraId="015AFB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主要成分</w:t>
                  </w:r>
                </w:p>
              </w:tc>
              <w:tc>
                <w:tcPr>
                  <w:tcW w:w="404" w:type="pct"/>
                  <w:noWrap w:val="0"/>
                  <w:vAlign w:val="center"/>
                </w:tcPr>
                <w:p w14:paraId="3CE6F7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危险特性</w:t>
                  </w:r>
                </w:p>
              </w:tc>
              <w:tc>
                <w:tcPr>
                  <w:tcW w:w="636" w:type="pct"/>
                  <w:noWrap w:val="0"/>
                  <w:vAlign w:val="center"/>
                </w:tcPr>
                <w:p w14:paraId="23946B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污染防治措施</w:t>
                  </w:r>
                </w:p>
              </w:tc>
            </w:tr>
            <w:tr w14:paraId="67BA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66" w:type="pct"/>
                  <w:noWrap w:val="0"/>
                  <w:vAlign w:val="center"/>
                </w:tcPr>
                <w:p w14:paraId="386BC1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1</w:t>
                  </w:r>
                </w:p>
              </w:tc>
              <w:tc>
                <w:tcPr>
                  <w:tcW w:w="483" w:type="pct"/>
                  <w:noWrap w:val="0"/>
                  <w:vAlign w:val="center"/>
                </w:tcPr>
                <w:p w14:paraId="2DCF96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废</w:t>
                  </w:r>
                  <w:r>
                    <w:rPr>
                      <w:rFonts w:hint="eastAsia" w:ascii="Times New Roman" w:hAnsi="Times New Roman" w:eastAsia="宋体"/>
                      <w:color w:val="auto"/>
                      <w:sz w:val="21"/>
                      <w:szCs w:val="21"/>
                      <w:lang w:val="en-US" w:eastAsia="zh-CN"/>
                    </w:rPr>
                    <w:t>润滑</w:t>
                  </w:r>
                  <w:r>
                    <w:rPr>
                      <w:rFonts w:hint="eastAsia" w:ascii="Times New Roman" w:hAnsi="Times New Roman" w:eastAsia="宋体"/>
                      <w:color w:val="auto"/>
                      <w:sz w:val="21"/>
                      <w:szCs w:val="21"/>
                    </w:rPr>
                    <w:t>油</w:t>
                  </w:r>
                </w:p>
              </w:tc>
              <w:tc>
                <w:tcPr>
                  <w:tcW w:w="499" w:type="pct"/>
                  <w:noWrap w:val="0"/>
                  <w:vAlign w:val="center"/>
                </w:tcPr>
                <w:p w14:paraId="6050E7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HW08</w:t>
                  </w:r>
                </w:p>
              </w:tc>
              <w:tc>
                <w:tcPr>
                  <w:tcW w:w="779" w:type="pct"/>
                  <w:noWrap w:val="0"/>
                  <w:vAlign w:val="center"/>
                </w:tcPr>
                <w:p w14:paraId="36E4AD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highlight w:val="none"/>
                      <w:lang w:val="en-US" w:eastAsia="zh-CN"/>
                    </w:rPr>
                    <w:t>900-217-08</w:t>
                  </w:r>
                </w:p>
              </w:tc>
              <w:tc>
                <w:tcPr>
                  <w:tcW w:w="545" w:type="pct"/>
                  <w:noWrap w:val="0"/>
                  <w:vAlign w:val="center"/>
                </w:tcPr>
                <w:p w14:paraId="64AFC7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0.</w:t>
                  </w:r>
                  <w:r>
                    <w:rPr>
                      <w:rFonts w:hint="eastAsia" w:ascii="Times New Roman" w:hAnsi="Times New Roman" w:eastAsia="宋体"/>
                      <w:color w:val="auto"/>
                      <w:sz w:val="21"/>
                      <w:szCs w:val="21"/>
                      <w:lang w:val="en-US" w:eastAsia="zh-CN"/>
                    </w:rPr>
                    <w:t>2</w:t>
                  </w:r>
                </w:p>
              </w:tc>
              <w:tc>
                <w:tcPr>
                  <w:tcW w:w="616" w:type="pct"/>
                  <w:vMerge w:val="restart"/>
                  <w:noWrap w:val="0"/>
                  <w:vAlign w:val="center"/>
                </w:tcPr>
                <w:p w14:paraId="6AFA57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设备维护保养</w:t>
                  </w:r>
                  <w:r>
                    <w:rPr>
                      <w:rFonts w:hint="eastAsia" w:ascii="Times New Roman" w:hAnsi="Times New Roman" w:eastAsia="宋体"/>
                      <w:color w:val="auto"/>
                      <w:sz w:val="21"/>
                      <w:szCs w:val="21"/>
                      <w:lang w:val="en-US" w:eastAsia="zh-CN"/>
                    </w:rPr>
                    <w:t>及生产过程</w:t>
                  </w:r>
                </w:p>
              </w:tc>
              <w:tc>
                <w:tcPr>
                  <w:tcW w:w="265" w:type="pct"/>
                  <w:noWrap w:val="0"/>
                  <w:vAlign w:val="center"/>
                </w:tcPr>
                <w:p w14:paraId="152EA0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液态</w:t>
                  </w:r>
                </w:p>
              </w:tc>
              <w:tc>
                <w:tcPr>
                  <w:tcW w:w="502" w:type="pct"/>
                  <w:noWrap w:val="0"/>
                  <w:vAlign w:val="center"/>
                </w:tcPr>
                <w:p w14:paraId="7658A4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碳氢化合物</w:t>
                  </w:r>
                </w:p>
              </w:tc>
              <w:tc>
                <w:tcPr>
                  <w:tcW w:w="404" w:type="pct"/>
                  <w:noWrap w:val="0"/>
                  <w:vAlign w:val="center"/>
                </w:tcPr>
                <w:p w14:paraId="009FE0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T，I</w:t>
                  </w:r>
                </w:p>
              </w:tc>
              <w:tc>
                <w:tcPr>
                  <w:tcW w:w="636" w:type="pct"/>
                  <w:vMerge w:val="restart"/>
                  <w:noWrap w:val="0"/>
                  <w:vAlign w:val="center"/>
                </w:tcPr>
                <w:p w14:paraId="128154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highlight w:val="none"/>
                      <w:lang w:val="en-US" w:eastAsia="zh-CN"/>
                    </w:rPr>
                    <w:t>20</w:t>
                  </w:r>
                  <w:r>
                    <w:rPr>
                      <w:rFonts w:hint="eastAsia" w:ascii="Times New Roman" w:hAnsi="Times New Roman" w:eastAsia="宋体"/>
                      <w:color w:val="auto"/>
                      <w:sz w:val="21"/>
                      <w:szCs w:val="21"/>
                      <w:highlight w:val="none"/>
                    </w:rPr>
                    <w:t>m</w:t>
                  </w:r>
                  <w:r>
                    <w:rPr>
                      <w:rFonts w:hint="eastAsia" w:ascii="Times New Roman" w:hAnsi="Times New Roman" w:eastAsia="宋体"/>
                      <w:color w:val="auto"/>
                      <w:sz w:val="21"/>
                      <w:szCs w:val="21"/>
                      <w:highlight w:val="none"/>
                      <w:vertAlign w:val="superscript"/>
                    </w:rPr>
                    <w:t>2</w:t>
                  </w:r>
                  <w:r>
                    <w:rPr>
                      <w:rFonts w:hint="eastAsia"/>
                      <w:color w:val="auto"/>
                      <w:sz w:val="21"/>
                      <w:szCs w:val="21"/>
                      <w:lang w:eastAsia="zh-CN"/>
                    </w:rPr>
                    <w:t>危废贮存库</w:t>
                  </w:r>
                  <w:r>
                    <w:rPr>
                      <w:rFonts w:hint="eastAsia" w:ascii="Times New Roman" w:hAnsi="Times New Roman" w:eastAsia="宋体"/>
                      <w:color w:val="auto"/>
                      <w:sz w:val="21"/>
                      <w:szCs w:val="21"/>
                    </w:rPr>
                    <w:t>暂存，定期委托有资质单位处置</w:t>
                  </w:r>
                </w:p>
              </w:tc>
            </w:tr>
            <w:tr w14:paraId="7AF7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trPr>
              <w:tc>
                <w:tcPr>
                  <w:tcW w:w="266" w:type="pct"/>
                  <w:noWrap w:val="0"/>
                  <w:vAlign w:val="center"/>
                </w:tcPr>
                <w:p w14:paraId="46302F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val="en-US" w:eastAsia="zh-CN"/>
                    </w:rPr>
                    <w:t>3</w:t>
                  </w:r>
                </w:p>
              </w:tc>
              <w:tc>
                <w:tcPr>
                  <w:tcW w:w="483" w:type="pct"/>
                  <w:noWrap w:val="0"/>
                  <w:vAlign w:val="center"/>
                </w:tcPr>
                <w:p w14:paraId="3D065A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废油桶</w:t>
                  </w:r>
                </w:p>
              </w:tc>
              <w:tc>
                <w:tcPr>
                  <w:tcW w:w="499" w:type="pct"/>
                  <w:noWrap w:val="0"/>
                  <w:vAlign w:val="center"/>
                </w:tcPr>
                <w:p w14:paraId="300D67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HW</w:t>
                  </w:r>
                  <w:r>
                    <w:rPr>
                      <w:rFonts w:hint="eastAsia" w:ascii="Times New Roman" w:hAnsi="Times New Roman" w:eastAsia="宋体"/>
                      <w:color w:val="auto"/>
                      <w:sz w:val="21"/>
                      <w:szCs w:val="21"/>
                      <w:lang w:val="en-US" w:eastAsia="zh-CN"/>
                    </w:rPr>
                    <w:t>49</w:t>
                  </w:r>
                </w:p>
              </w:tc>
              <w:tc>
                <w:tcPr>
                  <w:tcW w:w="779" w:type="pct"/>
                  <w:noWrap w:val="0"/>
                  <w:vAlign w:val="center"/>
                </w:tcPr>
                <w:p w14:paraId="120465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highlight w:val="none"/>
                      <w:lang w:val="en-US" w:eastAsia="zh-CN"/>
                    </w:rPr>
                    <w:t>900-041-49</w:t>
                  </w:r>
                </w:p>
              </w:tc>
              <w:tc>
                <w:tcPr>
                  <w:tcW w:w="545" w:type="pct"/>
                  <w:noWrap w:val="0"/>
                  <w:vAlign w:val="center"/>
                </w:tcPr>
                <w:p w14:paraId="5F27A2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0.</w:t>
                  </w:r>
                  <w:r>
                    <w:rPr>
                      <w:rFonts w:hint="eastAsia" w:ascii="Times New Roman" w:hAnsi="Times New Roman" w:eastAsia="宋体"/>
                      <w:color w:val="auto"/>
                      <w:sz w:val="21"/>
                      <w:szCs w:val="21"/>
                      <w:lang w:val="en-US" w:eastAsia="zh-CN"/>
                    </w:rPr>
                    <w:t>06</w:t>
                  </w:r>
                </w:p>
              </w:tc>
              <w:tc>
                <w:tcPr>
                  <w:tcW w:w="616" w:type="pct"/>
                  <w:vMerge w:val="continue"/>
                  <w:noWrap w:val="0"/>
                  <w:vAlign w:val="center"/>
                </w:tcPr>
                <w:p w14:paraId="4FF2D8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sz w:val="21"/>
                      <w:szCs w:val="21"/>
                    </w:rPr>
                  </w:pPr>
                </w:p>
              </w:tc>
              <w:tc>
                <w:tcPr>
                  <w:tcW w:w="265" w:type="pct"/>
                  <w:noWrap w:val="0"/>
                  <w:vAlign w:val="center"/>
                </w:tcPr>
                <w:p w14:paraId="1B4D5A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固态</w:t>
                  </w:r>
                </w:p>
              </w:tc>
              <w:tc>
                <w:tcPr>
                  <w:tcW w:w="502" w:type="pct"/>
                  <w:noWrap w:val="0"/>
                  <w:vAlign w:val="center"/>
                </w:tcPr>
                <w:p w14:paraId="544594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r>
                    <w:rPr>
                      <w:rFonts w:hint="eastAsia" w:ascii="Times New Roman" w:hAnsi="Times New Roman" w:eastAsia="宋体"/>
                      <w:color w:val="auto"/>
                      <w:sz w:val="21"/>
                      <w:szCs w:val="21"/>
                    </w:rPr>
                    <w:t>碳氢化合物</w:t>
                  </w:r>
                </w:p>
              </w:tc>
              <w:tc>
                <w:tcPr>
                  <w:tcW w:w="404" w:type="pct"/>
                  <w:noWrap w:val="0"/>
                  <w:vAlign w:val="center"/>
                </w:tcPr>
                <w:p w14:paraId="52B5D7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rPr>
                    <w:t>T</w:t>
                  </w:r>
                  <w:r>
                    <w:rPr>
                      <w:rFonts w:hint="eastAsia" w:ascii="Times New Roman" w:hAnsi="Times New Roman" w:eastAsia="宋体"/>
                      <w:color w:val="auto"/>
                      <w:sz w:val="21"/>
                      <w:szCs w:val="21"/>
                      <w:lang w:val="en-US" w:eastAsia="zh-CN"/>
                    </w:rPr>
                    <w:t>/In</w:t>
                  </w:r>
                </w:p>
              </w:tc>
              <w:tc>
                <w:tcPr>
                  <w:tcW w:w="636" w:type="pct"/>
                  <w:vMerge w:val="continue"/>
                  <w:noWrap w:val="0"/>
                  <w:vAlign w:val="center"/>
                </w:tcPr>
                <w:p w14:paraId="1AFD30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sz w:val="21"/>
                      <w:szCs w:val="21"/>
                    </w:rPr>
                  </w:pPr>
                </w:p>
              </w:tc>
            </w:tr>
          </w:tbl>
          <w:p w14:paraId="60E37C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hint="eastAsia" w:cs="Times New Roman"/>
                <w:color w:val="auto"/>
                <w:sz w:val="24"/>
                <w:szCs w:val="24"/>
                <w:lang w:eastAsia="zh-CN"/>
              </w:rPr>
              <w:t>危废贮存库</w:t>
            </w:r>
            <w:r>
              <w:rPr>
                <w:rFonts w:ascii="Times New Roman" w:hAnsi="Times New Roman" w:eastAsia="宋体" w:cs="Times New Roman"/>
                <w:color w:val="auto"/>
                <w:sz w:val="24"/>
                <w:szCs w:val="24"/>
                <w:lang w:eastAsia="zh-CN"/>
              </w:rPr>
              <w:t>需按照相应危废处置环保法规的要求设置：</w:t>
            </w:r>
            <w:r>
              <w:rPr>
                <w:rFonts w:hint="eastAsia" w:cs="Times New Roman"/>
                <w:color w:val="auto"/>
                <w:sz w:val="24"/>
                <w:szCs w:val="24"/>
                <w:lang w:eastAsia="zh-CN"/>
              </w:rPr>
              <w:t>危废贮存库</w:t>
            </w:r>
            <w:r>
              <w:rPr>
                <w:rFonts w:ascii="Times New Roman" w:hAnsi="Times New Roman" w:eastAsia="宋体" w:cs="Times New Roman"/>
                <w:color w:val="auto"/>
                <w:sz w:val="24"/>
                <w:szCs w:val="24"/>
                <w:lang w:eastAsia="zh-CN"/>
              </w:rPr>
              <w:t>地面为混凝土，防止包装破损产生沥出液的渗漏，</w:t>
            </w:r>
            <w:r>
              <w:rPr>
                <w:rFonts w:hint="eastAsia" w:cs="Times New Roman"/>
                <w:color w:val="auto"/>
                <w:sz w:val="24"/>
                <w:szCs w:val="24"/>
                <w:lang w:eastAsia="zh-CN"/>
              </w:rPr>
              <w:t>危废贮存库</w:t>
            </w:r>
            <w:r>
              <w:rPr>
                <w:rFonts w:hint="eastAsia" w:ascii="Times New Roman" w:hAnsi="Times New Roman" w:eastAsia="宋体" w:cs="Times New Roman"/>
                <w:color w:val="auto"/>
                <w:sz w:val="24"/>
                <w:szCs w:val="24"/>
                <w:lang w:val="en-US" w:eastAsia="zh-CN"/>
              </w:rPr>
              <w:t>为全封闭</w:t>
            </w:r>
            <w:r>
              <w:rPr>
                <w:rFonts w:ascii="Times New Roman" w:hAnsi="Times New Roman" w:eastAsia="宋体" w:cs="Times New Roman"/>
                <w:color w:val="auto"/>
                <w:sz w:val="24"/>
                <w:szCs w:val="24"/>
                <w:lang w:eastAsia="zh-CN"/>
              </w:rPr>
              <w:t>，防止雨水冲刷产生的二次污染，即做到“防渗、防水、防晒”效果。根据《危险废物贮存污染控制标准》（GB18597-20</w:t>
            </w:r>
            <w:r>
              <w:rPr>
                <w:rFonts w:hint="eastAsia" w:ascii="Times New Roman" w:hAnsi="Times New Roman" w:eastAsia="宋体" w:cs="Times New Roman"/>
                <w:color w:val="auto"/>
                <w:sz w:val="24"/>
                <w:szCs w:val="24"/>
                <w:lang w:val="en-US" w:eastAsia="zh-CN"/>
              </w:rPr>
              <w:t>23</w:t>
            </w:r>
            <w:r>
              <w:rPr>
                <w:rFonts w:ascii="Times New Roman" w:hAnsi="Times New Roman" w:eastAsia="宋体" w:cs="Times New Roman"/>
                <w:color w:val="auto"/>
                <w:sz w:val="24"/>
                <w:szCs w:val="24"/>
                <w:lang w:eastAsia="zh-CN"/>
              </w:rPr>
              <w:t>）、《危险废物转移管理办法》及《建设项目危险废物环境影响评价指南》（</w:t>
            </w:r>
            <w:r>
              <w:rPr>
                <w:rFonts w:hint="eastAsia" w:cs="Times New Roman"/>
                <w:color w:val="auto"/>
                <w:sz w:val="24"/>
                <w:szCs w:val="24"/>
                <w:lang w:val="en-US" w:eastAsia="zh-CN"/>
              </w:rPr>
              <w:t>生态</w:t>
            </w:r>
            <w:r>
              <w:rPr>
                <w:rFonts w:ascii="Times New Roman" w:hAnsi="Times New Roman" w:eastAsia="宋体" w:cs="Times New Roman"/>
                <w:color w:val="auto"/>
                <w:sz w:val="24"/>
                <w:szCs w:val="24"/>
                <w:lang w:eastAsia="zh-CN"/>
              </w:rPr>
              <w:t>环保部公告2017年第43号）的要求，本次环评对</w:t>
            </w:r>
            <w:r>
              <w:rPr>
                <w:rFonts w:hint="eastAsia" w:cs="Times New Roman"/>
                <w:color w:val="auto"/>
                <w:sz w:val="24"/>
                <w:szCs w:val="24"/>
                <w:lang w:eastAsia="zh-CN"/>
              </w:rPr>
              <w:t>危废贮存库</w:t>
            </w:r>
            <w:r>
              <w:rPr>
                <w:rFonts w:ascii="Times New Roman" w:hAnsi="Times New Roman" w:eastAsia="宋体" w:cs="Times New Roman"/>
                <w:color w:val="auto"/>
                <w:sz w:val="24"/>
                <w:szCs w:val="24"/>
                <w:lang w:eastAsia="zh-CN"/>
              </w:rPr>
              <w:t>建设、贮存、管理提出以下要求：</w:t>
            </w:r>
          </w:p>
          <w:p w14:paraId="7631BE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（3）环境管理要求</w:t>
            </w:r>
          </w:p>
          <w:p w14:paraId="777414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1）一般固体废物贮存场所</w:t>
            </w:r>
          </w:p>
          <w:p w14:paraId="73FAAFE7">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hint="eastAsia" w:ascii="Times New Roman" w:hAnsi="Times New Roman" w:eastAsia="宋体"/>
                <w:color w:val="auto"/>
                <w:sz w:val="24"/>
                <w:lang w:val="en-US" w:eastAsia="zh-CN"/>
              </w:rPr>
              <w:t>按照《一般工业固体废物贮存和填埋污染控制标准》有关规定，企业不能利用且不属于危险废物的工业固体废物，必须按照国家环保主管部门规定：建设贮存或处置设施。评价要求在项目生产车间内设置50m</w:t>
            </w:r>
            <w:r>
              <w:rPr>
                <w:rFonts w:hint="eastAsia" w:ascii="Times New Roman" w:hAnsi="Times New Roman" w:eastAsia="宋体"/>
                <w:color w:val="auto"/>
                <w:sz w:val="24"/>
                <w:vertAlign w:val="superscript"/>
                <w:lang w:val="en-US" w:eastAsia="zh-CN"/>
              </w:rPr>
              <w:t>2</w:t>
            </w:r>
            <w:r>
              <w:rPr>
                <w:rFonts w:hint="eastAsia" w:ascii="Times New Roman" w:hAnsi="Times New Roman" w:eastAsia="宋体"/>
                <w:color w:val="auto"/>
                <w:sz w:val="24"/>
                <w:vertAlign w:val="baseline"/>
                <w:lang w:val="en-US" w:eastAsia="zh-CN"/>
              </w:rPr>
              <w:t>的一般固</w:t>
            </w:r>
            <w:r>
              <w:rPr>
                <w:rFonts w:hint="eastAsia" w:ascii="Times New Roman" w:hAnsi="Times New Roman" w:eastAsia="宋体"/>
                <w:color w:val="auto"/>
                <w:sz w:val="24"/>
                <w:highlight w:val="none"/>
                <w:vertAlign w:val="baseline"/>
                <w:lang w:val="en-US" w:eastAsia="zh-CN"/>
              </w:rPr>
              <w:t>废贮存点</w:t>
            </w:r>
            <w:r>
              <w:rPr>
                <w:rFonts w:hint="eastAsia" w:ascii="Times New Roman" w:hAnsi="Times New Roman" w:eastAsia="宋体"/>
                <w:color w:val="auto"/>
                <w:sz w:val="24"/>
                <w:lang w:val="en-US" w:eastAsia="zh-CN"/>
              </w:rPr>
              <w:t>，</w:t>
            </w:r>
            <w:r>
              <w:rPr>
                <w:rFonts w:hint="eastAsia" w:ascii="Times New Roman" w:hAnsi="Times New Roman" w:eastAsia="宋体"/>
                <w:color w:val="auto"/>
                <w:sz w:val="24"/>
                <w:vertAlign w:val="baseline"/>
                <w:lang w:val="en-US" w:eastAsia="zh-CN"/>
              </w:rPr>
              <w:t>一般固废贮存点</w:t>
            </w:r>
            <w:r>
              <w:rPr>
                <w:rFonts w:hint="eastAsia" w:ascii="Times New Roman" w:hAnsi="Times New Roman" w:eastAsia="宋体"/>
                <w:color w:val="auto"/>
                <w:sz w:val="24"/>
                <w:lang w:val="en-US" w:eastAsia="zh-CN"/>
              </w:rPr>
              <w:t>按《一般工业固体废物贮存和填埋污染控制标准》（GB18599-2020）的要求建设，地面采用改性压实粘土类衬层或具有同等以上隔水效力的其他材料防渗衬层，其防渗性能应至少相当于渗透系数为1.0×10</w:t>
            </w:r>
            <w:r>
              <w:rPr>
                <w:rFonts w:hint="eastAsia" w:ascii="Times New Roman" w:hAnsi="Times New Roman" w:eastAsia="宋体"/>
                <w:color w:val="auto"/>
                <w:sz w:val="24"/>
                <w:vertAlign w:val="superscript"/>
                <w:lang w:val="en-US" w:eastAsia="zh-CN"/>
              </w:rPr>
              <w:t xml:space="preserve">-5 </w:t>
            </w:r>
            <w:r>
              <w:rPr>
                <w:rFonts w:hint="eastAsia" w:ascii="Times New Roman" w:hAnsi="Times New Roman" w:eastAsia="宋体"/>
                <w:color w:val="auto"/>
                <w:sz w:val="24"/>
                <w:lang w:val="en-US" w:eastAsia="zh-CN"/>
              </w:rPr>
              <w:t>cm/s且厚度为0.75m 的天然基础层并采取防扬散、防流失、防止雨水的冲刷及防渗漏等措施。一般固废在运输过程中要防止散落地面，以免产生二次污染。</w:t>
            </w:r>
          </w:p>
          <w:p w14:paraId="0A2AD52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hint="eastAsia" w:cs="Times New Roman"/>
                <w:color w:val="auto"/>
                <w:sz w:val="24"/>
                <w:szCs w:val="24"/>
                <w:lang w:val="en-US" w:eastAsia="zh-CN"/>
              </w:rPr>
              <w:t>2</w:t>
            </w:r>
            <w:r>
              <w:rPr>
                <w:rFonts w:ascii="Times New Roman" w:hAnsi="Times New Roman" w:eastAsia="宋体" w:cs="Times New Roman"/>
                <w:color w:val="auto"/>
                <w:sz w:val="24"/>
                <w:szCs w:val="24"/>
                <w:lang w:eastAsia="zh-CN"/>
              </w:rPr>
              <w:t>）</w:t>
            </w:r>
            <w:r>
              <w:rPr>
                <w:rFonts w:hint="eastAsia" w:cs="Times New Roman"/>
                <w:color w:val="auto"/>
                <w:sz w:val="24"/>
                <w:szCs w:val="24"/>
                <w:lang w:eastAsia="zh-CN"/>
              </w:rPr>
              <w:t>危废贮存库</w:t>
            </w:r>
            <w:r>
              <w:rPr>
                <w:rFonts w:ascii="Times New Roman" w:hAnsi="Times New Roman" w:eastAsia="宋体" w:cs="Times New Roman"/>
                <w:color w:val="auto"/>
                <w:sz w:val="24"/>
                <w:szCs w:val="24"/>
                <w:lang w:eastAsia="zh-CN"/>
              </w:rPr>
              <w:t>储存要求</w:t>
            </w:r>
          </w:p>
          <w:p w14:paraId="07FACD3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①危险废物要分开储存，分别存放在坚固的容器内，根据生产过程的特点，属性分别设置危废储存器，储存器为开孔直径不超过70mm并有放气孔的高密度聚乙烯桶；容器上应贴上符合危险废物种类的相应标签。堆放危险废物的高度应根据地面承载能力确定。</w:t>
            </w:r>
          </w:p>
          <w:p w14:paraId="7E6CD62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②暂存间地面与裙角要用坚固的防渗材料建造，建筑材料必须与危险废物相容，防渗层为至少1m厚的黏土层(渗透系数≤10</w:t>
            </w:r>
            <w:r>
              <w:rPr>
                <w:rFonts w:ascii="Times New Roman" w:hAnsi="Times New Roman" w:eastAsia="宋体" w:cs="Times New Roman"/>
                <w:color w:val="auto"/>
                <w:sz w:val="24"/>
                <w:szCs w:val="24"/>
                <w:vertAlign w:val="superscript"/>
                <w:lang w:eastAsia="zh-CN"/>
              </w:rPr>
              <w:t>-7</w:t>
            </w:r>
            <w:r>
              <w:rPr>
                <w:rFonts w:ascii="Times New Roman" w:hAnsi="Times New Roman" w:eastAsia="宋体" w:cs="Times New Roman"/>
                <w:color w:val="auto"/>
                <w:sz w:val="24"/>
                <w:szCs w:val="24"/>
                <w:lang w:eastAsia="zh-CN"/>
              </w:rPr>
              <w:t>cm/s)，或2mm厚高密度聚乙烯，或者至少2mm厚的其他人工材料，渗透系数≤10</w:t>
            </w:r>
            <w:r>
              <w:rPr>
                <w:rFonts w:ascii="Times New Roman" w:hAnsi="Times New Roman" w:eastAsia="宋体" w:cs="Times New Roman"/>
                <w:color w:val="auto"/>
                <w:sz w:val="24"/>
                <w:szCs w:val="24"/>
                <w:vertAlign w:val="superscript"/>
                <w:lang w:eastAsia="zh-CN"/>
              </w:rPr>
              <w:t>-10</w:t>
            </w:r>
            <w:r>
              <w:rPr>
                <w:rFonts w:ascii="Times New Roman" w:hAnsi="Times New Roman" w:eastAsia="宋体" w:cs="Times New Roman"/>
                <w:color w:val="auto"/>
                <w:sz w:val="24"/>
                <w:szCs w:val="24"/>
                <w:lang w:eastAsia="zh-CN"/>
              </w:rPr>
              <w:t>cm/s。</w:t>
            </w:r>
          </w:p>
          <w:p w14:paraId="3FD6277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③贮存间设置明显的贮存危险废物种类标识和警示标识，并在贮存场周围显著处标记“严禁烟火”</w:t>
            </w:r>
            <w:r>
              <w:rPr>
                <w:rFonts w:hint="eastAsia" w:ascii="Times New Roman" w:hAnsi="Times New Roman" w:eastAsia="宋体" w:cs="Times New Roman"/>
                <w:color w:val="auto"/>
                <w:sz w:val="24"/>
                <w:szCs w:val="24"/>
                <w:lang w:eastAsia="zh-CN"/>
              </w:rPr>
              <w:t>的警示牌</w:t>
            </w:r>
            <w:r>
              <w:rPr>
                <w:rFonts w:ascii="Times New Roman" w:hAnsi="Times New Roman" w:eastAsia="宋体" w:cs="Times New Roman"/>
                <w:color w:val="auto"/>
                <w:sz w:val="24"/>
                <w:szCs w:val="24"/>
                <w:lang w:eastAsia="zh-CN"/>
              </w:rPr>
              <w:t>。</w:t>
            </w:r>
          </w:p>
          <w:p w14:paraId="0478BF8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④厂内要有专人管理危险废物，危险废物出入贮存间前，应登记造册，做好记录，注明危险废物的名称、来源、数量、特性、入库日期、出库日期、接</w:t>
            </w:r>
            <w:r>
              <w:rPr>
                <w:rFonts w:hint="eastAsia" w:ascii="Times New Roman" w:hAnsi="Times New Roman" w:eastAsia="宋体" w:cs="Times New Roman"/>
                <w:color w:val="auto"/>
                <w:sz w:val="24"/>
                <w:szCs w:val="24"/>
                <w:lang w:eastAsia="zh-CN"/>
              </w:rPr>
              <w:t>收</w:t>
            </w:r>
            <w:r>
              <w:rPr>
                <w:rFonts w:ascii="Times New Roman" w:hAnsi="Times New Roman" w:eastAsia="宋体" w:cs="Times New Roman"/>
                <w:color w:val="auto"/>
                <w:sz w:val="24"/>
                <w:szCs w:val="24"/>
                <w:lang w:eastAsia="zh-CN"/>
              </w:rPr>
              <w:t>单位等。</w:t>
            </w:r>
          </w:p>
          <w:p w14:paraId="2559BD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⑤定期对所贮存的危险废物包装容器及贮存设施进行检查，发现破损及时清理更换。</w:t>
            </w:r>
          </w:p>
          <w:p w14:paraId="3E264E6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⑥危险废物应按照国家有关规定向当地环境保护行政主管部门申报登记，接受当地环境保护行政主管部门监督管理。危险废物应按照国家有关规定向当地环境保护行政主管部门申报登记，接受当地环境保护行政主管部门监督管理。</w:t>
            </w:r>
          </w:p>
          <w:p w14:paraId="7C5BFB5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hint="eastAsia" w:cs="Times New Roman"/>
                <w:color w:val="auto"/>
                <w:sz w:val="24"/>
                <w:szCs w:val="24"/>
                <w:lang w:val="en-US" w:eastAsia="zh-CN"/>
              </w:rPr>
              <w:t>3</w:t>
            </w:r>
            <w:r>
              <w:rPr>
                <w:rFonts w:ascii="Times New Roman" w:hAnsi="Times New Roman" w:eastAsia="宋体" w:cs="Times New Roman"/>
                <w:color w:val="auto"/>
                <w:sz w:val="24"/>
                <w:szCs w:val="24"/>
                <w:lang w:eastAsia="zh-CN"/>
              </w:rPr>
              <w:t>）</w:t>
            </w:r>
            <w:r>
              <w:rPr>
                <w:rFonts w:hint="eastAsia" w:cs="Times New Roman"/>
                <w:color w:val="auto"/>
                <w:sz w:val="24"/>
                <w:szCs w:val="24"/>
                <w:lang w:val="en-US" w:eastAsia="zh-CN"/>
              </w:rPr>
              <w:t>危废贮存库</w:t>
            </w:r>
            <w:r>
              <w:rPr>
                <w:rFonts w:ascii="Times New Roman" w:hAnsi="Times New Roman" w:eastAsia="宋体" w:cs="Times New Roman"/>
                <w:color w:val="auto"/>
                <w:sz w:val="24"/>
                <w:szCs w:val="24"/>
                <w:lang w:eastAsia="zh-CN"/>
              </w:rPr>
              <w:t>贮存容器</w:t>
            </w:r>
          </w:p>
          <w:p w14:paraId="53528F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①应当使用符合标准的容器盛装危险废物；</w:t>
            </w:r>
          </w:p>
          <w:p w14:paraId="3D84AF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②装载危险废物的容器及材质要满足相应的强度要求；</w:t>
            </w:r>
          </w:p>
          <w:p w14:paraId="164B1A3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③装载危险废物的容器必须完好无损；</w:t>
            </w:r>
          </w:p>
          <w:p w14:paraId="443BDF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④装载危险废物的容器材质和衬里要与危险废物相容(不相互反应)；</w:t>
            </w:r>
          </w:p>
          <w:p w14:paraId="51EA05C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⑤液体危险废物可注入开孔直径不超过70mm并有放气孔的桶中；</w:t>
            </w:r>
          </w:p>
          <w:p w14:paraId="0EA8FB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⑥无法装入常用容器的危险废物可用防漏</w:t>
            </w:r>
            <w:r>
              <w:rPr>
                <w:rFonts w:hint="eastAsia" w:ascii="Times New Roman" w:hAnsi="Times New Roman" w:eastAsia="宋体" w:cs="Times New Roman"/>
                <w:color w:val="auto"/>
                <w:sz w:val="24"/>
                <w:szCs w:val="24"/>
                <w:lang w:eastAsia="zh-CN"/>
              </w:rPr>
              <w:t>胶带</w:t>
            </w:r>
            <w:r>
              <w:rPr>
                <w:rFonts w:ascii="Times New Roman" w:hAnsi="Times New Roman" w:eastAsia="宋体" w:cs="Times New Roman"/>
                <w:color w:val="auto"/>
                <w:sz w:val="24"/>
                <w:szCs w:val="24"/>
                <w:lang w:eastAsia="zh-CN"/>
              </w:rPr>
              <w:t>等盛装。</w:t>
            </w:r>
          </w:p>
          <w:p w14:paraId="645C6B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sz w:val="24"/>
                <w:szCs w:val="24"/>
                <w:lang w:eastAsia="zh-CN"/>
              </w:rPr>
            </w:pPr>
            <w:r>
              <w:rPr>
                <w:rFonts w:hint="eastAsia" w:cs="Times New Roman"/>
                <w:color w:val="auto"/>
                <w:sz w:val="24"/>
                <w:szCs w:val="24"/>
                <w:lang w:val="en-US" w:eastAsia="zh-CN"/>
              </w:rPr>
              <w:t>4</w:t>
            </w:r>
            <w:r>
              <w:rPr>
                <w:rFonts w:ascii="Times New Roman" w:hAnsi="Times New Roman" w:eastAsia="宋体" w:cs="Times New Roman"/>
                <w:color w:val="auto"/>
                <w:sz w:val="24"/>
                <w:szCs w:val="24"/>
                <w:lang w:eastAsia="zh-CN"/>
              </w:rPr>
              <w:t>）</w:t>
            </w:r>
            <w:r>
              <w:rPr>
                <w:rFonts w:hint="eastAsia" w:cs="Times New Roman"/>
                <w:color w:val="auto"/>
                <w:sz w:val="24"/>
                <w:szCs w:val="24"/>
                <w:lang w:eastAsia="zh-CN"/>
              </w:rPr>
              <w:t>危废贮存库</w:t>
            </w:r>
            <w:r>
              <w:rPr>
                <w:rFonts w:ascii="Times New Roman" w:hAnsi="Times New Roman" w:eastAsia="宋体" w:cs="Times New Roman"/>
                <w:color w:val="auto"/>
                <w:sz w:val="24"/>
                <w:szCs w:val="24"/>
                <w:lang w:eastAsia="zh-CN"/>
              </w:rPr>
              <w:t>的建设要求</w:t>
            </w:r>
          </w:p>
          <w:p w14:paraId="2CAF99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4"/>
                <w:szCs w:val="24"/>
                <w:lang w:eastAsia="zh-CN"/>
              </w:rPr>
              <w:t>①按照《危险废物贮存污染控制标准》（GB18597-20</w:t>
            </w:r>
            <w:r>
              <w:rPr>
                <w:rFonts w:hint="eastAsia" w:ascii="Times New Roman" w:hAnsi="Times New Roman" w:eastAsia="宋体" w:cs="Times New Roman"/>
                <w:color w:val="auto"/>
                <w:sz w:val="24"/>
                <w:szCs w:val="24"/>
                <w:lang w:val="en-US" w:eastAsia="zh-CN"/>
              </w:rPr>
              <w:t>23</w:t>
            </w:r>
            <w:r>
              <w:rPr>
                <w:rFonts w:ascii="Times New Roman" w:hAnsi="Times New Roman" w:eastAsia="宋体" w:cs="Times New Roman"/>
                <w:color w:val="auto"/>
                <w:sz w:val="24"/>
                <w:szCs w:val="24"/>
                <w:lang w:eastAsia="zh-CN"/>
              </w:rPr>
              <w:t>）</w:t>
            </w:r>
            <w:r>
              <w:rPr>
                <w:rFonts w:ascii="Times New Roman" w:hAnsi="Times New Roman" w:eastAsia="宋体" w:cs="Times New Roman"/>
                <w:color w:val="auto"/>
                <w:sz w:val="24"/>
                <w:szCs w:val="24"/>
                <w:highlight w:val="none"/>
                <w:lang w:eastAsia="zh-CN"/>
              </w:rPr>
              <w:t>的有关要求进行建设和管理；</w:t>
            </w:r>
          </w:p>
          <w:p w14:paraId="2548A1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color w:val="auto"/>
                <w:sz w:val="24"/>
              </w:rPr>
            </w:pPr>
            <w:r>
              <w:rPr>
                <w:rFonts w:ascii="Times New Roman" w:hAnsi="Times New Roman" w:eastAsia="宋体" w:cs="Times New Roman"/>
                <w:color w:val="auto"/>
                <w:sz w:val="24"/>
                <w:szCs w:val="24"/>
                <w:lang w:eastAsia="zh-CN"/>
              </w:rPr>
              <w:t>②</w:t>
            </w:r>
            <w:r>
              <w:rPr>
                <w:rFonts w:hint="eastAsia" w:cs="Times New Roman"/>
                <w:color w:val="auto"/>
                <w:sz w:val="24"/>
                <w:szCs w:val="24"/>
                <w:highlight w:val="none"/>
                <w:lang w:eastAsia="zh-CN"/>
              </w:rPr>
              <w:t>危废贮存库</w:t>
            </w:r>
            <w:r>
              <w:rPr>
                <w:rFonts w:ascii="Times New Roman" w:hAnsi="Times New Roman" w:eastAsia="宋体" w:cs="Times New Roman"/>
                <w:color w:val="auto"/>
                <w:sz w:val="24"/>
                <w:szCs w:val="24"/>
                <w:highlight w:val="none"/>
                <w:lang w:eastAsia="zh-CN"/>
              </w:rPr>
              <w:t>应采取防渗漏措施，基础必须进行防渗处理，防渗层为至少1m厚的黏土层（渗透系数≤1×10</w:t>
            </w:r>
            <w:r>
              <w:rPr>
                <w:rFonts w:ascii="Times New Roman" w:hAnsi="Times New Roman" w:eastAsia="宋体" w:cs="Times New Roman"/>
                <w:color w:val="auto"/>
                <w:sz w:val="24"/>
                <w:szCs w:val="24"/>
                <w:highlight w:val="none"/>
                <w:vertAlign w:val="superscript"/>
                <w:lang w:eastAsia="zh-CN"/>
              </w:rPr>
              <w:t>-7</w:t>
            </w:r>
            <w:r>
              <w:rPr>
                <w:rFonts w:ascii="Times New Roman" w:hAnsi="Times New Roman" w:eastAsia="宋体" w:cs="Times New Roman"/>
                <w:color w:val="auto"/>
                <w:sz w:val="24"/>
                <w:szCs w:val="24"/>
                <w:highlight w:val="none"/>
                <w:lang w:eastAsia="zh-CN"/>
              </w:rPr>
              <w:t>cm/s）或2mm厚的高密度聚乙烯，或至少2mm厚的其它人工材料，渗透系数≤1×10</w:t>
            </w:r>
            <w:r>
              <w:rPr>
                <w:rFonts w:ascii="Times New Roman" w:hAnsi="Times New Roman" w:eastAsia="宋体" w:cs="Times New Roman"/>
                <w:color w:val="auto"/>
                <w:sz w:val="24"/>
                <w:szCs w:val="24"/>
                <w:highlight w:val="none"/>
                <w:vertAlign w:val="superscript"/>
                <w:lang w:eastAsia="zh-CN"/>
              </w:rPr>
              <w:t>-10</w:t>
            </w:r>
            <w:r>
              <w:rPr>
                <w:rFonts w:ascii="Times New Roman" w:hAnsi="Times New Roman" w:eastAsia="宋体" w:cs="Times New Roman"/>
                <w:color w:val="auto"/>
                <w:sz w:val="24"/>
                <w:szCs w:val="24"/>
                <w:highlight w:val="none"/>
                <w:lang w:eastAsia="zh-CN"/>
              </w:rPr>
              <w:t>cm/s，地面加覆0.5mm厚环氧树脂膜</w:t>
            </w:r>
            <w:r>
              <w:rPr>
                <w:rFonts w:hint="eastAsia" w:ascii="Times New Roman" w:hAnsi="Times New Roman" w:eastAsia="宋体" w:cs="Times New Roman"/>
                <w:color w:val="auto"/>
                <w:sz w:val="24"/>
                <w:szCs w:val="24"/>
                <w:highlight w:val="none"/>
                <w:lang w:eastAsia="zh-CN"/>
              </w:rPr>
              <w:t>，</w:t>
            </w:r>
            <w:r>
              <w:rPr>
                <w:rFonts w:ascii="Times New Roman" w:hAnsi="Times New Roman"/>
                <w:color w:val="auto"/>
                <w:sz w:val="24"/>
              </w:rPr>
              <w:t>具体做法见下图：</w:t>
            </w:r>
          </w:p>
          <w:p w14:paraId="648FDBB6">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drawing>
                <wp:inline distT="0" distB="0" distL="114300" distR="114300">
                  <wp:extent cx="3756660" cy="2560320"/>
                  <wp:effectExtent l="0" t="0" r="15240" b="11430"/>
                  <wp:docPr id="102" name="图片 10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图片1"/>
                          <pic:cNvPicPr>
                            <a:picLocks noChangeAspect="1"/>
                          </pic:cNvPicPr>
                        </pic:nvPicPr>
                        <pic:blipFill>
                          <a:blip r:embed="rId26"/>
                          <a:stretch>
                            <a:fillRect/>
                          </a:stretch>
                        </pic:blipFill>
                        <pic:spPr>
                          <a:xfrm>
                            <a:off x="0" y="0"/>
                            <a:ext cx="3756660" cy="2560320"/>
                          </a:xfrm>
                          <a:prstGeom prst="rect">
                            <a:avLst/>
                          </a:prstGeom>
                        </pic:spPr>
                      </pic:pic>
                    </a:graphicData>
                  </a:graphic>
                </wp:inline>
              </w:drawing>
            </w:r>
          </w:p>
          <w:p w14:paraId="4EAB26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③</w:t>
            </w:r>
            <w:r>
              <w:rPr>
                <w:rFonts w:hint="eastAsia" w:cs="Times New Roman"/>
                <w:color w:val="auto"/>
                <w:sz w:val="24"/>
                <w:szCs w:val="24"/>
                <w:lang w:eastAsia="zh-CN"/>
              </w:rPr>
              <w:t>危废贮存库</w:t>
            </w:r>
            <w:r>
              <w:rPr>
                <w:rFonts w:hint="eastAsia" w:ascii="Times New Roman" w:hAnsi="Times New Roman" w:eastAsia="宋体" w:cs="Times New Roman"/>
                <w:color w:val="auto"/>
                <w:sz w:val="24"/>
                <w:szCs w:val="24"/>
                <w:lang w:eastAsia="zh-CN"/>
              </w:rPr>
              <w:t>内设置导流槽、集液池，</w:t>
            </w:r>
            <w:r>
              <w:rPr>
                <w:rFonts w:hint="eastAsia" w:cs="Times New Roman"/>
                <w:color w:val="auto"/>
                <w:sz w:val="24"/>
                <w:szCs w:val="24"/>
                <w:lang w:eastAsia="zh-CN"/>
              </w:rPr>
              <w:t>危废贮存库</w:t>
            </w:r>
            <w:r>
              <w:rPr>
                <w:rFonts w:hint="eastAsia" w:ascii="Times New Roman" w:hAnsi="Times New Roman" w:eastAsia="宋体" w:cs="Times New Roman"/>
                <w:color w:val="auto"/>
                <w:sz w:val="24"/>
                <w:szCs w:val="24"/>
                <w:lang w:eastAsia="zh-CN"/>
              </w:rPr>
              <w:t>内四周墙裙采用防渗、防腐处理，建筑外设置围堰；</w:t>
            </w:r>
          </w:p>
          <w:p w14:paraId="020B9F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④</w:t>
            </w:r>
            <w:r>
              <w:rPr>
                <w:rFonts w:hint="eastAsia" w:ascii="Times New Roman" w:hAnsi="Times New Roman" w:eastAsia="宋体" w:cs="Times New Roman"/>
                <w:color w:val="auto"/>
                <w:sz w:val="24"/>
                <w:szCs w:val="24"/>
                <w:lang w:eastAsia="zh-CN"/>
              </w:rPr>
              <w:t>设施内要有安全照明装置和观察窗口；用以存放装载液体危险废物容器的地方，必须设置耐腐蚀的硬化地面，且表面无裂缝；</w:t>
            </w:r>
          </w:p>
          <w:p w14:paraId="221F07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⑤地面与裙脚要用坚固、防渗的材料建造，建筑材料必须与危险废物相容，应设计</w:t>
            </w:r>
            <w:r>
              <w:rPr>
                <w:rFonts w:hint="eastAsia" w:ascii="Times New Roman" w:hAnsi="Times New Roman" w:eastAsia="宋体" w:cs="Times New Roman"/>
                <w:color w:val="auto"/>
                <w:sz w:val="24"/>
                <w:szCs w:val="24"/>
                <w:lang w:eastAsia="zh-CN"/>
              </w:rPr>
              <w:t>堵截</w:t>
            </w:r>
            <w:r>
              <w:rPr>
                <w:rFonts w:ascii="Times New Roman" w:hAnsi="Times New Roman" w:eastAsia="宋体" w:cs="Times New Roman"/>
                <w:color w:val="auto"/>
                <w:sz w:val="24"/>
                <w:szCs w:val="24"/>
                <w:lang w:eastAsia="zh-CN"/>
              </w:rPr>
              <w:t>液体的裙脚，地面与裙脚所围建的容积不低于堵截最大容器的最大储量或总量的1/5；</w:t>
            </w:r>
          </w:p>
          <w:p w14:paraId="65E91F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⑥不相容的危险废物必须分开存放，并设置有隔离间隔断；</w:t>
            </w:r>
          </w:p>
          <w:p w14:paraId="6022F4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宋体" w:hAnsi="宋体" w:eastAsia="宋体" w:cs="宋体"/>
                <w:color w:val="auto"/>
                <w:sz w:val="24"/>
                <w:szCs w:val="24"/>
              </w:rPr>
              <w:t>⑦</w:t>
            </w:r>
            <w:r>
              <w:rPr>
                <w:rFonts w:ascii="Times New Roman" w:hAnsi="Times New Roman" w:eastAsia="宋体" w:cs="Times New Roman"/>
                <w:color w:val="auto"/>
                <w:sz w:val="24"/>
                <w:szCs w:val="24"/>
                <w:lang w:eastAsia="zh-CN"/>
              </w:rPr>
              <w:t>堆放危险废物的高度应根据地面承载能力确定。</w:t>
            </w:r>
          </w:p>
          <w:p w14:paraId="045D683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hint="eastAsia" w:cs="Times New Roman"/>
                <w:color w:val="auto"/>
                <w:sz w:val="24"/>
                <w:szCs w:val="24"/>
                <w:lang w:val="en-US" w:eastAsia="zh-CN"/>
              </w:rPr>
              <w:t>5</w:t>
            </w:r>
            <w:r>
              <w:rPr>
                <w:rFonts w:ascii="Times New Roman" w:hAnsi="Times New Roman" w:eastAsia="宋体" w:cs="Times New Roman"/>
                <w:color w:val="auto"/>
                <w:sz w:val="24"/>
                <w:szCs w:val="24"/>
                <w:lang w:eastAsia="zh-CN"/>
              </w:rPr>
              <w:t>）</w:t>
            </w:r>
            <w:r>
              <w:rPr>
                <w:rFonts w:hint="eastAsia" w:cs="Times New Roman"/>
                <w:color w:val="auto"/>
                <w:sz w:val="24"/>
                <w:szCs w:val="24"/>
                <w:lang w:eastAsia="zh-CN"/>
              </w:rPr>
              <w:t>危废贮存库</w:t>
            </w:r>
            <w:r>
              <w:rPr>
                <w:rFonts w:ascii="Times New Roman" w:hAnsi="Times New Roman" w:eastAsia="宋体" w:cs="Times New Roman"/>
                <w:color w:val="auto"/>
                <w:sz w:val="24"/>
                <w:szCs w:val="24"/>
                <w:lang w:eastAsia="zh-CN"/>
              </w:rPr>
              <w:t>的管理要求</w:t>
            </w:r>
          </w:p>
          <w:p w14:paraId="3E61F46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2017年9月1日环境保护部办公厅印发了《建设项目危险废物环境影响评价指南》，根据该《指南》，本报告对</w:t>
            </w:r>
            <w:r>
              <w:rPr>
                <w:rFonts w:hint="eastAsia" w:cs="Times New Roman"/>
                <w:color w:val="auto"/>
                <w:sz w:val="24"/>
                <w:szCs w:val="24"/>
                <w:lang w:eastAsia="zh-CN"/>
              </w:rPr>
              <w:t>危废贮存库</w:t>
            </w:r>
            <w:r>
              <w:rPr>
                <w:rFonts w:ascii="Times New Roman" w:hAnsi="Times New Roman" w:eastAsia="宋体" w:cs="Times New Roman"/>
                <w:color w:val="auto"/>
                <w:sz w:val="24"/>
                <w:szCs w:val="24"/>
                <w:lang w:eastAsia="zh-CN"/>
              </w:rPr>
              <w:t>、收集装置及危废暂存管理制度提出相应的管理要求：</w:t>
            </w:r>
          </w:p>
          <w:p w14:paraId="5CC1763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fldChar w:fldCharType="begin"/>
            </w:r>
            <w:r>
              <w:rPr>
                <w:rFonts w:ascii="Times New Roman" w:hAnsi="Times New Roman" w:eastAsia="宋体" w:cs="Times New Roman"/>
                <w:color w:val="auto"/>
                <w:sz w:val="24"/>
                <w:szCs w:val="24"/>
                <w:lang w:eastAsia="zh-CN"/>
              </w:rPr>
              <w:instrText xml:space="preserve"> = 1 \* GB3 \* MERGEFORMAT </w:instrText>
            </w:r>
            <w:r>
              <w:rPr>
                <w:rFonts w:ascii="Times New Roman" w:hAnsi="Times New Roman" w:eastAsia="宋体" w:cs="Times New Roman"/>
                <w:color w:val="auto"/>
                <w:sz w:val="24"/>
                <w:szCs w:val="24"/>
                <w:lang w:eastAsia="zh-CN"/>
              </w:rPr>
              <w:fldChar w:fldCharType="separate"/>
            </w:r>
            <w:r>
              <w:rPr>
                <w:rFonts w:ascii="Times New Roman" w:hAnsi="Times New Roman" w:eastAsia="宋体" w:cs="Times New Roman"/>
                <w:color w:val="auto"/>
                <w:sz w:val="24"/>
                <w:szCs w:val="24"/>
                <w:lang w:eastAsia="zh-CN"/>
              </w:rPr>
              <w:t>①</w:t>
            </w:r>
            <w:r>
              <w:rPr>
                <w:rFonts w:ascii="Times New Roman" w:hAnsi="Times New Roman" w:eastAsia="宋体" w:cs="Times New Roman"/>
                <w:color w:val="auto"/>
                <w:sz w:val="24"/>
                <w:szCs w:val="24"/>
                <w:lang w:eastAsia="zh-CN"/>
              </w:rPr>
              <w:fldChar w:fldCharType="end"/>
            </w:r>
            <w:r>
              <w:rPr>
                <w:rFonts w:ascii="Times New Roman" w:hAnsi="Times New Roman" w:eastAsia="宋体" w:cs="Times New Roman"/>
                <w:color w:val="auto"/>
                <w:sz w:val="24"/>
                <w:szCs w:val="24"/>
                <w:lang w:eastAsia="zh-CN"/>
              </w:rPr>
              <w:t>危险废物暂存地要设立危险废物</w:t>
            </w:r>
            <w:r>
              <w:rPr>
                <w:rFonts w:hint="eastAsia" w:ascii="Times New Roman" w:hAnsi="Times New Roman" w:eastAsia="宋体" w:cs="Times New Roman"/>
                <w:color w:val="auto"/>
                <w:sz w:val="24"/>
                <w:szCs w:val="24"/>
                <w:lang w:eastAsia="zh-CN"/>
              </w:rPr>
              <w:t>标识</w:t>
            </w:r>
            <w:r>
              <w:rPr>
                <w:rFonts w:ascii="Times New Roman" w:hAnsi="Times New Roman" w:eastAsia="宋体" w:cs="Times New Roman"/>
                <w:color w:val="auto"/>
                <w:sz w:val="24"/>
                <w:szCs w:val="24"/>
                <w:lang w:eastAsia="zh-CN"/>
              </w:rPr>
              <w:t>；</w:t>
            </w:r>
          </w:p>
          <w:p w14:paraId="4A9A6F3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fldChar w:fldCharType="begin"/>
            </w:r>
            <w:r>
              <w:rPr>
                <w:rFonts w:ascii="Times New Roman" w:hAnsi="Times New Roman" w:eastAsia="宋体" w:cs="Times New Roman"/>
                <w:color w:val="auto"/>
                <w:sz w:val="24"/>
                <w:szCs w:val="24"/>
                <w:lang w:eastAsia="zh-CN"/>
              </w:rPr>
              <w:instrText xml:space="preserve"> = 2 \* GB3 \* MERGEFORMAT </w:instrText>
            </w:r>
            <w:r>
              <w:rPr>
                <w:rFonts w:ascii="Times New Roman" w:hAnsi="Times New Roman" w:eastAsia="宋体" w:cs="Times New Roman"/>
                <w:color w:val="auto"/>
                <w:sz w:val="24"/>
                <w:szCs w:val="24"/>
                <w:lang w:eastAsia="zh-CN"/>
              </w:rPr>
              <w:fldChar w:fldCharType="separate"/>
            </w:r>
            <w:r>
              <w:rPr>
                <w:rFonts w:ascii="Times New Roman" w:hAnsi="Times New Roman" w:eastAsia="宋体" w:cs="Times New Roman"/>
                <w:color w:val="auto"/>
                <w:sz w:val="24"/>
                <w:szCs w:val="24"/>
                <w:lang w:eastAsia="zh-CN"/>
              </w:rPr>
              <w:t>②</w:t>
            </w:r>
            <w:r>
              <w:rPr>
                <w:rFonts w:ascii="Times New Roman" w:hAnsi="Times New Roman" w:eastAsia="宋体" w:cs="Times New Roman"/>
                <w:color w:val="auto"/>
                <w:sz w:val="24"/>
                <w:szCs w:val="24"/>
                <w:lang w:eastAsia="zh-CN"/>
              </w:rPr>
              <w:fldChar w:fldCharType="end"/>
            </w:r>
            <w:r>
              <w:rPr>
                <w:rFonts w:ascii="Times New Roman" w:hAnsi="Times New Roman" w:eastAsia="宋体" w:cs="Times New Roman"/>
                <w:color w:val="auto"/>
                <w:sz w:val="24"/>
                <w:szCs w:val="24"/>
                <w:lang w:eastAsia="zh-CN"/>
              </w:rPr>
              <w:t>应关注“四防”（防风、防雨、防晒、防渗漏），对不同类型的危险废物分类、分区贮存</w:t>
            </w:r>
            <w:r>
              <w:rPr>
                <w:rFonts w:hint="eastAsia" w:ascii="Times New Roman" w:hAnsi="Times New Roman" w:eastAsia="宋体" w:cs="Times New Roman"/>
                <w:color w:val="auto"/>
                <w:sz w:val="24"/>
                <w:szCs w:val="24"/>
                <w:lang w:eastAsia="zh-CN"/>
              </w:rPr>
              <w:t>，</w:t>
            </w:r>
            <w:r>
              <w:rPr>
                <w:rFonts w:ascii="Times New Roman" w:hAnsi="Times New Roman" w:eastAsia="宋体" w:cs="Times New Roman"/>
                <w:color w:val="auto"/>
                <w:sz w:val="24"/>
                <w:szCs w:val="24"/>
                <w:lang w:eastAsia="zh-CN"/>
              </w:rPr>
              <w:t>贮存设施应封闭；</w:t>
            </w:r>
          </w:p>
          <w:p w14:paraId="58C4AA8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fldChar w:fldCharType="begin"/>
            </w:r>
            <w:r>
              <w:rPr>
                <w:rFonts w:ascii="Times New Roman" w:hAnsi="Times New Roman" w:eastAsia="宋体" w:cs="Times New Roman"/>
                <w:color w:val="auto"/>
                <w:sz w:val="24"/>
                <w:szCs w:val="24"/>
                <w:lang w:eastAsia="zh-CN"/>
              </w:rPr>
              <w:instrText xml:space="preserve"> = 3 \* GB3 \* MERGEFORMAT </w:instrText>
            </w:r>
            <w:r>
              <w:rPr>
                <w:rFonts w:ascii="Times New Roman" w:hAnsi="Times New Roman" w:eastAsia="宋体" w:cs="Times New Roman"/>
                <w:color w:val="auto"/>
                <w:sz w:val="24"/>
                <w:szCs w:val="24"/>
                <w:lang w:eastAsia="zh-CN"/>
              </w:rPr>
              <w:fldChar w:fldCharType="separate"/>
            </w:r>
            <w:r>
              <w:rPr>
                <w:rFonts w:ascii="Times New Roman" w:hAnsi="Times New Roman" w:eastAsia="宋体" w:cs="Times New Roman"/>
                <w:color w:val="auto"/>
                <w:sz w:val="24"/>
                <w:szCs w:val="24"/>
                <w:lang w:eastAsia="zh-CN"/>
              </w:rPr>
              <w:t>③</w:t>
            </w:r>
            <w:r>
              <w:rPr>
                <w:rFonts w:ascii="Times New Roman" w:hAnsi="Times New Roman" w:eastAsia="宋体" w:cs="Times New Roman"/>
                <w:color w:val="auto"/>
                <w:sz w:val="24"/>
                <w:szCs w:val="24"/>
                <w:lang w:eastAsia="zh-CN"/>
              </w:rPr>
              <w:fldChar w:fldCharType="end"/>
            </w:r>
            <w:r>
              <w:rPr>
                <w:rFonts w:ascii="Times New Roman" w:hAnsi="Times New Roman" w:eastAsia="宋体" w:cs="Times New Roman"/>
                <w:color w:val="auto"/>
                <w:sz w:val="24"/>
                <w:szCs w:val="24"/>
                <w:lang w:eastAsia="zh-CN"/>
              </w:rPr>
              <w:t>危险废物临时贮存、处置场设有图形标志。</w:t>
            </w:r>
          </w:p>
          <w:p w14:paraId="4A8C509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制定</w:t>
            </w:r>
            <w:r>
              <w:rPr>
                <w:rFonts w:hint="eastAsia" w:cs="Times New Roman"/>
                <w:color w:val="auto"/>
                <w:sz w:val="24"/>
                <w:szCs w:val="24"/>
                <w:lang w:eastAsia="zh-CN"/>
              </w:rPr>
              <w:t>危废贮存库</w:t>
            </w:r>
            <w:r>
              <w:rPr>
                <w:rFonts w:ascii="Times New Roman" w:hAnsi="Times New Roman" w:eastAsia="宋体" w:cs="Times New Roman"/>
                <w:color w:val="auto"/>
                <w:sz w:val="24"/>
                <w:szCs w:val="24"/>
                <w:lang w:eastAsia="zh-CN"/>
              </w:rPr>
              <w:t>管理制度、严格执行危险废物管理档案和进出库</w:t>
            </w:r>
            <w:r>
              <w:rPr>
                <w:rFonts w:hint="eastAsia" w:ascii="Times New Roman" w:hAnsi="Times New Roman" w:eastAsia="宋体" w:cs="Times New Roman"/>
                <w:color w:val="auto"/>
                <w:sz w:val="24"/>
                <w:szCs w:val="24"/>
                <w:lang w:eastAsia="zh-CN"/>
              </w:rPr>
              <w:t>台账</w:t>
            </w:r>
            <w:r>
              <w:rPr>
                <w:rFonts w:ascii="Times New Roman" w:hAnsi="Times New Roman" w:eastAsia="宋体" w:cs="Times New Roman"/>
                <w:color w:val="auto"/>
                <w:sz w:val="24"/>
                <w:szCs w:val="24"/>
                <w:lang w:eastAsia="zh-CN"/>
              </w:rPr>
              <w:t>，</w:t>
            </w:r>
            <w:bookmarkStart w:id="38" w:name="_Hlk527702172"/>
            <w:r>
              <w:rPr>
                <w:rFonts w:ascii="Times New Roman" w:hAnsi="Times New Roman" w:eastAsia="宋体" w:cs="Times New Roman"/>
                <w:color w:val="auto"/>
                <w:sz w:val="24"/>
                <w:szCs w:val="24"/>
                <w:lang w:eastAsia="zh-CN"/>
              </w:rPr>
              <w:t>交由有资质的单位处置。</w:t>
            </w:r>
          </w:p>
          <w:p w14:paraId="0DBE0D1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A</w:t>
            </w:r>
            <w:r>
              <w:rPr>
                <w:rFonts w:hint="eastAsia" w:ascii="Times New Roman" w:hAnsi="Times New Roman" w:eastAsia="宋体" w:cs="Times New Roman"/>
                <w:color w:val="auto"/>
                <w:sz w:val="24"/>
                <w:szCs w:val="24"/>
                <w:lang w:eastAsia="zh-CN"/>
              </w:rPr>
              <w:t>.</w:t>
            </w:r>
            <w:r>
              <w:rPr>
                <w:rFonts w:ascii="Times New Roman" w:hAnsi="Times New Roman" w:eastAsia="宋体" w:cs="Times New Roman"/>
                <w:color w:val="auto"/>
                <w:sz w:val="24"/>
                <w:szCs w:val="24"/>
                <w:lang w:eastAsia="zh-CN"/>
              </w:rPr>
              <w:t>盛装在容器内的同类危险废物可以堆叠存放；</w:t>
            </w:r>
          </w:p>
          <w:p w14:paraId="497EBF5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B</w:t>
            </w:r>
            <w:r>
              <w:rPr>
                <w:rFonts w:hint="eastAsia" w:ascii="Times New Roman" w:hAnsi="Times New Roman" w:eastAsia="宋体" w:cs="Times New Roman"/>
                <w:color w:val="auto"/>
                <w:sz w:val="24"/>
                <w:szCs w:val="24"/>
                <w:lang w:eastAsia="zh-CN"/>
              </w:rPr>
              <w:t>.</w:t>
            </w:r>
            <w:r>
              <w:rPr>
                <w:rFonts w:ascii="Times New Roman" w:hAnsi="Times New Roman" w:eastAsia="宋体" w:cs="Times New Roman"/>
                <w:color w:val="auto"/>
                <w:sz w:val="24"/>
                <w:szCs w:val="24"/>
                <w:lang w:eastAsia="zh-CN"/>
              </w:rPr>
              <w:t>每个堆间应留有搬运通道；</w:t>
            </w:r>
          </w:p>
          <w:p w14:paraId="3C991A6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C</w:t>
            </w:r>
            <w:r>
              <w:rPr>
                <w:rFonts w:hint="eastAsia" w:ascii="Times New Roman" w:hAnsi="Times New Roman" w:eastAsia="宋体" w:cs="Times New Roman"/>
                <w:color w:val="auto"/>
                <w:sz w:val="24"/>
                <w:szCs w:val="24"/>
                <w:lang w:eastAsia="zh-CN"/>
              </w:rPr>
              <w:t>.</w:t>
            </w:r>
            <w:r>
              <w:rPr>
                <w:rFonts w:ascii="Times New Roman" w:hAnsi="Times New Roman" w:eastAsia="宋体" w:cs="Times New Roman"/>
                <w:color w:val="auto"/>
                <w:sz w:val="24"/>
                <w:szCs w:val="24"/>
                <w:lang w:eastAsia="zh-CN"/>
              </w:rPr>
              <w:t>不得将不相容的废物混合或合并存放；</w:t>
            </w:r>
          </w:p>
          <w:p w14:paraId="682E669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D</w:t>
            </w:r>
            <w:r>
              <w:rPr>
                <w:rFonts w:hint="eastAsia" w:ascii="Times New Roman" w:hAnsi="Times New Roman" w:eastAsia="宋体" w:cs="Times New Roman"/>
                <w:color w:val="auto"/>
                <w:sz w:val="24"/>
                <w:szCs w:val="24"/>
                <w:lang w:eastAsia="zh-CN"/>
              </w:rPr>
              <w:t>.</w:t>
            </w:r>
            <w:r>
              <w:rPr>
                <w:rFonts w:ascii="Times New Roman" w:hAnsi="Times New Roman" w:eastAsia="宋体" w:cs="Times New Roman"/>
                <w:color w:val="auto"/>
                <w:sz w:val="24"/>
                <w:szCs w:val="24"/>
                <w:lang w:eastAsia="zh-CN"/>
              </w:rPr>
              <w:t>建设单位须做好危险废物情况的记录，记录上须注明危险废物的名称、来源、数量、特性和包装容器的类别、入库日期、存放库位、废物出库日期及接收单位名称。危险废物的记录和货单在危险废物回取后应继续保留3a。</w:t>
            </w:r>
          </w:p>
          <w:p w14:paraId="5D30174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E</w:t>
            </w:r>
            <w:r>
              <w:rPr>
                <w:rFonts w:hint="eastAsia" w:ascii="Times New Roman" w:hAnsi="Times New Roman" w:eastAsia="宋体" w:cs="Times New Roman"/>
                <w:color w:val="auto"/>
                <w:sz w:val="24"/>
                <w:szCs w:val="24"/>
                <w:lang w:eastAsia="zh-CN"/>
              </w:rPr>
              <w:t>.</w:t>
            </w:r>
            <w:r>
              <w:rPr>
                <w:rFonts w:ascii="Times New Roman" w:hAnsi="Times New Roman" w:eastAsia="宋体" w:cs="Times New Roman"/>
                <w:color w:val="auto"/>
                <w:sz w:val="24"/>
                <w:szCs w:val="24"/>
                <w:lang w:eastAsia="zh-CN"/>
              </w:rPr>
              <w:t>必须定期对所贮存的危险废物包装容器及贮存设施进行检查，发现破损，应及时采取措施清理更换。</w:t>
            </w:r>
          </w:p>
          <w:bookmarkEnd w:id="38"/>
          <w:p w14:paraId="47BC7C1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5）危险废物转运</w:t>
            </w:r>
          </w:p>
          <w:p w14:paraId="38DE422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fldChar w:fldCharType="begin"/>
            </w:r>
            <w:r>
              <w:rPr>
                <w:rFonts w:ascii="Times New Roman" w:hAnsi="Times New Roman" w:eastAsia="宋体" w:cs="Times New Roman"/>
                <w:color w:val="auto"/>
                <w:sz w:val="24"/>
                <w:szCs w:val="24"/>
                <w:lang w:eastAsia="zh-CN"/>
              </w:rPr>
              <w:instrText xml:space="preserve"> = 1 \* GB3 \* MERGEFORMAT </w:instrText>
            </w:r>
            <w:r>
              <w:rPr>
                <w:rFonts w:ascii="Times New Roman" w:hAnsi="Times New Roman" w:eastAsia="宋体" w:cs="Times New Roman"/>
                <w:color w:val="auto"/>
                <w:sz w:val="24"/>
                <w:szCs w:val="24"/>
                <w:lang w:eastAsia="zh-CN"/>
              </w:rPr>
              <w:fldChar w:fldCharType="separate"/>
            </w:r>
            <w:r>
              <w:rPr>
                <w:rFonts w:ascii="Times New Roman" w:hAnsi="Times New Roman" w:eastAsia="宋体" w:cs="Times New Roman"/>
                <w:color w:val="auto"/>
                <w:sz w:val="24"/>
                <w:szCs w:val="24"/>
                <w:lang w:eastAsia="zh-CN"/>
              </w:rPr>
              <w:t>①</w:t>
            </w:r>
            <w:r>
              <w:rPr>
                <w:rFonts w:ascii="Times New Roman" w:hAnsi="Times New Roman" w:eastAsia="宋体" w:cs="Times New Roman"/>
                <w:color w:val="auto"/>
                <w:sz w:val="24"/>
                <w:szCs w:val="24"/>
                <w:lang w:eastAsia="zh-CN"/>
              </w:rPr>
              <w:fldChar w:fldCharType="end"/>
            </w:r>
            <w:r>
              <w:rPr>
                <w:rFonts w:ascii="Times New Roman" w:hAnsi="Times New Roman" w:eastAsia="宋体" w:cs="Times New Roman"/>
                <w:color w:val="auto"/>
                <w:sz w:val="24"/>
                <w:szCs w:val="24"/>
                <w:lang w:eastAsia="zh-CN"/>
              </w:rPr>
              <w:t>危险废物应及时转运；</w:t>
            </w:r>
          </w:p>
          <w:p w14:paraId="5DC9347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fldChar w:fldCharType="begin"/>
            </w:r>
            <w:r>
              <w:rPr>
                <w:rFonts w:ascii="Times New Roman" w:hAnsi="Times New Roman" w:eastAsia="宋体" w:cs="Times New Roman"/>
                <w:color w:val="auto"/>
                <w:sz w:val="24"/>
                <w:szCs w:val="24"/>
                <w:lang w:eastAsia="zh-CN"/>
              </w:rPr>
              <w:instrText xml:space="preserve"> = 2 \* GB3 \* MERGEFORMAT </w:instrText>
            </w:r>
            <w:r>
              <w:rPr>
                <w:rFonts w:ascii="Times New Roman" w:hAnsi="Times New Roman" w:eastAsia="宋体" w:cs="Times New Roman"/>
                <w:color w:val="auto"/>
                <w:sz w:val="24"/>
                <w:szCs w:val="24"/>
                <w:lang w:eastAsia="zh-CN"/>
              </w:rPr>
              <w:fldChar w:fldCharType="separate"/>
            </w:r>
            <w:r>
              <w:rPr>
                <w:rFonts w:ascii="Times New Roman" w:hAnsi="Times New Roman" w:eastAsia="宋体" w:cs="Times New Roman"/>
                <w:color w:val="auto"/>
                <w:sz w:val="24"/>
                <w:szCs w:val="24"/>
                <w:lang w:eastAsia="zh-CN"/>
              </w:rPr>
              <w:t>②</w:t>
            </w:r>
            <w:r>
              <w:rPr>
                <w:rFonts w:ascii="Times New Roman" w:hAnsi="Times New Roman" w:eastAsia="宋体" w:cs="Times New Roman"/>
                <w:color w:val="auto"/>
                <w:sz w:val="24"/>
                <w:szCs w:val="24"/>
                <w:lang w:eastAsia="zh-CN"/>
              </w:rPr>
              <w:fldChar w:fldCharType="end"/>
            </w:r>
            <w:r>
              <w:rPr>
                <w:rFonts w:ascii="Times New Roman" w:hAnsi="Times New Roman" w:eastAsia="宋体" w:cs="Times New Roman"/>
                <w:color w:val="auto"/>
                <w:sz w:val="24"/>
                <w:szCs w:val="24"/>
                <w:lang w:eastAsia="zh-CN"/>
              </w:rPr>
              <w:t>转运车辆应封闭，且标有特殊标志；</w:t>
            </w:r>
          </w:p>
          <w:p w14:paraId="1C984B1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bookmarkStart w:id="39" w:name="_Hlk527702253"/>
            <w:r>
              <w:rPr>
                <w:rFonts w:ascii="Times New Roman" w:hAnsi="Times New Roman" w:eastAsia="宋体" w:cs="Times New Roman"/>
                <w:color w:val="auto"/>
                <w:sz w:val="24"/>
                <w:szCs w:val="24"/>
                <w:lang w:eastAsia="zh-CN"/>
              </w:rPr>
              <w:fldChar w:fldCharType="begin"/>
            </w:r>
            <w:r>
              <w:rPr>
                <w:rFonts w:ascii="Times New Roman" w:hAnsi="Times New Roman" w:eastAsia="宋体" w:cs="Times New Roman"/>
                <w:color w:val="auto"/>
                <w:sz w:val="24"/>
                <w:szCs w:val="24"/>
                <w:lang w:eastAsia="zh-CN"/>
              </w:rPr>
              <w:instrText xml:space="preserve"> = 3 \* GB3 \* MERGEFORMAT </w:instrText>
            </w:r>
            <w:r>
              <w:rPr>
                <w:rFonts w:ascii="Times New Roman" w:hAnsi="Times New Roman" w:eastAsia="宋体" w:cs="Times New Roman"/>
                <w:color w:val="auto"/>
                <w:sz w:val="24"/>
                <w:szCs w:val="24"/>
                <w:lang w:eastAsia="zh-CN"/>
              </w:rPr>
              <w:fldChar w:fldCharType="separate"/>
            </w:r>
            <w:r>
              <w:rPr>
                <w:rFonts w:ascii="Times New Roman" w:hAnsi="Times New Roman" w:eastAsia="宋体" w:cs="Times New Roman"/>
                <w:color w:val="auto"/>
                <w:sz w:val="24"/>
                <w:szCs w:val="24"/>
                <w:lang w:eastAsia="zh-CN"/>
              </w:rPr>
              <w:t>③</w:t>
            </w:r>
            <w:r>
              <w:rPr>
                <w:rFonts w:ascii="Times New Roman" w:hAnsi="Times New Roman" w:eastAsia="宋体" w:cs="Times New Roman"/>
                <w:color w:val="auto"/>
                <w:sz w:val="24"/>
                <w:szCs w:val="24"/>
                <w:lang w:eastAsia="zh-CN"/>
              </w:rPr>
              <w:fldChar w:fldCharType="end"/>
            </w:r>
            <w:r>
              <w:rPr>
                <w:rFonts w:ascii="Times New Roman" w:hAnsi="Times New Roman" w:eastAsia="宋体" w:cs="Times New Roman"/>
                <w:color w:val="auto"/>
                <w:sz w:val="24"/>
                <w:szCs w:val="24"/>
                <w:lang w:eastAsia="zh-CN"/>
              </w:rPr>
              <w:t>转移危险废物时，必须按照规定填写危险废物转移联单，应按《危险废物转移管理办法》，做好废物的五联单登记交接工作，按当地环保部门规定的转移路线进行转移</w:t>
            </w:r>
            <w:bookmarkEnd w:id="39"/>
            <w:r>
              <w:rPr>
                <w:rFonts w:ascii="Times New Roman" w:hAnsi="Times New Roman" w:eastAsia="宋体" w:cs="Times New Roman"/>
                <w:color w:val="auto"/>
                <w:sz w:val="24"/>
                <w:szCs w:val="24"/>
                <w:lang w:eastAsia="zh-CN"/>
              </w:rPr>
              <w:t>。</w:t>
            </w:r>
          </w:p>
          <w:p w14:paraId="3D27F62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w:t>
            </w:r>
            <w:r>
              <w:rPr>
                <w:rFonts w:ascii="Times New Roman" w:hAnsi="Times New Roman" w:eastAsia="宋体" w:cs="Times New Roman"/>
                <w:color w:val="auto"/>
                <w:sz w:val="24"/>
                <w:szCs w:val="24"/>
                <w:lang w:eastAsia="zh-CN"/>
              </w:rPr>
              <w:t>在建立健全危险废物管理制度、并严格执行的条件下，不会对外界环境造成二次污染。项目产生的各类危险废物均交由有资质</w:t>
            </w:r>
            <w:r>
              <w:rPr>
                <w:rFonts w:hint="eastAsia" w:ascii="Times New Roman" w:hAnsi="Times New Roman" w:eastAsia="宋体" w:cs="Times New Roman"/>
                <w:color w:val="auto"/>
                <w:sz w:val="24"/>
                <w:szCs w:val="24"/>
                <w:lang w:val="en-US" w:eastAsia="zh-CN"/>
              </w:rPr>
              <w:t>的单位回收处置。</w:t>
            </w:r>
          </w:p>
          <w:p w14:paraId="2A8C63B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eastAsia="宋体" w:cs="Times New Roman"/>
                <w:color w:val="auto"/>
                <w:sz w:val="24"/>
                <w:szCs w:val="24"/>
                <w:lang w:eastAsia="zh-CN"/>
              </w:rPr>
            </w:pPr>
            <w:r>
              <w:rPr>
                <w:rFonts w:ascii="Times New Roman" w:hAnsi="Times New Roman" w:eastAsia="宋体" w:cs="Times New Roman"/>
                <w:color w:val="auto"/>
                <w:sz w:val="24"/>
                <w:szCs w:val="24"/>
                <w:lang w:eastAsia="zh-CN"/>
              </w:rPr>
              <w:t>综上所述，采取以上措施后，本项目固体废物不会对环境造成</w:t>
            </w:r>
            <w:r>
              <w:rPr>
                <w:rFonts w:hint="eastAsia" w:ascii="Times New Roman" w:hAnsi="Times New Roman" w:eastAsia="宋体" w:cs="Times New Roman"/>
                <w:color w:val="auto"/>
                <w:sz w:val="24"/>
                <w:szCs w:val="24"/>
                <w:lang w:val="en-US" w:eastAsia="zh-CN"/>
              </w:rPr>
              <w:t>不良</w:t>
            </w:r>
            <w:r>
              <w:rPr>
                <w:rFonts w:ascii="Times New Roman" w:hAnsi="Times New Roman" w:eastAsia="宋体" w:cs="Times New Roman"/>
                <w:color w:val="auto"/>
                <w:sz w:val="24"/>
                <w:szCs w:val="24"/>
                <w:lang w:eastAsia="zh-CN"/>
              </w:rPr>
              <w:t>影响</w:t>
            </w:r>
            <w:r>
              <w:rPr>
                <w:rFonts w:hint="eastAsia" w:ascii="Times New Roman" w:hAnsi="Times New Roman" w:eastAsia="宋体" w:cs="Times New Roman"/>
                <w:color w:val="auto"/>
                <w:sz w:val="24"/>
                <w:szCs w:val="24"/>
                <w:lang w:eastAsia="zh-CN"/>
              </w:rPr>
              <w:t>。</w:t>
            </w:r>
          </w:p>
          <w:p w14:paraId="01FC885A">
            <w:pPr>
              <w:keepNext w:val="0"/>
              <w:keepLines w:val="0"/>
              <w:pageBreakBefore w:val="0"/>
              <w:widowControl w:val="0"/>
              <w:numPr>
                <w:ilvl w:val="0"/>
                <w:numId w:val="0"/>
              </w:numPr>
              <w:kinsoku/>
              <w:wordWrap/>
              <w:overflowPunct/>
              <w:topLinePunct w:val="0"/>
              <w:bidi w:val="0"/>
              <w:spacing w:line="360" w:lineRule="auto"/>
              <w:ind w:left="0" w:leftChars="0" w:firstLine="482" w:firstLineChars="200"/>
              <w:jc w:val="both"/>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5.</w:t>
            </w:r>
            <w:r>
              <w:rPr>
                <w:rFonts w:hint="default" w:ascii="Times New Roman" w:hAnsi="Times New Roman" w:eastAsia="宋体" w:cs="Times New Roman"/>
                <w:b/>
                <w:bCs/>
                <w:color w:val="auto"/>
                <w:sz w:val="24"/>
                <w:szCs w:val="24"/>
                <w:highlight w:val="none"/>
                <w:lang w:eastAsia="zh-CN"/>
              </w:rPr>
              <w:t>地下水、</w:t>
            </w:r>
            <w:r>
              <w:rPr>
                <w:rFonts w:hint="default" w:ascii="Times New Roman" w:hAnsi="Times New Roman" w:eastAsia="宋体" w:cs="Times New Roman"/>
                <w:b/>
                <w:bCs/>
                <w:color w:val="auto"/>
                <w:sz w:val="24"/>
                <w:szCs w:val="24"/>
                <w:highlight w:val="none"/>
              </w:rPr>
              <w:t>土壤</w:t>
            </w:r>
          </w:p>
          <w:p w14:paraId="19426A4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（1）污染源、污染途径</w:t>
            </w:r>
          </w:p>
          <w:p w14:paraId="35526C72">
            <w:pPr>
              <w:pStyle w:val="45"/>
              <w:keepNext w:val="0"/>
              <w:keepLines w:val="0"/>
              <w:pageBreakBefore w:val="0"/>
              <w:widowControl w:val="0"/>
              <w:kinsoku/>
              <w:wordWrap/>
              <w:overflowPunct/>
              <w:topLinePunct w:val="0"/>
              <w:autoSpaceDE/>
              <w:autoSpaceDN/>
              <w:bidi w:val="0"/>
              <w:adjustRightInd/>
              <w:spacing w:line="360" w:lineRule="auto"/>
              <w:ind w:left="0" w:leftChars="0" w:firstLine="48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highlight w:val="none"/>
                <w:lang w:val="en-US" w:eastAsia="zh-CN"/>
              </w:rPr>
              <w:t>本项目</w:t>
            </w:r>
            <w:r>
              <w:rPr>
                <w:rFonts w:hint="eastAsia" w:ascii="Times New Roman" w:hAnsi="Times New Roman" w:eastAsia="宋体" w:cs="Times New Roman"/>
                <w:color w:val="auto"/>
                <w:sz w:val="24"/>
                <w:szCs w:val="24"/>
                <w:highlight w:val="none"/>
                <w:lang w:val="en-US" w:eastAsia="zh-CN"/>
              </w:rPr>
              <w:t>生产废水均循环使用，不外排；</w:t>
            </w:r>
            <w:r>
              <w:rPr>
                <w:rFonts w:hint="eastAsia" w:cs="Times New Roman"/>
                <w:color w:val="auto"/>
                <w:sz w:val="24"/>
                <w:szCs w:val="24"/>
                <w:highlight w:val="none"/>
                <w:lang w:val="en-US" w:eastAsia="zh-CN"/>
              </w:rPr>
              <w:t>生活污水通过厂区总排口排入市政污水管网进入壶关县第二污水处理厂处理。</w:t>
            </w:r>
            <w:r>
              <w:rPr>
                <w:rFonts w:hint="default" w:ascii="Times New Roman" w:hAnsi="Times New Roman" w:eastAsia="宋体" w:cs="Times New Roman"/>
                <w:color w:val="auto"/>
                <w:sz w:val="24"/>
                <w:szCs w:val="24"/>
                <w:lang w:val="en-US" w:eastAsia="zh-CN"/>
              </w:rPr>
              <w:t>本项目地下水和土壤的污染源为</w:t>
            </w:r>
            <w:r>
              <w:rPr>
                <w:rFonts w:hint="eastAsia" w:ascii="Times New Roman" w:hAnsi="Times New Roman" w:eastAsia="宋体" w:cs="Times New Roman"/>
                <w:color w:val="auto"/>
                <w:sz w:val="24"/>
                <w:szCs w:val="24"/>
                <w:lang w:val="en-US" w:eastAsia="zh-CN"/>
              </w:rPr>
              <w:t>颗粒物</w:t>
            </w:r>
            <w:r>
              <w:rPr>
                <w:rFonts w:hint="eastAsia" w:ascii="Times New Roman" w:hAnsi="Times New Roman" w:eastAsia="宋体" w:cs="Times New Roman"/>
                <w:color w:val="auto"/>
                <w:kern w:val="0"/>
                <w:sz w:val="24"/>
                <w:szCs w:val="24"/>
                <w:lang w:val="en-US" w:eastAsia="zh-CN" w:bidi="ar-SA"/>
              </w:rPr>
              <w:t>通过大气沉降作用降落到地表，</w:t>
            </w:r>
            <w:r>
              <w:rPr>
                <w:rFonts w:hint="eastAsia" w:cs="Times New Roman"/>
                <w:color w:val="auto"/>
                <w:kern w:val="0"/>
                <w:sz w:val="24"/>
                <w:szCs w:val="24"/>
                <w:lang w:val="en-US" w:eastAsia="zh-CN" w:bidi="ar-SA"/>
              </w:rPr>
              <w:t>危废贮存库</w:t>
            </w:r>
            <w:r>
              <w:rPr>
                <w:rFonts w:hint="eastAsia" w:ascii="Times New Roman" w:hAnsi="Times New Roman" w:eastAsia="宋体" w:cs="Times New Roman"/>
                <w:color w:val="auto"/>
                <w:kern w:val="0"/>
                <w:sz w:val="24"/>
                <w:szCs w:val="24"/>
                <w:lang w:val="en-US" w:eastAsia="zh-CN" w:bidi="ar-SA"/>
              </w:rPr>
              <w:t>的防腐防渗层老化、破损，</w:t>
            </w:r>
            <w:r>
              <w:rPr>
                <w:rFonts w:hint="default" w:ascii="Times New Roman" w:hAnsi="Times New Roman" w:eastAsia="宋体" w:cs="Times New Roman"/>
                <w:color w:val="auto"/>
                <w:sz w:val="24"/>
                <w:szCs w:val="24"/>
                <w:lang w:val="en-US" w:eastAsia="zh-CN"/>
              </w:rPr>
              <w:t>液态危险废物包装破损，导致废液渗漏进入</w:t>
            </w:r>
            <w:r>
              <w:rPr>
                <w:rFonts w:hint="eastAsia" w:ascii="Times New Roman" w:hAnsi="Times New Roman" w:eastAsia="宋体" w:cs="Times New Roman"/>
                <w:color w:val="auto"/>
                <w:sz w:val="24"/>
                <w:szCs w:val="24"/>
                <w:lang w:val="en-US" w:eastAsia="zh-CN"/>
              </w:rPr>
              <w:t>土壤、</w:t>
            </w:r>
            <w:r>
              <w:rPr>
                <w:rFonts w:hint="default" w:ascii="Times New Roman" w:hAnsi="Times New Roman" w:eastAsia="宋体" w:cs="Times New Roman"/>
                <w:color w:val="auto"/>
                <w:sz w:val="24"/>
                <w:szCs w:val="24"/>
                <w:lang w:val="en-US" w:eastAsia="zh-CN"/>
              </w:rPr>
              <w:t>地下水</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对其造成影响。</w:t>
            </w:r>
          </w:p>
          <w:p w14:paraId="7BC21E1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（2）地下水、土壤污染防治措施</w:t>
            </w:r>
          </w:p>
          <w:p w14:paraId="1B68A47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eastAsia" w:ascii="宋体" w:hAnsi="宋体" w:eastAsia="宋体" w:cs="宋体"/>
                <w:color w:val="auto"/>
                <w:kern w:val="0"/>
                <w:sz w:val="24"/>
                <w:szCs w:val="24"/>
                <w:lang w:val="en-US" w:eastAsia="zh-CN" w:bidi="ar"/>
              </w:rPr>
            </w:pPr>
            <w:r>
              <w:rPr>
                <w:rFonts w:hint="eastAsia" w:ascii="Times New Roman" w:hAnsi="Times New Roman" w:eastAsia="宋体" w:cs="Times New Roman"/>
                <w:color w:val="auto"/>
                <w:sz w:val="24"/>
                <w:szCs w:val="24"/>
                <w:lang w:val="en-US" w:eastAsia="zh-CN"/>
              </w:rPr>
              <w:t>本项目正常状况下厂区对土壤和地下水造成的影响很小。但是在事故状况下可能会对土壤和地下水环境产生污染，因此建设单位应采取合理的主动防控以及被动防渗等土壤和地下水防治措施，使得土壤</w:t>
            </w:r>
            <w:r>
              <w:rPr>
                <w:rFonts w:hint="eastAsia" w:ascii="宋体" w:hAnsi="宋体" w:eastAsia="宋体" w:cs="宋体"/>
                <w:color w:val="auto"/>
                <w:kern w:val="0"/>
                <w:sz w:val="24"/>
                <w:szCs w:val="24"/>
                <w:lang w:val="en-US" w:eastAsia="zh-CN" w:bidi="ar"/>
              </w:rPr>
              <w:t>和地下水污染风险降到最低。本项目土壤和地下水污染防治措施按照</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源头控制、分区防治、污染监控、应急响应</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相结合的原则，从污染物的产生、入渗、扩散、应急响应全方位进行控制。</w:t>
            </w:r>
          </w:p>
          <w:p w14:paraId="64A8EC1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1）源头控制</w:t>
            </w:r>
          </w:p>
          <w:p w14:paraId="04B1B2F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①</w:t>
            </w:r>
            <w:r>
              <w:rPr>
                <w:rFonts w:hint="eastAsia" w:cs="Times New Roman"/>
                <w:color w:val="auto"/>
                <w:sz w:val="24"/>
                <w:szCs w:val="24"/>
                <w:highlight w:val="none"/>
                <w:lang w:val="en-US" w:eastAsia="zh-CN"/>
              </w:rPr>
              <w:t>危废贮存库</w:t>
            </w:r>
            <w:r>
              <w:rPr>
                <w:rFonts w:hint="default" w:ascii="Times New Roman" w:hAnsi="Times New Roman" w:eastAsia="宋体" w:cs="Times New Roman"/>
                <w:color w:val="auto"/>
                <w:sz w:val="24"/>
                <w:szCs w:val="24"/>
                <w:highlight w:val="none"/>
                <w:lang w:val="en-US" w:eastAsia="zh-CN"/>
              </w:rPr>
              <w:t>的设置和管理严格执行《危险废物贮存污染控制标准》(GB18597-20</w:t>
            </w:r>
            <w:r>
              <w:rPr>
                <w:rFonts w:hint="eastAsia" w:ascii="Times New Roman" w:hAnsi="Times New Roman" w:eastAsia="宋体" w:cs="Times New Roman"/>
                <w:color w:val="auto"/>
                <w:sz w:val="24"/>
                <w:szCs w:val="24"/>
                <w:highlight w:val="none"/>
                <w:lang w:val="en-US" w:eastAsia="zh-CN"/>
              </w:rPr>
              <w:t>23</w:t>
            </w:r>
            <w:r>
              <w:rPr>
                <w:rFonts w:hint="default" w:ascii="Times New Roman" w:hAnsi="Times New Roman" w:eastAsia="宋体" w:cs="Times New Roman"/>
                <w:color w:val="auto"/>
                <w:sz w:val="24"/>
                <w:szCs w:val="24"/>
                <w:highlight w:val="none"/>
                <w:lang w:val="en-US" w:eastAsia="zh-CN"/>
              </w:rPr>
              <w:t>)的规定</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整个</w:t>
            </w:r>
            <w:r>
              <w:rPr>
                <w:rFonts w:hint="eastAsia" w:cs="Times New Roman"/>
                <w:color w:val="auto"/>
                <w:sz w:val="24"/>
                <w:szCs w:val="24"/>
                <w:highlight w:val="none"/>
                <w:lang w:val="en-US" w:eastAsia="zh-CN"/>
              </w:rPr>
              <w:t>危废贮存库</w:t>
            </w:r>
            <w:r>
              <w:rPr>
                <w:rFonts w:hint="default" w:ascii="Times New Roman" w:hAnsi="Times New Roman" w:eastAsia="宋体" w:cs="Times New Roman"/>
                <w:color w:val="auto"/>
                <w:sz w:val="24"/>
                <w:szCs w:val="24"/>
                <w:highlight w:val="none"/>
                <w:lang w:val="en-US" w:eastAsia="zh-CN"/>
              </w:rPr>
              <w:t>地面全部采取严格的防渗措施</w:t>
            </w:r>
            <w:r>
              <w:rPr>
                <w:rFonts w:hint="eastAsia" w:ascii="Times New Roman" w:hAnsi="Times New Roman" w:eastAsia="宋体" w:cs="Times New Roman"/>
                <w:color w:val="auto"/>
                <w:sz w:val="24"/>
                <w:szCs w:val="24"/>
                <w:highlight w:val="none"/>
                <w:lang w:val="en-US" w:eastAsia="zh-CN"/>
              </w:rPr>
              <w:t>。</w:t>
            </w:r>
          </w:p>
          <w:p w14:paraId="7073E56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②</w:t>
            </w:r>
            <w:r>
              <w:rPr>
                <w:rFonts w:hint="eastAsia" w:cs="Times New Roman"/>
                <w:color w:val="auto"/>
                <w:sz w:val="24"/>
                <w:szCs w:val="24"/>
                <w:highlight w:val="none"/>
                <w:lang w:val="en-US" w:eastAsia="zh-CN"/>
              </w:rPr>
              <w:t>危废贮存库</w:t>
            </w:r>
            <w:r>
              <w:rPr>
                <w:rFonts w:hint="default" w:ascii="Times New Roman" w:hAnsi="Times New Roman" w:eastAsia="宋体" w:cs="Times New Roman"/>
                <w:color w:val="auto"/>
                <w:sz w:val="24"/>
                <w:szCs w:val="24"/>
                <w:highlight w:val="none"/>
                <w:lang w:val="en-US" w:eastAsia="zh-CN"/>
              </w:rPr>
              <w:t>四周开挖</w:t>
            </w:r>
            <w:r>
              <w:rPr>
                <w:rFonts w:hint="eastAsia" w:ascii="Times New Roman" w:hAnsi="Times New Roman" w:eastAsia="宋体" w:cs="Times New Roman"/>
                <w:color w:val="auto"/>
                <w:sz w:val="24"/>
                <w:szCs w:val="24"/>
                <w:highlight w:val="none"/>
                <w:lang w:val="en-US" w:eastAsia="zh-CN"/>
              </w:rPr>
              <w:t>导流槽和集液池。</w:t>
            </w:r>
          </w:p>
          <w:p w14:paraId="342FC7D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③集液池</w:t>
            </w:r>
            <w:r>
              <w:rPr>
                <w:rFonts w:hint="default" w:ascii="Times New Roman" w:hAnsi="Times New Roman" w:eastAsia="宋体" w:cs="Times New Roman"/>
                <w:color w:val="auto"/>
                <w:sz w:val="24"/>
                <w:szCs w:val="24"/>
                <w:highlight w:val="none"/>
                <w:lang w:val="en-US" w:eastAsia="zh-CN"/>
              </w:rPr>
              <w:t>采取的防渗措施为采用1m厚黏土层</w:t>
            </w:r>
            <w:r>
              <w:rPr>
                <w:rFonts w:hint="eastAsia" w:ascii="Times New Roman" w:hAnsi="Times New Roman" w:eastAsia="宋体" w:cs="Times New Roman"/>
                <w:color w:val="auto"/>
                <w:sz w:val="24"/>
                <w:szCs w:val="24"/>
                <w:highlight w:val="none"/>
                <w:lang w:val="en-US" w:eastAsia="zh-CN"/>
              </w:rPr>
              <w:t>基础</w:t>
            </w:r>
            <w:r>
              <w:rPr>
                <w:rFonts w:hint="default" w:ascii="Times New Roman" w:hAnsi="Times New Roman" w:eastAsia="宋体" w:cs="Times New Roman"/>
                <w:color w:val="auto"/>
                <w:sz w:val="24"/>
                <w:szCs w:val="24"/>
                <w:highlight w:val="none"/>
                <w:lang w:val="en-US" w:eastAsia="zh-CN"/>
              </w:rPr>
              <w:t>防渗</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耐酸水泥+环氧树脂+环氧地坪漆进行防渗、防腐处理，同时，</w:t>
            </w:r>
            <w:r>
              <w:rPr>
                <w:rFonts w:hint="eastAsia" w:cs="Times New Roman"/>
                <w:color w:val="auto"/>
                <w:sz w:val="24"/>
                <w:szCs w:val="24"/>
                <w:highlight w:val="none"/>
                <w:lang w:val="en-US" w:eastAsia="zh-CN"/>
              </w:rPr>
              <w:t>危废贮存库</w:t>
            </w:r>
            <w:r>
              <w:rPr>
                <w:rFonts w:hint="default" w:ascii="Times New Roman" w:hAnsi="Times New Roman" w:eastAsia="宋体" w:cs="Times New Roman"/>
                <w:color w:val="auto"/>
                <w:sz w:val="24"/>
                <w:szCs w:val="24"/>
                <w:highlight w:val="none"/>
                <w:lang w:val="en-US" w:eastAsia="zh-CN"/>
              </w:rPr>
              <w:t>四周墙裙涂环氧树脂防渗，渗透系数≤10</w:t>
            </w:r>
            <w:r>
              <w:rPr>
                <w:rFonts w:hint="default" w:ascii="Times New Roman" w:hAnsi="Times New Roman" w:eastAsia="宋体" w:cs="Times New Roman"/>
                <w:color w:val="auto"/>
                <w:sz w:val="24"/>
                <w:szCs w:val="24"/>
                <w:highlight w:val="none"/>
                <w:vertAlign w:val="superscript"/>
                <w:lang w:val="en-US" w:eastAsia="zh-CN"/>
              </w:rPr>
              <w:t>-10</w:t>
            </w:r>
            <w:r>
              <w:rPr>
                <w:rFonts w:hint="default" w:ascii="Times New Roman" w:hAnsi="Times New Roman" w:eastAsia="宋体" w:cs="Times New Roman"/>
                <w:color w:val="auto"/>
                <w:sz w:val="24"/>
                <w:szCs w:val="24"/>
                <w:highlight w:val="none"/>
                <w:lang w:val="en-US" w:eastAsia="zh-CN"/>
              </w:rPr>
              <w:t>cm/s。</w:t>
            </w:r>
          </w:p>
          <w:p w14:paraId="67D7A4A9">
            <w:pPr>
              <w:keepNext w:val="0"/>
              <w:keepLines w:val="0"/>
              <w:pageBreakBefore w:val="0"/>
              <w:widowControl w:val="0"/>
              <w:kinsoku/>
              <w:wordWrap/>
              <w:overflowPunct/>
              <w:topLinePunct w:val="0"/>
              <w:bidi w:val="0"/>
              <w:spacing w:line="360" w:lineRule="auto"/>
              <w:ind w:left="0" w:leftChars="0"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④</w:t>
            </w:r>
            <w:r>
              <w:rPr>
                <w:rFonts w:ascii="Times New Roman" w:hAnsi="Times New Roman" w:cs="Times New Roman"/>
                <w:color w:val="auto"/>
                <w:sz w:val="24"/>
                <w:szCs w:val="24"/>
              </w:rPr>
              <w:t>对</w:t>
            </w:r>
            <w:r>
              <w:rPr>
                <w:rFonts w:hint="eastAsia" w:eastAsia="宋体" w:cs="Times New Roman"/>
                <w:color w:val="auto"/>
                <w:sz w:val="24"/>
                <w:szCs w:val="24"/>
                <w:lang w:val="en-US" w:eastAsia="zh-CN"/>
              </w:rPr>
              <w:t>生产过程</w:t>
            </w:r>
            <w:r>
              <w:rPr>
                <w:rFonts w:ascii="Times New Roman" w:hAnsi="Times New Roman" w:cs="Times New Roman"/>
                <w:color w:val="auto"/>
                <w:sz w:val="24"/>
                <w:szCs w:val="24"/>
              </w:rPr>
              <w:t>产生的废气集中收集与处理达标排放。对</w:t>
            </w:r>
            <w:r>
              <w:rPr>
                <w:rFonts w:hint="eastAsia" w:ascii="Times New Roman" w:hAnsi="Times New Roman" w:cs="Times New Roman"/>
                <w:color w:val="auto"/>
                <w:sz w:val="24"/>
                <w:szCs w:val="24"/>
                <w:lang w:val="en-US" w:eastAsia="zh-CN"/>
              </w:rPr>
              <w:t>废气</w:t>
            </w:r>
            <w:r>
              <w:rPr>
                <w:rFonts w:ascii="Times New Roman" w:hAnsi="Times New Roman" w:cs="Times New Roman"/>
                <w:color w:val="auto"/>
                <w:sz w:val="24"/>
                <w:szCs w:val="24"/>
              </w:rPr>
              <w:t>处理设施进行监控，定期跟踪监测废气排放口的污染物浓度，及时发现问题，定期检修，尽量缩短非正常工况、事故状态的时间。</w:t>
            </w:r>
          </w:p>
          <w:p w14:paraId="100CB0B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2）分区防渗</w:t>
            </w:r>
          </w:p>
          <w:p w14:paraId="77E6C8E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
                <w:bCs/>
                <w:color w:val="auto"/>
                <w:kern w:val="0"/>
                <w:sz w:val="21"/>
                <w:szCs w:val="24"/>
                <w:lang w:val="en-US" w:eastAsia="zh-CN" w:bidi="ar-SA"/>
              </w:rPr>
            </w:pPr>
            <w:r>
              <w:rPr>
                <w:rFonts w:hint="eastAsia" w:cs="Times New Roman"/>
                <w:color w:val="auto"/>
                <w:sz w:val="24"/>
                <w:szCs w:val="24"/>
                <w:lang w:val="en-US" w:eastAsia="zh-CN"/>
              </w:rPr>
              <w:t>危废贮存库</w:t>
            </w:r>
            <w:r>
              <w:rPr>
                <w:rFonts w:hint="eastAsia" w:ascii="Times New Roman" w:hAnsi="Times New Roman" w:eastAsia="宋体" w:cs="Times New Roman"/>
                <w:color w:val="auto"/>
                <w:sz w:val="24"/>
                <w:szCs w:val="24"/>
                <w:lang w:val="en-US" w:eastAsia="zh-CN"/>
              </w:rPr>
              <w:t>需按重点防渗区进行防渗，</w:t>
            </w:r>
            <w:r>
              <w:rPr>
                <w:rFonts w:hint="eastAsia" w:cs="Times New Roman"/>
                <w:color w:val="auto"/>
                <w:sz w:val="24"/>
                <w:szCs w:val="24"/>
                <w:lang w:val="en-US" w:eastAsia="zh-CN"/>
              </w:rPr>
              <w:t>危废贮存库</w:t>
            </w:r>
            <w:r>
              <w:rPr>
                <w:rFonts w:hint="eastAsia" w:ascii="Times New Roman" w:hAnsi="Times New Roman" w:eastAsia="宋体" w:cs="Times New Roman"/>
                <w:color w:val="auto"/>
                <w:sz w:val="24"/>
                <w:szCs w:val="24"/>
                <w:lang w:val="en-US" w:eastAsia="zh-CN"/>
              </w:rPr>
              <w:t>的设置和管理严格执行《危险废物贮存污染控制标准》</w:t>
            </w:r>
            <w:r>
              <w:rPr>
                <w:rFonts w:hint="default" w:ascii="Times New Roman" w:hAnsi="Times New Roman" w:eastAsia="宋体" w:cs="Times New Roman"/>
                <w:color w:val="auto"/>
                <w:sz w:val="24"/>
                <w:szCs w:val="24"/>
                <w:lang w:val="en-US" w:eastAsia="zh-CN"/>
              </w:rPr>
              <w:t>(GB18597-20</w:t>
            </w:r>
            <w:r>
              <w:rPr>
                <w:rFonts w:hint="eastAsia" w:ascii="Times New Roman" w:hAnsi="Times New Roman" w:eastAsia="宋体" w:cs="Times New Roman"/>
                <w:color w:val="auto"/>
                <w:sz w:val="24"/>
                <w:szCs w:val="24"/>
                <w:lang w:val="en-US" w:eastAsia="zh-CN"/>
              </w:rPr>
              <w:t>23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的规定，</w:t>
            </w:r>
            <w:r>
              <w:rPr>
                <w:rFonts w:hint="default" w:ascii="Times New Roman" w:hAnsi="Times New Roman" w:eastAsia="宋体" w:cs="Times New Roman"/>
                <w:color w:val="auto"/>
                <w:kern w:val="0"/>
                <w:sz w:val="24"/>
                <w:szCs w:val="24"/>
                <w:lang w:val="zh-CN" w:eastAsia="zh-CN" w:bidi="ar-SA"/>
              </w:rPr>
              <w:t>本项目区域防渗划分及要求见表4-</w:t>
            </w:r>
            <w:r>
              <w:rPr>
                <w:rFonts w:hint="eastAsia" w:ascii="Times New Roman" w:hAnsi="Times New Roman" w:eastAsia="宋体" w:cs="Times New Roman"/>
                <w:color w:val="auto"/>
                <w:kern w:val="0"/>
                <w:sz w:val="24"/>
                <w:szCs w:val="24"/>
                <w:lang w:val="en-US" w:eastAsia="zh-CN" w:bidi="ar-SA"/>
              </w:rPr>
              <w:t>1</w:t>
            </w:r>
            <w:r>
              <w:rPr>
                <w:rFonts w:hint="eastAsia" w:cs="Times New Roman"/>
                <w:color w:val="auto"/>
                <w:kern w:val="0"/>
                <w:sz w:val="24"/>
                <w:szCs w:val="24"/>
                <w:lang w:val="en-US" w:eastAsia="zh-CN" w:bidi="ar-SA"/>
              </w:rPr>
              <w:t>7</w:t>
            </w:r>
            <w:r>
              <w:rPr>
                <w:rFonts w:hint="eastAsia" w:ascii="Times New Roman" w:hAnsi="Times New Roman" w:eastAsia="宋体" w:cs="Times New Roman"/>
                <w:color w:val="auto"/>
                <w:kern w:val="0"/>
                <w:sz w:val="24"/>
                <w:szCs w:val="24"/>
                <w:lang w:val="en-US" w:eastAsia="zh-CN" w:bidi="ar-SA"/>
              </w:rPr>
              <w:t>。</w:t>
            </w:r>
          </w:p>
          <w:p w14:paraId="7577920B">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bCs/>
                <w:color w:val="auto"/>
                <w:kern w:val="0"/>
                <w:sz w:val="21"/>
                <w:szCs w:val="24"/>
                <w:lang w:val="en-US" w:eastAsia="zh-CN" w:bidi="ar-SA"/>
              </w:rPr>
            </w:pPr>
          </w:p>
          <w:p w14:paraId="742CEA0D">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bCs/>
                <w:color w:val="auto"/>
                <w:kern w:val="0"/>
                <w:sz w:val="21"/>
                <w:szCs w:val="24"/>
                <w:lang w:val="en-US" w:eastAsia="zh-CN" w:bidi="ar-SA"/>
              </w:rPr>
            </w:pPr>
          </w:p>
          <w:p w14:paraId="7A1942B4">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bCs/>
                <w:color w:val="auto"/>
                <w:kern w:val="0"/>
                <w:sz w:val="21"/>
                <w:szCs w:val="24"/>
                <w:lang w:val="en-US" w:eastAsia="zh-CN" w:bidi="ar-SA"/>
              </w:rPr>
            </w:pPr>
          </w:p>
          <w:p w14:paraId="06E84193">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bCs/>
                <w:color w:val="auto"/>
                <w:kern w:val="0"/>
                <w:sz w:val="21"/>
                <w:szCs w:val="24"/>
                <w:lang w:val="en-US" w:eastAsia="zh-CN" w:bidi="ar-SA"/>
              </w:rPr>
            </w:pPr>
          </w:p>
          <w:p w14:paraId="360E2975">
            <w:pPr>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b/>
                <w:bCs/>
                <w:color w:val="auto"/>
                <w:kern w:val="0"/>
                <w:sz w:val="21"/>
                <w:szCs w:val="24"/>
                <w:lang w:val="en-US" w:eastAsia="zh-CN" w:bidi="ar-SA"/>
              </w:rPr>
            </w:pPr>
            <w:r>
              <w:rPr>
                <w:rFonts w:hint="default" w:ascii="Times New Roman" w:hAnsi="Times New Roman" w:eastAsia="宋体" w:cs="Times New Roman"/>
                <w:b/>
                <w:bCs/>
                <w:color w:val="auto"/>
                <w:kern w:val="0"/>
                <w:sz w:val="21"/>
                <w:szCs w:val="24"/>
                <w:lang w:val="en-US" w:eastAsia="zh-CN" w:bidi="ar-SA"/>
              </w:rPr>
              <w:t>表4-</w:t>
            </w:r>
            <w:r>
              <w:rPr>
                <w:rFonts w:hint="eastAsia" w:ascii="Times New Roman" w:hAnsi="Times New Roman" w:eastAsia="宋体" w:cs="Times New Roman"/>
                <w:b/>
                <w:bCs/>
                <w:color w:val="auto"/>
                <w:kern w:val="0"/>
                <w:sz w:val="21"/>
                <w:szCs w:val="24"/>
                <w:lang w:val="en-US" w:eastAsia="zh-CN" w:bidi="ar-SA"/>
              </w:rPr>
              <w:t>1</w:t>
            </w:r>
            <w:r>
              <w:rPr>
                <w:rFonts w:hint="eastAsia" w:cs="Times New Roman"/>
                <w:b/>
                <w:bCs/>
                <w:color w:val="auto"/>
                <w:kern w:val="0"/>
                <w:sz w:val="21"/>
                <w:szCs w:val="24"/>
                <w:lang w:val="en-US" w:eastAsia="zh-CN" w:bidi="ar-SA"/>
              </w:rPr>
              <w:t>7</w:t>
            </w:r>
            <w:r>
              <w:rPr>
                <w:rFonts w:hint="eastAsia" w:ascii="Times New Roman" w:hAnsi="Times New Roman" w:eastAsia="宋体" w:cs="Times New Roman"/>
                <w:b/>
                <w:bCs/>
                <w:color w:val="auto"/>
                <w:kern w:val="0"/>
                <w:sz w:val="21"/>
                <w:szCs w:val="24"/>
                <w:lang w:val="en-US" w:eastAsia="zh-CN" w:bidi="ar-SA"/>
              </w:rPr>
              <w:t xml:space="preserve">  </w:t>
            </w:r>
            <w:r>
              <w:rPr>
                <w:rFonts w:hint="eastAsia" w:cs="Times New Roman"/>
                <w:b/>
                <w:bCs/>
                <w:color w:val="auto"/>
                <w:kern w:val="0"/>
                <w:sz w:val="21"/>
                <w:szCs w:val="24"/>
                <w:lang w:val="en-US" w:eastAsia="zh-CN" w:bidi="ar-SA"/>
              </w:rPr>
              <w:t>防渗分区及防渗要求表</w:t>
            </w:r>
          </w:p>
          <w:tbl>
            <w:tblPr>
              <w:tblStyle w:val="28"/>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13"/>
              <w:gridCol w:w="1170"/>
              <w:gridCol w:w="1258"/>
              <w:gridCol w:w="1476"/>
              <w:gridCol w:w="4160"/>
            </w:tblGrid>
            <w:tr w14:paraId="174F0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trPr>
              <w:tc>
                <w:tcPr>
                  <w:tcW w:w="299" w:type="pct"/>
                  <w:noWrap w:val="0"/>
                  <w:vAlign w:val="center"/>
                </w:tcPr>
                <w:p w14:paraId="1C7A1973">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bCs/>
                      <w:color w:val="auto"/>
                      <w:kern w:val="0"/>
                      <w:sz w:val="21"/>
                      <w:szCs w:val="21"/>
                      <w:lang w:val="en-US" w:bidi="ar-SA"/>
                    </w:rPr>
                  </w:pPr>
                  <w:r>
                    <w:rPr>
                      <w:rFonts w:hint="default" w:ascii="Times New Roman" w:hAnsi="Times New Roman" w:eastAsia="宋体" w:cs="Times New Roman"/>
                      <w:b/>
                      <w:bCs/>
                      <w:color w:val="auto"/>
                      <w:kern w:val="0"/>
                      <w:sz w:val="21"/>
                      <w:szCs w:val="21"/>
                      <w:lang w:val="en-US" w:bidi="ar-SA"/>
                    </w:rPr>
                    <w:t>序号</w:t>
                  </w:r>
                </w:p>
              </w:tc>
              <w:tc>
                <w:tcPr>
                  <w:tcW w:w="682" w:type="pct"/>
                  <w:noWrap w:val="0"/>
                  <w:vAlign w:val="center"/>
                </w:tcPr>
                <w:p w14:paraId="076FBF79">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cs="Times New Roman"/>
                      <w:b/>
                      <w:bCs/>
                      <w:color w:val="auto"/>
                      <w:kern w:val="0"/>
                      <w:sz w:val="21"/>
                      <w:szCs w:val="21"/>
                      <w:lang w:val="en-US" w:eastAsia="zh-CN" w:bidi="ar-SA"/>
                    </w:rPr>
                    <w:t>防渗区域</w:t>
                  </w:r>
                </w:p>
              </w:tc>
              <w:tc>
                <w:tcPr>
                  <w:tcW w:w="733" w:type="pct"/>
                  <w:noWrap w:val="0"/>
                  <w:vAlign w:val="center"/>
                </w:tcPr>
                <w:p w14:paraId="779985A6">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eastAsia"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bidi="ar-SA"/>
                    </w:rPr>
                    <w:t>防渗</w:t>
                  </w:r>
                  <w:r>
                    <w:rPr>
                      <w:rFonts w:hint="eastAsia" w:cs="Times New Roman"/>
                      <w:b/>
                      <w:bCs/>
                      <w:color w:val="auto"/>
                      <w:kern w:val="0"/>
                      <w:sz w:val="21"/>
                      <w:szCs w:val="21"/>
                      <w:lang w:val="en-US" w:eastAsia="zh-CN" w:bidi="ar-SA"/>
                    </w:rPr>
                    <w:t>分区</w:t>
                  </w:r>
                </w:p>
              </w:tc>
              <w:tc>
                <w:tcPr>
                  <w:tcW w:w="860" w:type="pct"/>
                  <w:noWrap w:val="0"/>
                  <w:vAlign w:val="center"/>
                </w:tcPr>
                <w:p w14:paraId="164F0C7F">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cs="Times New Roman"/>
                      <w:b/>
                      <w:bCs/>
                      <w:color w:val="auto"/>
                      <w:kern w:val="0"/>
                      <w:sz w:val="21"/>
                      <w:szCs w:val="21"/>
                      <w:lang w:val="en-US" w:eastAsia="zh-CN" w:bidi="ar-SA"/>
                    </w:rPr>
                    <w:t>防渗技术要求</w:t>
                  </w:r>
                </w:p>
              </w:tc>
              <w:tc>
                <w:tcPr>
                  <w:tcW w:w="2424" w:type="pct"/>
                  <w:noWrap w:val="0"/>
                  <w:vAlign w:val="center"/>
                </w:tcPr>
                <w:p w14:paraId="1951521C">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cs="Times New Roman"/>
                      <w:b/>
                      <w:bCs/>
                      <w:color w:val="auto"/>
                      <w:kern w:val="0"/>
                      <w:sz w:val="21"/>
                      <w:szCs w:val="21"/>
                      <w:lang w:val="en-US" w:eastAsia="zh-CN" w:bidi="ar-SA"/>
                    </w:rPr>
                    <w:t>防渗方案</w:t>
                  </w:r>
                </w:p>
              </w:tc>
            </w:tr>
            <w:tr w14:paraId="0CD34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299" w:type="pct"/>
                  <w:noWrap w:val="0"/>
                  <w:vAlign w:val="center"/>
                </w:tcPr>
                <w:p w14:paraId="5DB2DAB8">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lang w:val="en-US" w:bidi="ar-SA"/>
                    </w:rPr>
                  </w:pPr>
                  <w:r>
                    <w:rPr>
                      <w:rFonts w:hint="default" w:ascii="Times New Roman" w:hAnsi="Times New Roman" w:eastAsia="宋体" w:cs="Times New Roman"/>
                      <w:color w:val="auto"/>
                      <w:kern w:val="0"/>
                      <w:sz w:val="21"/>
                      <w:szCs w:val="21"/>
                      <w:lang w:val="en-US" w:bidi="ar-SA"/>
                    </w:rPr>
                    <w:t>1</w:t>
                  </w:r>
                </w:p>
              </w:tc>
              <w:tc>
                <w:tcPr>
                  <w:tcW w:w="682" w:type="pct"/>
                  <w:noWrap w:val="0"/>
                  <w:vAlign w:val="center"/>
                </w:tcPr>
                <w:p w14:paraId="705299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危废贮存库</w:t>
                  </w:r>
                </w:p>
              </w:tc>
              <w:tc>
                <w:tcPr>
                  <w:tcW w:w="733" w:type="pct"/>
                  <w:noWrap w:val="0"/>
                  <w:vAlign w:val="center"/>
                </w:tcPr>
                <w:p w14:paraId="5C41F27B">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lang w:val="en-US" w:bidi="ar-SA"/>
                    </w:rPr>
                  </w:pPr>
                  <w:r>
                    <w:rPr>
                      <w:rFonts w:hint="default" w:ascii="Times New Roman" w:hAnsi="Times New Roman" w:eastAsia="宋体" w:cs="Times New Roman"/>
                      <w:color w:val="auto"/>
                      <w:kern w:val="0"/>
                      <w:sz w:val="21"/>
                      <w:szCs w:val="21"/>
                      <w:lang w:val="en-US" w:bidi="ar-SA"/>
                    </w:rPr>
                    <w:t>重点防渗区</w:t>
                  </w:r>
                </w:p>
              </w:tc>
              <w:tc>
                <w:tcPr>
                  <w:tcW w:w="860" w:type="pct"/>
                  <w:noWrap w:val="0"/>
                  <w:vAlign w:val="center"/>
                </w:tcPr>
                <w:p w14:paraId="471BAB6E">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按照《危险废物贮存污染控制标准》（GB 18597-2023）执行。</w:t>
                  </w:r>
                </w:p>
              </w:tc>
              <w:tc>
                <w:tcPr>
                  <w:tcW w:w="2424" w:type="pct"/>
                  <w:noWrap w:val="0"/>
                  <w:vAlign w:val="center"/>
                </w:tcPr>
                <w:p w14:paraId="7C9985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bidi="ar-SA"/>
                    </w:rPr>
                  </w:pPr>
                  <w:r>
                    <w:rPr>
                      <w:rFonts w:hint="default" w:ascii="Times New Roman" w:hAnsi="Times New Roman" w:eastAsia="宋体" w:cs="Times New Roman"/>
                      <w:color w:val="auto"/>
                      <w:kern w:val="0"/>
                      <w:sz w:val="21"/>
                      <w:szCs w:val="21"/>
                      <w:lang w:val="en-US" w:eastAsia="zh-CN" w:bidi="ar-SA"/>
                    </w:rPr>
                    <w:t>地面素土夯实；3:7灰土基层200mm；基础层采用C25抗渗混凝土浇筑，抗渗混凝土的抗渗等级不宜小于P8，厚度在200mm以上</w:t>
                  </w:r>
                  <w:r>
                    <w:rPr>
                      <w:rFonts w:hint="eastAsia" w:ascii="Times New Roman" w:hAnsi="Times New Roman" w:eastAsia="宋体"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zh-CN" w:bidi="ar-SA"/>
                    </w:rPr>
                    <w:t>上铺设2mm厚高密度环氧树脂，或至少2mm厚的其他人工材料，渗透系数≤10</w:t>
                  </w:r>
                  <w:r>
                    <w:rPr>
                      <w:rFonts w:hint="default" w:ascii="Times New Roman" w:hAnsi="Times New Roman" w:eastAsia="宋体" w:cs="Times New Roman"/>
                      <w:color w:val="auto"/>
                      <w:kern w:val="0"/>
                      <w:sz w:val="21"/>
                      <w:szCs w:val="21"/>
                      <w:vertAlign w:val="superscript"/>
                      <w:lang w:val="en-US" w:eastAsia="zh-CN" w:bidi="ar-SA"/>
                    </w:rPr>
                    <w:t>-10</w:t>
                  </w:r>
                  <w:r>
                    <w:rPr>
                      <w:rFonts w:hint="default" w:ascii="Times New Roman" w:hAnsi="Times New Roman" w:eastAsia="宋体" w:cs="Times New Roman"/>
                      <w:color w:val="auto"/>
                      <w:kern w:val="0"/>
                      <w:sz w:val="21"/>
                      <w:szCs w:val="21"/>
                      <w:lang w:val="en-US" w:eastAsia="zh-CN" w:bidi="ar-SA"/>
                    </w:rPr>
                    <w:t>cm/s。</w:t>
                  </w:r>
                </w:p>
              </w:tc>
            </w:tr>
            <w:tr w14:paraId="4C07E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2" w:hRule="atLeast"/>
              </w:trPr>
              <w:tc>
                <w:tcPr>
                  <w:tcW w:w="299" w:type="pct"/>
                  <w:noWrap w:val="0"/>
                  <w:vAlign w:val="center"/>
                </w:tcPr>
                <w:p w14:paraId="38651FF3">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w:t>
                  </w:r>
                </w:p>
              </w:tc>
              <w:tc>
                <w:tcPr>
                  <w:tcW w:w="682" w:type="pct"/>
                  <w:noWrap w:val="0"/>
                  <w:vAlign w:val="center"/>
                </w:tcPr>
                <w:p w14:paraId="49510441">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生产</w:t>
                  </w:r>
                  <w:r>
                    <w:rPr>
                      <w:rFonts w:hint="eastAsia" w:ascii="Times New Roman" w:hAnsi="Times New Roman" w:eastAsia="宋体" w:cs="Times New Roman"/>
                      <w:color w:val="auto"/>
                      <w:kern w:val="0"/>
                      <w:sz w:val="21"/>
                      <w:szCs w:val="21"/>
                      <w:lang w:val="en-US" w:eastAsia="zh-CN" w:bidi="ar-SA"/>
                    </w:rPr>
                    <w:t>车间</w:t>
                  </w:r>
                  <w:r>
                    <w:rPr>
                      <w:rFonts w:hint="default" w:ascii="Times New Roman" w:hAnsi="Times New Roman" w:eastAsia="宋体" w:cs="Times New Roman"/>
                      <w:color w:val="auto"/>
                      <w:kern w:val="0"/>
                      <w:sz w:val="21"/>
                      <w:szCs w:val="21"/>
                      <w:lang w:val="en-US" w:eastAsia="zh-CN" w:bidi="ar-SA"/>
                    </w:rPr>
                    <w:t>、沉淀池、洗车平台</w:t>
                  </w:r>
                  <w:r>
                    <w:rPr>
                      <w:rFonts w:hint="eastAsia" w:cs="Times New Roman"/>
                      <w:color w:val="auto"/>
                      <w:kern w:val="0"/>
                      <w:sz w:val="21"/>
                      <w:szCs w:val="21"/>
                      <w:lang w:val="en-US" w:eastAsia="zh-CN" w:bidi="ar-SA"/>
                    </w:rPr>
                    <w:t>、</w:t>
                  </w:r>
                  <w:r>
                    <w:rPr>
                      <w:rFonts w:hint="eastAsia" w:ascii="Times New Roman" w:hAnsi="Times New Roman" w:eastAsia="宋体" w:cs="Times New Roman"/>
                      <w:color w:val="auto"/>
                      <w:kern w:val="0"/>
                      <w:sz w:val="21"/>
                      <w:szCs w:val="21"/>
                      <w:lang w:val="en-US" w:eastAsia="zh-CN" w:bidi="ar-SA"/>
                    </w:rPr>
                    <w:t>初期雨水收集池、地下污水管沟</w:t>
                  </w:r>
                </w:p>
              </w:tc>
              <w:tc>
                <w:tcPr>
                  <w:tcW w:w="733" w:type="pct"/>
                  <w:noWrap w:val="0"/>
                  <w:vAlign w:val="center"/>
                </w:tcPr>
                <w:p w14:paraId="6213FFAE">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lang w:val="en-US" w:bidi="ar-SA"/>
                    </w:rPr>
                  </w:pPr>
                  <w:r>
                    <w:rPr>
                      <w:rFonts w:hint="default" w:ascii="Times New Roman" w:hAnsi="Times New Roman" w:eastAsia="宋体" w:cs="Times New Roman"/>
                      <w:color w:val="auto"/>
                      <w:kern w:val="0"/>
                      <w:sz w:val="21"/>
                      <w:szCs w:val="21"/>
                      <w:lang w:val="en-US" w:bidi="ar-SA"/>
                    </w:rPr>
                    <w:t>一般防渗区</w:t>
                  </w:r>
                </w:p>
              </w:tc>
              <w:tc>
                <w:tcPr>
                  <w:tcW w:w="860" w:type="pct"/>
                  <w:noWrap w:val="0"/>
                  <w:vAlign w:val="center"/>
                </w:tcPr>
                <w:p w14:paraId="03E481BD">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eastAsia" w:cs="Times New Roman"/>
                      <w:color w:val="auto"/>
                      <w:kern w:val="0"/>
                      <w:sz w:val="21"/>
                      <w:szCs w:val="21"/>
                      <w:lang w:val="en-US" w:eastAsia="zh-CN" w:bidi="ar-SA"/>
                    </w:rPr>
                  </w:pPr>
                  <w:r>
                    <w:rPr>
                      <w:rFonts w:hint="eastAsia" w:cs="Times New Roman"/>
                      <w:color w:val="auto"/>
                      <w:kern w:val="0"/>
                      <w:sz w:val="21"/>
                      <w:szCs w:val="21"/>
                      <w:lang w:val="en-US" w:eastAsia="zh-CN" w:bidi="ar-SA"/>
                    </w:rPr>
                    <w:t>等效黏土防渗层Mb≥1.5m，</w:t>
                  </w:r>
                </w:p>
                <w:p w14:paraId="1D8D1E8E">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K≤1×10-7cm/s。</w:t>
                  </w:r>
                </w:p>
              </w:tc>
              <w:tc>
                <w:tcPr>
                  <w:tcW w:w="2424" w:type="pct"/>
                  <w:noWrap w:val="0"/>
                  <w:vAlign w:val="center"/>
                </w:tcPr>
                <w:p w14:paraId="7CABFEA4">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lang w:val="en-US" w:bidi="ar-SA"/>
                    </w:rPr>
                  </w:pPr>
                  <w:r>
                    <w:rPr>
                      <w:rFonts w:hint="default" w:ascii="Times New Roman" w:hAnsi="Times New Roman" w:eastAsia="宋体" w:cs="Times New Roman"/>
                      <w:color w:val="auto"/>
                      <w:kern w:val="0"/>
                      <w:sz w:val="21"/>
                      <w:szCs w:val="21"/>
                      <w:highlight w:val="none"/>
                      <w:lang w:val="en-US" w:eastAsia="zh-CN"/>
                    </w:rPr>
                    <w:t>地面素土夯实；3</w:t>
                  </w:r>
                  <w:r>
                    <w:rPr>
                      <w:rFonts w:hint="eastAsia" w:ascii="Times New Roman" w:hAnsi="Times New Roman" w:eastAsia="宋体"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lang w:val="en-US" w:eastAsia="zh-CN"/>
                    </w:rPr>
                    <w:t>7灰土基层200mm；基础层采用C25抗渗混凝土浇筑，抗渗混凝土的抗渗等级不宜小于P6，厚度在200mm以上</w:t>
                  </w:r>
                  <w:r>
                    <w:rPr>
                      <w:rFonts w:hint="eastAsia" w:ascii="Times New Roman" w:hAnsi="Times New Roman" w:eastAsia="宋体" w:cs="Times New Roman"/>
                      <w:color w:val="auto"/>
                      <w:kern w:val="0"/>
                      <w:sz w:val="21"/>
                      <w:szCs w:val="21"/>
                      <w:highlight w:val="none"/>
                      <w:lang w:val="en-US" w:eastAsia="zh-CN"/>
                    </w:rPr>
                    <w:t>，</w:t>
                  </w:r>
                  <w:r>
                    <w:rPr>
                      <w:rFonts w:ascii="Times New Roman" w:hAnsi="Times New Roman" w:eastAsia="宋体"/>
                      <w:color w:val="auto"/>
                      <w:sz w:val="21"/>
                      <w:szCs w:val="21"/>
                      <w:highlight w:val="none"/>
                    </w:rPr>
                    <w:t>等效黏土防渗层Mb≥1.5m，K≤1.0×10</w:t>
                  </w:r>
                  <w:r>
                    <w:rPr>
                      <w:rFonts w:ascii="Times New Roman" w:hAnsi="Times New Roman" w:eastAsia="宋体"/>
                      <w:color w:val="auto"/>
                      <w:sz w:val="21"/>
                      <w:szCs w:val="21"/>
                      <w:highlight w:val="none"/>
                      <w:vertAlign w:val="superscript"/>
                    </w:rPr>
                    <w:t>-7</w:t>
                  </w:r>
                  <w:r>
                    <w:rPr>
                      <w:rFonts w:ascii="Times New Roman" w:hAnsi="Times New Roman" w:eastAsia="宋体"/>
                      <w:color w:val="auto"/>
                      <w:sz w:val="21"/>
                      <w:szCs w:val="21"/>
                      <w:highlight w:val="none"/>
                    </w:rPr>
                    <w:t>cm/s</w:t>
                  </w:r>
                  <w:r>
                    <w:rPr>
                      <w:rFonts w:hint="default" w:ascii="Times New Roman" w:hAnsi="Times New Roman" w:eastAsia="宋体" w:cs="Times New Roman"/>
                      <w:color w:val="auto"/>
                      <w:kern w:val="0"/>
                      <w:sz w:val="21"/>
                      <w:szCs w:val="21"/>
                      <w:highlight w:val="none"/>
                      <w:lang w:val="en-US" w:eastAsia="zh-CN"/>
                    </w:rPr>
                    <w:t>。</w:t>
                  </w:r>
                </w:p>
              </w:tc>
            </w:tr>
            <w:tr w14:paraId="6374B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0" w:hRule="atLeast"/>
              </w:trPr>
              <w:tc>
                <w:tcPr>
                  <w:tcW w:w="299" w:type="pct"/>
                  <w:noWrap w:val="0"/>
                  <w:vAlign w:val="center"/>
                </w:tcPr>
                <w:p w14:paraId="5F6B769C">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3</w:t>
                  </w:r>
                </w:p>
              </w:tc>
              <w:tc>
                <w:tcPr>
                  <w:tcW w:w="682" w:type="pct"/>
                  <w:noWrap w:val="0"/>
                  <w:vAlign w:val="center"/>
                </w:tcPr>
                <w:p w14:paraId="41166987">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宋体"/>
                      <w:color w:val="auto"/>
                      <w:kern w:val="0"/>
                      <w:sz w:val="21"/>
                      <w:szCs w:val="21"/>
                      <w:lang w:val="en-US" w:eastAsia="zh-CN" w:bidi="ar"/>
                    </w:rPr>
                  </w:pPr>
                  <w:r>
                    <w:rPr>
                      <w:rFonts w:hint="eastAsia" w:ascii="Times New Roman" w:hAnsi="Times New Roman" w:eastAsia="宋体" w:cs="宋体"/>
                      <w:color w:val="auto"/>
                      <w:kern w:val="0"/>
                      <w:sz w:val="21"/>
                      <w:szCs w:val="21"/>
                      <w:lang w:val="en-US" w:eastAsia="zh-CN" w:bidi="ar"/>
                    </w:rPr>
                    <w:t>厂区道路、办公生活区</w:t>
                  </w:r>
                </w:p>
              </w:tc>
              <w:tc>
                <w:tcPr>
                  <w:tcW w:w="733" w:type="pct"/>
                  <w:noWrap w:val="0"/>
                  <w:vAlign w:val="center"/>
                </w:tcPr>
                <w:p w14:paraId="58356999">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简单防渗区</w:t>
                  </w:r>
                </w:p>
              </w:tc>
              <w:tc>
                <w:tcPr>
                  <w:tcW w:w="860" w:type="pct"/>
                  <w:noWrap w:val="0"/>
                  <w:vAlign w:val="center"/>
                </w:tcPr>
                <w:p w14:paraId="18E07326">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highlight w:val="none"/>
                      <w:lang w:val="en-US" w:eastAsia="zh-CN"/>
                    </w:rPr>
                    <w:t>一般地面硬化</w:t>
                  </w:r>
                </w:p>
              </w:tc>
              <w:tc>
                <w:tcPr>
                  <w:tcW w:w="2424" w:type="pct"/>
                  <w:noWrap w:val="0"/>
                  <w:vAlign w:val="center"/>
                </w:tcPr>
                <w:p w14:paraId="61C16BD3">
                  <w:pPr>
                    <w:keepNext w:val="0"/>
                    <w:keepLines w:val="0"/>
                    <w:pageBreakBefore w:val="0"/>
                    <w:kinsoku/>
                    <w:wordWrap/>
                    <w:overflowPunct/>
                    <w:topLinePunct w:val="0"/>
                    <w:autoSpaceDE/>
                    <w:autoSpaceDN/>
                    <w:bidi w:val="0"/>
                    <w:adjustRightInd/>
                    <w:snapToGrid/>
                    <w:spacing w:before="0" w:after="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一般地面硬化</w:t>
                  </w:r>
                </w:p>
              </w:tc>
            </w:tr>
          </w:tbl>
          <w:p w14:paraId="270B8CA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3）运行期严格管理，加强巡检，及时发现污染物泄漏；一旦出现泄漏及时处理，检查检修设备，将污染物泄漏的环境风险事故降到最低；制定并落实相应环境风险事故应急预案。 </w:t>
            </w:r>
          </w:p>
          <w:p w14:paraId="1A2158E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both"/>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4）固体废物转运、贮存等各环节做好防风、防雨、防渗措施，禁止随意弃置、堆放、填埋。 </w:t>
            </w:r>
          </w:p>
          <w:p w14:paraId="1A3C5EB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综上所述，在运营期间加强管理，严格遵循地下水、土壤环境保护措施的前提下，本项目生产不会对地下水、土壤造成</w:t>
            </w:r>
            <w:r>
              <w:rPr>
                <w:rFonts w:hint="eastAsia" w:ascii="Times New Roman" w:hAnsi="Times New Roman" w:eastAsia="宋体" w:cs="Times New Roman"/>
                <w:color w:val="auto"/>
                <w:kern w:val="2"/>
                <w:sz w:val="24"/>
                <w:szCs w:val="24"/>
                <w:lang w:val="en-US" w:eastAsia="zh-CN" w:bidi="ar-SA"/>
              </w:rPr>
              <w:t>明显</w:t>
            </w:r>
            <w:r>
              <w:rPr>
                <w:rFonts w:hint="default" w:ascii="Times New Roman" w:hAnsi="Times New Roman" w:eastAsia="宋体" w:cs="Times New Roman"/>
                <w:color w:val="auto"/>
                <w:kern w:val="2"/>
                <w:sz w:val="24"/>
                <w:szCs w:val="24"/>
                <w:lang w:val="en-US" w:eastAsia="zh-CN" w:bidi="ar-SA"/>
              </w:rPr>
              <w:t>影响，本建设项目对地下水、土壤环境影响可以接受。</w:t>
            </w:r>
          </w:p>
          <w:p w14:paraId="474AC2A7">
            <w:pPr>
              <w:pStyle w:val="13"/>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0" w:leftChars="0" w:firstLine="482" w:firstLineChars="200"/>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（3）</w:t>
            </w:r>
            <w:r>
              <w:rPr>
                <w:rFonts w:hint="eastAsia" w:ascii="Times New Roman" w:hAnsi="Times New Roman" w:eastAsia="宋体" w:cs="Times New Roman"/>
                <w:color w:val="auto"/>
                <w:kern w:val="2"/>
                <w:sz w:val="24"/>
                <w:szCs w:val="24"/>
                <w:lang w:val="en-US" w:eastAsia="zh-CN" w:bidi="ar-SA"/>
              </w:rPr>
              <w:t>跟踪监测要求</w:t>
            </w:r>
          </w:p>
          <w:p w14:paraId="0F8E659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根据</w:t>
            </w:r>
            <w:r>
              <w:rPr>
                <w:rFonts w:hint="eastAsia" w:ascii="Times New Roman" w:hAnsi="Times New Roman" w:cs="Microsoft New Tai Lue"/>
                <w:color w:val="auto"/>
                <w:sz w:val="24"/>
                <w:highlight w:val="none"/>
                <w:lang w:val="en-US" w:eastAsia="zh-CN"/>
              </w:rPr>
              <w:t>排污许可证管理要求和固定源监测规范以及《工业企业土壤和地下水自行监测 技术指南》，本项目不属于土壤重点污染工业企业，</w:t>
            </w:r>
            <w:r>
              <w:rPr>
                <w:rFonts w:hint="default" w:ascii="Times New Roman" w:hAnsi="Times New Roman" w:eastAsia="宋体" w:cs="Times New Roman"/>
                <w:color w:val="auto"/>
                <w:kern w:val="2"/>
                <w:sz w:val="24"/>
                <w:szCs w:val="24"/>
                <w:highlight w:val="none"/>
                <w:lang w:val="en-US" w:eastAsia="zh-CN" w:bidi="ar-SA"/>
              </w:rPr>
              <w:t>在采取各项防渗措施的前提下，本项目对土壤和地下水影响较小，因此</w:t>
            </w:r>
            <w:r>
              <w:rPr>
                <w:rFonts w:hint="eastAsia" w:ascii="Times New Roman" w:hAnsi="Times New Roman" w:eastAsia="宋体" w:cs="Times New Roman"/>
                <w:color w:val="auto"/>
                <w:kern w:val="2"/>
                <w:sz w:val="24"/>
                <w:szCs w:val="24"/>
                <w:highlight w:val="none"/>
                <w:lang w:val="en-US" w:eastAsia="zh-CN" w:bidi="ar-SA"/>
              </w:rPr>
              <w:t>本次评价</w:t>
            </w:r>
            <w:r>
              <w:rPr>
                <w:rFonts w:hint="default" w:ascii="Times New Roman" w:hAnsi="Times New Roman" w:eastAsia="宋体" w:cs="Times New Roman"/>
                <w:color w:val="auto"/>
                <w:kern w:val="2"/>
                <w:sz w:val="24"/>
                <w:szCs w:val="24"/>
                <w:highlight w:val="none"/>
                <w:lang w:val="en-US" w:eastAsia="zh-CN" w:bidi="ar-SA"/>
              </w:rPr>
              <w:t>不进行跟踪监测。</w:t>
            </w:r>
          </w:p>
          <w:p w14:paraId="5D1C09FC">
            <w:pPr>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6.生态环境</w:t>
            </w:r>
          </w:p>
          <w:p w14:paraId="11EDB1F6">
            <w:pPr>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本项目所有设备均布置于</w:t>
            </w:r>
            <w:r>
              <w:rPr>
                <w:rFonts w:hint="default" w:ascii="Times New Roman" w:hAnsi="Times New Roman" w:eastAsia="宋体" w:cs="Times New Roman"/>
                <w:color w:val="auto"/>
                <w:sz w:val="24"/>
                <w:szCs w:val="24"/>
                <w:highlight w:val="none"/>
                <w:lang w:eastAsia="zh-CN"/>
              </w:rPr>
              <w:t>生产车间</w:t>
            </w:r>
            <w:r>
              <w:rPr>
                <w:rFonts w:hint="default" w:ascii="Times New Roman" w:hAnsi="Times New Roman" w:eastAsia="宋体" w:cs="Times New Roman"/>
                <w:color w:val="auto"/>
                <w:sz w:val="24"/>
                <w:szCs w:val="24"/>
                <w:highlight w:val="none"/>
              </w:rPr>
              <w:t>内，不会对区域生态环境产生影响。本项目营运期废气、废水、固废、噪声等均采取了严格污染防治措施，对区域环境影响较小</w:t>
            </w:r>
            <w:r>
              <w:rPr>
                <w:rFonts w:hint="default" w:ascii="Times New Roman" w:hAnsi="Times New Roman" w:eastAsia="宋体" w:cs="Times New Roman"/>
                <w:color w:val="auto"/>
                <w:sz w:val="24"/>
                <w:szCs w:val="24"/>
                <w:highlight w:val="none"/>
                <w:lang w:eastAsia="zh-CN"/>
              </w:rPr>
              <w:t>。</w:t>
            </w:r>
          </w:p>
          <w:p w14:paraId="49999F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7.</w:t>
            </w:r>
            <w:r>
              <w:rPr>
                <w:rFonts w:hint="default" w:ascii="Times New Roman" w:hAnsi="Times New Roman" w:eastAsia="宋体" w:cs="Times New Roman"/>
                <w:b/>
                <w:bCs/>
                <w:color w:val="auto"/>
                <w:sz w:val="24"/>
                <w:szCs w:val="24"/>
                <w:lang w:eastAsia="zh-CN"/>
              </w:rPr>
              <w:t>环境风险</w:t>
            </w:r>
          </w:p>
          <w:p w14:paraId="0D0551D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Times New Roman"/>
                <w:b w:val="0"/>
                <w:bCs w:val="0"/>
                <w:color w:val="auto"/>
                <w:sz w:val="24"/>
                <w:szCs w:val="24"/>
                <w:highlight w:val="none"/>
                <w:lang w:eastAsia="zh-CN"/>
              </w:rPr>
            </w:pP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lang w:eastAsia="zh-CN"/>
              </w:rPr>
              <w:t>）</w:t>
            </w:r>
            <w:r>
              <w:rPr>
                <w:rFonts w:hint="eastAsia" w:ascii="Times New Roman" w:hAnsi="Times New Roman" w:eastAsia="宋体" w:cs="Times New Roman"/>
                <w:b w:val="0"/>
                <w:bCs w:val="0"/>
                <w:color w:val="auto"/>
                <w:sz w:val="24"/>
                <w:szCs w:val="24"/>
                <w:highlight w:val="none"/>
                <w:lang w:eastAsia="zh-CN"/>
              </w:rPr>
              <w:t>危险源辨识</w:t>
            </w:r>
          </w:p>
          <w:p w14:paraId="0FAA2B8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bCs/>
                <w:color w:val="auto"/>
                <w:sz w:val="21"/>
                <w:szCs w:val="24"/>
                <w:highlight w:val="none"/>
              </w:rPr>
            </w:pPr>
            <w:r>
              <w:rPr>
                <w:rFonts w:hint="default" w:ascii="Times New Roman" w:hAnsi="Times New Roman" w:eastAsia="宋体" w:cs="Times New Roman"/>
                <w:color w:val="auto"/>
                <w:sz w:val="24"/>
                <w:szCs w:val="24"/>
                <w:highlight w:val="none"/>
                <w:lang w:val="en-US" w:eastAsia="zh-CN"/>
              </w:rPr>
              <w:t>根据《建设项目环境风险评价技术导则》（HJ/T169-2018）附录 B</w:t>
            </w:r>
            <w:r>
              <w:rPr>
                <w:rFonts w:hint="eastAsia" w:ascii="Times New Roman" w:hAnsi="Times New Roman" w:eastAsia="宋体" w:cs="Times New Roman"/>
                <w:color w:val="auto"/>
                <w:sz w:val="24"/>
                <w:szCs w:val="24"/>
                <w:highlight w:val="none"/>
                <w:lang w:val="en-US" w:eastAsia="zh-CN"/>
              </w:rPr>
              <w:t>及《危险化学品重大危险源辨识》（GB18218-2018）表1</w:t>
            </w:r>
            <w:r>
              <w:rPr>
                <w:rFonts w:hint="default" w:ascii="Times New Roman" w:hAnsi="Times New Roman" w:eastAsia="宋体" w:cs="Times New Roman"/>
                <w:color w:val="auto"/>
                <w:sz w:val="24"/>
                <w:szCs w:val="24"/>
                <w:highlight w:val="none"/>
                <w:lang w:val="en-US" w:eastAsia="zh-CN"/>
              </w:rPr>
              <w:t>，本项目存在危险性的主要物质为</w:t>
            </w:r>
            <w:r>
              <w:rPr>
                <w:rFonts w:hint="eastAsia" w:ascii="Times New Roman" w:hAnsi="Times New Roman" w:eastAsia="宋体" w:cs="Times New Roman"/>
                <w:color w:val="auto"/>
                <w:sz w:val="24"/>
                <w:szCs w:val="24"/>
                <w:highlight w:val="none"/>
                <w:lang w:val="en-US" w:eastAsia="zh-CN"/>
              </w:rPr>
              <w:t>润滑油、废</w:t>
            </w:r>
            <w:r>
              <w:rPr>
                <w:rFonts w:hint="eastAsia" w:cs="Times New Roman"/>
                <w:color w:val="auto"/>
                <w:sz w:val="24"/>
                <w:szCs w:val="24"/>
                <w:highlight w:val="none"/>
                <w:lang w:val="en-US" w:eastAsia="zh-CN"/>
              </w:rPr>
              <w:t>润滑油</w:t>
            </w:r>
            <w:r>
              <w:rPr>
                <w:rFonts w:hint="eastAsia" w:ascii="Times New Roman" w:hAnsi="Times New Roman" w:eastAsia="宋体" w:cs="Times New Roman"/>
                <w:color w:val="auto"/>
                <w:sz w:val="24"/>
                <w:szCs w:val="24"/>
                <w:highlight w:val="none"/>
                <w:lang w:val="en-US" w:eastAsia="zh-CN"/>
              </w:rPr>
              <w:t>，</w:t>
            </w:r>
            <w:r>
              <w:rPr>
                <w:rFonts w:hint="eastAsia" w:ascii="Times New Roman" w:hAnsi="Times New Roman"/>
                <w:color w:val="auto"/>
                <w:sz w:val="24"/>
                <w:highlight w:val="none"/>
                <w:lang w:val="en-US" w:eastAsia="zh-CN"/>
              </w:rPr>
              <w:t>其理化性质见下表。</w:t>
            </w:r>
          </w:p>
          <w:p w14:paraId="561AA5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4"/>
                <w:highlight w:val="none"/>
                <w:lang w:eastAsia="zh-CN"/>
              </w:rPr>
            </w:pPr>
            <w:r>
              <w:rPr>
                <w:rFonts w:hint="default" w:ascii="Times New Roman" w:hAnsi="Times New Roman" w:eastAsia="宋体" w:cs="Times New Roman"/>
                <w:b/>
                <w:bCs/>
                <w:color w:val="auto"/>
                <w:sz w:val="21"/>
                <w:szCs w:val="24"/>
                <w:highlight w:val="none"/>
              </w:rPr>
              <w:t>表</w:t>
            </w:r>
            <w:r>
              <w:rPr>
                <w:rFonts w:hint="default" w:ascii="Times New Roman" w:hAnsi="Times New Roman" w:eastAsia="宋体" w:cs="Times New Roman"/>
                <w:b/>
                <w:bCs/>
                <w:color w:val="auto"/>
                <w:sz w:val="21"/>
                <w:szCs w:val="24"/>
                <w:highlight w:val="none"/>
                <w:lang w:val="en-US" w:eastAsia="zh-CN"/>
              </w:rPr>
              <w:t>4-</w:t>
            </w:r>
            <w:r>
              <w:rPr>
                <w:rFonts w:hint="eastAsia" w:cs="Times New Roman"/>
                <w:b/>
                <w:bCs/>
                <w:color w:val="auto"/>
                <w:sz w:val="21"/>
                <w:szCs w:val="24"/>
                <w:highlight w:val="none"/>
                <w:lang w:val="en-US" w:eastAsia="zh-CN"/>
              </w:rPr>
              <w:t xml:space="preserve">18   </w:t>
            </w:r>
            <w:r>
              <w:rPr>
                <w:rFonts w:hint="eastAsia" w:ascii="Times New Roman" w:hAnsi="Times New Roman" w:eastAsia="宋体" w:cs="Times New Roman"/>
                <w:b/>
                <w:bCs/>
                <w:color w:val="auto"/>
                <w:sz w:val="21"/>
                <w:szCs w:val="24"/>
                <w:highlight w:val="none"/>
                <w:lang w:val="en-US" w:eastAsia="zh-CN"/>
              </w:rPr>
              <w:t>润滑油</w:t>
            </w:r>
            <w:r>
              <w:rPr>
                <w:rFonts w:hint="default" w:ascii="Times New Roman" w:hAnsi="Times New Roman" w:eastAsia="宋体" w:cs="Times New Roman"/>
                <w:b/>
                <w:bCs/>
                <w:color w:val="auto"/>
                <w:sz w:val="21"/>
                <w:szCs w:val="24"/>
                <w:highlight w:val="none"/>
              </w:rPr>
              <w:t>理化性质</w:t>
            </w:r>
            <w:r>
              <w:rPr>
                <w:rFonts w:hint="eastAsia" w:ascii="Times New Roman" w:hAnsi="Times New Roman" w:eastAsia="宋体" w:cs="Times New Roman"/>
                <w:b/>
                <w:bCs/>
                <w:color w:val="auto"/>
                <w:sz w:val="21"/>
                <w:szCs w:val="24"/>
                <w:highlight w:val="none"/>
                <w:lang w:eastAsia="zh-CN"/>
              </w:rPr>
              <w:t>一览表</w:t>
            </w:r>
          </w:p>
          <w:tbl>
            <w:tblPr>
              <w:tblStyle w:val="2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43"/>
              <w:gridCol w:w="1357"/>
              <w:gridCol w:w="1301"/>
              <w:gridCol w:w="1397"/>
              <w:gridCol w:w="1114"/>
              <w:gridCol w:w="1900"/>
              <w:gridCol w:w="666"/>
            </w:tblGrid>
            <w:tr w14:paraId="69F8C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36" w:type="dxa"/>
                  <w:tcBorders>
                    <w:top w:val="single" w:color="000000" w:sz="4" w:space="0"/>
                    <w:left w:val="single" w:color="000000" w:sz="4" w:space="0"/>
                    <w:bottom w:val="single" w:color="000000" w:sz="4" w:space="0"/>
                    <w:right w:val="single" w:color="000000" w:sz="4" w:space="0"/>
                  </w:tcBorders>
                  <w:noWrap w:val="0"/>
                  <w:textDirection w:val="tbRlV"/>
                  <w:vAlign w:val="center"/>
                </w:tcPr>
                <w:p w14:paraId="7A0BC3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top"/>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标识</w:t>
                  </w:r>
                </w:p>
              </w:tc>
              <w:tc>
                <w:tcPr>
                  <w:tcW w:w="4055" w:type="dxa"/>
                  <w:gridSpan w:val="3"/>
                  <w:tcBorders>
                    <w:top w:val="single" w:color="000000" w:sz="4" w:space="0"/>
                    <w:left w:val="single" w:color="000000" w:sz="4" w:space="0"/>
                    <w:bottom w:val="single" w:color="000000" w:sz="4" w:space="0"/>
                    <w:right w:val="single" w:color="000000" w:sz="4" w:space="0"/>
                  </w:tcBorders>
                  <w:noWrap w:val="0"/>
                  <w:vAlign w:val="center"/>
                </w:tcPr>
                <w:p w14:paraId="646586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中文名：润滑油</w:t>
                  </w:r>
                </w:p>
              </w:tc>
              <w:tc>
                <w:tcPr>
                  <w:tcW w:w="3680" w:type="dxa"/>
                  <w:gridSpan w:val="3"/>
                  <w:tcBorders>
                    <w:top w:val="single" w:color="000000" w:sz="4" w:space="0"/>
                    <w:left w:val="single" w:color="000000" w:sz="4" w:space="0"/>
                    <w:bottom w:val="single" w:color="000000" w:sz="4" w:space="0"/>
                    <w:right w:val="single" w:color="000000" w:sz="4" w:space="0"/>
                  </w:tcBorders>
                  <w:noWrap w:val="0"/>
                  <w:vAlign w:val="center"/>
                </w:tcPr>
                <w:p w14:paraId="792511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英文名：lubricating</w:t>
                  </w:r>
                </w:p>
              </w:tc>
            </w:tr>
            <w:tr w14:paraId="54B92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3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348C0A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理化性质</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59BE58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外观与性状</w:t>
                  </w:r>
                </w:p>
              </w:tc>
              <w:tc>
                <w:tcPr>
                  <w:tcW w:w="2698" w:type="dxa"/>
                  <w:gridSpan w:val="2"/>
                  <w:tcBorders>
                    <w:top w:val="single" w:color="000000" w:sz="4" w:space="0"/>
                    <w:left w:val="single" w:color="000000" w:sz="4" w:space="0"/>
                    <w:bottom w:val="single" w:color="000000" w:sz="4" w:space="0"/>
                    <w:right w:val="single" w:color="000000" w:sz="4" w:space="0"/>
                  </w:tcBorders>
                  <w:noWrap w:val="0"/>
                  <w:vAlign w:val="center"/>
                </w:tcPr>
                <w:p w14:paraId="0B4D2D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淡黄色</w:t>
                  </w:r>
                  <w:r>
                    <w:rPr>
                      <w:rFonts w:hint="eastAsia" w:ascii="Times New Roman" w:hAnsi="Times New Roman" w:eastAsia="宋体" w:cs="Times New Roman"/>
                      <w:b w:val="0"/>
                      <w:bCs w:val="0"/>
                      <w:i w:val="0"/>
                      <w:iCs w:val="0"/>
                      <w:color w:val="auto"/>
                      <w:kern w:val="0"/>
                      <w:sz w:val="21"/>
                      <w:szCs w:val="21"/>
                      <w:u w:val="none"/>
                      <w:lang w:val="en-US" w:eastAsia="zh-CN" w:bidi="ar"/>
                    </w:rPr>
                    <w:t>黏稠</w:t>
                  </w:r>
                  <w:r>
                    <w:rPr>
                      <w:rFonts w:hint="default" w:ascii="Times New Roman" w:hAnsi="Times New Roman" w:eastAsia="宋体" w:cs="Times New Roman"/>
                      <w:b w:val="0"/>
                      <w:bCs w:val="0"/>
                      <w:i w:val="0"/>
                      <w:iCs w:val="0"/>
                      <w:color w:val="auto"/>
                      <w:kern w:val="0"/>
                      <w:sz w:val="21"/>
                      <w:szCs w:val="21"/>
                      <w:u w:val="none"/>
                      <w:lang w:val="en-US" w:eastAsia="zh-CN" w:bidi="ar"/>
                    </w:rPr>
                    <w:t>液体</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05F952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闪点(℃)</w:t>
                  </w:r>
                </w:p>
              </w:tc>
              <w:tc>
                <w:tcPr>
                  <w:tcW w:w="2566" w:type="dxa"/>
                  <w:gridSpan w:val="2"/>
                  <w:tcBorders>
                    <w:top w:val="single" w:color="000000" w:sz="4" w:space="0"/>
                    <w:left w:val="single" w:color="000000" w:sz="4" w:space="0"/>
                    <w:bottom w:val="single" w:color="000000" w:sz="4" w:space="0"/>
                    <w:right w:val="single" w:color="000000" w:sz="4" w:space="0"/>
                  </w:tcBorders>
                  <w:noWrap w:val="0"/>
                  <w:vAlign w:val="center"/>
                </w:tcPr>
                <w:p w14:paraId="5F73EB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120~340</w:t>
                  </w:r>
                </w:p>
              </w:tc>
            </w:tr>
            <w:tr w14:paraId="0C4FE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36"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6E765E0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302C57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自燃点(℃)</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5E10C9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300~350</w:t>
                  </w:r>
                </w:p>
              </w:tc>
              <w:tc>
                <w:tcPr>
                  <w:tcW w:w="1397" w:type="dxa"/>
                  <w:tcBorders>
                    <w:top w:val="single" w:color="000000" w:sz="4" w:space="0"/>
                    <w:left w:val="single" w:color="000000" w:sz="4" w:space="0"/>
                    <w:right w:val="single" w:color="000000" w:sz="4" w:space="0"/>
                  </w:tcBorders>
                  <w:noWrap w:val="0"/>
                  <w:vAlign w:val="center"/>
                </w:tcPr>
                <w:p w14:paraId="01923F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相对密度</w:t>
                  </w:r>
                </w:p>
                <w:p w14:paraId="208382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(水=1)</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13A52D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val="0"/>
                      <w:i w:val="0"/>
                      <w:iCs w:val="0"/>
                      <w:color w:val="auto"/>
                      <w:sz w:val="21"/>
                      <w:szCs w:val="21"/>
                      <w:u w:val="none"/>
                      <w:lang w:val="en-US" w:eastAsia="zh-CN"/>
                    </w:rPr>
                  </w:pPr>
                  <w:r>
                    <w:rPr>
                      <w:rFonts w:hint="eastAsia" w:ascii="Times New Roman" w:hAnsi="Times New Roman" w:eastAsia="宋体" w:cs="Times New Roman"/>
                      <w:b w:val="0"/>
                      <w:bCs w:val="0"/>
                      <w:i w:val="0"/>
                      <w:iCs w:val="0"/>
                      <w:color w:val="auto"/>
                      <w:sz w:val="21"/>
                      <w:szCs w:val="21"/>
                      <w:u w:val="none"/>
                      <w:lang w:val="en-US" w:eastAsia="zh-CN"/>
                    </w:rPr>
                    <w:t>934.8</w:t>
                  </w:r>
                </w:p>
              </w:tc>
              <w:tc>
                <w:tcPr>
                  <w:tcW w:w="1900" w:type="dxa"/>
                  <w:tcBorders>
                    <w:top w:val="single" w:color="000000" w:sz="4" w:space="0"/>
                    <w:left w:val="single" w:color="000000" w:sz="4" w:space="0"/>
                    <w:bottom w:val="single" w:color="000000" w:sz="4" w:space="0"/>
                    <w:right w:val="single" w:color="000000" w:sz="4" w:space="0"/>
                  </w:tcBorders>
                  <w:noWrap w:val="0"/>
                  <w:vAlign w:val="center"/>
                </w:tcPr>
                <w:p w14:paraId="7C2DCA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相对密度(空气=1)</w:t>
                  </w:r>
                </w:p>
              </w:tc>
              <w:tc>
                <w:tcPr>
                  <w:tcW w:w="666" w:type="dxa"/>
                  <w:tcBorders>
                    <w:top w:val="single" w:color="000000" w:sz="4" w:space="0"/>
                    <w:left w:val="single" w:color="000000" w:sz="4" w:space="0"/>
                    <w:bottom w:val="single" w:color="000000" w:sz="4" w:space="0"/>
                    <w:right w:val="single" w:color="000000" w:sz="4" w:space="0"/>
                  </w:tcBorders>
                  <w:noWrap w:val="0"/>
                  <w:vAlign w:val="center"/>
                </w:tcPr>
                <w:p w14:paraId="30BE12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0.85</w:t>
                  </w:r>
                </w:p>
              </w:tc>
            </w:tr>
            <w:tr w14:paraId="4252B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36"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26226A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7DB372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沸点(℃)</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01DFD9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-252.8</w:t>
                  </w:r>
                </w:p>
              </w:tc>
              <w:tc>
                <w:tcPr>
                  <w:tcW w:w="2511" w:type="dxa"/>
                  <w:gridSpan w:val="2"/>
                  <w:tcBorders>
                    <w:top w:val="single" w:color="000000" w:sz="4" w:space="0"/>
                    <w:left w:val="single" w:color="000000" w:sz="4" w:space="0"/>
                    <w:bottom w:val="single" w:color="000000" w:sz="4" w:space="0"/>
                    <w:right w:val="single" w:color="000000" w:sz="4" w:space="0"/>
                  </w:tcBorders>
                  <w:noWrap w:val="0"/>
                  <w:vAlign w:val="center"/>
                </w:tcPr>
                <w:p w14:paraId="3AC023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eastAsia" w:ascii="Times New Roman" w:hAnsi="Times New Roman" w:eastAsia="宋体" w:cs="Times New Roman"/>
                      <w:b w:val="0"/>
                      <w:bCs w:val="0"/>
                      <w:i w:val="0"/>
                      <w:iCs w:val="0"/>
                      <w:color w:val="auto"/>
                      <w:kern w:val="0"/>
                      <w:sz w:val="21"/>
                      <w:szCs w:val="21"/>
                      <w:u w:val="none"/>
                      <w:lang w:val="en-US" w:eastAsia="zh-CN" w:bidi="ar"/>
                    </w:rPr>
                    <w:t>饱和蒸汽</w:t>
                  </w:r>
                  <w:r>
                    <w:rPr>
                      <w:rFonts w:hint="default" w:ascii="Times New Roman" w:hAnsi="Times New Roman" w:eastAsia="宋体" w:cs="Times New Roman"/>
                      <w:b w:val="0"/>
                      <w:bCs w:val="0"/>
                      <w:i w:val="0"/>
                      <w:iCs w:val="0"/>
                      <w:color w:val="auto"/>
                      <w:kern w:val="0"/>
                      <w:sz w:val="21"/>
                      <w:szCs w:val="21"/>
                      <w:u w:val="none"/>
                      <w:lang w:val="en-US" w:eastAsia="zh-CN" w:bidi="ar"/>
                    </w:rPr>
                    <w:t>压(kPa)</w:t>
                  </w:r>
                </w:p>
              </w:tc>
              <w:tc>
                <w:tcPr>
                  <w:tcW w:w="2566" w:type="dxa"/>
                  <w:gridSpan w:val="2"/>
                  <w:tcBorders>
                    <w:top w:val="single" w:color="000000" w:sz="4" w:space="0"/>
                    <w:left w:val="single" w:color="000000" w:sz="4" w:space="0"/>
                    <w:bottom w:val="single" w:color="000000" w:sz="4" w:space="0"/>
                    <w:right w:val="single" w:color="000000" w:sz="4" w:space="0"/>
                  </w:tcBorders>
                  <w:noWrap w:val="0"/>
                  <w:vAlign w:val="center"/>
                </w:tcPr>
                <w:p w14:paraId="2ADC50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0.13/145.8℃</w:t>
                  </w:r>
                </w:p>
              </w:tc>
            </w:tr>
            <w:tr w14:paraId="5FD59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36"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587DFD7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2CB713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溶解性</w:t>
                  </w:r>
                </w:p>
              </w:tc>
              <w:tc>
                <w:tcPr>
                  <w:tcW w:w="6378" w:type="dxa"/>
                  <w:gridSpan w:val="5"/>
                  <w:tcBorders>
                    <w:top w:val="single" w:color="000000" w:sz="4" w:space="0"/>
                    <w:left w:val="single" w:color="000000" w:sz="4" w:space="0"/>
                    <w:bottom w:val="single" w:color="000000" w:sz="4" w:space="0"/>
                    <w:right w:val="single" w:color="000000" w:sz="4" w:space="0"/>
                  </w:tcBorders>
                  <w:noWrap w:val="0"/>
                  <w:vAlign w:val="center"/>
                </w:tcPr>
                <w:p w14:paraId="22F92A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溶于苯、乙醇、乙醚、氯仿、丙酮等多数有机溶剂。</w:t>
                  </w:r>
                </w:p>
              </w:tc>
            </w:tr>
            <w:tr w14:paraId="4244F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36" w:type="dxa"/>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14:paraId="681C43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燃烧爆炸危险</w:t>
                  </w: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195160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危险特性</w:t>
                  </w:r>
                </w:p>
              </w:tc>
              <w:tc>
                <w:tcPr>
                  <w:tcW w:w="2698" w:type="dxa"/>
                  <w:gridSpan w:val="2"/>
                  <w:tcBorders>
                    <w:top w:val="single" w:color="000000" w:sz="4" w:space="0"/>
                    <w:left w:val="single" w:color="000000" w:sz="4" w:space="0"/>
                    <w:bottom w:val="single" w:color="000000" w:sz="4" w:space="0"/>
                    <w:right w:val="single" w:color="000000" w:sz="4" w:space="0"/>
                  </w:tcBorders>
                  <w:noWrap w:val="0"/>
                  <w:vAlign w:val="center"/>
                </w:tcPr>
                <w:p w14:paraId="2CA573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可燃液体</w:t>
                  </w:r>
                  <w:r>
                    <w:rPr>
                      <w:rFonts w:hint="eastAsia" w:ascii="Times New Roman" w:hAnsi="Times New Roman" w:eastAsia="宋体" w:cs="Times New Roman"/>
                      <w:b w:val="0"/>
                      <w:bCs w:val="0"/>
                      <w:i w:val="0"/>
                      <w:iCs w:val="0"/>
                      <w:color w:val="auto"/>
                      <w:kern w:val="0"/>
                      <w:sz w:val="21"/>
                      <w:szCs w:val="21"/>
                      <w:u w:val="none"/>
                      <w:lang w:val="en-US" w:eastAsia="zh-CN" w:bidi="ar"/>
                    </w:rPr>
                    <w:t>，</w:t>
                  </w:r>
                  <w:r>
                    <w:rPr>
                      <w:rFonts w:hint="default" w:ascii="Times New Roman" w:hAnsi="Times New Roman" w:eastAsia="宋体" w:cs="Times New Roman"/>
                      <w:b w:val="0"/>
                      <w:bCs w:val="0"/>
                      <w:i w:val="0"/>
                      <w:iCs w:val="0"/>
                      <w:color w:val="auto"/>
                      <w:kern w:val="0"/>
                      <w:sz w:val="21"/>
                      <w:szCs w:val="21"/>
                      <w:u w:val="none"/>
                      <w:lang w:val="en-US" w:eastAsia="zh-CN" w:bidi="ar"/>
                    </w:rPr>
                    <w:t>火灾危险性为丙B类；遇明火、高热可燃</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542BB2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燃烧分解产物</w:t>
                  </w:r>
                </w:p>
              </w:tc>
              <w:tc>
                <w:tcPr>
                  <w:tcW w:w="2566" w:type="dxa"/>
                  <w:gridSpan w:val="2"/>
                  <w:tcBorders>
                    <w:top w:val="single" w:color="000000" w:sz="4" w:space="0"/>
                    <w:left w:val="single" w:color="000000" w:sz="4" w:space="0"/>
                    <w:bottom w:val="single" w:color="000000" w:sz="4" w:space="0"/>
                    <w:right w:val="single" w:color="000000" w:sz="4" w:space="0"/>
                  </w:tcBorders>
                  <w:noWrap w:val="0"/>
                  <w:vAlign w:val="center"/>
                </w:tcPr>
                <w:p w14:paraId="6C1394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CO、CO₂等有毒有害气体</w:t>
                  </w:r>
                </w:p>
              </w:tc>
            </w:tr>
            <w:tr w14:paraId="77D55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536"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162A2D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7375A1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稳定性</w:t>
                  </w:r>
                </w:p>
              </w:tc>
              <w:tc>
                <w:tcPr>
                  <w:tcW w:w="2698" w:type="dxa"/>
                  <w:gridSpan w:val="2"/>
                  <w:tcBorders>
                    <w:top w:val="single" w:color="000000" w:sz="4" w:space="0"/>
                    <w:left w:val="single" w:color="000000" w:sz="4" w:space="0"/>
                    <w:bottom w:val="single" w:color="000000" w:sz="4" w:space="0"/>
                    <w:right w:val="single" w:color="000000" w:sz="4" w:space="0"/>
                  </w:tcBorders>
                  <w:noWrap w:val="0"/>
                  <w:vAlign w:val="center"/>
                </w:tcPr>
                <w:p w14:paraId="436319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稳定</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2DFA2E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禁忌物</w:t>
                  </w:r>
                </w:p>
              </w:tc>
              <w:tc>
                <w:tcPr>
                  <w:tcW w:w="2566" w:type="dxa"/>
                  <w:gridSpan w:val="2"/>
                  <w:tcBorders>
                    <w:top w:val="single" w:color="000000" w:sz="4" w:space="0"/>
                    <w:left w:val="single" w:color="000000" w:sz="4" w:space="0"/>
                    <w:bottom w:val="single" w:color="000000" w:sz="4" w:space="0"/>
                    <w:right w:val="single" w:color="000000" w:sz="4" w:space="0"/>
                  </w:tcBorders>
                  <w:noWrap w:val="0"/>
                  <w:vAlign w:val="center"/>
                </w:tcPr>
                <w:p w14:paraId="094AB7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硝酸等强氧化剂</w:t>
                  </w:r>
                </w:p>
              </w:tc>
            </w:tr>
            <w:tr w14:paraId="5AE3E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536" w:type="dxa"/>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14:paraId="4F268B0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val="0"/>
                      <w:i w:val="0"/>
                      <w:iCs w:val="0"/>
                      <w:color w:val="auto"/>
                      <w:sz w:val="21"/>
                      <w:szCs w:val="21"/>
                      <w:u w:val="none"/>
                    </w:rPr>
                  </w:pPr>
                </w:p>
              </w:tc>
              <w:tc>
                <w:tcPr>
                  <w:tcW w:w="1357" w:type="dxa"/>
                  <w:tcBorders>
                    <w:top w:val="single" w:color="000000" w:sz="4" w:space="0"/>
                    <w:left w:val="single" w:color="000000" w:sz="4" w:space="0"/>
                    <w:bottom w:val="single" w:color="000000" w:sz="4" w:space="0"/>
                    <w:right w:val="single" w:color="000000" w:sz="4" w:space="0"/>
                  </w:tcBorders>
                  <w:noWrap w:val="0"/>
                  <w:vAlign w:val="center"/>
                </w:tcPr>
                <w:p w14:paraId="7F7DE8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灭火方法</w:t>
                  </w:r>
                </w:p>
              </w:tc>
              <w:tc>
                <w:tcPr>
                  <w:tcW w:w="6378" w:type="dxa"/>
                  <w:gridSpan w:val="5"/>
                  <w:tcBorders>
                    <w:top w:val="single" w:color="000000" w:sz="4" w:space="0"/>
                    <w:left w:val="single" w:color="000000" w:sz="4" w:space="0"/>
                    <w:bottom w:val="single" w:color="000000" w:sz="4" w:space="0"/>
                    <w:right w:val="single" w:color="000000" w:sz="4" w:space="0"/>
                  </w:tcBorders>
                  <w:noWrap w:val="0"/>
                  <w:vAlign w:val="center"/>
                </w:tcPr>
                <w:p w14:paraId="09C3F7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kern w:val="0"/>
                      <w:sz w:val="21"/>
                      <w:szCs w:val="21"/>
                      <w:u w:val="none"/>
                      <w:lang w:val="en-US" w:eastAsia="zh-CN" w:bidi="ar"/>
                    </w:rPr>
                    <w:t>消防人员须佩戴防毒面具、穿全身消防服，在上风向灭火。尽可能将容器从火场移至空旷处。喷水保持火场容器冷却，直至灭火结束。处在火场中的容器若已变色或从安全泄压装置中产生声音，必须立即撤离。灭火剂：雾状水、泡沫、干粉、二氧化碳、</w:t>
                  </w:r>
                  <w:r>
                    <w:rPr>
                      <w:rFonts w:hint="eastAsia" w:ascii="Times New Roman" w:hAnsi="Times New Roman" w:eastAsia="宋体" w:cs="Times New Roman"/>
                      <w:b w:val="0"/>
                      <w:bCs w:val="0"/>
                      <w:i w:val="0"/>
                      <w:iCs w:val="0"/>
                      <w:color w:val="auto"/>
                      <w:kern w:val="0"/>
                      <w:sz w:val="21"/>
                      <w:szCs w:val="21"/>
                      <w:u w:val="none"/>
                      <w:lang w:val="en-US" w:eastAsia="zh-CN" w:bidi="ar"/>
                    </w:rPr>
                    <w:t>沙土</w:t>
                  </w:r>
                  <w:r>
                    <w:rPr>
                      <w:rFonts w:hint="default" w:ascii="Times New Roman" w:hAnsi="Times New Roman" w:eastAsia="宋体" w:cs="Times New Roman"/>
                      <w:b w:val="0"/>
                      <w:bCs w:val="0"/>
                      <w:i w:val="0"/>
                      <w:iCs w:val="0"/>
                      <w:color w:val="auto"/>
                      <w:kern w:val="0"/>
                      <w:sz w:val="21"/>
                      <w:szCs w:val="21"/>
                      <w:u w:val="none"/>
                      <w:lang w:val="en-US" w:eastAsia="zh-CN" w:bidi="ar"/>
                    </w:rPr>
                    <w:t xml:space="preserve"> 。</w:t>
                  </w:r>
                </w:p>
              </w:tc>
            </w:tr>
            <w:tr w14:paraId="6CA97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536" w:type="dxa"/>
                  <w:tcBorders>
                    <w:top w:val="single" w:color="000000" w:sz="4" w:space="0"/>
                    <w:left w:val="single" w:color="000000" w:sz="4" w:space="0"/>
                    <w:bottom w:val="single" w:color="000000" w:sz="4" w:space="0"/>
                    <w:right w:val="single" w:color="000000" w:sz="4" w:space="0"/>
                  </w:tcBorders>
                  <w:noWrap w:val="0"/>
                  <w:textDirection w:val="tbRlV"/>
                  <w:vAlign w:val="center"/>
                </w:tcPr>
                <w:p w14:paraId="47E4521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b w:val="0"/>
                      <w:bCs w:val="0"/>
                      <w:i w:val="0"/>
                      <w:iCs w:val="0"/>
                      <w:color w:val="auto"/>
                      <w:sz w:val="21"/>
                      <w:szCs w:val="21"/>
                      <w:u w:val="none"/>
                      <w:lang w:val="en-US" w:eastAsia="zh-CN"/>
                    </w:rPr>
                  </w:pPr>
                  <w:r>
                    <w:rPr>
                      <w:rFonts w:hint="eastAsia" w:ascii="Times New Roman" w:hAnsi="Times New Roman" w:eastAsia="宋体" w:cs="Times New Roman"/>
                      <w:b w:val="0"/>
                      <w:bCs w:val="0"/>
                      <w:i w:val="0"/>
                      <w:iCs w:val="0"/>
                      <w:color w:val="auto"/>
                      <w:sz w:val="21"/>
                      <w:szCs w:val="21"/>
                      <w:u w:val="none"/>
                      <w:lang w:val="en-US" w:eastAsia="zh-CN"/>
                    </w:rPr>
                    <w:t>健康危害</w:t>
                  </w:r>
                </w:p>
              </w:tc>
              <w:tc>
                <w:tcPr>
                  <w:tcW w:w="7735" w:type="dxa"/>
                  <w:gridSpan w:val="6"/>
                  <w:tcBorders>
                    <w:top w:val="single" w:color="000000" w:sz="4" w:space="0"/>
                    <w:left w:val="single" w:color="000000" w:sz="4" w:space="0"/>
                    <w:bottom w:val="single" w:color="000000" w:sz="4" w:space="0"/>
                    <w:right w:val="single" w:color="000000" w:sz="4" w:space="0"/>
                  </w:tcBorders>
                  <w:noWrap w:val="0"/>
                  <w:vAlign w:val="center"/>
                </w:tcPr>
                <w:p w14:paraId="1AB0E4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急性吸入，可出现乏力、头晕、头痛、恶心，严重者可引起油脂性肺炎。慢接触者，暴露部位可发生油性痤疮和</w:t>
                  </w:r>
                  <w:r>
                    <w:rPr>
                      <w:rFonts w:hint="eastAsia" w:ascii="Times New Roman" w:hAnsi="Times New Roman" w:eastAsia="宋体" w:cs="Times New Roman"/>
                      <w:b w:val="0"/>
                      <w:bCs w:val="0"/>
                      <w:i w:val="0"/>
                      <w:iCs w:val="0"/>
                      <w:color w:val="auto"/>
                      <w:kern w:val="0"/>
                      <w:sz w:val="21"/>
                      <w:szCs w:val="21"/>
                      <w:u w:val="none"/>
                      <w:lang w:val="en-US" w:eastAsia="zh-CN" w:bidi="ar"/>
                    </w:rPr>
                    <w:t>接触性皮炎</w:t>
                  </w:r>
                  <w:r>
                    <w:rPr>
                      <w:rFonts w:hint="default" w:ascii="Times New Roman" w:hAnsi="Times New Roman" w:eastAsia="宋体" w:cs="Times New Roman"/>
                      <w:b w:val="0"/>
                      <w:bCs w:val="0"/>
                      <w:i w:val="0"/>
                      <w:iCs w:val="0"/>
                      <w:color w:val="auto"/>
                      <w:kern w:val="0"/>
                      <w:sz w:val="21"/>
                      <w:szCs w:val="21"/>
                      <w:u w:val="none"/>
                      <w:lang w:val="en-US" w:eastAsia="zh-CN" w:bidi="ar"/>
                    </w:rPr>
                    <w:t>。可引发</w:t>
                  </w:r>
                  <w:r>
                    <w:rPr>
                      <w:rFonts w:hint="eastAsia" w:ascii="Times New Roman" w:hAnsi="Times New Roman" w:eastAsia="宋体" w:cs="Times New Roman"/>
                      <w:b w:val="0"/>
                      <w:bCs w:val="0"/>
                      <w:i w:val="0"/>
                      <w:iCs w:val="0"/>
                      <w:color w:val="auto"/>
                      <w:kern w:val="0"/>
                      <w:sz w:val="21"/>
                      <w:szCs w:val="21"/>
                      <w:u w:val="none"/>
                      <w:lang w:val="en-US" w:eastAsia="zh-CN" w:bidi="ar"/>
                    </w:rPr>
                    <w:t>神经衰弱综合征</w:t>
                  </w:r>
                  <w:r>
                    <w:rPr>
                      <w:rFonts w:hint="default" w:ascii="Times New Roman" w:hAnsi="Times New Roman" w:eastAsia="宋体" w:cs="Times New Roman"/>
                      <w:b w:val="0"/>
                      <w:bCs w:val="0"/>
                      <w:i w:val="0"/>
                      <w:iCs w:val="0"/>
                      <w:color w:val="auto"/>
                      <w:kern w:val="0"/>
                      <w:sz w:val="21"/>
                      <w:szCs w:val="21"/>
                      <w:u w:val="none"/>
                      <w:lang w:val="en-US" w:eastAsia="zh-CN" w:bidi="ar"/>
                    </w:rPr>
                    <w:t>，呼吸道和眼刺激症状及慢性油脂性</w:t>
                  </w:r>
                  <w:r>
                    <w:rPr>
                      <w:rFonts w:hint="eastAsia" w:ascii="Times New Roman" w:hAnsi="Times New Roman" w:eastAsia="宋体" w:cs="Times New Roman"/>
                      <w:b w:val="0"/>
                      <w:bCs w:val="0"/>
                      <w:i w:val="0"/>
                      <w:iCs w:val="0"/>
                      <w:color w:val="auto"/>
                      <w:kern w:val="0"/>
                      <w:sz w:val="21"/>
                      <w:szCs w:val="21"/>
                      <w:u w:val="none"/>
                      <w:lang w:val="en-US" w:eastAsia="zh-CN" w:bidi="ar"/>
                    </w:rPr>
                    <w:t>肺炎</w:t>
                  </w:r>
                  <w:r>
                    <w:rPr>
                      <w:rFonts w:hint="default" w:ascii="Times New Roman" w:hAnsi="Times New Roman" w:eastAsia="宋体" w:cs="Times New Roman"/>
                      <w:b w:val="0"/>
                      <w:bCs w:val="0"/>
                      <w:i w:val="0"/>
                      <w:iCs w:val="0"/>
                      <w:color w:val="auto"/>
                      <w:kern w:val="0"/>
                      <w:sz w:val="21"/>
                      <w:szCs w:val="21"/>
                      <w:u w:val="none"/>
                      <w:lang w:val="en-US" w:eastAsia="zh-CN" w:bidi="ar"/>
                    </w:rPr>
                    <w:t>。</w:t>
                  </w:r>
                </w:p>
              </w:tc>
            </w:tr>
            <w:tr w14:paraId="1B8A2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536" w:type="dxa"/>
                  <w:tcBorders>
                    <w:top w:val="single" w:color="000000" w:sz="4" w:space="0"/>
                    <w:left w:val="single" w:color="000000" w:sz="4" w:space="0"/>
                    <w:bottom w:val="single" w:color="000000" w:sz="4" w:space="0"/>
                    <w:right w:val="single" w:color="000000" w:sz="4" w:space="0"/>
                  </w:tcBorders>
                  <w:noWrap w:val="0"/>
                  <w:textDirection w:val="tbRlV"/>
                  <w:vAlign w:val="center"/>
                </w:tcPr>
                <w:p w14:paraId="5066AE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val="0"/>
                      <w:i w:val="0"/>
                      <w:iCs w:val="0"/>
                      <w:color w:val="auto"/>
                      <w:sz w:val="21"/>
                      <w:szCs w:val="21"/>
                      <w:u w:val="none"/>
                      <w:lang w:val="en-US" w:eastAsia="zh-CN"/>
                    </w:rPr>
                  </w:pPr>
                  <w:r>
                    <w:rPr>
                      <w:rFonts w:hint="eastAsia" w:ascii="Times New Roman" w:hAnsi="Times New Roman" w:eastAsia="宋体" w:cs="Times New Roman"/>
                      <w:b w:val="0"/>
                      <w:bCs w:val="0"/>
                      <w:i w:val="0"/>
                      <w:iCs w:val="0"/>
                      <w:color w:val="auto"/>
                      <w:sz w:val="21"/>
                      <w:szCs w:val="21"/>
                      <w:u w:val="none"/>
                      <w:lang w:val="en-US" w:eastAsia="zh-CN"/>
                    </w:rPr>
                    <w:t>急救措施</w:t>
                  </w:r>
                </w:p>
              </w:tc>
              <w:tc>
                <w:tcPr>
                  <w:tcW w:w="7735" w:type="dxa"/>
                  <w:gridSpan w:val="6"/>
                  <w:tcBorders>
                    <w:top w:val="single" w:color="000000" w:sz="4" w:space="0"/>
                    <w:left w:val="single" w:color="000000" w:sz="4" w:space="0"/>
                    <w:bottom w:val="single" w:color="000000" w:sz="4" w:space="0"/>
                    <w:right w:val="single" w:color="000000" w:sz="4" w:space="0"/>
                  </w:tcBorders>
                  <w:noWrap w:val="0"/>
                  <w:vAlign w:val="center"/>
                </w:tcPr>
                <w:p w14:paraId="608804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皮肤接触：脱去污染的衣着，用大量流动清水清洗。就医。</w:t>
                  </w:r>
                </w:p>
                <w:p w14:paraId="5139A6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眼接触：提起眼睑，用流动清水或生理盐水冲洗。就医。</w:t>
                  </w:r>
                </w:p>
                <w:p w14:paraId="78C597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吸入：迅速脱离现场至空气新鲜处，保持呼吸畅通。如呼吸困难，给输氧。如呼吸停止，立即进行人工呼吸。就医。</w:t>
                  </w:r>
                </w:p>
                <w:p w14:paraId="38C0AC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食用：饮适量温水，催吐，就医。</w:t>
                  </w:r>
                </w:p>
              </w:tc>
            </w:tr>
            <w:tr w14:paraId="290B7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536" w:type="dxa"/>
                  <w:tcBorders>
                    <w:top w:val="single" w:color="000000" w:sz="4" w:space="0"/>
                    <w:left w:val="single" w:color="000000" w:sz="4" w:space="0"/>
                    <w:bottom w:val="single" w:color="000000" w:sz="4" w:space="0"/>
                    <w:right w:val="single" w:color="000000" w:sz="4" w:space="0"/>
                  </w:tcBorders>
                  <w:noWrap w:val="0"/>
                  <w:textDirection w:val="tbRlV"/>
                  <w:vAlign w:val="center"/>
                </w:tcPr>
                <w:p w14:paraId="0FEB8C2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val="0"/>
                      <w:i w:val="0"/>
                      <w:iCs w:val="0"/>
                      <w:color w:val="auto"/>
                      <w:sz w:val="21"/>
                      <w:szCs w:val="21"/>
                      <w:u w:val="none"/>
                      <w:lang w:val="en-US" w:eastAsia="zh-CN"/>
                    </w:rPr>
                  </w:pPr>
                  <w:r>
                    <w:rPr>
                      <w:rFonts w:hint="eastAsia" w:ascii="Times New Roman" w:hAnsi="Times New Roman" w:eastAsia="宋体" w:cs="Times New Roman"/>
                      <w:b w:val="0"/>
                      <w:bCs w:val="0"/>
                      <w:i w:val="0"/>
                      <w:iCs w:val="0"/>
                      <w:color w:val="auto"/>
                      <w:sz w:val="21"/>
                      <w:szCs w:val="21"/>
                      <w:u w:val="none"/>
                      <w:lang w:val="en-US" w:eastAsia="zh-CN"/>
                    </w:rPr>
                    <w:t>防护处理</w:t>
                  </w:r>
                </w:p>
              </w:tc>
              <w:tc>
                <w:tcPr>
                  <w:tcW w:w="7735" w:type="dxa"/>
                  <w:gridSpan w:val="6"/>
                  <w:tcBorders>
                    <w:top w:val="single" w:color="000000" w:sz="4" w:space="0"/>
                    <w:left w:val="single" w:color="000000" w:sz="4" w:space="0"/>
                    <w:bottom w:val="single" w:color="000000" w:sz="4" w:space="0"/>
                    <w:right w:val="single" w:color="000000" w:sz="4" w:space="0"/>
                  </w:tcBorders>
                  <w:noWrap w:val="0"/>
                  <w:vAlign w:val="center"/>
                </w:tcPr>
                <w:p w14:paraId="258DA2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呼吸系统防护：空气中浓度超标时，必须佩戴自吸过滤式防毒面具(半面罩)</w:t>
                  </w:r>
                  <w:r>
                    <w:rPr>
                      <w:rFonts w:hint="eastAsia" w:ascii="Times New Roman" w:hAnsi="Times New Roman" w:eastAsia="宋体" w:cs="Times New Roman"/>
                      <w:b w:val="0"/>
                      <w:bCs w:val="0"/>
                      <w:i w:val="0"/>
                      <w:iCs w:val="0"/>
                      <w:color w:val="auto"/>
                      <w:kern w:val="0"/>
                      <w:sz w:val="21"/>
                      <w:szCs w:val="21"/>
                      <w:u w:val="none"/>
                      <w:lang w:val="en-US" w:eastAsia="zh-CN" w:bidi="ar"/>
                    </w:rPr>
                    <w:t>；</w:t>
                  </w:r>
                  <w:r>
                    <w:rPr>
                      <w:rFonts w:hint="default" w:ascii="Times New Roman" w:hAnsi="Times New Roman" w:eastAsia="宋体" w:cs="Times New Roman"/>
                      <w:b w:val="0"/>
                      <w:bCs w:val="0"/>
                      <w:i w:val="0"/>
                      <w:iCs w:val="0"/>
                      <w:color w:val="auto"/>
                      <w:kern w:val="0"/>
                      <w:sz w:val="21"/>
                      <w:szCs w:val="21"/>
                      <w:u w:val="none"/>
                      <w:lang w:val="en-US" w:eastAsia="zh-CN" w:bidi="ar"/>
                    </w:rPr>
                    <w:t>紧急事态抢救或撤离时，应佩戴空气呼吸器</w:t>
                  </w:r>
                  <w:r>
                    <w:rPr>
                      <w:rFonts w:hint="eastAsia" w:ascii="Times New Roman" w:hAnsi="Times New Roman" w:eastAsia="宋体" w:cs="Times New Roman"/>
                      <w:b w:val="0"/>
                      <w:bCs w:val="0"/>
                      <w:i w:val="0"/>
                      <w:iCs w:val="0"/>
                      <w:color w:val="auto"/>
                      <w:kern w:val="0"/>
                      <w:sz w:val="21"/>
                      <w:szCs w:val="21"/>
                      <w:u w:val="none"/>
                      <w:lang w:val="en-US" w:eastAsia="zh-CN" w:bidi="ar"/>
                    </w:rPr>
                    <w:t>。</w:t>
                  </w:r>
                </w:p>
                <w:p w14:paraId="1DE03F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眼睛防护：戴化学安全防护眼镜。</w:t>
                  </w:r>
                </w:p>
                <w:p w14:paraId="12D4C0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身体防护：穿防毒渗透工作服。</w:t>
                  </w:r>
                </w:p>
                <w:p w14:paraId="60B0C0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手防护：戴橡胶耐油手套。</w:t>
                  </w:r>
                </w:p>
                <w:p w14:paraId="0C8227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其他：工作现场严禁吸烟，避免长期反复接触。</w:t>
                  </w:r>
                </w:p>
              </w:tc>
            </w:tr>
            <w:tr w14:paraId="6D38E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536" w:type="dxa"/>
                  <w:tcBorders>
                    <w:top w:val="single" w:color="000000" w:sz="4" w:space="0"/>
                    <w:left w:val="single" w:color="000000" w:sz="4" w:space="0"/>
                    <w:bottom w:val="single" w:color="000000" w:sz="4" w:space="0"/>
                    <w:right w:val="single" w:color="000000" w:sz="4" w:space="0"/>
                  </w:tcBorders>
                  <w:noWrap w:val="0"/>
                  <w:textDirection w:val="tbRlV"/>
                  <w:vAlign w:val="center"/>
                </w:tcPr>
                <w:p w14:paraId="114FB4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val="0"/>
                      <w:i w:val="0"/>
                      <w:iCs w:val="0"/>
                      <w:color w:val="auto"/>
                      <w:sz w:val="21"/>
                      <w:szCs w:val="21"/>
                      <w:u w:val="none"/>
                      <w:lang w:val="en-US" w:eastAsia="zh-CN"/>
                    </w:rPr>
                  </w:pPr>
                  <w:r>
                    <w:rPr>
                      <w:rFonts w:hint="eastAsia" w:ascii="Times New Roman" w:hAnsi="Times New Roman" w:eastAsia="宋体" w:cs="Times New Roman"/>
                      <w:b w:val="0"/>
                      <w:bCs w:val="0"/>
                      <w:i w:val="0"/>
                      <w:iCs w:val="0"/>
                      <w:color w:val="auto"/>
                      <w:sz w:val="21"/>
                      <w:szCs w:val="21"/>
                      <w:u w:val="none"/>
                      <w:lang w:val="en-US" w:eastAsia="zh-CN"/>
                    </w:rPr>
                    <w:t>泄漏处理</w:t>
                  </w:r>
                </w:p>
              </w:tc>
              <w:tc>
                <w:tcPr>
                  <w:tcW w:w="7735" w:type="dxa"/>
                  <w:gridSpan w:val="6"/>
                  <w:tcBorders>
                    <w:top w:val="single" w:color="000000" w:sz="4" w:space="0"/>
                    <w:left w:val="single" w:color="000000" w:sz="4" w:space="0"/>
                    <w:bottom w:val="single" w:color="000000" w:sz="4" w:space="0"/>
                    <w:right w:val="single" w:color="000000" w:sz="4" w:space="0"/>
                  </w:tcBorders>
                  <w:noWrap w:val="0"/>
                  <w:vAlign w:val="center"/>
                </w:tcPr>
                <w:p w14:paraId="62FEF3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迅速撤离泄漏污染区人员至安全区，并进行隔离，严格限制出入。切断火源。建议应急处理人员戴自给</w:t>
                  </w:r>
                  <w:r>
                    <w:rPr>
                      <w:rFonts w:hint="eastAsia" w:ascii="Times New Roman" w:hAnsi="Times New Roman" w:eastAsia="宋体" w:cs="Times New Roman"/>
                      <w:b w:val="0"/>
                      <w:bCs w:val="0"/>
                      <w:i w:val="0"/>
                      <w:iCs w:val="0"/>
                      <w:color w:val="auto"/>
                      <w:kern w:val="0"/>
                      <w:sz w:val="21"/>
                      <w:szCs w:val="21"/>
                      <w:u w:val="none"/>
                      <w:lang w:val="en-US" w:eastAsia="zh-CN" w:bidi="ar"/>
                    </w:rPr>
                    <w:t>式</w:t>
                  </w:r>
                  <w:r>
                    <w:rPr>
                      <w:rFonts w:hint="default" w:ascii="Times New Roman" w:hAnsi="Times New Roman" w:eastAsia="宋体" w:cs="Times New Roman"/>
                      <w:b w:val="0"/>
                      <w:bCs w:val="0"/>
                      <w:i w:val="0"/>
                      <w:iCs w:val="0"/>
                      <w:color w:val="auto"/>
                      <w:kern w:val="0"/>
                      <w:sz w:val="21"/>
                      <w:szCs w:val="21"/>
                      <w:u w:val="none"/>
                      <w:lang w:val="en-US" w:eastAsia="zh-CN" w:bidi="ar"/>
                    </w:rPr>
                    <w:t>呼吸器，穿防毒服。尽可能切断泄漏源。防止流入下水道、排洪沟等限制性空间。小量泄漏：用砂土或其他不燃材料吸附或吸收，减少挥发。大量泄漏：构筑围堤或挖坑收容。用泵转移至槽车或专用收集器内，回收或运至废物处理场所处置</w:t>
                  </w:r>
                  <w:r>
                    <w:rPr>
                      <w:rFonts w:hint="eastAsia" w:ascii="Times New Roman" w:hAnsi="Times New Roman" w:eastAsia="宋体" w:cs="Times New Roman"/>
                      <w:b w:val="0"/>
                      <w:bCs w:val="0"/>
                      <w:i w:val="0"/>
                      <w:iCs w:val="0"/>
                      <w:color w:val="auto"/>
                      <w:kern w:val="0"/>
                      <w:sz w:val="21"/>
                      <w:szCs w:val="21"/>
                      <w:u w:val="none"/>
                      <w:lang w:val="en-US" w:eastAsia="zh-CN" w:bidi="ar"/>
                    </w:rPr>
                    <w:t>。</w:t>
                  </w:r>
                </w:p>
              </w:tc>
            </w:tr>
            <w:tr w14:paraId="7433E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536" w:type="dxa"/>
                  <w:tcBorders>
                    <w:top w:val="single" w:color="000000" w:sz="4" w:space="0"/>
                    <w:left w:val="single" w:color="000000" w:sz="4" w:space="0"/>
                    <w:bottom w:val="single" w:color="000000" w:sz="4" w:space="0"/>
                    <w:right w:val="single" w:color="000000" w:sz="4" w:space="0"/>
                  </w:tcBorders>
                  <w:noWrap w:val="0"/>
                  <w:textDirection w:val="tbRlV"/>
                  <w:vAlign w:val="center"/>
                </w:tcPr>
                <w:p w14:paraId="23B470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val="0"/>
                      <w:i w:val="0"/>
                      <w:iCs w:val="0"/>
                      <w:color w:val="auto"/>
                      <w:sz w:val="21"/>
                      <w:szCs w:val="21"/>
                      <w:u w:val="none"/>
                      <w:lang w:val="en-US" w:eastAsia="zh-CN"/>
                    </w:rPr>
                  </w:pPr>
                  <w:r>
                    <w:rPr>
                      <w:rFonts w:hint="eastAsia" w:ascii="Times New Roman" w:hAnsi="Times New Roman" w:eastAsia="宋体" w:cs="Times New Roman"/>
                      <w:b w:val="0"/>
                      <w:bCs w:val="0"/>
                      <w:i w:val="0"/>
                      <w:iCs w:val="0"/>
                      <w:color w:val="auto"/>
                      <w:sz w:val="21"/>
                      <w:szCs w:val="21"/>
                      <w:u w:val="none"/>
                      <w:lang w:val="en-US" w:eastAsia="zh-CN"/>
                    </w:rPr>
                    <w:t>储存要求</w:t>
                  </w:r>
                </w:p>
              </w:tc>
              <w:tc>
                <w:tcPr>
                  <w:tcW w:w="7735" w:type="dxa"/>
                  <w:gridSpan w:val="6"/>
                  <w:tcBorders>
                    <w:top w:val="single" w:color="000000" w:sz="4" w:space="0"/>
                    <w:left w:val="single" w:color="000000" w:sz="4" w:space="0"/>
                    <w:bottom w:val="single" w:color="000000" w:sz="4" w:space="0"/>
                    <w:right w:val="single" w:color="000000" w:sz="4" w:space="0"/>
                  </w:tcBorders>
                  <w:noWrap w:val="0"/>
                  <w:vAlign w:val="center"/>
                </w:tcPr>
                <w:p w14:paraId="384BA7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储存于阴凉、通风的库房。远离火种、热源。应与氧化剂分开存放，切忌混储。配备相应品种和数量的消防器材。储区应备有泄漏应急处理设备和合适的收容材料。</w:t>
                  </w:r>
                </w:p>
              </w:tc>
            </w:tr>
            <w:tr w14:paraId="51F9D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536" w:type="dxa"/>
                  <w:tcBorders>
                    <w:top w:val="single" w:color="000000" w:sz="4" w:space="0"/>
                    <w:left w:val="single" w:color="000000" w:sz="4" w:space="0"/>
                    <w:bottom w:val="single" w:color="000000" w:sz="4" w:space="0"/>
                    <w:right w:val="single" w:color="000000" w:sz="4" w:space="0"/>
                  </w:tcBorders>
                  <w:noWrap w:val="0"/>
                  <w:textDirection w:val="tbRlV"/>
                  <w:vAlign w:val="center"/>
                </w:tcPr>
                <w:p w14:paraId="715281E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b w:val="0"/>
                      <w:bCs w:val="0"/>
                      <w:i w:val="0"/>
                      <w:iCs w:val="0"/>
                      <w:color w:val="auto"/>
                      <w:sz w:val="21"/>
                      <w:szCs w:val="21"/>
                      <w:u w:val="none"/>
                      <w:lang w:val="en-US" w:eastAsia="zh-CN"/>
                    </w:rPr>
                  </w:pPr>
                  <w:r>
                    <w:rPr>
                      <w:rFonts w:hint="eastAsia" w:ascii="Times New Roman" w:hAnsi="Times New Roman" w:eastAsia="宋体" w:cs="Times New Roman"/>
                      <w:b w:val="0"/>
                      <w:bCs w:val="0"/>
                      <w:i w:val="0"/>
                      <w:iCs w:val="0"/>
                      <w:color w:val="auto"/>
                      <w:sz w:val="21"/>
                      <w:szCs w:val="21"/>
                      <w:u w:val="none"/>
                      <w:lang w:val="en-US" w:eastAsia="zh-CN"/>
                    </w:rPr>
                    <w:t>运输要求</w:t>
                  </w:r>
                </w:p>
              </w:tc>
              <w:tc>
                <w:tcPr>
                  <w:tcW w:w="7735" w:type="dxa"/>
                  <w:gridSpan w:val="6"/>
                  <w:tcBorders>
                    <w:top w:val="single" w:color="000000" w:sz="4" w:space="0"/>
                    <w:left w:val="single" w:color="000000" w:sz="4" w:space="0"/>
                    <w:bottom w:val="single" w:color="000000" w:sz="4" w:space="0"/>
                    <w:right w:val="single" w:color="000000" w:sz="4" w:space="0"/>
                  </w:tcBorders>
                  <w:noWrap w:val="0"/>
                  <w:vAlign w:val="center"/>
                </w:tcPr>
                <w:p w14:paraId="4733D4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用油罐、油罐车、油船、铁桶、塑料桶等盛装，盛装时切不可装满</w:t>
                  </w:r>
                  <w:r>
                    <w:rPr>
                      <w:rFonts w:hint="eastAsia" w:ascii="Times New Roman" w:hAnsi="Times New Roman" w:eastAsia="宋体" w:cs="Times New Roman"/>
                      <w:b w:val="0"/>
                      <w:bCs w:val="0"/>
                      <w:i w:val="0"/>
                      <w:iCs w:val="0"/>
                      <w:color w:val="auto"/>
                      <w:kern w:val="0"/>
                      <w:sz w:val="21"/>
                      <w:szCs w:val="21"/>
                      <w:u w:val="none"/>
                      <w:lang w:val="en-US" w:eastAsia="zh-CN" w:bidi="ar"/>
                    </w:rPr>
                    <w:t>，</w:t>
                  </w:r>
                  <w:r>
                    <w:rPr>
                      <w:rFonts w:hint="default" w:ascii="Times New Roman" w:hAnsi="Times New Roman" w:eastAsia="宋体" w:cs="Times New Roman"/>
                      <w:b w:val="0"/>
                      <w:bCs w:val="0"/>
                      <w:i w:val="0"/>
                      <w:iCs w:val="0"/>
                      <w:color w:val="auto"/>
                      <w:kern w:val="0"/>
                      <w:sz w:val="21"/>
                      <w:szCs w:val="21"/>
                      <w:u w:val="none"/>
                      <w:lang w:val="en-US" w:eastAsia="zh-CN" w:bidi="ar"/>
                    </w:rPr>
                    <w:t>要</w:t>
                  </w:r>
                  <w:r>
                    <w:rPr>
                      <w:rFonts w:hint="eastAsia" w:ascii="Times New Roman" w:hAnsi="Times New Roman" w:eastAsia="宋体" w:cs="Times New Roman"/>
                      <w:b w:val="0"/>
                      <w:bCs w:val="0"/>
                      <w:i w:val="0"/>
                      <w:iCs w:val="0"/>
                      <w:color w:val="auto"/>
                      <w:kern w:val="0"/>
                      <w:sz w:val="21"/>
                      <w:szCs w:val="21"/>
                      <w:u w:val="none"/>
                      <w:lang w:val="en-US" w:eastAsia="zh-CN" w:bidi="ar"/>
                    </w:rPr>
                    <w:t>留出</w:t>
                  </w:r>
                  <w:r>
                    <w:rPr>
                      <w:rFonts w:hint="default" w:ascii="Times New Roman" w:hAnsi="Times New Roman" w:eastAsia="宋体" w:cs="Times New Roman"/>
                      <w:b w:val="0"/>
                      <w:bCs w:val="0"/>
                      <w:i w:val="0"/>
                      <w:iCs w:val="0"/>
                      <w:color w:val="auto"/>
                      <w:kern w:val="0"/>
                      <w:sz w:val="21"/>
                      <w:szCs w:val="21"/>
                      <w:u w:val="none"/>
                      <w:lang w:val="en-US" w:eastAsia="zh-CN" w:bidi="ar"/>
                    </w:rPr>
                    <w:t>必要的安全空间。运输前应先检查包装容器</w:t>
                  </w:r>
                  <w:r>
                    <w:rPr>
                      <w:rFonts w:hint="eastAsia" w:ascii="Times New Roman" w:hAnsi="Times New Roman" w:eastAsia="宋体" w:cs="Times New Roman"/>
                      <w:b w:val="0"/>
                      <w:bCs w:val="0"/>
                      <w:i w:val="0"/>
                      <w:iCs w:val="0"/>
                      <w:color w:val="auto"/>
                      <w:kern w:val="0"/>
                      <w:sz w:val="21"/>
                      <w:szCs w:val="21"/>
                      <w:u w:val="none"/>
                      <w:lang w:val="en-US" w:eastAsia="zh-CN" w:bidi="ar"/>
                    </w:rPr>
                    <w:t>是否</w:t>
                  </w:r>
                  <w:r>
                    <w:rPr>
                      <w:rFonts w:hint="default" w:ascii="Times New Roman" w:hAnsi="Times New Roman" w:eastAsia="宋体" w:cs="Times New Roman"/>
                      <w:b w:val="0"/>
                      <w:bCs w:val="0"/>
                      <w:i w:val="0"/>
                      <w:iCs w:val="0"/>
                      <w:color w:val="auto"/>
                      <w:kern w:val="0"/>
                      <w:sz w:val="21"/>
                      <w:szCs w:val="21"/>
                      <w:u w:val="none"/>
                      <w:lang w:val="en-US" w:eastAsia="zh-CN" w:bidi="ar"/>
                    </w:rPr>
                    <w:t>完整、密封，运输过程中要确保容器不泄露、不倒塌、不坠落、不损坏。严禁与氧化剂、食用化学品等混装混运。运输车船必须彻底清洗、消毒，否则不得装运其它物品。船运时，配装位置应远离卧室、厨房，并与机舵、电源、火源等部位隔离。</w:t>
                  </w:r>
                  <w:r>
                    <w:rPr>
                      <w:rFonts w:hint="eastAsia" w:ascii="Times New Roman" w:hAnsi="Times New Roman" w:eastAsia="宋体" w:cs="Times New Roman"/>
                      <w:b w:val="0"/>
                      <w:bCs w:val="0"/>
                      <w:i w:val="0"/>
                      <w:iCs w:val="0"/>
                      <w:color w:val="auto"/>
                      <w:kern w:val="0"/>
                      <w:sz w:val="21"/>
                      <w:szCs w:val="21"/>
                      <w:u w:val="none"/>
                      <w:lang w:val="en-US" w:eastAsia="zh-CN" w:bidi="ar"/>
                    </w:rPr>
                    <w:t>公</w:t>
                  </w:r>
                  <w:r>
                    <w:rPr>
                      <w:rFonts w:hint="default" w:ascii="Times New Roman" w:hAnsi="Times New Roman" w:eastAsia="宋体" w:cs="Times New Roman"/>
                      <w:b w:val="0"/>
                      <w:bCs w:val="0"/>
                      <w:i w:val="0"/>
                      <w:iCs w:val="0"/>
                      <w:color w:val="auto"/>
                      <w:kern w:val="0"/>
                      <w:sz w:val="21"/>
                      <w:szCs w:val="21"/>
                      <w:u w:val="none"/>
                      <w:lang w:val="en-US" w:eastAsia="zh-CN" w:bidi="ar"/>
                    </w:rPr>
                    <w:t>路运输时要按规定路线行驶。</w:t>
                  </w:r>
                </w:p>
              </w:tc>
            </w:tr>
          </w:tbl>
          <w:p w14:paraId="7B0249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4"/>
                <w:szCs w:val="24"/>
                <w:highlight w:val="none"/>
                <w:lang w:eastAsia="zh-CN"/>
              </w:rPr>
            </w:pPr>
            <w:r>
              <w:rPr>
                <w:rFonts w:hint="default" w:ascii="Times New Roman" w:hAnsi="Times New Roman" w:eastAsia="宋体" w:cs="Times New Roman"/>
                <w:b/>
                <w:bCs/>
                <w:color w:val="auto"/>
                <w:sz w:val="21"/>
                <w:szCs w:val="24"/>
                <w:highlight w:val="none"/>
              </w:rPr>
              <w:t>表</w:t>
            </w:r>
            <w:r>
              <w:rPr>
                <w:rFonts w:hint="default" w:ascii="Times New Roman" w:hAnsi="Times New Roman" w:eastAsia="宋体" w:cs="Times New Roman"/>
                <w:b/>
                <w:bCs/>
                <w:color w:val="auto"/>
                <w:sz w:val="21"/>
                <w:szCs w:val="24"/>
                <w:highlight w:val="none"/>
                <w:lang w:val="en-US" w:eastAsia="zh-CN"/>
              </w:rPr>
              <w:t>4-</w:t>
            </w:r>
            <w:r>
              <w:rPr>
                <w:rFonts w:hint="eastAsia" w:cs="Times New Roman"/>
                <w:b/>
                <w:bCs/>
                <w:color w:val="auto"/>
                <w:sz w:val="21"/>
                <w:szCs w:val="24"/>
                <w:highlight w:val="none"/>
                <w:lang w:val="en-US" w:eastAsia="zh-CN"/>
              </w:rPr>
              <w:t xml:space="preserve">19 </w:t>
            </w:r>
            <w:r>
              <w:rPr>
                <w:rFonts w:hint="eastAsia" w:ascii="Times New Roman" w:hAnsi="Times New Roman" w:eastAsia="宋体" w:cs="Times New Roman"/>
                <w:b/>
                <w:bCs/>
                <w:color w:val="auto"/>
                <w:sz w:val="21"/>
                <w:szCs w:val="24"/>
                <w:highlight w:val="none"/>
                <w:lang w:val="en-US" w:eastAsia="zh-CN"/>
              </w:rPr>
              <w:t>废</w:t>
            </w:r>
            <w:r>
              <w:rPr>
                <w:rFonts w:hint="eastAsia" w:cs="Times New Roman"/>
                <w:b/>
                <w:bCs/>
                <w:color w:val="auto"/>
                <w:sz w:val="21"/>
                <w:szCs w:val="24"/>
                <w:highlight w:val="none"/>
                <w:lang w:val="en-US" w:eastAsia="zh-CN"/>
              </w:rPr>
              <w:t>润滑油</w:t>
            </w:r>
            <w:r>
              <w:rPr>
                <w:rFonts w:hint="default" w:ascii="Times New Roman" w:hAnsi="Times New Roman" w:eastAsia="宋体" w:cs="Times New Roman"/>
                <w:b/>
                <w:bCs/>
                <w:color w:val="auto"/>
                <w:sz w:val="21"/>
                <w:szCs w:val="24"/>
                <w:highlight w:val="none"/>
              </w:rPr>
              <w:t>理化性质</w:t>
            </w:r>
            <w:r>
              <w:rPr>
                <w:rFonts w:hint="eastAsia" w:ascii="Times New Roman" w:hAnsi="Times New Roman" w:eastAsia="宋体" w:cs="Times New Roman"/>
                <w:b/>
                <w:bCs/>
                <w:color w:val="auto"/>
                <w:sz w:val="21"/>
                <w:szCs w:val="24"/>
                <w:highlight w:val="none"/>
                <w:lang w:eastAsia="zh-CN"/>
              </w:rPr>
              <w:t>一览表</w:t>
            </w:r>
          </w:p>
          <w:p w14:paraId="4B82E515">
            <w:pPr>
              <w:keepNext w:val="0"/>
              <w:keepLines w:val="0"/>
              <w:pageBreakBefore w:val="0"/>
              <w:widowControl w:val="0"/>
              <w:kinsoku/>
              <w:wordWrap/>
              <w:overflowPunct/>
              <w:topLinePunct w:val="0"/>
              <w:bidi w:val="0"/>
              <w:adjustRightInd/>
              <w:snapToGrid/>
              <w:spacing w:line="420" w:lineRule="exact"/>
              <w:ind w:firstLine="480" w:firstLineChars="200"/>
              <w:textAlignment w:val="auto"/>
              <w:rPr>
                <w:rFonts w:hint="default" w:ascii="Times New Roman" w:hAnsi="Times New Roman" w:eastAsia="宋体" w:cs="Times New Roman"/>
                <w:b w:val="0"/>
                <w:bCs w:val="0"/>
                <w:color w:val="auto"/>
                <w:sz w:val="24"/>
                <w:szCs w:val="24"/>
                <w:highlight w:val="none"/>
                <w:lang w:eastAsia="zh-CN"/>
              </w:rPr>
            </w:pPr>
          </w:p>
          <w:p w14:paraId="362D7E87">
            <w:pPr>
              <w:keepNext w:val="0"/>
              <w:keepLines w:val="0"/>
              <w:pageBreakBefore w:val="0"/>
              <w:widowControl w:val="0"/>
              <w:kinsoku/>
              <w:wordWrap/>
              <w:overflowPunct/>
              <w:topLinePunct w:val="0"/>
              <w:bidi w:val="0"/>
              <w:adjustRightInd/>
              <w:snapToGrid/>
              <w:spacing w:line="420" w:lineRule="exact"/>
              <w:ind w:firstLine="480" w:firstLineChars="200"/>
              <w:textAlignment w:val="auto"/>
              <w:rPr>
                <w:rFonts w:hint="default" w:ascii="Times New Roman" w:hAnsi="Times New Roman" w:eastAsia="宋体" w:cs="Times New Roman"/>
                <w:b w:val="0"/>
                <w:bCs w:val="0"/>
                <w:color w:val="auto"/>
                <w:sz w:val="24"/>
                <w:szCs w:val="24"/>
                <w:highlight w:val="none"/>
                <w:lang w:eastAsia="zh-CN"/>
              </w:rPr>
            </w:pPr>
          </w:p>
          <w:p w14:paraId="2FE495C9">
            <w:pPr>
              <w:keepNext w:val="0"/>
              <w:keepLines w:val="0"/>
              <w:pageBreakBefore w:val="0"/>
              <w:widowControl w:val="0"/>
              <w:kinsoku/>
              <w:wordWrap/>
              <w:overflowPunct/>
              <w:topLinePunct w:val="0"/>
              <w:bidi w:val="0"/>
              <w:adjustRightInd/>
              <w:snapToGrid/>
              <w:spacing w:line="420" w:lineRule="exact"/>
              <w:ind w:firstLine="482" w:firstLineChars="200"/>
              <w:textAlignment w:val="auto"/>
              <w:rPr>
                <w:rFonts w:hint="default" w:ascii="Times New Roman" w:hAnsi="Times New Roman" w:eastAsia="宋体" w:cs="Times New Roman"/>
                <w:b w:val="0"/>
                <w:bCs w:val="0"/>
                <w:color w:val="auto"/>
                <w:sz w:val="24"/>
                <w:szCs w:val="24"/>
                <w:highlight w:val="none"/>
                <w:lang w:eastAsia="zh-CN"/>
              </w:rPr>
            </w:pPr>
            <w:r>
              <w:rPr>
                <w:rFonts w:hint="eastAsia" w:ascii="Times New Roman" w:hAnsi="Times New Roman" w:eastAsia="宋体" w:cs="Times New Roman"/>
                <w:b/>
                <w:bCs/>
                <w:color w:val="auto"/>
                <w:highlight w:val="none"/>
                <w:lang w:eastAsia="zh-CN"/>
              </w:rPr>
              <w:drawing>
                <wp:anchor distT="0" distB="0" distL="114300" distR="114300" simplePos="0" relativeHeight="251668480" behindDoc="1" locked="0" layoutInCell="1" allowOverlap="1">
                  <wp:simplePos x="0" y="0"/>
                  <wp:positionH relativeFrom="column">
                    <wp:posOffset>549910</wp:posOffset>
                  </wp:positionH>
                  <wp:positionV relativeFrom="paragraph">
                    <wp:posOffset>-514985</wp:posOffset>
                  </wp:positionV>
                  <wp:extent cx="4284345" cy="2351405"/>
                  <wp:effectExtent l="0" t="0" r="1905" b="10795"/>
                  <wp:wrapTight wrapText="bothSides">
                    <wp:wrapPolygon>
                      <wp:start x="0" y="0"/>
                      <wp:lineTo x="0" y="21349"/>
                      <wp:lineTo x="21514" y="21349"/>
                      <wp:lineTo x="21514" y="0"/>
                      <wp:lineTo x="0" y="0"/>
                    </wp:wrapPolygon>
                  </wp:wrapTight>
                  <wp:docPr id="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pic:cNvPicPr>
                            <a:picLocks noChangeAspect="1"/>
                          </pic:cNvPicPr>
                        </pic:nvPicPr>
                        <pic:blipFill>
                          <a:blip r:embed="rId27"/>
                          <a:stretch>
                            <a:fillRect/>
                          </a:stretch>
                        </pic:blipFill>
                        <pic:spPr>
                          <a:xfrm>
                            <a:off x="0" y="0"/>
                            <a:ext cx="4284345" cy="2351405"/>
                          </a:xfrm>
                          <a:prstGeom prst="rect">
                            <a:avLst/>
                          </a:prstGeom>
                          <a:noFill/>
                          <a:ln>
                            <a:noFill/>
                          </a:ln>
                        </pic:spPr>
                      </pic:pic>
                    </a:graphicData>
                  </a:graphic>
                </wp:anchor>
              </w:drawing>
            </w:r>
          </w:p>
          <w:p w14:paraId="34B9F77C">
            <w:pPr>
              <w:keepNext w:val="0"/>
              <w:keepLines w:val="0"/>
              <w:pageBreakBefore w:val="0"/>
              <w:widowControl w:val="0"/>
              <w:kinsoku/>
              <w:wordWrap/>
              <w:overflowPunct/>
              <w:topLinePunct w:val="0"/>
              <w:bidi w:val="0"/>
              <w:adjustRightInd/>
              <w:snapToGrid/>
              <w:spacing w:line="420" w:lineRule="exact"/>
              <w:ind w:firstLine="480" w:firstLineChars="200"/>
              <w:textAlignment w:val="auto"/>
              <w:rPr>
                <w:rFonts w:hint="default" w:ascii="Times New Roman" w:hAnsi="Times New Roman" w:eastAsia="宋体" w:cs="Times New Roman"/>
                <w:b w:val="0"/>
                <w:bCs w:val="0"/>
                <w:color w:val="auto"/>
                <w:sz w:val="24"/>
                <w:szCs w:val="24"/>
                <w:highlight w:val="none"/>
                <w:lang w:eastAsia="zh-CN"/>
              </w:rPr>
            </w:pPr>
          </w:p>
          <w:p w14:paraId="3665BF12">
            <w:pPr>
              <w:keepNext w:val="0"/>
              <w:keepLines w:val="0"/>
              <w:pageBreakBefore w:val="0"/>
              <w:widowControl w:val="0"/>
              <w:kinsoku/>
              <w:wordWrap/>
              <w:overflowPunct/>
              <w:topLinePunct w:val="0"/>
              <w:bidi w:val="0"/>
              <w:adjustRightInd/>
              <w:snapToGrid/>
              <w:spacing w:line="420" w:lineRule="exact"/>
              <w:ind w:firstLine="480" w:firstLineChars="200"/>
              <w:textAlignment w:val="auto"/>
              <w:rPr>
                <w:rFonts w:hint="default" w:ascii="Times New Roman" w:hAnsi="Times New Roman" w:eastAsia="宋体" w:cs="Times New Roman"/>
                <w:b w:val="0"/>
                <w:bCs w:val="0"/>
                <w:color w:val="auto"/>
                <w:sz w:val="24"/>
                <w:szCs w:val="24"/>
                <w:highlight w:val="none"/>
                <w:lang w:eastAsia="zh-CN"/>
              </w:rPr>
            </w:pPr>
          </w:p>
          <w:p w14:paraId="35913A98">
            <w:pPr>
              <w:keepNext w:val="0"/>
              <w:keepLines w:val="0"/>
              <w:pageBreakBefore w:val="0"/>
              <w:widowControl w:val="0"/>
              <w:kinsoku/>
              <w:wordWrap/>
              <w:overflowPunct/>
              <w:topLinePunct w:val="0"/>
              <w:bidi w:val="0"/>
              <w:adjustRightInd/>
              <w:snapToGrid/>
              <w:spacing w:line="420" w:lineRule="exact"/>
              <w:ind w:firstLine="480" w:firstLineChars="200"/>
              <w:textAlignment w:val="auto"/>
              <w:rPr>
                <w:rFonts w:hint="default" w:ascii="Times New Roman" w:hAnsi="Times New Roman" w:eastAsia="宋体" w:cs="Times New Roman"/>
                <w:b w:val="0"/>
                <w:bCs w:val="0"/>
                <w:color w:val="auto"/>
                <w:sz w:val="24"/>
                <w:szCs w:val="24"/>
                <w:highlight w:val="none"/>
                <w:lang w:eastAsia="zh-CN"/>
              </w:rPr>
            </w:pPr>
          </w:p>
          <w:p w14:paraId="7D7F8BC1">
            <w:pPr>
              <w:keepNext w:val="0"/>
              <w:keepLines w:val="0"/>
              <w:pageBreakBefore w:val="0"/>
              <w:widowControl w:val="0"/>
              <w:kinsoku/>
              <w:wordWrap/>
              <w:overflowPunct/>
              <w:topLinePunct w:val="0"/>
              <w:bidi w:val="0"/>
              <w:adjustRightInd/>
              <w:snapToGrid/>
              <w:spacing w:line="420" w:lineRule="exact"/>
              <w:ind w:firstLine="480" w:firstLineChars="200"/>
              <w:textAlignment w:val="auto"/>
              <w:rPr>
                <w:rFonts w:hint="default" w:ascii="Times New Roman" w:hAnsi="Times New Roman" w:eastAsia="宋体" w:cs="Times New Roman"/>
                <w:b w:val="0"/>
                <w:bCs w:val="0"/>
                <w:color w:val="auto"/>
                <w:sz w:val="24"/>
                <w:szCs w:val="24"/>
                <w:highlight w:val="none"/>
                <w:lang w:eastAsia="zh-CN"/>
              </w:rPr>
            </w:pPr>
          </w:p>
          <w:p w14:paraId="3E104367">
            <w:pPr>
              <w:keepNext w:val="0"/>
              <w:keepLines w:val="0"/>
              <w:pageBreakBefore w:val="0"/>
              <w:widowControl w:val="0"/>
              <w:kinsoku/>
              <w:wordWrap/>
              <w:overflowPunct/>
              <w:topLinePunct w:val="0"/>
              <w:bidi w:val="0"/>
              <w:adjustRightInd/>
              <w:snapToGrid/>
              <w:spacing w:line="420" w:lineRule="exact"/>
              <w:ind w:left="0" w:leftChars="0" w:firstLine="0" w:firstLineChars="0"/>
              <w:textAlignment w:val="auto"/>
              <w:rPr>
                <w:rFonts w:hint="default" w:ascii="Times New Roman" w:hAnsi="Times New Roman" w:eastAsia="宋体" w:cs="Times New Roman"/>
                <w:b w:val="0"/>
                <w:bCs w:val="0"/>
                <w:color w:val="auto"/>
                <w:sz w:val="24"/>
                <w:szCs w:val="24"/>
                <w:highlight w:val="none"/>
                <w:lang w:eastAsia="zh-CN"/>
              </w:rPr>
            </w:pPr>
          </w:p>
          <w:p w14:paraId="2460B563">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）环境影响风险评价</w:t>
            </w:r>
          </w:p>
          <w:p w14:paraId="78C15657">
            <w:pPr>
              <w:keepNext w:val="0"/>
              <w:keepLines w:val="0"/>
              <w:pageBreakBefore w:val="0"/>
              <w:widowControl w:val="0"/>
              <w:numPr>
                <w:ilvl w:val="0"/>
                <w:numId w:val="8"/>
              </w:numPr>
              <w:kinsoku/>
              <w:wordWrap/>
              <w:overflowPunct/>
              <w:topLinePunct w:val="0"/>
              <w:bidi w:val="0"/>
              <w:adjustRightInd/>
              <w:snapToGrid/>
              <w:spacing w:line="360" w:lineRule="auto"/>
              <w:ind w:left="0" w:leftChars="0" w:firstLine="480" w:firstLineChars="200"/>
              <w:textAlignment w:val="auto"/>
              <w:rPr>
                <w:rFonts w:hint="eastAsia"/>
                <w:color w:val="auto"/>
                <w:highlight w:val="none"/>
                <w:lang w:val="en-US" w:eastAsia="zh-CN"/>
              </w:rPr>
            </w:pPr>
            <w:r>
              <w:rPr>
                <w:rFonts w:hint="eastAsia"/>
                <w:color w:val="auto"/>
                <w:highlight w:val="none"/>
                <w:lang w:val="en-US" w:eastAsia="zh-CN"/>
              </w:rPr>
              <w:t>废润滑油泄漏事故危害</w:t>
            </w:r>
          </w:p>
          <w:p w14:paraId="4DA7C96E">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eastAsia"/>
                <w:color w:val="auto"/>
                <w:highlight w:val="none"/>
                <w:lang w:val="en-US" w:eastAsia="zh-CN"/>
              </w:rPr>
            </w:pPr>
            <w:r>
              <w:rPr>
                <w:rFonts w:hint="eastAsia"/>
                <w:color w:val="auto"/>
                <w:highlight w:val="none"/>
                <w:lang w:val="en-US" w:eastAsia="zh-CN"/>
              </w:rPr>
              <w:t>①对地表水的污染</w:t>
            </w:r>
          </w:p>
          <w:p w14:paraId="2E29817B">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eastAsia"/>
                <w:color w:val="auto"/>
                <w:highlight w:val="none"/>
                <w:lang w:val="en-US" w:eastAsia="zh-CN"/>
              </w:rPr>
            </w:pPr>
            <w:r>
              <w:rPr>
                <w:rFonts w:hint="eastAsia"/>
                <w:color w:val="auto"/>
                <w:highlight w:val="none"/>
                <w:lang w:val="en-US" w:eastAsia="zh-CN"/>
              </w:rPr>
              <w:t>泄漏或渗漏的废润滑油及含润滑油废物一旦进入地表河流，将造成地表河流的污染，影响范围小到几公里大到几十公里。污染首先将造成地表河流的景观破坏，产生严重的刺鼻气味；其次，由于有机烃类物质难溶于水，大部分上浮在水层表面，形成一层油膜使空气与水隔离，造成水中溶解氧浓度降低，逐渐形成死水，致使水中生物死亡。</w:t>
            </w:r>
          </w:p>
          <w:p w14:paraId="7BFCA0E4">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eastAsia"/>
                <w:color w:val="auto"/>
                <w:highlight w:val="none"/>
                <w:lang w:val="en-US" w:eastAsia="zh-CN"/>
              </w:rPr>
            </w:pPr>
            <w:r>
              <w:rPr>
                <w:rFonts w:hint="eastAsia"/>
                <w:color w:val="auto"/>
                <w:highlight w:val="none"/>
                <w:lang w:val="en-US" w:eastAsia="zh-CN"/>
              </w:rPr>
              <w:t>②对地下水和土壤的污染</w:t>
            </w:r>
          </w:p>
          <w:p w14:paraId="611E867A">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eastAsia"/>
                <w:color w:val="auto"/>
                <w:highlight w:val="none"/>
                <w:lang w:val="en-US" w:eastAsia="zh-CN"/>
              </w:rPr>
            </w:pPr>
            <w:r>
              <w:rPr>
                <w:rFonts w:hint="eastAsia"/>
                <w:color w:val="auto"/>
                <w:highlight w:val="none"/>
                <w:lang w:val="en-US" w:eastAsia="zh-CN"/>
              </w:rPr>
              <w:t>废润滑油及含润滑油废物的泄漏或渗漏对地下水的污染较为严重，地下水一旦遭到废润滑油的污染，将使地下水产生严重异味，并具有较强的致畸致癌性，根本无法饮用。此外</w:t>
            </w:r>
            <w:bookmarkStart w:id="45" w:name="_GoBack"/>
            <w:bookmarkEnd w:id="45"/>
            <w:r>
              <w:rPr>
                <w:rFonts w:hint="eastAsia"/>
                <w:color w:val="auto"/>
                <w:highlight w:val="none"/>
                <w:lang w:val="en-US" w:eastAsia="zh-CN"/>
              </w:rPr>
              <w:t>由于这种渗漏必然穿过较厚的土壤层，使土壤层中吸附了大量的油类，土壤层吸附的油类不仅会造成植物生物的死亡，而且土壤层吸附的油类还会随着地表水的下渗对土壤层的冲刷作用补充到地下水，这样即便污染源得到及时控制，地下水要完全恢复也需几十年甚至上百年的时间。</w:t>
            </w:r>
          </w:p>
          <w:p w14:paraId="1BB7A69C">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eastAsia"/>
                <w:color w:val="auto"/>
                <w:highlight w:val="none"/>
                <w:lang w:val="en-US" w:eastAsia="zh-CN"/>
              </w:rPr>
            </w:pPr>
            <w:r>
              <w:rPr>
                <w:rFonts w:hint="eastAsia"/>
                <w:color w:val="auto"/>
                <w:highlight w:val="none"/>
                <w:lang w:val="en-US" w:eastAsia="zh-CN"/>
              </w:rPr>
              <w:t>③事故消防</w:t>
            </w:r>
          </w:p>
          <w:p w14:paraId="40F59B20">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eastAsia"/>
                <w:color w:val="auto"/>
                <w:highlight w:val="none"/>
                <w:lang w:val="en-US" w:eastAsia="zh-CN"/>
              </w:rPr>
            </w:pPr>
            <w:r>
              <w:rPr>
                <w:rFonts w:hint="eastAsia"/>
                <w:color w:val="auto"/>
                <w:highlight w:val="none"/>
                <w:lang w:val="en-US" w:eastAsia="zh-CN"/>
              </w:rPr>
              <w:t>废润滑油泄漏发生火灾、爆炸事故后，灭火过程中会产生消防废水。本项目危险物质为废润滑油，燃烧后生成CO</w:t>
            </w:r>
            <w:r>
              <w:rPr>
                <w:rFonts w:hint="eastAsia"/>
                <w:color w:val="auto"/>
                <w:highlight w:val="none"/>
                <w:vertAlign w:val="subscript"/>
                <w:lang w:val="en-US" w:eastAsia="zh-CN"/>
              </w:rPr>
              <w:t>2</w:t>
            </w:r>
            <w:r>
              <w:rPr>
                <w:rFonts w:hint="eastAsia"/>
                <w:color w:val="auto"/>
                <w:highlight w:val="none"/>
                <w:lang w:val="en-US" w:eastAsia="zh-CN"/>
              </w:rPr>
              <w:t>和H</w:t>
            </w:r>
            <w:r>
              <w:rPr>
                <w:rFonts w:hint="eastAsia"/>
                <w:color w:val="auto"/>
                <w:highlight w:val="none"/>
                <w:vertAlign w:val="subscript"/>
                <w:lang w:val="en-US" w:eastAsia="zh-CN"/>
              </w:rPr>
              <w:t>2</w:t>
            </w:r>
            <w:r>
              <w:rPr>
                <w:rFonts w:hint="eastAsia"/>
                <w:color w:val="auto"/>
                <w:highlight w:val="none"/>
                <w:lang w:val="en-US" w:eastAsia="zh-CN"/>
              </w:rPr>
              <w:t>O，不会产生有毒有害物质，消防废水成分相对简单，以悬浮物为主，对周边水环境影响不大。</w:t>
            </w:r>
          </w:p>
          <w:p w14:paraId="7BFE66D0">
            <w:pPr>
              <w:keepNext w:val="0"/>
              <w:keepLines w:val="0"/>
              <w:pageBreakBefore w:val="0"/>
              <w:widowControl w:val="0"/>
              <w:numPr>
                <w:ilvl w:val="0"/>
                <w:numId w:val="0"/>
              </w:numPr>
              <w:kinsoku/>
              <w:wordWrap/>
              <w:overflowPunct/>
              <w:topLinePunct w:val="0"/>
              <w:bidi w:val="0"/>
              <w:adjustRightInd/>
              <w:snapToGrid/>
              <w:spacing w:line="360" w:lineRule="auto"/>
              <w:ind w:left="0" w:leftChars="0" w:firstLine="480" w:firstLineChars="200"/>
              <w:textAlignment w:val="auto"/>
              <w:rPr>
                <w:rFonts w:hint="eastAsia"/>
                <w:color w:val="auto"/>
                <w:highlight w:val="none"/>
                <w:lang w:val="en-US" w:eastAsia="zh-CN"/>
              </w:rPr>
            </w:pPr>
            <w:r>
              <w:rPr>
                <w:rFonts w:hint="eastAsia"/>
                <w:color w:val="auto"/>
                <w:highlight w:val="none"/>
                <w:lang w:val="en-US" w:eastAsia="zh-CN"/>
              </w:rPr>
              <w:t>（2）环境风险防范措施</w:t>
            </w:r>
          </w:p>
          <w:p w14:paraId="7B36DC6D">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eastAsia"/>
                <w:color w:val="auto"/>
                <w:highlight w:val="none"/>
                <w:lang w:val="en-US" w:eastAsia="zh-CN"/>
              </w:rPr>
            </w:pPr>
            <w:r>
              <w:rPr>
                <w:rFonts w:hint="eastAsia"/>
                <w:color w:val="auto"/>
                <w:highlight w:val="none"/>
                <w:lang w:val="en-US" w:eastAsia="zh-CN"/>
              </w:rPr>
              <w:t>本项目废润滑油储存于危废贮存库内，定期交由有资质单位处置。危废贮存库应远离火种、热源，保证阴凉、通风，采用防爆型照明、通风设施。禁止使用易产生火花的机械设备和工具，室内温度不超过30℃，保证室内容器密封，应常备有泄漏应急处理设备和合适的收容材料。</w:t>
            </w:r>
          </w:p>
          <w:p w14:paraId="7CD2495E">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eastAsia"/>
                <w:color w:val="auto"/>
                <w:highlight w:val="none"/>
                <w:lang w:val="en-US" w:eastAsia="zh-CN"/>
              </w:rPr>
            </w:pPr>
            <w:r>
              <w:rPr>
                <w:rFonts w:hint="eastAsia"/>
                <w:color w:val="auto"/>
                <w:highlight w:val="none"/>
                <w:lang w:val="en-US" w:eastAsia="zh-CN"/>
              </w:rPr>
              <w:t>环评要求企业对危废贮存库地面全部进行重点防渗处理，并设置导流渠及集液池，一旦发生泄漏事故，油品将由于重力作用自流进入导流渠及集液池，积聚在危废贮存库，且本项目废润滑油产生量较少，不可能溢出厂区，也不会进入地表水体，对地下水和土壤不会造成影响。</w:t>
            </w:r>
          </w:p>
          <w:p w14:paraId="5515D4F6">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eastAsia="zh-CN"/>
              </w:rPr>
              <w:t>（</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eastAsia="zh-CN"/>
              </w:rPr>
              <w:t>）</w:t>
            </w:r>
            <w:r>
              <w:rPr>
                <w:rFonts w:hint="eastAsia" w:cs="Times New Roman"/>
                <w:color w:val="auto"/>
                <w:sz w:val="24"/>
                <w:szCs w:val="24"/>
                <w:highlight w:val="none"/>
                <w:lang w:val="en-US" w:eastAsia="zh-CN"/>
              </w:rPr>
              <w:t>危险废物暂存对环境影响分析</w:t>
            </w:r>
          </w:p>
          <w:p w14:paraId="2BAF46F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正常情况下，项目危险废物暂存对环境影响不大，但是在风险情况下，危险废物临时暂存时发生渗漏对环境产生不利影响，因此应加强管理，严格按《危险废物贮存污染控制标准》（GB18597-2023）的要求进行运行管理，本项目存在泄漏可能的危险废物为废</w:t>
            </w:r>
            <w:r>
              <w:rPr>
                <w:rFonts w:hint="eastAsia" w:cs="Times New Roman"/>
                <w:color w:val="auto"/>
                <w:sz w:val="24"/>
                <w:szCs w:val="24"/>
                <w:highlight w:val="none"/>
                <w:lang w:val="en-US" w:eastAsia="zh-CN"/>
              </w:rPr>
              <w:t>润滑</w:t>
            </w:r>
            <w:r>
              <w:rPr>
                <w:rFonts w:hint="default" w:ascii="Times New Roman" w:hAnsi="Times New Roman" w:eastAsia="宋体" w:cs="Times New Roman"/>
                <w:color w:val="auto"/>
                <w:sz w:val="24"/>
                <w:szCs w:val="24"/>
                <w:highlight w:val="none"/>
                <w:lang w:val="en-US" w:eastAsia="zh-CN"/>
              </w:rPr>
              <w:t>油，年产生量为0.</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t，建设单位尽量在产生废</w:t>
            </w:r>
            <w:r>
              <w:rPr>
                <w:rFonts w:hint="eastAsia" w:cs="Times New Roman"/>
                <w:color w:val="auto"/>
                <w:sz w:val="24"/>
                <w:szCs w:val="24"/>
                <w:highlight w:val="none"/>
                <w:lang w:val="en-US" w:eastAsia="zh-CN"/>
              </w:rPr>
              <w:t>润滑</w:t>
            </w:r>
            <w:r>
              <w:rPr>
                <w:rFonts w:hint="default" w:ascii="Times New Roman" w:hAnsi="Times New Roman" w:eastAsia="宋体" w:cs="Times New Roman"/>
                <w:color w:val="auto"/>
                <w:sz w:val="24"/>
                <w:szCs w:val="24"/>
                <w:highlight w:val="none"/>
                <w:lang w:val="en-US" w:eastAsia="zh-CN"/>
              </w:rPr>
              <w:t>油后及时运走，减少可能对环境产生“二次污染”的中间贮存环节，避免危废临时贮存过程中的环境风险。</w:t>
            </w:r>
          </w:p>
          <w:p w14:paraId="3B8F989D">
            <w:pPr>
              <w:keepNext w:val="0"/>
              <w:keepLines w:val="0"/>
              <w:pageBreakBefore w:val="0"/>
              <w:widowControl w:val="0"/>
              <w:kinsoku/>
              <w:wordWrap/>
              <w:overflowPunct/>
              <w:topLinePunct w:val="0"/>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eastAsia="zh-CN"/>
              </w:rPr>
              <w:t>）</w:t>
            </w:r>
            <w:r>
              <w:rPr>
                <w:rFonts w:hint="eastAsia" w:cs="Times New Roman"/>
                <w:color w:val="auto"/>
                <w:sz w:val="24"/>
                <w:szCs w:val="24"/>
                <w:highlight w:val="none"/>
                <w:lang w:val="en-US" w:eastAsia="zh-CN"/>
              </w:rPr>
              <w:t>转移过程环境影响分析</w:t>
            </w:r>
          </w:p>
          <w:p w14:paraId="53157EF3">
            <w:pPr>
              <w:keepNext w:val="0"/>
              <w:keepLines w:val="0"/>
              <w:pageBreakBefore w:val="0"/>
              <w:widowControl w:val="0"/>
              <w:numPr>
                <w:ilvl w:val="0"/>
                <w:numId w:val="0"/>
              </w:numPr>
              <w:kinsoku/>
              <w:wordWrap/>
              <w:overflowPunct/>
              <w:topLinePunct w:val="0"/>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危险废物转移应按照《危险废物转移管理办法》要求办理废物转移手续，填报转移联单，杜绝二次污染。</w:t>
            </w:r>
          </w:p>
          <w:p w14:paraId="49D6EE74">
            <w:pPr>
              <w:keepNext w:val="0"/>
              <w:keepLines w:val="0"/>
              <w:pageBreakBefore w:val="0"/>
              <w:widowControl w:val="0"/>
              <w:numPr>
                <w:ilvl w:val="0"/>
                <w:numId w:val="0"/>
              </w:numPr>
              <w:kinsoku/>
              <w:wordWrap/>
              <w:overflowPunct/>
              <w:topLinePunct w:val="0"/>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综上，项目生产过程中产生的各项固废均得到了合理处置或循环利用，不会对外界环境产生不良影响。</w:t>
            </w:r>
          </w:p>
          <w:p w14:paraId="61FDC46B">
            <w:pPr>
              <w:keepNext w:val="0"/>
              <w:keepLines w:val="0"/>
              <w:pageBreakBefore w:val="0"/>
              <w:widowControl w:val="0"/>
              <w:numPr>
                <w:ilvl w:val="0"/>
                <w:numId w:val="0"/>
              </w:numPr>
              <w:kinsoku/>
              <w:wordWrap/>
              <w:overflowPunct/>
              <w:topLinePunct w:val="0"/>
              <w:bidi w:val="0"/>
              <w:adjustRightInd/>
              <w:snapToGrid/>
              <w:spacing w:line="360" w:lineRule="auto"/>
              <w:ind w:left="0" w:leftChars="0"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8.电磁辐射</w:t>
            </w:r>
          </w:p>
          <w:p w14:paraId="13ACF5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color w:val="auto"/>
                <w:kern w:val="10"/>
                <w:sz w:val="24"/>
                <w:szCs w:val="24"/>
                <w:lang w:val="en-US" w:eastAsia="zh-CN"/>
              </w:rPr>
            </w:pPr>
            <w:r>
              <w:rPr>
                <w:rFonts w:hint="default" w:ascii="Times New Roman" w:hAnsi="Times New Roman" w:eastAsia="宋体" w:cs="Times New Roman"/>
                <w:b w:val="0"/>
                <w:bCs/>
                <w:color w:val="auto"/>
                <w:kern w:val="10"/>
                <w:sz w:val="24"/>
                <w:szCs w:val="24"/>
                <w:lang w:val="en-US" w:eastAsia="zh-CN"/>
              </w:rPr>
              <w:t>本项目不涉及电磁辐射，故不对其进行分析。</w:t>
            </w:r>
          </w:p>
          <w:p w14:paraId="4A7892F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val="0"/>
                <w:bCs/>
                <w:color w:val="auto"/>
                <w:kern w:val="10"/>
                <w:sz w:val="24"/>
                <w:szCs w:val="24"/>
                <w:lang w:val="en-US" w:eastAsia="zh-CN"/>
              </w:rPr>
            </w:pPr>
          </w:p>
        </w:tc>
      </w:tr>
    </w:tbl>
    <w:p w14:paraId="71711519">
      <w:pPr>
        <w:rPr>
          <w:rFonts w:hint="eastAsia"/>
          <w:color w:val="auto"/>
          <w:highlight w:val="none"/>
          <w:lang w:eastAsia="zh-CN"/>
        </w:rPr>
        <w:sectPr>
          <w:pgSz w:w="11906" w:h="16838"/>
          <w:pgMar w:top="1701" w:right="1417" w:bottom="1701" w:left="1417" w:header="851"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2665E590">
      <w:pPr>
        <w:pStyle w:val="9"/>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color w:val="auto"/>
          <w:highlight w:val="none"/>
          <w:lang w:eastAsia="zh-CN"/>
        </w:rPr>
      </w:pPr>
      <w:bookmarkStart w:id="40" w:name="_Ref17581"/>
      <w:bookmarkStart w:id="41" w:name="_Toc20366"/>
      <w:r>
        <w:rPr>
          <w:rFonts w:hint="default" w:ascii="黑体" w:hAnsi="黑体" w:eastAsia="黑体" w:cs="黑体"/>
          <w:color w:val="auto"/>
          <w:kern w:val="2"/>
          <w:sz w:val="2"/>
          <w:szCs w:val="2"/>
          <w:lang w:val="en-US" w:eastAsia="zh-CN" w:bidi="ar-SA"/>
        </w:rPr>
        <w:t>5</w:t>
      </w:r>
      <w:r>
        <w:rPr>
          <w:rFonts w:hint="eastAsia"/>
          <w:color w:val="auto"/>
          <w:highlight w:val="none"/>
          <w:lang w:val="en-US" w:eastAsia="zh-CN"/>
        </w:rPr>
        <w:t>五、</w:t>
      </w:r>
      <w:r>
        <w:rPr>
          <w:rFonts w:hint="eastAsia"/>
          <w:color w:val="auto"/>
          <w:highlight w:val="none"/>
          <w:lang w:eastAsia="zh-CN"/>
        </w:rPr>
        <w:t>环境保护措施</w:t>
      </w:r>
      <w:r>
        <w:rPr>
          <w:rFonts w:hint="eastAsia"/>
          <w:color w:val="auto"/>
          <w:highlight w:val="none"/>
          <w:lang w:val="en-US" w:eastAsia="zh-CN"/>
        </w:rPr>
        <w:t>监督</w:t>
      </w:r>
      <w:r>
        <w:rPr>
          <w:rFonts w:hint="eastAsia"/>
          <w:color w:val="auto"/>
          <w:highlight w:val="none"/>
          <w:lang w:eastAsia="zh-CN"/>
        </w:rPr>
        <w:t>检查清单</w:t>
      </w:r>
      <w:bookmarkEnd w:id="40"/>
      <w:bookmarkEnd w:id="41"/>
    </w:p>
    <w:tbl>
      <w:tblPr>
        <w:tblStyle w:val="2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14"/>
        <w:gridCol w:w="1355"/>
        <w:gridCol w:w="1093"/>
        <w:gridCol w:w="3227"/>
        <w:gridCol w:w="1786"/>
      </w:tblGrid>
      <w:tr w14:paraId="0247C4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9" w:type="pct"/>
            <w:tcBorders>
              <w:tl2br w:val="single" w:color="auto" w:sz="4" w:space="0"/>
            </w:tcBorders>
            <w:noWrap w:val="0"/>
            <w:vAlign w:val="top"/>
          </w:tcPr>
          <w:p w14:paraId="4D20B3D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rPr>
            </w:pPr>
            <w:bookmarkStart w:id="42" w:name="_Ref32215"/>
            <w:r>
              <w:rPr>
                <w:rFonts w:hint="eastAsia" w:ascii="Times New Roman" w:hAnsi="Times New Roman" w:eastAsia="宋体" w:cs="Times New Roman"/>
                <w:b w:val="0"/>
                <w:bCs w:val="0"/>
                <w:caps w:val="0"/>
                <w:color w:val="auto"/>
                <w:sz w:val="24"/>
                <w:szCs w:val="24"/>
                <w:lang w:val="en-US" w:eastAsia="zh-CN"/>
              </w:rPr>
              <w:t xml:space="preserve">   </w:t>
            </w:r>
            <w:r>
              <w:rPr>
                <w:rFonts w:hint="default" w:ascii="Times New Roman" w:hAnsi="Times New Roman" w:eastAsia="宋体" w:cs="Times New Roman"/>
                <w:b w:val="0"/>
                <w:bCs w:val="0"/>
                <w:caps w:val="0"/>
                <w:color w:val="auto"/>
                <w:sz w:val="24"/>
                <w:szCs w:val="24"/>
              </w:rPr>
              <w:t>内容</w:t>
            </w:r>
          </w:p>
          <w:p w14:paraId="2C36859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both"/>
              <w:textAlignment w:val="auto"/>
              <w:rPr>
                <w:rFonts w:hint="default" w:ascii="Times New Roman" w:hAnsi="Times New Roman" w:eastAsia="宋体" w:cs="Times New Roman"/>
                <w:b w:val="0"/>
                <w:bCs w:val="0"/>
                <w:caps w:val="0"/>
                <w:color w:val="auto"/>
                <w:sz w:val="24"/>
                <w:szCs w:val="24"/>
              </w:rPr>
            </w:pPr>
            <w:r>
              <w:rPr>
                <w:rFonts w:hint="default" w:ascii="Times New Roman" w:hAnsi="Times New Roman" w:eastAsia="宋体" w:cs="Times New Roman"/>
                <w:b w:val="0"/>
                <w:bCs w:val="0"/>
                <w:caps w:val="0"/>
                <w:color w:val="auto"/>
                <w:sz w:val="24"/>
                <w:szCs w:val="24"/>
              </w:rPr>
              <w:t>要素</w:t>
            </w:r>
          </w:p>
        </w:tc>
        <w:tc>
          <w:tcPr>
            <w:tcW w:w="1113" w:type="pct"/>
            <w:gridSpan w:val="2"/>
            <w:noWrap w:val="0"/>
            <w:vAlign w:val="center"/>
          </w:tcPr>
          <w:p w14:paraId="026958A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rPr>
            </w:pPr>
            <w:r>
              <w:rPr>
                <w:rFonts w:hint="default" w:ascii="Times New Roman" w:hAnsi="Times New Roman" w:eastAsia="宋体" w:cs="Times New Roman"/>
                <w:b w:val="0"/>
                <w:bCs w:val="0"/>
                <w:caps w:val="0"/>
                <w:color w:val="auto"/>
                <w:sz w:val="24"/>
                <w:szCs w:val="24"/>
              </w:rPr>
              <w:t>排放口(编号、</w:t>
            </w:r>
          </w:p>
          <w:p w14:paraId="051FAF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rPr>
            </w:pPr>
            <w:r>
              <w:rPr>
                <w:rFonts w:hint="default" w:ascii="Times New Roman" w:hAnsi="Times New Roman" w:eastAsia="宋体" w:cs="Times New Roman"/>
                <w:b w:val="0"/>
                <w:bCs w:val="0"/>
                <w:caps w:val="0"/>
                <w:color w:val="auto"/>
                <w:sz w:val="24"/>
                <w:szCs w:val="24"/>
              </w:rPr>
              <w:t>名称)/污染源</w:t>
            </w:r>
          </w:p>
        </w:tc>
        <w:tc>
          <w:tcPr>
            <w:tcW w:w="588" w:type="pct"/>
            <w:noWrap w:val="0"/>
            <w:vAlign w:val="center"/>
          </w:tcPr>
          <w:p w14:paraId="5EA9446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rPr>
            </w:pPr>
            <w:r>
              <w:rPr>
                <w:rFonts w:hint="default" w:ascii="Times New Roman" w:hAnsi="Times New Roman" w:eastAsia="宋体" w:cs="Times New Roman"/>
                <w:b w:val="0"/>
                <w:bCs w:val="0"/>
                <w:caps w:val="0"/>
                <w:color w:val="auto"/>
                <w:sz w:val="24"/>
                <w:szCs w:val="24"/>
              </w:rPr>
              <w:t>污染物项目</w:t>
            </w:r>
          </w:p>
        </w:tc>
        <w:tc>
          <w:tcPr>
            <w:tcW w:w="1737" w:type="pct"/>
            <w:noWrap w:val="0"/>
            <w:vAlign w:val="center"/>
          </w:tcPr>
          <w:p w14:paraId="1CB6F23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rPr>
            </w:pPr>
            <w:r>
              <w:rPr>
                <w:rFonts w:hint="default" w:ascii="Times New Roman" w:hAnsi="Times New Roman" w:eastAsia="宋体" w:cs="Times New Roman"/>
                <w:b w:val="0"/>
                <w:bCs w:val="0"/>
                <w:caps w:val="0"/>
                <w:color w:val="auto"/>
                <w:sz w:val="24"/>
                <w:szCs w:val="24"/>
                <w:highlight w:val="none"/>
              </w:rPr>
              <w:t>环境保护措施</w:t>
            </w:r>
          </w:p>
        </w:tc>
        <w:tc>
          <w:tcPr>
            <w:tcW w:w="961" w:type="pct"/>
            <w:noWrap w:val="0"/>
            <w:vAlign w:val="center"/>
          </w:tcPr>
          <w:p w14:paraId="37B1785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rPr>
            </w:pPr>
            <w:r>
              <w:rPr>
                <w:rFonts w:hint="default" w:ascii="Times New Roman" w:hAnsi="Times New Roman" w:eastAsia="宋体" w:cs="Times New Roman"/>
                <w:b w:val="0"/>
                <w:bCs w:val="0"/>
                <w:caps w:val="0"/>
                <w:color w:val="auto"/>
                <w:sz w:val="24"/>
                <w:szCs w:val="24"/>
                <w:highlight w:val="none"/>
              </w:rPr>
              <w:t>执行标准</w:t>
            </w:r>
          </w:p>
        </w:tc>
      </w:tr>
      <w:tr w14:paraId="57BC43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599" w:type="pct"/>
            <w:vMerge w:val="restart"/>
            <w:noWrap w:val="0"/>
            <w:vAlign w:val="center"/>
          </w:tcPr>
          <w:p w14:paraId="26F70DC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lang w:val="en-US" w:eastAsia="zh-CN"/>
              </w:rPr>
            </w:pPr>
            <w:r>
              <w:rPr>
                <w:rFonts w:hint="eastAsia" w:ascii="Times New Roman" w:hAnsi="Times New Roman" w:eastAsia="宋体" w:cs="Times New Roman"/>
                <w:b w:val="0"/>
                <w:bCs w:val="0"/>
                <w:caps w:val="0"/>
                <w:color w:val="auto"/>
                <w:sz w:val="24"/>
                <w:szCs w:val="24"/>
                <w:lang w:val="en-US" w:eastAsia="zh-CN"/>
              </w:rPr>
              <w:t>大气环境</w:t>
            </w:r>
          </w:p>
        </w:tc>
        <w:tc>
          <w:tcPr>
            <w:tcW w:w="384" w:type="pct"/>
            <w:noWrap w:val="0"/>
            <w:vAlign w:val="center"/>
          </w:tcPr>
          <w:p w14:paraId="286D9A73">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水洗砂</w:t>
            </w:r>
            <w:r>
              <w:rPr>
                <w:rFonts w:hint="default" w:ascii="Times New Roman" w:hAnsi="Times New Roman" w:eastAsia="宋体" w:cs="Times New Roman"/>
                <w:b w:val="0"/>
                <w:bCs w:val="0"/>
                <w:color w:val="auto"/>
                <w:kern w:val="2"/>
                <w:sz w:val="24"/>
                <w:szCs w:val="24"/>
                <w:lang w:val="en-US" w:eastAsia="zh-CN" w:bidi="ar-SA"/>
              </w:rPr>
              <w:t>生产线</w:t>
            </w:r>
          </w:p>
        </w:tc>
        <w:tc>
          <w:tcPr>
            <w:tcW w:w="729" w:type="pct"/>
            <w:noWrap w:val="0"/>
            <w:vAlign w:val="center"/>
          </w:tcPr>
          <w:p w14:paraId="1FEA7DB8">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上料</w:t>
            </w:r>
          </w:p>
        </w:tc>
        <w:tc>
          <w:tcPr>
            <w:tcW w:w="588" w:type="pct"/>
            <w:noWrap w:val="0"/>
            <w:vAlign w:val="center"/>
          </w:tcPr>
          <w:p w14:paraId="36214DAD">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颗粒物</w:t>
            </w:r>
          </w:p>
        </w:tc>
        <w:tc>
          <w:tcPr>
            <w:tcW w:w="1737" w:type="pct"/>
            <w:noWrap w:val="0"/>
            <w:vAlign w:val="center"/>
          </w:tcPr>
          <w:p w14:paraId="3714E13B">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sz w:val="24"/>
                <w:szCs w:val="24"/>
                <w:lang w:val="en-US" w:eastAsia="zh-CN"/>
              </w:rPr>
              <w:t>上料口</w:t>
            </w:r>
            <w:r>
              <w:rPr>
                <w:rFonts w:hint="default" w:ascii="Times New Roman" w:hAnsi="Times New Roman" w:eastAsia="宋体" w:cs="Times New Roman"/>
                <w:b w:val="0"/>
                <w:bCs w:val="0"/>
                <w:color w:val="auto"/>
                <w:sz w:val="24"/>
                <w:szCs w:val="24"/>
                <w:lang w:val="en-US" w:eastAsia="zh-CN"/>
              </w:rPr>
              <w:t>设置集气罩，废气经收集后</w:t>
            </w:r>
            <w:r>
              <w:rPr>
                <w:rFonts w:hint="eastAsia" w:ascii="Times New Roman" w:hAnsi="Times New Roman" w:eastAsia="宋体" w:cs="Times New Roman"/>
                <w:b w:val="0"/>
                <w:bCs w:val="0"/>
                <w:color w:val="auto"/>
                <w:sz w:val="24"/>
                <w:szCs w:val="24"/>
                <w:lang w:val="en-US" w:eastAsia="zh-CN"/>
              </w:rPr>
              <w:t>经</w:t>
            </w:r>
            <w:r>
              <w:rPr>
                <w:rFonts w:hint="default" w:ascii="Times New Roman" w:hAnsi="Times New Roman" w:eastAsia="宋体" w:cs="Times New Roman"/>
                <w:b w:val="0"/>
                <w:bCs w:val="0"/>
                <w:color w:val="auto"/>
                <w:sz w:val="24"/>
                <w:szCs w:val="24"/>
                <w:lang w:val="en-US" w:eastAsia="zh-CN"/>
              </w:rPr>
              <w:t>1套布袋除尘器（TA0</w:t>
            </w:r>
            <w:r>
              <w:rPr>
                <w:rFonts w:hint="eastAsia" w:ascii="Times New Roman" w:hAnsi="Times New Roman" w:eastAsia="宋体" w:cs="Times New Roman"/>
                <w:b w:val="0"/>
                <w:bCs w:val="0"/>
                <w:color w:val="auto"/>
                <w:sz w:val="24"/>
                <w:szCs w:val="24"/>
                <w:lang w:val="en-US" w:eastAsia="zh-CN"/>
              </w:rPr>
              <w:t>01</w:t>
            </w:r>
            <w:r>
              <w:rPr>
                <w:rFonts w:hint="default" w:ascii="Times New Roman" w:hAnsi="Times New Roman" w:eastAsia="宋体" w:cs="Times New Roman"/>
                <w:b w:val="0"/>
                <w:bCs w:val="0"/>
                <w:color w:val="auto"/>
                <w:sz w:val="24"/>
                <w:szCs w:val="24"/>
                <w:lang w:val="en-US" w:eastAsia="zh-CN"/>
              </w:rPr>
              <w:t>）处理，后由</w:t>
            </w:r>
            <w:r>
              <w:rPr>
                <w:rFonts w:hint="eastAsia" w:cs="Times New Roman"/>
                <w:b w:val="0"/>
                <w:bCs w:val="0"/>
                <w:color w:val="auto"/>
                <w:sz w:val="24"/>
                <w:szCs w:val="24"/>
                <w:lang w:val="en-US" w:eastAsia="zh-CN"/>
              </w:rPr>
              <w:t>26</w:t>
            </w:r>
            <w:r>
              <w:rPr>
                <w:rFonts w:hint="default" w:ascii="Times New Roman" w:hAnsi="Times New Roman" w:eastAsia="宋体" w:cs="Times New Roman"/>
                <w:b w:val="0"/>
                <w:bCs w:val="0"/>
                <w:color w:val="auto"/>
                <w:sz w:val="24"/>
                <w:szCs w:val="24"/>
                <w:lang w:val="en-US" w:eastAsia="zh-CN"/>
              </w:rPr>
              <w:t>m高排气筒（DA0</w:t>
            </w:r>
            <w:r>
              <w:rPr>
                <w:rFonts w:hint="eastAsia" w:ascii="Times New Roman" w:hAnsi="Times New Roman" w:eastAsia="宋体" w:cs="Times New Roman"/>
                <w:b w:val="0"/>
                <w:bCs w:val="0"/>
                <w:color w:val="auto"/>
                <w:sz w:val="24"/>
                <w:szCs w:val="24"/>
                <w:lang w:val="en-US" w:eastAsia="zh-CN"/>
              </w:rPr>
              <w:t>01</w:t>
            </w:r>
            <w:r>
              <w:rPr>
                <w:rFonts w:hint="default" w:ascii="Times New Roman" w:hAnsi="Times New Roman" w:eastAsia="宋体" w:cs="Times New Roman"/>
                <w:b w:val="0"/>
                <w:bCs w:val="0"/>
                <w:color w:val="auto"/>
                <w:sz w:val="24"/>
                <w:szCs w:val="24"/>
                <w:lang w:val="en-US" w:eastAsia="zh-CN"/>
              </w:rPr>
              <w:t>）排放</w:t>
            </w:r>
            <w:r>
              <w:rPr>
                <w:rFonts w:hint="eastAsia" w:cs="Times New Roman"/>
                <w:b w:val="0"/>
                <w:bCs w:val="0"/>
                <w:color w:val="auto"/>
                <w:sz w:val="24"/>
                <w:szCs w:val="24"/>
                <w:lang w:val="en-US" w:eastAsia="zh-CN"/>
              </w:rPr>
              <w:t>。</w:t>
            </w:r>
          </w:p>
        </w:tc>
        <w:tc>
          <w:tcPr>
            <w:tcW w:w="961" w:type="pct"/>
            <w:vMerge w:val="restart"/>
            <w:noWrap w:val="0"/>
            <w:vAlign w:val="center"/>
          </w:tcPr>
          <w:p w14:paraId="210B3E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eastAsia="zh-CN"/>
              </w:rPr>
            </w:pPr>
            <w:r>
              <w:rPr>
                <w:rFonts w:hint="default" w:ascii="Times New Roman" w:hAnsi="Times New Roman" w:eastAsia="宋体" w:cs="Times New Roman"/>
                <w:color w:val="auto"/>
                <w:kern w:val="10"/>
                <w:sz w:val="24"/>
                <w:highlight w:val="none"/>
                <w:lang w:val="en-US" w:eastAsia="zh-CN"/>
              </w:rPr>
              <w:t>《</w:t>
            </w:r>
            <w:r>
              <w:rPr>
                <w:rFonts w:hint="eastAsia" w:cs="Times New Roman"/>
                <w:color w:val="auto"/>
                <w:kern w:val="10"/>
                <w:sz w:val="24"/>
                <w:highlight w:val="none"/>
                <w:lang w:val="en-US" w:eastAsia="zh-CN"/>
              </w:rPr>
              <w:t>水泥工业大气污染物排放标准</w:t>
            </w:r>
            <w:r>
              <w:rPr>
                <w:rFonts w:hint="default" w:ascii="Times New Roman" w:hAnsi="Times New Roman" w:eastAsia="宋体" w:cs="Times New Roman"/>
                <w:color w:val="auto"/>
                <w:kern w:val="10"/>
                <w:sz w:val="24"/>
                <w:highlight w:val="none"/>
                <w:lang w:val="en-US" w:eastAsia="zh-CN"/>
              </w:rPr>
              <w:t>》（</w:t>
            </w:r>
            <w:r>
              <w:rPr>
                <w:rFonts w:hint="eastAsia" w:cs="Times New Roman"/>
                <w:color w:val="auto"/>
                <w:kern w:val="10"/>
                <w:sz w:val="24"/>
                <w:highlight w:val="none"/>
                <w:lang w:val="en-US" w:eastAsia="zh-CN"/>
              </w:rPr>
              <w:t>DB14/3176-2024</w:t>
            </w:r>
            <w:r>
              <w:rPr>
                <w:rFonts w:hint="default" w:ascii="Times New Roman" w:hAnsi="Times New Roman" w:eastAsia="宋体" w:cs="Times New Roman"/>
                <w:color w:val="auto"/>
                <w:kern w:val="10"/>
                <w:sz w:val="24"/>
                <w:highlight w:val="none"/>
                <w:lang w:val="en-US" w:eastAsia="zh-CN"/>
              </w:rPr>
              <w:t>）</w:t>
            </w:r>
          </w:p>
        </w:tc>
      </w:tr>
      <w:tr w14:paraId="747560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599" w:type="pct"/>
            <w:vMerge w:val="continue"/>
            <w:noWrap w:val="0"/>
            <w:vAlign w:val="center"/>
          </w:tcPr>
          <w:p w14:paraId="78964A0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rPr>
            </w:pPr>
          </w:p>
        </w:tc>
        <w:tc>
          <w:tcPr>
            <w:tcW w:w="384" w:type="pct"/>
            <w:noWrap w:val="0"/>
            <w:vAlign w:val="center"/>
          </w:tcPr>
          <w:p w14:paraId="7FAFAEE2">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水稳料生产线</w:t>
            </w:r>
          </w:p>
        </w:tc>
        <w:tc>
          <w:tcPr>
            <w:tcW w:w="729" w:type="pct"/>
            <w:shd w:val="clear" w:color="auto" w:fill="auto"/>
            <w:noWrap w:val="0"/>
            <w:vAlign w:val="center"/>
          </w:tcPr>
          <w:p w14:paraId="69068A31">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上料、搅拌机进料</w:t>
            </w:r>
          </w:p>
        </w:tc>
        <w:tc>
          <w:tcPr>
            <w:tcW w:w="588" w:type="pct"/>
            <w:shd w:val="clear" w:color="auto" w:fill="auto"/>
            <w:noWrap w:val="0"/>
            <w:vAlign w:val="center"/>
          </w:tcPr>
          <w:p w14:paraId="6FEA7F4D">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颗粒物</w:t>
            </w:r>
          </w:p>
        </w:tc>
        <w:tc>
          <w:tcPr>
            <w:tcW w:w="1737" w:type="pct"/>
            <w:shd w:val="clear" w:color="auto" w:fill="auto"/>
            <w:noWrap w:val="0"/>
            <w:vAlign w:val="center"/>
          </w:tcPr>
          <w:p w14:paraId="4DA53B76">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sz w:val="24"/>
                <w:szCs w:val="24"/>
                <w:lang w:val="en-US" w:eastAsia="zh-CN"/>
              </w:rPr>
              <w:t>上料口、搅拌机进料口</w:t>
            </w:r>
            <w:r>
              <w:rPr>
                <w:rFonts w:hint="default" w:ascii="Times New Roman" w:hAnsi="Times New Roman" w:eastAsia="宋体" w:cs="Times New Roman"/>
                <w:b w:val="0"/>
                <w:bCs w:val="0"/>
                <w:color w:val="auto"/>
                <w:sz w:val="24"/>
                <w:szCs w:val="24"/>
                <w:lang w:val="en-US" w:eastAsia="zh-CN"/>
              </w:rPr>
              <w:t>设置集气罩，废气经收集后</w:t>
            </w:r>
            <w:r>
              <w:rPr>
                <w:rFonts w:hint="eastAsia" w:ascii="Times New Roman" w:hAnsi="Times New Roman" w:eastAsia="宋体" w:cs="Times New Roman"/>
                <w:b w:val="0"/>
                <w:bCs w:val="0"/>
                <w:color w:val="auto"/>
                <w:sz w:val="24"/>
                <w:szCs w:val="24"/>
                <w:lang w:val="en-US" w:eastAsia="zh-CN"/>
              </w:rPr>
              <w:t>共用</w:t>
            </w:r>
            <w:r>
              <w:rPr>
                <w:rFonts w:hint="default" w:ascii="Times New Roman" w:hAnsi="Times New Roman" w:eastAsia="宋体" w:cs="Times New Roman"/>
                <w:b w:val="0"/>
                <w:bCs w:val="0"/>
                <w:color w:val="auto"/>
                <w:sz w:val="24"/>
                <w:szCs w:val="24"/>
                <w:lang w:val="en-US" w:eastAsia="zh-CN"/>
              </w:rPr>
              <w:t>1套布袋除尘器（TA0</w:t>
            </w:r>
            <w:r>
              <w:rPr>
                <w:rFonts w:hint="eastAsia" w:ascii="Times New Roman" w:hAnsi="Times New Roman" w:eastAsia="宋体" w:cs="Times New Roman"/>
                <w:b w:val="0"/>
                <w:bCs w:val="0"/>
                <w:color w:val="auto"/>
                <w:sz w:val="24"/>
                <w:szCs w:val="24"/>
                <w:lang w:val="en-US" w:eastAsia="zh-CN"/>
              </w:rPr>
              <w:t>0</w:t>
            </w:r>
            <w:r>
              <w:rPr>
                <w:rFonts w:hint="eastAsia"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lang w:val="en-US" w:eastAsia="zh-CN"/>
              </w:rPr>
              <w:t>）处理，后由</w:t>
            </w:r>
            <w:r>
              <w:rPr>
                <w:rFonts w:hint="eastAsia" w:cs="Times New Roman"/>
                <w:b w:val="0"/>
                <w:bCs w:val="0"/>
                <w:color w:val="auto"/>
                <w:sz w:val="24"/>
                <w:szCs w:val="24"/>
                <w:lang w:val="en-US" w:eastAsia="zh-CN"/>
              </w:rPr>
              <w:t>26</w:t>
            </w:r>
            <w:r>
              <w:rPr>
                <w:rFonts w:hint="default" w:ascii="Times New Roman" w:hAnsi="Times New Roman" w:eastAsia="宋体" w:cs="Times New Roman"/>
                <w:b w:val="0"/>
                <w:bCs w:val="0"/>
                <w:color w:val="auto"/>
                <w:sz w:val="24"/>
                <w:szCs w:val="24"/>
                <w:lang w:val="en-US" w:eastAsia="zh-CN"/>
              </w:rPr>
              <w:t>m高排气筒（DA0</w:t>
            </w:r>
            <w:r>
              <w:rPr>
                <w:rFonts w:hint="eastAsia" w:ascii="Times New Roman" w:hAnsi="Times New Roman" w:eastAsia="宋体" w:cs="Times New Roman"/>
                <w:b w:val="0"/>
                <w:bCs w:val="0"/>
                <w:color w:val="auto"/>
                <w:sz w:val="24"/>
                <w:szCs w:val="24"/>
                <w:lang w:val="en-US" w:eastAsia="zh-CN"/>
              </w:rPr>
              <w:t>0</w:t>
            </w:r>
            <w:r>
              <w:rPr>
                <w:rFonts w:hint="eastAsia"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lang w:val="en-US" w:eastAsia="zh-CN"/>
              </w:rPr>
              <w:t>）排放</w:t>
            </w:r>
            <w:r>
              <w:rPr>
                <w:rFonts w:hint="eastAsia" w:cs="Times New Roman"/>
                <w:b w:val="0"/>
                <w:bCs w:val="0"/>
                <w:color w:val="auto"/>
                <w:sz w:val="24"/>
                <w:szCs w:val="24"/>
                <w:lang w:val="en-US" w:eastAsia="zh-CN"/>
              </w:rPr>
              <w:t>。</w:t>
            </w:r>
          </w:p>
        </w:tc>
        <w:tc>
          <w:tcPr>
            <w:tcW w:w="961" w:type="pct"/>
            <w:vMerge w:val="continue"/>
            <w:noWrap w:val="0"/>
            <w:vAlign w:val="center"/>
          </w:tcPr>
          <w:p w14:paraId="008E9E8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eastAsia="zh-CN"/>
              </w:rPr>
            </w:pPr>
          </w:p>
        </w:tc>
      </w:tr>
      <w:tr w14:paraId="00CE92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599" w:type="pct"/>
            <w:vMerge w:val="continue"/>
            <w:noWrap w:val="0"/>
            <w:vAlign w:val="center"/>
          </w:tcPr>
          <w:p w14:paraId="2794A85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rPr>
            </w:pPr>
          </w:p>
        </w:tc>
        <w:tc>
          <w:tcPr>
            <w:tcW w:w="384" w:type="pct"/>
            <w:vMerge w:val="restart"/>
            <w:noWrap w:val="0"/>
            <w:vAlign w:val="center"/>
          </w:tcPr>
          <w:p w14:paraId="4410D766">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湿拌砂浆生产线</w:t>
            </w:r>
          </w:p>
        </w:tc>
        <w:tc>
          <w:tcPr>
            <w:tcW w:w="729" w:type="pct"/>
            <w:shd w:val="clear" w:color="auto" w:fill="auto"/>
            <w:noWrap w:val="0"/>
            <w:vAlign w:val="center"/>
          </w:tcPr>
          <w:p w14:paraId="0F3D8B0C">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上料、搅拌机进料</w:t>
            </w:r>
          </w:p>
        </w:tc>
        <w:tc>
          <w:tcPr>
            <w:tcW w:w="588" w:type="pct"/>
            <w:shd w:val="clear" w:color="auto" w:fill="auto"/>
            <w:noWrap w:val="0"/>
            <w:vAlign w:val="center"/>
          </w:tcPr>
          <w:p w14:paraId="7F02084B">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颗粒物</w:t>
            </w:r>
          </w:p>
        </w:tc>
        <w:tc>
          <w:tcPr>
            <w:tcW w:w="1737" w:type="pct"/>
            <w:shd w:val="clear" w:color="auto" w:fill="auto"/>
            <w:noWrap w:val="0"/>
            <w:vAlign w:val="center"/>
          </w:tcPr>
          <w:p w14:paraId="06486102">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lang w:val="en-US" w:eastAsia="zh-CN"/>
              </w:rPr>
              <w:t>上料口、搅拌机进料口设置集气罩，废气经收集后</w:t>
            </w:r>
            <w:r>
              <w:rPr>
                <w:rFonts w:hint="eastAsia" w:ascii="Times New Roman" w:hAnsi="Times New Roman" w:eastAsia="宋体" w:cs="Times New Roman"/>
                <w:b w:val="0"/>
                <w:bCs w:val="0"/>
                <w:color w:val="auto"/>
                <w:sz w:val="24"/>
                <w:szCs w:val="24"/>
                <w:lang w:val="en-US" w:eastAsia="zh-CN"/>
              </w:rPr>
              <w:t>共用</w:t>
            </w:r>
            <w:r>
              <w:rPr>
                <w:rFonts w:hint="default" w:ascii="Times New Roman" w:hAnsi="Times New Roman" w:eastAsia="宋体" w:cs="Times New Roman"/>
                <w:b w:val="0"/>
                <w:bCs w:val="0"/>
                <w:color w:val="auto"/>
                <w:sz w:val="24"/>
                <w:szCs w:val="24"/>
                <w:lang w:val="en-US" w:eastAsia="zh-CN"/>
              </w:rPr>
              <w:t>1套布袋除尘器（TA0</w:t>
            </w:r>
            <w:r>
              <w:rPr>
                <w:rFonts w:hint="eastAsia" w:ascii="Times New Roman" w:hAnsi="Times New Roman" w:eastAsia="宋体" w:cs="Times New Roman"/>
                <w:b w:val="0"/>
                <w:bCs w:val="0"/>
                <w:color w:val="auto"/>
                <w:sz w:val="24"/>
                <w:szCs w:val="24"/>
                <w:lang w:val="en-US" w:eastAsia="zh-CN"/>
              </w:rPr>
              <w:t>03</w:t>
            </w:r>
            <w:r>
              <w:rPr>
                <w:rFonts w:hint="default" w:ascii="Times New Roman" w:hAnsi="Times New Roman" w:eastAsia="宋体" w:cs="Times New Roman"/>
                <w:b w:val="0"/>
                <w:bCs w:val="0"/>
                <w:color w:val="auto"/>
                <w:sz w:val="24"/>
                <w:szCs w:val="24"/>
                <w:lang w:val="en-US" w:eastAsia="zh-CN"/>
              </w:rPr>
              <w:t>）处理，后由</w:t>
            </w:r>
            <w:r>
              <w:rPr>
                <w:rFonts w:hint="eastAsia" w:cs="Times New Roman"/>
                <w:b w:val="0"/>
                <w:bCs w:val="0"/>
                <w:color w:val="auto"/>
                <w:sz w:val="24"/>
                <w:szCs w:val="24"/>
                <w:lang w:val="en-US" w:eastAsia="zh-CN"/>
              </w:rPr>
              <w:t>26</w:t>
            </w:r>
            <w:r>
              <w:rPr>
                <w:rFonts w:hint="default" w:ascii="Times New Roman" w:hAnsi="Times New Roman" w:eastAsia="宋体" w:cs="Times New Roman"/>
                <w:b w:val="0"/>
                <w:bCs w:val="0"/>
                <w:color w:val="auto"/>
                <w:sz w:val="24"/>
                <w:szCs w:val="24"/>
                <w:highlight w:val="none"/>
                <w:lang w:val="en-US" w:eastAsia="zh-CN"/>
              </w:rPr>
              <w:t>m</w:t>
            </w:r>
            <w:r>
              <w:rPr>
                <w:rFonts w:hint="default" w:ascii="Times New Roman" w:hAnsi="Times New Roman" w:eastAsia="宋体" w:cs="Times New Roman"/>
                <w:b w:val="0"/>
                <w:bCs w:val="0"/>
                <w:color w:val="auto"/>
                <w:sz w:val="24"/>
                <w:szCs w:val="24"/>
                <w:lang w:val="en-US" w:eastAsia="zh-CN"/>
              </w:rPr>
              <w:t>高排气筒（DA0</w:t>
            </w:r>
            <w:r>
              <w:rPr>
                <w:rFonts w:hint="eastAsia" w:ascii="Times New Roman" w:hAnsi="Times New Roman" w:eastAsia="宋体" w:cs="Times New Roman"/>
                <w:b w:val="0"/>
                <w:bCs w:val="0"/>
                <w:color w:val="auto"/>
                <w:sz w:val="24"/>
                <w:szCs w:val="24"/>
                <w:lang w:val="en-US" w:eastAsia="zh-CN"/>
              </w:rPr>
              <w:t>03</w:t>
            </w:r>
            <w:r>
              <w:rPr>
                <w:rFonts w:hint="default" w:ascii="Times New Roman" w:hAnsi="Times New Roman" w:eastAsia="宋体" w:cs="Times New Roman"/>
                <w:b w:val="0"/>
                <w:bCs w:val="0"/>
                <w:color w:val="auto"/>
                <w:sz w:val="24"/>
                <w:szCs w:val="24"/>
                <w:lang w:val="en-US" w:eastAsia="zh-CN"/>
              </w:rPr>
              <w:t>）排放</w:t>
            </w:r>
            <w:r>
              <w:rPr>
                <w:rFonts w:hint="eastAsia" w:cs="Times New Roman"/>
                <w:b w:val="0"/>
                <w:bCs w:val="0"/>
                <w:color w:val="auto"/>
                <w:sz w:val="24"/>
                <w:szCs w:val="24"/>
                <w:lang w:val="en-US" w:eastAsia="zh-CN"/>
              </w:rPr>
              <w:t>。</w:t>
            </w:r>
          </w:p>
        </w:tc>
        <w:tc>
          <w:tcPr>
            <w:tcW w:w="961" w:type="pct"/>
            <w:vMerge w:val="continue"/>
            <w:noWrap w:val="0"/>
            <w:vAlign w:val="center"/>
          </w:tcPr>
          <w:p w14:paraId="0BFE8ED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eastAsia="zh-CN"/>
              </w:rPr>
            </w:pPr>
          </w:p>
        </w:tc>
      </w:tr>
      <w:tr w14:paraId="3B18CB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599" w:type="pct"/>
            <w:vMerge w:val="continue"/>
            <w:noWrap w:val="0"/>
            <w:vAlign w:val="center"/>
          </w:tcPr>
          <w:p w14:paraId="11E0AC0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rPr>
            </w:pPr>
          </w:p>
        </w:tc>
        <w:tc>
          <w:tcPr>
            <w:tcW w:w="384" w:type="pct"/>
            <w:vMerge w:val="continue"/>
            <w:noWrap w:val="0"/>
            <w:vAlign w:val="center"/>
          </w:tcPr>
          <w:p w14:paraId="430436DF">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Times New Roman" w:hAnsi="Times New Roman" w:eastAsia="宋体" w:cs="Times New Roman"/>
                <w:b w:val="0"/>
                <w:bCs w:val="0"/>
                <w:color w:val="auto"/>
                <w:kern w:val="2"/>
                <w:sz w:val="24"/>
                <w:szCs w:val="24"/>
                <w:lang w:val="en-US" w:eastAsia="zh-CN" w:bidi="ar-SA"/>
              </w:rPr>
            </w:pPr>
          </w:p>
        </w:tc>
        <w:tc>
          <w:tcPr>
            <w:tcW w:w="729" w:type="pct"/>
            <w:shd w:val="clear" w:color="auto" w:fill="auto"/>
            <w:noWrap w:val="0"/>
            <w:vAlign w:val="center"/>
          </w:tcPr>
          <w:p w14:paraId="770A7C8F">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水泥料仓</w:t>
            </w:r>
          </w:p>
        </w:tc>
        <w:tc>
          <w:tcPr>
            <w:tcW w:w="588" w:type="pct"/>
            <w:shd w:val="clear" w:color="auto" w:fill="auto"/>
            <w:noWrap w:val="0"/>
            <w:vAlign w:val="center"/>
          </w:tcPr>
          <w:p w14:paraId="7DF27F78">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颗粒物</w:t>
            </w:r>
          </w:p>
        </w:tc>
        <w:tc>
          <w:tcPr>
            <w:tcW w:w="1737" w:type="pct"/>
            <w:shd w:val="clear" w:color="auto" w:fill="auto"/>
            <w:noWrap w:val="0"/>
            <w:vAlign w:val="center"/>
          </w:tcPr>
          <w:p w14:paraId="640388DE">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sz w:val="24"/>
                <w:szCs w:val="24"/>
                <w:highlight w:val="none"/>
                <w:lang w:val="en-US" w:eastAsia="zh-CN"/>
              </w:rPr>
              <w:t>水泥料仓1</w:t>
            </w:r>
            <w:r>
              <w:rPr>
                <w:rFonts w:hint="default" w:ascii="Times New Roman" w:hAnsi="Times New Roman" w:eastAsia="宋体" w:cs="Times New Roman"/>
                <w:b w:val="0"/>
                <w:bCs w:val="0"/>
                <w:color w:val="auto"/>
                <w:sz w:val="24"/>
                <w:szCs w:val="24"/>
                <w:highlight w:val="none"/>
                <w:lang w:val="en-US" w:eastAsia="zh-CN"/>
              </w:rPr>
              <w:t>座，经仓顶布袋除尘器（TA0</w:t>
            </w:r>
            <w:r>
              <w:rPr>
                <w:rFonts w:hint="eastAsia" w:ascii="Times New Roman" w:hAnsi="Times New Roman" w:eastAsia="宋体" w:cs="Times New Roman"/>
                <w:b w:val="0"/>
                <w:bCs w:val="0"/>
                <w:color w:val="auto"/>
                <w:sz w:val="24"/>
                <w:szCs w:val="24"/>
                <w:highlight w:val="none"/>
                <w:lang w:val="en-US" w:eastAsia="zh-CN"/>
              </w:rPr>
              <w:t>04</w:t>
            </w:r>
            <w:r>
              <w:rPr>
                <w:rFonts w:hint="default" w:ascii="Times New Roman" w:hAnsi="Times New Roman" w:eastAsia="宋体" w:cs="Times New Roman"/>
                <w:b w:val="0"/>
                <w:bCs w:val="0"/>
                <w:color w:val="auto"/>
                <w:sz w:val="24"/>
                <w:szCs w:val="24"/>
                <w:highlight w:val="none"/>
                <w:lang w:val="en-US" w:eastAsia="zh-CN"/>
              </w:rPr>
              <w:t>）处理后通过1根</w:t>
            </w:r>
            <w:r>
              <w:rPr>
                <w:rFonts w:hint="eastAsia" w:ascii="Times New Roman" w:hAnsi="Times New Roman" w:eastAsia="宋体" w:cs="Times New Roman"/>
                <w:b w:val="0"/>
                <w:bCs w:val="0"/>
                <w:color w:val="auto"/>
                <w:sz w:val="24"/>
                <w:szCs w:val="24"/>
                <w:highlight w:val="none"/>
                <w:lang w:val="en-US" w:eastAsia="zh-CN"/>
              </w:rPr>
              <w:t>15</w:t>
            </w:r>
            <w:r>
              <w:rPr>
                <w:rFonts w:hint="default" w:ascii="Times New Roman" w:hAnsi="Times New Roman" w:eastAsia="宋体" w:cs="Times New Roman"/>
                <w:b w:val="0"/>
                <w:bCs w:val="0"/>
                <w:color w:val="auto"/>
                <w:sz w:val="24"/>
                <w:szCs w:val="24"/>
                <w:highlight w:val="none"/>
                <w:lang w:val="en-US" w:eastAsia="zh-CN"/>
              </w:rPr>
              <w:t>m高排气筒（DA0</w:t>
            </w:r>
            <w:r>
              <w:rPr>
                <w:rFonts w:hint="eastAsia" w:ascii="Times New Roman" w:hAnsi="Times New Roman" w:eastAsia="宋体" w:cs="Times New Roman"/>
                <w:b w:val="0"/>
                <w:bCs w:val="0"/>
                <w:color w:val="auto"/>
                <w:sz w:val="24"/>
                <w:szCs w:val="24"/>
                <w:highlight w:val="none"/>
                <w:lang w:val="en-US" w:eastAsia="zh-CN"/>
              </w:rPr>
              <w:t>04</w:t>
            </w:r>
            <w:r>
              <w:rPr>
                <w:rFonts w:hint="default" w:ascii="Times New Roman" w:hAnsi="Times New Roman" w:eastAsia="宋体" w:cs="Times New Roman"/>
                <w:b w:val="0"/>
                <w:bCs w:val="0"/>
                <w:color w:val="auto"/>
                <w:sz w:val="24"/>
                <w:szCs w:val="24"/>
                <w:highlight w:val="none"/>
                <w:lang w:val="en-US" w:eastAsia="zh-CN"/>
              </w:rPr>
              <w:t>）排放</w:t>
            </w:r>
            <w:r>
              <w:rPr>
                <w:rFonts w:hint="eastAsia" w:cs="Times New Roman"/>
                <w:b w:val="0"/>
                <w:bCs w:val="0"/>
                <w:color w:val="auto"/>
                <w:sz w:val="24"/>
                <w:szCs w:val="24"/>
                <w:highlight w:val="none"/>
                <w:lang w:val="en-US" w:eastAsia="zh-CN"/>
              </w:rPr>
              <w:t>。</w:t>
            </w:r>
          </w:p>
        </w:tc>
        <w:tc>
          <w:tcPr>
            <w:tcW w:w="961" w:type="pct"/>
            <w:vMerge w:val="continue"/>
            <w:noWrap w:val="0"/>
            <w:vAlign w:val="center"/>
          </w:tcPr>
          <w:p w14:paraId="020770A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eastAsia="zh-CN"/>
              </w:rPr>
            </w:pPr>
          </w:p>
        </w:tc>
      </w:tr>
      <w:tr w14:paraId="3B7768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599" w:type="pct"/>
            <w:vMerge w:val="continue"/>
            <w:noWrap w:val="0"/>
            <w:vAlign w:val="center"/>
          </w:tcPr>
          <w:p w14:paraId="3BB0A79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rPr>
            </w:pPr>
          </w:p>
        </w:tc>
        <w:tc>
          <w:tcPr>
            <w:tcW w:w="384" w:type="pct"/>
            <w:vMerge w:val="continue"/>
            <w:noWrap w:val="0"/>
            <w:vAlign w:val="center"/>
          </w:tcPr>
          <w:p w14:paraId="59042F9B">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Times New Roman" w:hAnsi="Times New Roman" w:eastAsia="宋体" w:cs="Times New Roman"/>
                <w:b w:val="0"/>
                <w:bCs w:val="0"/>
                <w:color w:val="auto"/>
                <w:kern w:val="2"/>
                <w:sz w:val="24"/>
                <w:szCs w:val="24"/>
                <w:lang w:val="en-US" w:eastAsia="zh-CN" w:bidi="ar-SA"/>
              </w:rPr>
            </w:pPr>
          </w:p>
        </w:tc>
        <w:tc>
          <w:tcPr>
            <w:tcW w:w="729" w:type="pct"/>
            <w:shd w:val="clear" w:color="auto" w:fill="auto"/>
            <w:noWrap w:val="0"/>
            <w:vAlign w:val="center"/>
          </w:tcPr>
          <w:p w14:paraId="19C9550F">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粉煤灰料仓</w:t>
            </w:r>
          </w:p>
        </w:tc>
        <w:tc>
          <w:tcPr>
            <w:tcW w:w="588" w:type="pct"/>
            <w:shd w:val="clear" w:color="auto" w:fill="auto"/>
            <w:noWrap w:val="0"/>
            <w:vAlign w:val="center"/>
          </w:tcPr>
          <w:p w14:paraId="4F2D1495">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颗粒物</w:t>
            </w:r>
          </w:p>
        </w:tc>
        <w:tc>
          <w:tcPr>
            <w:tcW w:w="1737" w:type="pct"/>
            <w:shd w:val="clear" w:color="auto" w:fill="auto"/>
            <w:noWrap w:val="0"/>
            <w:vAlign w:val="center"/>
          </w:tcPr>
          <w:p w14:paraId="445A4E38">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sz w:val="24"/>
                <w:szCs w:val="24"/>
                <w:highlight w:val="none"/>
                <w:lang w:val="en-US" w:eastAsia="zh-CN"/>
              </w:rPr>
              <w:t>粉煤灰料仓1</w:t>
            </w:r>
            <w:r>
              <w:rPr>
                <w:rFonts w:hint="default" w:ascii="Times New Roman" w:hAnsi="Times New Roman" w:eastAsia="宋体" w:cs="Times New Roman"/>
                <w:b w:val="0"/>
                <w:bCs w:val="0"/>
                <w:color w:val="auto"/>
                <w:sz w:val="24"/>
                <w:szCs w:val="24"/>
                <w:highlight w:val="none"/>
                <w:lang w:val="en-US" w:eastAsia="zh-CN"/>
              </w:rPr>
              <w:t>座，经仓顶布袋除尘器（TA0</w:t>
            </w:r>
            <w:r>
              <w:rPr>
                <w:rFonts w:hint="eastAsia" w:ascii="Times New Roman" w:hAnsi="Times New Roman" w:eastAsia="宋体" w:cs="Times New Roman"/>
                <w:b w:val="0"/>
                <w:bCs w:val="0"/>
                <w:color w:val="auto"/>
                <w:sz w:val="24"/>
                <w:szCs w:val="24"/>
                <w:highlight w:val="none"/>
                <w:lang w:val="en-US" w:eastAsia="zh-CN"/>
              </w:rPr>
              <w:t>05</w:t>
            </w:r>
            <w:r>
              <w:rPr>
                <w:rFonts w:hint="default" w:ascii="Times New Roman" w:hAnsi="Times New Roman" w:eastAsia="宋体" w:cs="Times New Roman"/>
                <w:b w:val="0"/>
                <w:bCs w:val="0"/>
                <w:color w:val="auto"/>
                <w:sz w:val="24"/>
                <w:szCs w:val="24"/>
                <w:highlight w:val="none"/>
                <w:lang w:val="en-US" w:eastAsia="zh-CN"/>
              </w:rPr>
              <w:t>）处理后通过1根</w:t>
            </w:r>
            <w:r>
              <w:rPr>
                <w:rFonts w:hint="eastAsia" w:ascii="Times New Roman" w:hAnsi="Times New Roman" w:eastAsia="宋体" w:cs="Times New Roman"/>
                <w:b w:val="0"/>
                <w:bCs w:val="0"/>
                <w:color w:val="auto"/>
                <w:sz w:val="24"/>
                <w:szCs w:val="24"/>
                <w:highlight w:val="none"/>
                <w:lang w:val="en-US" w:eastAsia="zh-CN"/>
              </w:rPr>
              <w:t>15</w:t>
            </w:r>
            <w:r>
              <w:rPr>
                <w:rFonts w:hint="default" w:ascii="Times New Roman" w:hAnsi="Times New Roman" w:eastAsia="宋体" w:cs="Times New Roman"/>
                <w:b w:val="0"/>
                <w:bCs w:val="0"/>
                <w:color w:val="auto"/>
                <w:sz w:val="24"/>
                <w:szCs w:val="24"/>
                <w:highlight w:val="none"/>
                <w:lang w:val="en-US" w:eastAsia="zh-CN"/>
              </w:rPr>
              <w:t>m高排气筒（DA0</w:t>
            </w:r>
            <w:r>
              <w:rPr>
                <w:rFonts w:hint="eastAsia" w:ascii="Times New Roman" w:hAnsi="Times New Roman" w:eastAsia="宋体" w:cs="Times New Roman"/>
                <w:b w:val="0"/>
                <w:bCs w:val="0"/>
                <w:color w:val="auto"/>
                <w:sz w:val="24"/>
                <w:szCs w:val="24"/>
                <w:highlight w:val="none"/>
                <w:lang w:val="en-US" w:eastAsia="zh-CN"/>
              </w:rPr>
              <w:t>05</w:t>
            </w:r>
            <w:r>
              <w:rPr>
                <w:rFonts w:hint="default" w:ascii="Times New Roman" w:hAnsi="Times New Roman" w:eastAsia="宋体" w:cs="Times New Roman"/>
                <w:b w:val="0"/>
                <w:bCs w:val="0"/>
                <w:color w:val="auto"/>
                <w:sz w:val="24"/>
                <w:szCs w:val="24"/>
                <w:highlight w:val="none"/>
                <w:lang w:val="en-US" w:eastAsia="zh-CN"/>
              </w:rPr>
              <w:t>）排放</w:t>
            </w:r>
            <w:r>
              <w:rPr>
                <w:rFonts w:hint="eastAsia" w:cs="Times New Roman"/>
                <w:b w:val="0"/>
                <w:bCs w:val="0"/>
                <w:color w:val="auto"/>
                <w:sz w:val="24"/>
                <w:szCs w:val="24"/>
                <w:highlight w:val="none"/>
                <w:lang w:val="en-US" w:eastAsia="zh-CN"/>
              </w:rPr>
              <w:t>。</w:t>
            </w:r>
          </w:p>
        </w:tc>
        <w:tc>
          <w:tcPr>
            <w:tcW w:w="961" w:type="pct"/>
            <w:vMerge w:val="continue"/>
            <w:noWrap w:val="0"/>
            <w:vAlign w:val="center"/>
          </w:tcPr>
          <w:p w14:paraId="076487D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eastAsia="zh-CN"/>
              </w:rPr>
            </w:pPr>
          </w:p>
        </w:tc>
      </w:tr>
      <w:tr w14:paraId="5EFE65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599" w:type="pct"/>
            <w:vMerge w:val="continue"/>
            <w:noWrap w:val="0"/>
            <w:vAlign w:val="center"/>
          </w:tcPr>
          <w:p w14:paraId="7D3A771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rPr>
            </w:pPr>
          </w:p>
        </w:tc>
        <w:tc>
          <w:tcPr>
            <w:tcW w:w="384" w:type="pct"/>
            <w:vMerge w:val="restart"/>
            <w:noWrap w:val="0"/>
            <w:vAlign w:val="center"/>
          </w:tcPr>
          <w:p w14:paraId="42BD717F">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预制构件生产线</w:t>
            </w:r>
          </w:p>
        </w:tc>
        <w:tc>
          <w:tcPr>
            <w:tcW w:w="729" w:type="pct"/>
            <w:shd w:val="clear" w:color="auto" w:fill="auto"/>
            <w:noWrap w:val="0"/>
            <w:vAlign w:val="center"/>
          </w:tcPr>
          <w:p w14:paraId="553551DD">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上料、搅拌机进料、焊接</w:t>
            </w:r>
          </w:p>
        </w:tc>
        <w:tc>
          <w:tcPr>
            <w:tcW w:w="588" w:type="pct"/>
            <w:shd w:val="clear" w:color="auto" w:fill="auto"/>
            <w:noWrap w:val="0"/>
            <w:vAlign w:val="center"/>
          </w:tcPr>
          <w:p w14:paraId="40586C29">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颗粒物</w:t>
            </w:r>
          </w:p>
        </w:tc>
        <w:tc>
          <w:tcPr>
            <w:tcW w:w="1737" w:type="pct"/>
            <w:shd w:val="clear" w:color="auto" w:fill="auto"/>
            <w:noWrap w:val="0"/>
            <w:vAlign w:val="center"/>
          </w:tcPr>
          <w:p w14:paraId="61378C0D">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sz w:val="24"/>
                <w:szCs w:val="24"/>
                <w:lang w:val="en-US" w:eastAsia="zh-CN"/>
              </w:rPr>
              <w:t>上料口、搅拌机进料口</w:t>
            </w:r>
            <w:r>
              <w:rPr>
                <w:rFonts w:hint="default" w:ascii="Times New Roman" w:hAnsi="Times New Roman" w:eastAsia="宋体" w:cs="Times New Roman"/>
                <w:b w:val="0"/>
                <w:bCs w:val="0"/>
                <w:color w:val="auto"/>
                <w:sz w:val="24"/>
                <w:szCs w:val="24"/>
                <w:lang w:val="en-US" w:eastAsia="zh-CN"/>
              </w:rPr>
              <w:t>设置集气罩，</w:t>
            </w:r>
            <w:r>
              <w:rPr>
                <w:rFonts w:hint="eastAsia" w:ascii="Times New Roman" w:hAnsi="Times New Roman" w:eastAsia="宋体" w:cs="Times New Roman"/>
                <w:color w:val="auto"/>
                <w:kern w:val="0"/>
                <w:sz w:val="24"/>
                <w:szCs w:val="24"/>
                <w:highlight w:val="none"/>
                <w:lang w:val="en-US" w:eastAsia="zh-CN"/>
              </w:rPr>
              <w:t>每个焊接工位上设置移动式集气臂，</w:t>
            </w:r>
            <w:r>
              <w:rPr>
                <w:rFonts w:hint="default" w:ascii="Times New Roman" w:hAnsi="Times New Roman" w:eastAsia="宋体" w:cs="Times New Roman"/>
                <w:b w:val="0"/>
                <w:bCs w:val="0"/>
                <w:color w:val="auto"/>
                <w:sz w:val="24"/>
                <w:szCs w:val="24"/>
                <w:lang w:val="en-US" w:eastAsia="zh-CN"/>
              </w:rPr>
              <w:t>废气经收集后</w:t>
            </w:r>
            <w:r>
              <w:rPr>
                <w:rFonts w:hint="eastAsia" w:ascii="Times New Roman" w:hAnsi="Times New Roman" w:eastAsia="宋体" w:cs="Times New Roman"/>
                <w:b w:val="0"/>
                <w:bCs w:val="0"/>
                <w:color w:val="auto"/>
                <w:sz w:val="24"/>
                <w:szCs w:val="24"/>
                <w:lang w:val="en-US" w:eastAsia="zh-CN"/>
              </w:rPr>
              <w:t>共用</w:t>
            </w:r>
            <w:r>
              <w:rPr>
                <w:rFonts w:hint="default" w:ascii="Times New Roman" w:hAnsi="Times New Roman" w:eastAsia="宋体" w:cs="Times New Roman"/>
                <w:b w:val="0"/>
                <w:bCs w:val="0"/>
                <w:color w:val="auto"/>
                <w:sz w:val="24"/>
                <w:szCs w:val="24"/>
                <w:lang w:val="en-US" w:eastAsia="zh-CN"/>
              </w:rPr>
              <w:t>1套布袋除尘器（TA0</w:t>
            </w:r>
            <w:r>
              <w:rPr>
                <w:rFonts w:hint="eastAsia" w:ascii="Times New Roman" w:hAnsi="Times New Roman" w:eastAsia="宋体" w:cs="Times New Roman"/>
                <w:b w:val="0"/>
                <w:bCs w:val="0"/>
                <w:color w:val="auto"/>
                <w:sz w:val="24"/>
                <w:szCs w:val="24"/>
                <w:lang w:val="en-US" w:eastAsia="zh-CN"/>
              </w:rPr>
              <w:t>06</w:t>
            </w:r>
            <w:r>
              <w:rPr>
                <w:rFonts w:hint="default" w:ascii="Times New Roman" w:hAnsi="Times New Roman" w:eastAsia="宋体" w:cs="Times New Roman"/>
                <w:b w:val="0"/>
                <w:bCs w:val="0"/>
                <w:color w:val="auto"/>
                <w:sz w:val="24"/>
                <w:szCs w:val="24"/>
                <w:lang w:val="en-US" w:eastAsia="zh-CN"/>
              </w:rPr>
              <w:t>）处理，后由</w:t>
            </w:r>
            <w:r>
              <w:rPr>
                <w:rFonts w:hint="eastAsia" w:ascii="Times New Roman" w:hAnsi="Times New Roman" w:eastAsia="宋体" w:cs="Times New Roman"/>
                <w:b w:val="0"/>
                <w:bCs w:val="0"/>
                <w:color w:val="auto"/>
                <w:sz w:val="24"/>
                <w:szCs w:val="24"/>
                <w:highlight w:val="none"/>
                <w:lang w:val="en-US" w:eastAsia="zh-CN"/>
              </w:rPr>
              <w:t>15</w:t>
            </w:r>
            <w:r>
              <w:rPr>
                <w:rFonts w:hint="default" w:ascii="Times New Roman" w:hAnsi="Times New Roman" w:eastAsia="宋体" w:cs="Times New Roman"/>
                <w:b w:val="0"/>
                <w:bCs w:val="0"/>
                <w:color w:val="auto"/>
                <w:sz w:val="24"/>
                <w:szCs w:val="24"/>
                <w:highlight w:val="none"/>
                <w:lang w:val="en-US" w:eastAsia="zh-CN"/>
              </w:rPr>
              <w:t>m</w:t>
            </w:r>
            <w:r>
              <w:rPr>
                <w:rFonts w:hint="default" w:ascii="Times New Roman" w:hAnsi="Times New Roman" w:eastAsia="宋体" w:cs="Times New Roman"/>
                <w:b w:val="0"/>
                <w:bCs w:val="0"/>
                <w:color w:val="auto"/>
                <w:sz w:val="24"/>
                <w:szCs w:val="24"/>
                <w:lang w:val="en-US" w:eastAsia="zh-CN"/>
              </w:rPr>
              <w:t>高排气筒（DA0</w:t>
            </w:r>
            <w:r>
              <w:rPr>
                <w:rFonts w:hint="eastAsia" w:ascii="Times New Roman" w:hAnsi="Times New Roman" w:eastAsia="宋体" w:cs="Times New Roman"/>
                <w:b w:val="0"/>
                <w:bCs w:val="0"/>
                <w:color w:val="auto"/>
                <w:sz w:val="24"/>
                <w:szCs w:val="24"/>
                <w:lang w:val="en-US" w:eastAsia="zh-CN"/>
              </w:rPr>
              <w:t>06</w:t>
            </w:r>
            <w:r>
              <w:rPr>
                <w:rFonts w:hint="default" w:ascii="Times New Roman" w:hAnsi="Times New Roman" w:eastAsia="宋体" w:cs="Times New Roman"/>
                <w:b w:val="0"/>
                <w:bCs w:val="0"/>
                <w:color w:val="auto"/>
                <w:sz w:val="24"/>
                <w:szCs w:val="24"/>
                <w:lang w:val="en-US" w:eastAsia="zh-CN"/>
              </w:rPr>
              <w:t>）排放</w:t>
            </w:r>
            <w:r>
              <w:rPr>
                <w:rFonts w:hint="eastAsia" w:cs="Times New Roman"/>
                <w:b w:val="0"/>
                <w:bCs w:val="0"/>
                <w:color w:val="auto"/>
                <w:sz w:val="24"/>
                <w:szCs w:val="24"/>
                <w:lang w:val="en-US" w:eastAsia="zh-CN"/>
              </w:rPr>
              <w:t>。</w:t>
            </w:r>
          </w:p>
        </w:tc>
        <w:tc>
          <w:tcPr>
            <w:tcW w:w="961" w:type="pct"/>
            <w:vMerge w:val="continue"/>
            <w:noWrap w:val="0"/>
            <w:vAlign w:val="center"/>
          </w:tcPr>
          <w:p w14:paraId="4D41F03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eastAsia="zh-CN"/>
              </w:rPr>
            </w:pPr>
          </w:p>
        </w:tc>
      </w:tr>
      <w:tr w14:paraId="0A6843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599" w:type="pct"/>
            <w:vMerge w:val="continue"/>
            <w:noWrap w:val="0"/>
            <w:vAlign w:val="center"/>
          </w:tcPr>
          <w:p w14:paraId="7632941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rPr>
            </w:pPr>
          </w:p>
        </w:tc>
        <w:tc>
          <w:tcPr>
            <w:tcW w:w="384" w:type="pct"/>
            <w:vMerge w:val="continue"/>
            <w:noWrap w:val="0"/>
            <w:vAlign w:val="center"/>
          </w:tcPr>
          <w:p w14:paraId="781CA1F4">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Times New Roman" w:hAnsi="Times New Roman" w:eastAsia="宋体" w:cs="Times New Roman"/>
                <w:b w:val="0"/>
                <w:bCs w:val="0"/>
                <w:color w:val="auto"/>
                <w:kern w:val="2"/>
                <w:sz w:val="24"/>
                <w:szCs w:val="24"/>
                <w:lang w:val="en-US" w:eastAsia="zh-CN" w:bidi="ar-SA"/>
              </w:rPr>
            </w:pPr>
          </w:p>
        </w:tc>
        <w:tc>
          <w:tcPr>
            <w:tcW w:w="729" w:type="pct"/>
            <w:shd w:val="clear" w:color="auto" w:fill="auto"/>
            <w:noWrap w:val="0"/>
            <w:vAlign w:val="center"/>
          </w:tcPr>
          <w:p w14:paraId="15E62105">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水泥料仓</w:t>
            </w:r>
          </w:p>
        </w:tc>
        <w:tc>
          <w:tcPr>
            <w:tcW w:w="588" w:type="pct"/>
            <w:shd w:val="clear" w:color="auto" w:fill="auto"/>
            <w:noWrap w:val="0"/>
            <w:vAlign w:val="center"/>
          </w:tcPr>
          <w:p w14:paraId="61E5B591">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颗粒物</w:t>
            </w:r>
          </w:p>
        </w:tc>
        <w:tc>
          <w:tcPr>
            <w:tcW w:w="1737" w:type="pct"/>
            <w:shd w:val="clear" w:color="auto" w:fill="auto"/>
            <w:noWrap w:val="0"/>
            <w:vAlign w:val="center"/>
          </w:tcPr>
          <w:p w14:paraId="68E3819E">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eastAsia="宋体" w:cs="Times New Roman"/>
                <w:b w:val="0"/>
                <w:bCs w:val="0"/>
                <w:color w:val="auto"/>
                <w:sz w:val="24"/>
                <w:szCs w:val="24"/>
                <w:highlight w:val="none"/>
                <w:lang w:val="en-US" w:eastAsia="zh-CN"/>
              </w:rPr>
              <w:t>水泥料仓1</w:t>
            </w:r>
            <w:r>
              <w:rPr>
                <w:rFonts w:hint="default" w:ascii="Times New Roman" w:hAnsi="Times New Roman" w:eastAsia="宋体" w:cs="Times New Roman"/>
                <w:b w:val="0"/>
                <w:bCs w:val="0"/>
                <w:color w:val="auto"/>
                <w:sz w:val="24"/>
                <w:szCs w:val="24"/>
                <w:highlight w:val="none"/>
                <w:lang w:val="en-US" w:eastAsia="zh-CN"/>
              </w:rPr>
              <w:t>座，经仓顶布袋除尘器（TA0</w:t>
            </w:r>
            <w:r>
              <w:rPr>
                <w:rFonts w:hint="eastAsia" w:ascii="Times New Roman" w:hAnsi="Times New Roman" w:eastAsia="宋体" w:cs="Times New Roman"/>
                <w:b w:val="0"/>
                <w:bCs w:val="0"/>
                <w:color w:val="auto"/>
                <w:sz w:val="24"/>
                <w:szCs w:val="24"/>
                <w:highlight w:val="none"/>
                <w:lang w:val="en-US" w:eastAsia="zh-CN"/>
              </w:rPr>
              <w:t>07</w:t>
            </w:r>
            <w:r>
              <w:rPr>
                <w:rFonts w:hint="default" w:ascii="Times New Roman" w:hAnsi="Times New Roman" w:eastAsia="宋体" w:cs="Times New Roman"/>
                <w:b w:val="0"/>
                <w:bCs w:val="0"/>
                <w:color w:val="auto"/>
                <w:sz w:val="24"/>
                <w:szCs w:val="24"/>
                <w:highlight w:val="none"/>
                <w:lang w:val="en-US" w:eastAsia="zh-CN"/>
              </w:rPr>
              <w:t>）处理后通过1根</w:t>
            </w:r>
            <w:r>
              <w:rPr>
                <w:rFonts w:hint="eastAsia" w:ascii="Times New Roman" w:hAnsi="Times New Roman" w:eastAsia="宋体" w:cs="Times New Roman"/>
                <w:b w:val="0"/>
                <w:bCs w:val="0"/>
                <w:color w:val="auto"/>
                <w:sz w:val="24"/>
                <w:szCs w:val="24"/>
                <w:highlight w:val="none"/>
                <w:lang w:val="en-US" w:eastAsia="zh-CN"/>
              </w:rPr>
              <w:t>15</w:t>
            </w:r>
            <w:r>
              <w:rPr>
                <w:rFonts w:hint="default" w:ascii="Times New Roman" w:hAnsi="Times New Roman" w:eastAsia="宋体" w:cs="Times New Roman"/>
                <w:b w:val="0"/>
                <w:bCs w:val="0"/>
                <w:color w:val="auto"/>
                <w:sz w:val="24"/>
                <w:szCs w:val="24"/>
                <w:highlight w:val="none"/>
                <w:lang w:val="en-US" w:eastAsia="zh-CN"/>
              </w:rPr>
              <w:t>m高排气筒（DA0</w:t>
            </w:r>
            <w:r>
              <w:rPr>
                <w:rFonts w:hint="eastAsia" w:ascii="Times New Roman" w:hAnsi="Times New Roman" w:eastAsia="宋体" w:cs="Times New Roman"/>
                <w:b w:val="0"/>
                <w:bCs w:val="0"/>
                <w:color w:val="auto"/>
                <w:sz w:val="24"/>
                <w:szCs w:val="24"/>
                <w:highlight w:val="none"/>
                <w:lang w:val="en-US" w:eastAsia="zh-CN"/>
              </w:rPr>
              <w:t>07</w:t>
            </w:r>
            <w:r>
              <w:rPr>
                <w:rFonts w:hint="default" w:ascii="Times New Roman" w:hAnsi="Times New Roman" w:eastAsia="宋体" w:cs="Times New Roman"/>
                <w:b w:val="0"/>
                <w:bCs w:val="0"/>
                <w:color w:val="auto"/>
                <w:sz w:val="24"/>
                <w:szCs w:val="24"/>
                <w:highlight w:val="none"/>
                <w:lang w:val="en-US" w:eastAsia="zh-CN"/>
              </w:rPr>
              <w:t>）排放</w:t>
            </w:r>
            <w:r>
              <w:rPr>
                <w:rFonts w:hint="eastAsia" w:cs="Times New Roman"/>
                <w:b w:val="0"/>
                <w:bCs w:val="0"/>
                <w:color w:val="auto"/>
                <w:sz w:val="24"/>
                <w:szCs w:val="24"/>
                <w:highlight w:val="none"/>
                <w:lang w:val="en-US" w:eastAsia="zh-CN"/>
              </w:rPr>
              <w:t>。</w:t>
            </w:r>
          </w:p>
        </w:tc>
        <w:tc>
          <w:tcPr>
            <w:tcW w:w="961" w:type="pct"/>
            <w:vMerge w:val="continue"/>
            <w:noWrap w:val="0"/>
            <w:vAlign w:val="center"/>
          </w:tcPr>
          <w:p w14:paraId="5194961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eastAsia="zh-CN"/>
              </w:rPr>
            </w:pPr>
          </w:p>
        </w:tc>
      </w:tr>
      <w:tr w14:paraId="2B97C6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599" w:type="pct"/>
            <w:vMerge w:val="continue"/>
            <w:noWrap w:val="0"/>
            <w:vAlign w:val="center"/>
          </w:tcPr>
          <w:p w14:paraId="7E0CD82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rPr>
            </w:pPr>
          </w:p>
        </w:tc>
        <w:tc>
          <w:tcPr>
            <w:tcW w:w="384" w:type="pct"/>
            <w:vMerge w:val="continue"/>
            <w:noWrap w:val="0"/>
            <w:vAlign w:val="center"/>
          </w:tcPr>
          <w:p w14:paraId="0636ABFF">
            <w:pPr>
              <w:keepNext w:val="0"/>
              <w:keepLines w:val="0"/>
              <w:pageBreakBefore w:val="0"/>
              <w:widowControl w:val="0"/>
              <w:kinsoku/>
              <w:wordWrap/>
              <w:overflowPunct/>
              <w:topLinePunct w:val="0"/>
              <w:autoSpaceDE/>
              <w:autoSpaceDN/>
              <w:bidi w:val="0"/>
              <w:spacing w:line="240" w:lineRule="auto"/>
              <w:ind w:left="0" w:firstLine="0" w:firstLineChars="0"/>
              <w:jc w:val="center"/>
              <w:textAlignment w:val="auto"/>
              <w:rPr>
                <w:rFonts w:hint="default" w:ascii="Times New Roman" w:hAnsi="Times New Roman" w:eastAsia="宋体" w:cs="Times New Roman"/>
                <w:b w:val="0"/>
                <w:bCs w:val="0"/>
                <w:color w:val="auto"/>
                <w:kern w:val="2"/>
                <w:sz w:val="24"/>
                <w:szCs w:val="24"/>
                <w:lang w:val="en-US" w:eastAsia="zh-CN" w:bidi="ar-SA"/>
              </w:rPr>
            </w:pPr>
          </w:p>
        </w:tc>
        <w:tc>
          <w:tcPr>
            <w:tcW w:w="729" w:type="pct"/>
            <w:shd w:val="clear" w:color="auto" w:fill="auto"/>
            <w:noWrap w:val="0"/>
            <w:vAlign w:val="center"/>
          </w:tcPr>
          <w:p w14:paraId="698CDA05">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粉煤灰料仓</w:t>
            </w:r>
          </w:p>
        </w:tc>
        <w:tc>
          <w:tcPr>
            <w:tcW w:w="588" w:type="pct"/>
            <w:shd w:val="clear" w:color="auto" w:fill="auto"/>
            <w:noWrap w:val="0"/>
            <w:vAlign w:val="center"/>
          </w:tcPr>
          <w:p w14:paraId="6A991E11">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颗粒物</w:t>
            </w:r>
          </w:p>
        </w:tc>
        <w:tc>
          <w:tcPr>
            <w:tcW w:w="1737" w:type="pct"/>
            <w:shd w:val="clear" w:color="auto" w:fill="auto"/>
            <w:noWrap w:val="0"/>
            <w:vAlign w:val="center"/>
          </w:tcPr>
          <w:p w14:paraId="68B671AE">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sz w:val="24"/>
                <w:szCs w:val="24"/>
                <w:highlight w:val="none"/>
                <w:lang w:val="en-US" w:eastAsia="zh-CN"/>
              </w:rPr>
              <w:t>粉煤灰料仓1</w:t>
            </w:r>
            <w:r>
              <w:rPr>
                <w:rFonts w:hint="default" w:ascii="Times New Roman" w:hAnsi="Times New Roman" w:eastAsia="宋体" w:cs="Times New Roman"/>
                <w:b w:val="0"/>
                <w:bCs w:val="0"/>
                <w:color w:val="auto"/>
                <w:sz w:val="24"/>
                <w:szCs w:val="24"/>
                <w:highlight w:val="none"/>
                <w:lang w:val="en-US" w:eastAsia="zh-CN"/>
              </w:rPr>
              <w:t>座，经仓顶布袋除尘器（TA0</w:t>
            </w:r>
            <w:r>
              <w:rPr>
                <w:rFonts w:hint="eastAsia" w:ascii="Times New Roman" w:hAnsi="Times New Roman" w:eastAsia="宋体" w:cs="Times New Roman"/>
                <w:b w:val="0"/>
                <w:bCs w:val="0"/>
                <w:color w:val="auto"/>
                <w:sz w:val="24"/>
                <w:szCs w:val="24"/>
                <w:highlight w:val="none"/>
                <w:lang w:val="en-US" w:eastAsia="zh-CN"/>
              </w:rPr>
              <w:t>08</w:t>
            </w:r>
            <w:r>
              <w:rPr>
                <w:rFonts w:hint="default" w:ascii="Times New Roman" w:hAnsi="Times New Roman" w:eastAsia="宋体" w:cs="Times New Roman"/>
                <w:b w:val="0"/>
                <w:bCs w:val="0"/>
                <w:color w:val="auto"/>
                <w:sz w:val="24"/>
                <w:szCs w:val="24"/>
                <w:highlight w:val="none"/>
                <w:lang w:val="en-US" w:eastAsia="zh-CN"/>
              </w:rPr>
              <w:t>）处理后通过1根</w:t>
            </w:r>
            <w:r>
              <w:rPr>
                <w:rFonts w:hint="eastAsia" w:ascii="Times New Roman" w:hAnsi="Times New Roman" w:eastAsia="宋体" w:cs="Times New Roman"/>
                <w:b w:val="0"/>
                <w:bCs w:val="0"/>
                <w:color w:val="auto"/>
                <w:sz w:val="24"/>
                <w:szCs w:val="24"/>
                <w:highlight w:val="none"/>
                <w:lang w:val="en-US" w:eastAsia="zh-CN"/>
              </w:rPr>
              <w:t>15</w:t>
            </w:r>
            <w:r>
              <w:rPr>
                <w:rFonts w:hint="default" w:ascii="Times New Roman" w:hAnsi="Times New Roman" w:eastAsia="宋体" w:cs="Times New Roman"/>
                <w:b w:val="0"/>
                <w:bCs w:val="0"/>
                <w:color w:val="auto"/>
                <w:sz w:val="24"/>
                <w:szCs w:val="24"/>
                <w:highlight w:val="none"/>
                <w:lang w:val="en-US" w:eastAsia="zh-CN"/>
              </w:rPr>
              <w:t>m高排气筒（DA0</w:t>
            </w:r>
            <w:r>
              <w:rPr>
                <w:rFonts w:hint="eastAsia" w:ascii="Times New Roman" w:hAnsi="Times New Roman" w:eastAsia="宋体" w:cs="Times New Roman"/>
                <w:b w:val="0"/>
                <w:bCs w:val="0"/>
                <w:color w:val="auto"/>
                <w:sz w:val="24"/>
                <w:szCs w:val="24"/>
                <w:highlight w:val="none"/>
                <w:lang w:val="en-US" w:eastAsia="zh-CN"/>
              </w:rPr>
              <w:t>08</w:t>
            </w:r>
            <w:r>
              <w:rPr>
                <w:rFonts w:hint="default" w:ascii="Times New Roman" w:hAnsi="Times New Roman" w:eastAsia="宋体" w:cs="Times New Roman"/>
                <w:b w:val="0"/>
                <w:bCs w:val="0"/>
                <w:color w:val="auto"/>
                <w:sz w:val="24"/>
                <w:szCs w:val="24"/>
                <w:highlight w:val="none"/>
                <w:lang w:val="en-US" w:eastAsia="zh-CN"/>
              </w:rPr>
              <w:t>）排放</w:t>
            </w:r>
            <w:r>
              <w:rPr>
                <w:rFonts w:hint="eastAsia" w:cs="Times New Roman"/>
                <w:b w:val="0"/>
                <w:bCs w:val="0"/>
                <w:color w:val="auto"/>
                <w:sz w:val="24"/>
                <w:szCs w:val="24"/>
                <w:highlight w:val="none"/>
                <w:lang w:val="en-US" w:eastAsia="zh-CN"/>
              </w:rPr>
              <w:t>。</w:t>
            </w:r>
          </w:p>
        </w:tc>
        <w:tc>
          <w:tcPr>
            <w:tcW w:w="961" w:type="pct"/>
            <w:vMerge w:val="continue"/>
            <w:noWrap w:val="0"/>
            <w:vAlign w:val="center"/>
          </w:tcPr>
          <w:p w14:paraId="03F00BA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eastAsia="zh-CN"/>
              </w:rPr>
            </w:pPr>
          </w:p>
        </w:tc>
      </w:tr>
      <w:tr w14:paraId="5FFA7D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599" w:type="pct"/>
            <w:noWrap w:val="0"/>
            <w:vAlign w:val="center"/>
          </w:tcPr>
          <w:p w14:paraId="2C9B14E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rPr>
            </w:pPr>
          </w:p>
        </w:tc>
        <w:tc>
          <w:tcPr>
            <w:tcW w:w="1113" w:type="pct"/>
            <w:gridSpan w:val="2"/>
            <w:noWrap w:val="0"/>
            <w:vAlign w:val="center"/>
          </w:tcPr>
          <w:p w14:paraId="2248980E">
            <w:pPr>
              <w:pStyle w:val="34"/>
              <w:bidi w:val="0"/>
              <w:ind w:firstLine="0" w:firstLineChars="0"/>
              <w:jc w:val="center"/>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olor w:val="auto"/>
                <w:sz w:val="24"/>
                <w:szCs w:val="24"/>
                <w:highlight w:val="none"/>
                <w:lang w:val="en-US" w:eastAsia="zh-CN"/>
              </w:rPr>
              <w:t>运输</w:t>
            </w:r>
          </w:p>
        </w:tc>
        <w:tc>
          <w:tcPr>
            <w:tcW w:w="2325" w:type="pct"/>
            <w:gridSpan w:val="2"/>
            <w:shd w:val="clear" w:color="auto" w:fill="auto"/>
            <w:noWrap w:val="0"/>
            <w:vAlign w:val="center"/>
          </w:tcPr>
          <w:p w14:paraId="792EEC90">
            <w:pPr>
              <w:pStyle w:val="34"/>
              <w:bidi w:val="0"/>
              <w:ind w:firstLine="0" w:firstLineChars="0"/>
              <w:jc w:val="center"/>
              <w:rPr>
                <w:rFonts w:hint="eastAsia" w:ascii="Times New Roman" w:hAnsi="Times New Roman" w:eastAsia="宋体" w:cs="Times New Roman"/>
                <w:b w:val="0"/>
                <w:bCs w:val="0"/>
                <w:color w:val="auto"/>
                <w:sz w:val="24"/>
                <w:szCs w:val="24"/>
                <w:highlight w:val="none"/>
                <w:lang w:val="en-US" w:eastAsia="zh-CN"/>
              </w:rPr>
            </w:pPr>
            <w:r>
              <w:rPr>
                <w:rFonts w:hint="eastAsia"/>
                <w:color w:val="auto"/>
                <w:sz w:val="24"/>
                <w:szCs w:val="24"/>
                <w:highlight w:val="none"/>
                <w:lang w:val="en-US" w:eastAsia="zh-CN"/>
              </w:rPr>
              <w:t>厂区内</w:t>
            </w:r>
            <w:r>
              <w:rPr>
                <w:rFonts w:hint="eastAsia" w:ascii="Times New Roman" w:hAnsi="Times New Roman" w:eastAsia="宋体"/>
                <w:color w:val="auto"/>
                <w:sz w:val="24"/>
                <w:szCs w:val="24"/>
                <w:highlight w:val="none"/>
                <w:lang w:val="en-US" w:eastAsia="zh-CN"/>
              </w:rPr>
              <w:t>道路</w:t>
            </w:r>
            <w:r>
              <w:rPr>
                <w:rFonts w:hint="eastAsia"/>
                <w:color w:val="auto"/>
                <w:sz w:val="24"/>
                <w:szCs w:val="24"/>
                <w:highlight w:val="none"/>
                <w:lang w:val="en-US" w:eastAsia="zh-CN"/>
              </w:rPr>
              <w:t>及厂区至主干路的道路</w:t>
            </w:r>
            <w:r>
              <w:rPr>
                <w:rFonts w:hint="eastAsia" w:ascii="Times New Roman" w:hAnsi="Times New Roman" w:eastAsia="宋体"/>
                <w:color w:val="auto"/>
                <w:sz w:val="24"/>
                <w:szCs w:val="24"/>
                <w:highlight w:val="none"/>
                <w:lang w:val="en-US" w:eastAsia="zh-CN"/>
              </w:rPr>
              <w:t>硬化，</w:t>
            </w:r>
            <w:r>
              <w:rPr>
                <w:rFonts w:hint="eastAsia"/>
                <w:color w:val="auto"/>
                <w:sz w:val="24"/>
                <w:szCs w:val="24"/>
                <w:highlight w:val="none"/>
                <w:lang w:val="en-US" w:eastAsia="zh-CN"/>
              </w:rPr>
              <w:t>运输车辆均使用国六及以上或新能源封闭运输车辆，杜绝抛洒，在易起尘路段</w:t>
            </w:r>
            <w:r>
              <w:rPr>
                <w:rFonts w:hint="eastAsia" w:ascii="Times New Roman" w:hAnsi="Times New Roman" w:eastAsia="宋体"/>
                <w:color w:val="auto"/>
                <w:sz w:val="24"/>
                <w:szCs w:val="24"/>
                <w:highlight w:val="none"/>
                <w:lang w:val="en-US" w:eastAsia="zh-CN"/>
              </w:rPr>
              <w:t>减速慢行，运输过程加盖篷布，限制超载，</w:t>
            </w:r>
            <w:r>
              <w:rPr>
                <w:rFonts w:hint="eastAsia"/>
                <w:color w:val="auto"/>
                <w:sz w:val="24"/>
                <w:szCs w:val="24"/>
                <w:highlight w:val="none"/>
                <w:lang w:val="en-US" w:eastAsia="zh-CN"/>
              </w:rPr>
              <w:t>厂内物料</w:t>
            </w:r>
            <w:r>
              <w:rPr>
                <w:rFonts w:hint="eastAsia" w:ascii="Times New Roman" w:hAnsi="Times New Roman" w:eastAsia="宋体"/>
                <w:color w:val="auto"/>
                <w:sz w:val="24"/>
                <w:szCs w:val="24"/>
                <w:highlight w:val="none"/>
                <w:lang w:val="en-US" w:eastAsia="zh-CN"/>
              </w:rPr>
              <w:t>运输采用全封闭皮带输送</w:t>
            </w:r>
            <w:r>
              <w:rPr>
                <w:rFonts w:hint="eastAsia"/>
                <w:color w:val="auto"/>
                <w:sz w:val="24"/>
                <w:szCs w:val="24"/>
                <w:highlight w:val="none"/>
                <w:lang w:val="en-US" w:eastAsia="zh-CN"/>
              </w:rPr>
              <w:t>，厂区出口设置洗车平台，对进出厂车辆进行清洗，厂内配备洒水车及吸尘车，对厂区道路定期洒水抑尘</w:t>
            </w:r>
            <w:r>
              <w:rPr>
                <w:rFonts w:hint="eastAsia" w:ascii="Times New Roman" w:hAnsi="Times New Roman" w:eastAsia="宋体"/>
                <w:color w:val="auto"/>
                <w:sz w:val="24"/>
                <w:szCs w:val="24"/>
                <w:highlight w:val="none"/>
                <w:lang w:val="en-US" w:eastAsia="zh-CN"/>
              </w:rPr>
              <w:t>。</w:t>
            </w:r>
          </w:p>
        </w:tc>
        <w:tc>
          <w:tcPr>
            <w:tcW w:w="961" w:type="pct"/>
            <w:vMerge w:val="continue"/>
            <w:noWrap w:val="0"/>
            <w:vAlign w:val="center"/>
          </w:tcPr>
          <w:p w14:paraId="62EF345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eastAsia="zh-CN"/>
              </w:rPr>
            </w:pPr>
          </w:p>
        </w:tc>
      </w:tr>
      <w:tr w14:paraId="32A7DC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599" w:type="pct"/>
            <w:noWrap w:val="0"/>
            <w:vAlign w:val="center"/>
          </w:tcPr>
          <w:p w14:paraId="3916820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rPr>
            </w:pPr>
          </w:p>
        </w:tc>
        <w:tc>
          <w:tcPr>
            <w:tcW w:w="1113" w:type="pct"/>
            <w:gridSpan w:val="2"/>
            <w:noWrap w:val="0"/>
            <w:vAlign w:val="center"/>
          </w:tcPr>
          <w:p w14:paraId="5E5DD4B5">
            <w:pPr>
              <w:pStyle w:val="34"/>
              <w:bidi w:val="0"/>
              <w:ind w:firstLine="0" w:firstLineChars="0"/>
              <w:jc w:val="center"/>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olor w:val="auto"/>
                <w:sz w:val="24"/>
                <w:szCs w:val="24"/>
                <w:highlight w:val="none"/>
                <w:lang w:val="en-US" w:eastAsia="zh-CN"/>
              </w:rPr>
              <w:t>原料装卸</w:t>
            </w:r>
          </w:p>
        </w:tc>
        <w:tc>
          <w:tcPr>
            <w:tcW w:w="2325" w:type="pct"/>
            <w:gridSpan w:val="2"/>
            <w:shd w:val="clear" w:color="auto" w:fill="auto"/>
            <w:noWrap w:val="0"/>
            <w:vAlign w:val="center"/>
          </w:tcPr>
          <w:p w14:paraId="297E59B1">
            <w:pPr>
              <w:pStyle w:val="34"/>
              <w:bidi w:val="0"/>
              <w:ind w:firstLine="0" w:firstLineChars="0"/>
              <w:jc w:val="center"/>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olor w:val="auto"/>
                <w:sz w:val="24"/>
                <w:szCs w:val="24"/>
                <w:highlight w:val="none"/>
                <w:lang w:val="en-US" w:eastAsia="zh-CN"/>
              </w:rPr>
              <w:t>固定装卸位，在全封闭的厂房内卸车，顶部加装雾化喷淋设施</w:t>
            </w:r>
            <w:r>
              <w:rPr>
                <w:rFonts w:hint="eastAsia"/>
                <w:color w:val="auto"/>
                <w:sz w:val="24"/>
                <w:szCs w:val="24"/>
                <w:highlight w:val="none"/>
                <w:lang w:val="en-US" w:eastAsia="zh-CN"/>
              </w:rPr>
              <w:t>，装卸作业时尽量降低卸料高度；装卸作业所用非道路移动机械采用国三以上，并在非道路移动机械监管平台进行登记，使用符合《车用柴油》（GB19147-2016）标准的燃料。</w:t>
            </w:r>
          </w:p>
        </w:tc>
        <w:tc>
          <w:tcPr>
            <w:tcW w:w="961" w:type="pct"/>
            <w:vMerge w:val="continue"/>
            <w:noWrap w:val="0"/>
            <w:vAlign w:val="center"/>
          </w:tcPr>
          <w:p w14:paraId="1817684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eastAsia="zh-CN"/>
              </w:rPr>
            </w:pPr>
          </w:p>
        </w:tc>
      </w:tr>
      <w:tr w14:paraId="092771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599" w:type="pct"/>
            <w:vMerge w:val="restart"/>
            <w:noWrap w:val="0"/>
            <w:vAlign w:val="center"/>
          </w:tcPr>
          <w:p w14:paraId="23A9EB9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rPr>
            </w:pPr>
            <w:r>
              <w:rPr>
                <w:rFonts w:hint="default" w:ascii="Times New Roman" w:hAnsi="Times New Roman" w:eastAsia="宋体" w:cs="Times New Roman"/>
                <w:b w:val="0"/>
                <w:bCs w:val="0"/>
                <w:caps w:val="0"/>
                <w:color w:val="auto"/>
                <w:sz w:val="24"/>
                <w:szCs w:val="24"/>
                <w:highlight w:val="none"/>
              </w:rPr>
              <w:t>地表水环境</w:t>
            </w:r>
          </w:p>
        </w:tc>
        <w:tc>
          <w:tcPr>
            <w:tcW w:w="1113" w:type="pct"/>
            <w:gridSpan w:val="2"/>
            <w:noWrap w:val="0"/>
            <w:vAlign w:val="center"/>
          </w:tcPr>
          <w:p w14:paraId="4C0ED54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default" w:ascii="Times New Roman" w:hAnsi="Times New Roman" w:eastAsia="宋体" w:cs="Times New Roman"/>
                <w:b w:val="0"/>
                <w:bCs w:val="0"/>
                <w:caps w:val="0"/>
                <w:color w:val="auto"/>
                <w:sz w:val="24"/>
                <w:szCs w:val="24"/>
                <w:highlight w:val="none"/>
              </w:rPr>
              <w:t>生活</w:t>
            </w:r>
            <w:r>
              <w:rPr>
                <w:rFonts w:hint="eastAsia" w:ascii="Times New Roman" w:hAnsi="Times New Roman" w:eastAsia="宋体" w:cs="Times New Roman"/>
                <w:b w:val="0"/>
                <w:bCs w:val="0"/>
                <w:caps w:val="0"/>
                <w:color w:val="auto"/>
                <w:sz w:val="24"/>
                <w:szCs w:val="24"/>
                <w:highlight w:val="none"/>
                <w:lang w:val="en-US" w:eastAsia="zh-CN"/>
              </w:rPr>
              <w:t>污水</w:t>
            </w:r>
          </w:p>
        </w:tc>
        <w:tc>
          <w:tcPr>
            <w:tcW w:w="588" w:type="pct"/>
            <w:noWrap w:val="0"/>
            <w:vAlign w:val="center"/>
          </w:tcPr>
          <w:p w14:paraId="6C2EC8C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rPr>
            </w:pPr>
            <w:r>
              <w:rPr>
                <w:rFonts w:hint="eastAsia" w:ascii="Times New Roman" w:hAnsi="Times New Roman" w:eastAsia="宋体" w:cs="Times New Roman"/>
                <w:b w:val="0"/>
                <w:bCs w:val="0"/>
                <w:caps w:val="0"/>
                <w:color w:val="auto"/>
                <w:sz w:val="24"/>
                <w:szCs w:val="24"/>
                <w:highlight w:val="none"/>
                <w:lang w:val="en-US" w:eastAsia="zh-CN"/>
              </w:rPr>
              <w:t>SS、</w:t>
            </w:r>
            <w:r>
              <w:rPr>
                <w:rFonts w:hint="default" w:ascii="Times New Roman" w:hAnsi="Times New Roman" w:eastAsia="宋体" w:cs="Times New Roman"/>
                <w:b w:val="0"/>
                <w:bCs w:val="0"/>
                <w:caps w:val="0"/>
                <w:color w:val="auto"/>
                <w:sz w:val="24"/>
                <w:szCs w:val="24"/>
                <w:highlight w:val="none"/>
              </w:rPr>
              <w:t>COD、BOD</w:t>
            </w:r>
            <w:r>
              <w:rPr>
                <w:rFonts w:hint="default" w:ascii="Times New Roman" w:hAnsi="Times New Roman" w:eastAsia="宋体" w:cs="Times New Roman"/>
                <w:b w:val="0"/>
                <w:bCs w:val="0"/>
                <w:caps w:val="0"/>
                <w:color w:val="auto"/>
                <w:sz w:val="24"/>
                <w:szCs w:val="24"/>
                <w:highlight w:val="none"/>
                <w:vertAlign w:val="subscript"/>
              </w:rPr>
              <w:t>5</w:t>
            </w:r>
            <w:r>
              <w:rPr>
                <w:rFonts w:hint="default" w:ascii="Times New Roman" w:hAnsi="Times New Roman" w:eastAsia="宋体" w:cs="Times New Roman"/>
                <w:b w:val="0"/>
                <w:bCs w:val="0"/>
                <w:caps w:val="0"/>
                <w:color w:val="auto"/>
                <w:sz w:val="24"/>
                <w:szCs w:val="24"/>
                <w:highlight w:val="none"/>
              </w:rPr>
              <w:t>和氨氮</w:t>
            </w:r>
          </w:p>
        </w:tc>
        <w:tc>
          <w:tcPr>
            <w:tcW w:w="1737" w:type="pct"/>
            <w:noWrap w:val="0"/>
            <w:vAlign w:val="center"/>
          </w:tcPr>
          <w:p w14:paraId="6DF122D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生活污水通过厂区总排口排入市政污水管网进入壶关县第二污水处理厂处理</w:t>
            </w:r>
            <w:r>
              <w:rPr>
                <w:rFonts w:hint="eastAsia" w:cs="Times New Roman"/>
                <w:b w:val="0"/>
                <w:bCs w:val="0"/>
                <w:caps w:val="0"/>
                <w:color w:val="auto"/>
                <w:sz w:val="24"/>
                <w:szCs w:val="24"/>
                <w:highlight w:val="none"/>
                <w:lang w:val="en-US" w:eastAsia="zh-CN"/>
              </w:rPr>
              <w:t>。</w:t>
            </w:r>
          </w:p>
        </w:tc>
        <w:tc>
          <w:tcPr>
            <w:tcW w:w="961" w:type="pct"/>
            <w:noWrap w:val="0"/>
            <w:vAlign w:val="center"/>
          </w:tcPr>
          <w:p w14:paraId="01A75DB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w:t>
            </w:r>
          </w:p>
        </w:tc>
      </w:tr>
      <w:tr w14:paraId="78FB91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599" w:type="pct"/>
            <w:vMerge w:val="continue"/>
            <w:noWrap w:val="0"/>
            <w:vAlign w:val="center"/>
          </w:tcPr>
          <w:p w14:paraId="11C6955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rPr>
            </w:pPr>
          </w:p>
        </w:tc>
        <w:tc>
          <w:tcPr>
            <w:tcW w:w="1113" w:type="pct"/>
            <w:gridSpan w:val="2"/>
            <w:noWrap w:val="0"/>
            <w:vAlign w:val="center"/>
          </w:tcPr>
          <w:p w14:paraId="74A3FA8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rPr>
            </w:pPr>
            <w:r>
              <w:rPr>
                <w:rFonts w:hint="default" w:ascii="Times New Roman" w:hAnsi="Times New Roman" w:eastAsia="宋体" w:cs="Times New Roman"/>
                <w:b w:val="0"/>
                <w:bCs w:val="0"/>
                <w:caps w:val="0"/>
                <w:color w:val="auto"/>
                <w:sz w:val="24"/>
                <w:szCs w:val="24"/>
                <w:highlight w:val="none"/>
                <w:lang w:val="en-US" w:eastAsia="zh-CN"/>
              </w:rPr>
              <w:t>搅拌机清洗废水</w:t>
            </w:r>
          </w:p>
        </w:tc>
        <w:tc>
          <w:tcPr>
            <w:tcW w:w="588" w:type="pct"/>
            <w:noWrap w:val="0"/>
            <w:vAlign w:val="center"/>
          </w:tcPr>
          <w:p w14:paraId="07E3752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eastAsia" w:cs="Times New Roman"/>
                <w:b w:val="0"/>
                <w:bCs w:val="0"/>
                <w:caps w:val="0"/>
                <w:color w:val="auto"/>
                <w:sz w:val="24"/>
                <w:szCs w:val="24"/>
                <w:highlight w:val="none"/>
                <w:lang w:val="en-US" w:eastAsia="zh-CN"/>
              </w:rPr>
              <w:t>COD、</w:t>
            </w:r>
            <w:r>
              <w:rPr>
                <w:rFonts w:hint="eastAsia" w:ascii="Times New Roman" w:hAnsi="Times New Roman" w:eastAsia="宋体" w:cs="Times New Roman"/>
                <w:b w:val="0"/>
                <w:bCs w:val="0"/>
                <w:caps w:val="0"/>
                <w:color w:val="auto"/>
                <w:sz w:val="24"/>
                <w:szCs w:val="24"/>
                <w:highlight w:val="none"/>
                <w:lang w:val="en-US" w:eastAsia="zh-CN"/>
              </w:rPr>
              <w:t>SS</w:t>
            </w:r>
          </w:p>
        </w:tc>
        <w:tc>
          <w:tcPr>
            <w:tcW w:w="1737" w:type="pct"/>
            <w:noWrap w:val="0"/>
            <w:vAlign w:val="center"/>
          </w:tcPr>
          <w:p w14:paraId="7EF6EB8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废水经收集后沉淀、压滤处理</w:t>
            </w:r>
            <w:r>
              <w:rPr>
                <w:rFonts w:hint="default" w:ascii="Times New Roman" w:hAnsi="Times New Roman" w:eastAsia="宋体" w:cs="Times New Roman"/>
                <w:b w:val="0"/>
                <w:bCs w:val="0"/>
                <w:caps w:val="0"/>
                <w:color w:val="auto"/>
                <w:sz w:val="24"/>
                <w:szCs w:val="24"/>
                <w:highlight w:val="none"/>
                <w:lang w:val="en-US" w:eastAsia="zh-CN"/>
              </w:rPr>
              <w:t>后回用于</w:t>
            </w:r>
            <w:r>
              <w:rPr>
                <w:rFonts w:hint="eastAsia" w:ascii="Times New Roman" w:hAnsi="Times New Roman" w:eastAsia="宋体" w:cs="Times New Roman"/>
                <w:b w:val="0"/>
                <w:bCs w:val="0"/>
                <w:caps w:val="0"/>
                <w:color w:val="auto"/>
                <w:sz w:val="24"/>
                <w:szCs w:val="24"/>
                <w:highlight w:val="none"/>
                <w:lang w:val="en-US" w:eastAsia="zh-CN"/>
              </w:rPr>
              <w:t>生产</w:t>
            </w:r>
            <w:r>
              <w:rPr>
                <w:rFonts w:hint="eastAsia" w:cs="Times New Roman"/>
                <w:b w:val="0"/>
                <w:bCs w:val="0"/>
                <w:caps w:val="0"/>
                <w:color w:val="auto"/>
                <w:sz w:val="24"/>
                <w:szCs w:val="24"/>
                <w:highlight w:val="none"/>
                <w:lang w:val="en-US" w:eastAsia="zh-CN"/>
              </w:rPr>
              <w:t>。</w:t>
            </w:r>
          </w:p>
        </w:tc>
        <w:tc>
          <w:tcPr>
            <w:tcW w:w="961" w:type="pct"/>
            <w:noWrap w:val="0"/>
            <w:vAlign w:val="center"/>
          </w:tcPr>
          <w:p w14:paraId="0777897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w:t>
            </w:r>
          </w:p>
        </w:tc>
      </w:tr>
      <w:tr w14:paraId="53191B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599" w:type="pct"/>
            <w:vMerge w:val="continue"/>
            <w:noWrap w:val="0"/>
            <w:vAlign w:val="center"/>
          </w:tcPr>
          <w:p w14:paraId="766AA1B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rPr>
            </w:pPr>
          </w:p>
        </w:tc>
        <w:tc>
          <w:tcPr>
            <w:tcW w:w="1113" w:type="pct"/>
            <w:gridSpan w:val="2"/>
            <w:noWrap w:val="0"/>
            <w:vAlign w:val="center"/>
          </w:tcPr>
          <w:p w14:paraId="34A092A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洗砂废水</w:t>
            </w:r>
          </w:p>
        </w:tc>
        <w:tc>
          <w:tcPr>
            <w:tcW w:w="588" w:type="pct"/>
            <w:noWrap w:val="0"/>
            <w:vAlign w:val="center"/>
          </w:tcPr>
          <w:p w14:paraId="2473214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SS</w:t>
            </w:r>
          </w:p>
        </w:tc>
        <w:tc>
          <w:tcPr>
            <w:tcW w:w="1737" w:type="pct"/>
            <w:noWrap w:val="0"/>
            <w:vAlign w:val="center"/>
          </w:tcPr>
          <w:p w14:paraId="28A00F8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废水经收集后沉淀、压滤处理后回用于洗砂机洗砂，不外排。</w:t>
            </w:r>
          </w:p>
        </w:tc>
        <w:tc>
          <w:tcPr>
            <w:tcW w:w="961" w:type="pct"/>
            <w:noWrap w:val="0"/>
            <w:vAlign w:val="center"/>
          </w:tcPr>
          <w:p w14:paraId="7AE9B09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w:t>
            </w:r>
          </w:p>
        </w:tc>
      </w:tr>
      <w:tr w14:paraId="0C911B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599" w:type="pct"/>
            <w:vMerge w:val="continue"/>
            <w:noWrap w:val="0"/>
            <w:vAlign w:val="center"/>
          </w:tcPr>
          <w:p w14:paraId="3B3A5F0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rPr>
            </w:pPr>
          </w:p>
        </w:tc>
        <w:tc>
          <w:tcPr>
            <w:tcW w:w="1113" w:type="pct"/>
            <w:gridSpan w:val="2"/>
            <w:noWrap w:val="0"/>
            <w:vAlign w:val="center"/>
          </w:tcPr>
          <w:p w14:paraId="4388F2E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车辆</w:t>
            </w:r>
            <w:r>
              <w:rPr>
                <w:rFonts w:hint="eastAsia" w:cs="Times New Roman"/>
                <w:b w:val="0"/>
                <w:bCs w:val="0"/>
                <w:caps w:val="0"/>
                <w:color w:val="auto"/>
                <w:sz w:val="24"/>
                <w:szCs w:val="24"/>
                <w:highlight w:val="none"/>
                <w:lang w:val="en-US" w:eastAsia="zh-CN"/>
              </w:rPr>
              <w:t>冲洗</w:t>
            </w:r>
            <w:r>
              <w:rPr>
                <w:rFonts w:hint="eastAsia" w:ascii="Times New Roman" w:hAnsi="Times New Roman" w:eastAsia="宋体" w:cs="Times New Roman"/>
                <w:b w:val="0"/>
                <w:bCs w:val="0"/>
                <w:caps w:val="0"/>
                <w:color w:val="auto"/>
                <w:sz w:val="24"/>
                <w:szCs w:val="24"/>
                <w:highlight w:val="none"/>
                <w:lang w:val="en-US" w:eastAsia="zh-CN"/>
              </w:rPr>
              <w:t>废水</w:t>
            </w:r>
          </w:p>
        </w:tc>
        <w:tc>
          <w:tcPr>
            <w:tcW w:w="588" w:type="pct"/>
            <w:noWrap w:val="0"/>
            <w:vAlign w:val="center"/>
          </w:tcPr>
          <w:p w14:paraId="6218E95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SS</w:t>
            </w:r>
          </w:p>
        </w:tc>
        <w:tc>
          <w:tcPr>
            <w:tcW w:w="1737" w:type="pct"/>
            <w:noWrap w:val="0"/>
            <w:vAlign w:val="center"/>
          </w:tcPr>
          <w:p w14:paraId="35DCBD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经沉淀池沉淀处理后循环使用</w:t>
            </w:r>
            <w:r>
              <w:rPr>
                <w:rFonts w:hint="eastAsia" w:cs="Times New Roman"/>
                <w:b w:val="0"/>
                <w:bCs w:val="0"/>
                <w:caps w:val="0"/>
                <w:color w:val="auto"/>
                <w:sz w:val="24"/>
                <w:szCs w:val="24"/>
                <w:highlight w:val="none"/>
                <w:lang w:val="en-US" w:eastAsia="zh-CN"/>
              </w:rPr>
              <w:t>。</w:t>
            </w:r>
          </w:p>
        </w:tc>
        <w:tc>
          <w:tcPr>
            <w:tcW w:w="961" w:type="pct"/>
            <w:noWrap w:val="0"/>
            <w:vAlign w:val="center"/>
          </w:tcPr>
          <w:p w14:paraId="100CB5B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eastAsia" w:ascii="Times New Roman" w:hAnsi="Times New Roman" w:eastAsia="宋体" w:cs="Times New Roman"/>
                <w:b w:val="0"/>
                <w:bCs w:val="0"/>
                <w:caps w:val="0"/>
                <w:color w:val="auto"/>
                <w:sz w:val="24"/>
                <w:szCs w:val="24"/>
                <w:highlight w:val="none"/>
                <w:lang w:val="en-US" w:eastAsia="zh-CN"/>
              </w:rPr>
              <w:t>/</w:t>
            </w:r>
          </w:p>
        </w:tc>
      </w:tr>
      <w:tr w14:paraId="262A40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599" w:type="pct"/>
            <w:vMerge w:val="continue"/>
            <w:noWrap w:val="0"/>
            <w:vAlign w:val="center"/>
          </w:tcPr>
          <w:p w14:paraId="4270CA3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rPr>
            </w:pPr>
          </w:p>
        </w:tc>
        <w:tc>
          <w:tcPr>
            <w:tcW w:w="1113" w:type="pct"/>
            <w:gridSpan w:val="2"/>
            <w:noWrap w:val="0"/>
            <w:vAlign w:val="center"/>
          </w:tcPr>
          <w:p w14:paraId="2795B5C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eastAsia" w:cs="Times New Roman"/>
                <w:b w:val="0"/>
                <w:bCs w:val="0"/>
                <w:caps w:val="0"/>
                <w:color w:val="auto"/>
                <w:sz w:val="24"/>
                <w:szCs w:val="24"/>
                <w:highlight w:val="none"/>
                <w:lang w:val="en-US" w:eastAsia="zh-CN"/>
              </w:rPr>
              <w:t>车辆罐体冲洗废水</w:t>
            </w:r>
          </w:p>
        </w:tc>
        <w:tc>
          <w:tcPr>
            <w:tcW w:w="588" w:type="pct"/>
            <w:noWrap w:val="0"/>
            <w:vAlign w:val="center"/>
          </w:tcPr>
          <w:p w14:paraId="5EE95F2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eastAsia" w:cs="Times New Roman"/>
                <w:b w:val="0"/>
                <w:bCs w:val="0"/>
                <w:caps w:val="0"/>
                <w:color w:val="auto"/>
                <w:sz w:val="24"/>
                <w:szCs w:val="24"/>
                <w:highlight w:val="none"/>
                <w:lang w:val="en-US" w:eastAsia="zh-CN"/>
              </w:rPr>
              <w:t>SS</w:t>
            </w:r>
          </w:p>
        </w:tc>
        <w:tc>
          <w:tcPr>
            <w:tcW w:w="1737" w:type="pct"/>
            <w:shd w:val="clear" w:color="auto" w:fill="auto"/>
            <w:noWrap w:val="0"/>
            <w:vAlign w:val="center"/>
          </w:tcPr>
          <w:p w14:paraId="4BB7F0B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kern w:val="2"/>
                <w:sz w:val="24"/>
                <w:szCs w:val="24"/>
                <w:highlight w:val="none"/>
                <w:lang w:val="en-US" w:eastAsia="zh-CN" w:bidi="ar-SA"/>
              </w:rPr>
            </w:pPr>
            <w:r>
              <w:rPr>
                <w:rFonts w:hint="eastAsia" w:ascii="Times New Roman" w:hAnsi="Times New Roman" w:eastAsia="宋体" w:cs="Times New Roman"/>
                <w:b w:val="0"/>
                <w:bCs w:val="0"/>
                <w:caps w:val="0"/>
                <w:color w:val="auto"/>
                <w:sz w:val="24"/>
                <w:szCs w:val="24"/>
                <w:highlight w:val="none"/>
                <w:lang w:val="en-US" w:eastAsia="zh-CN"/>
              </w:rPr>
              <w:t>经</w:t>
            </w:r>
            <w:r>
              <w:rPr>
                <w:rFonts w:hint="eastAsia" w:cs="Times New Roman"/>
                <w:b w:val="0"/>
                <w:bCs w:val="0"/>
                <w:caps w:val="0"/>
                <w:color w:val="auto"/>
                <w:sz w:val="24"/>
                <w:szCs w:val="24"/>
                <w:highlight w:val="none"/>
                <w:lang w:val="en-US" w:eastAsia="zh-CN"/>
              </w:rPr>
              <w:t>集水罐</w:t>
            </w:r>
            <w:r>
              <w:rPr>
                <w:rFonts w:hint="eastAsia" w:ascii="Times New Roman" w:hAnsi="Times New Roman" w:eastAsia="宋体" w:cs="Times New Roman"/>
                <w:b w:val="0"/>
                <w:bCs w:val="0"/>
                <w:caps w:val="0"/>
                <w:color w:val="auto"/>
                <w:sz w:val="24"/>
                <w:szCs w:val="24"/>
                <w:highlight w:val="none"/>
                <w:lang w:val="en-US" w:eastAsia="zh-CN"/>
              </w:rPr>
              <w:t>沉淀处理后循环使用</w:t>
            </w:r>
            <w:r>
              <w:rPr>
                <w:rFonts w:hint="eastAsia" w:cs="Times New Roman"/>
                <w:b w:val="0"/>
                <w:bCs w:val="0"/>
                <w:caps w:val="0"/>
                <w:color w:val="auto"/>
                <w:sz w:val="24"/>
                <w:szCs w:val="24"/>
                <w:highlight w:val="none"/>
                <w:lang w:val="en-US" w:eastAsia="zh-CN"/>
              </w:rPr>
              <w:t>。</w:t>
            </w:r>
          </w:p>
        </w:tc>
        <w:tc>
          <w:tcPr>
            <w:tcW w:w="961" w:type="pct"/>
            <w:shd w:val="clear" w:color="auto" w:fill="auto"/>
            <w:noWrap w:val="0"/>
            <w:vAlign w:val="center"/>
          </w:tcPr>
          <w:p w14:paraId="51B3C8A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kern w:val="2"/>
                <w:sz w:val="24"/>
                <w:szCs w:val="24"/>
                <w:highlight w:val="none"/>
                <w:lang w:val="en-US" w:eastAsia="zh-CN" w:bidi="ar-SA"/>
              </w:rPr>
            </w:pPr>
            <w:r>
              <w:rPr>
                <w:rFonts w:hint="eastAsia" w:ascii="Times New Roman" w:hAnsi="Times New Roman" w:eastAsia="宋体" w:cs="Times New Roman"/>
                <w:b w:val="0"/>
                <w:bCs w:val="0"/>
                <w:caps w:val="0"/>
                <w:color w:val="auto"/>
                <w:sz w:val="24"/>
                <w:szCs w:val="24"/>
                <w:highlight w:val="none"/>
                <w:lang w:val="en-US" w:eastAsia="zh-CN"/>
              </w:rPr>
              <w:t>/</w:t>
            </w:r>
          </w:p>
        </w:tc>
      </w:tr>
      <w:tr w14:paraId="77F493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9" w:type="pct"/>
            <w:noWrap w:val="0"/>
            <w:vAlign w:val="center"/>
          </w:tcPr>
          <w:p w14:paraId="35FF714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rPr>
            </w:pPr>
            <w:r>
              <w:rPr>
                <w:rFonts w:hint="default" w:ascii="Times New Roman" w:hAnsi="Times New Roman" w:eastAsia="宋体" w:cs="Times New Roman"/>
                <w:b w:val="0"/>
                <w:bCs w:val="0"/>
                <w:caps w:val="0"/>
                <w:color w:val="auto"/>
                <w:sz w:val="24"/>
                <w:szCs w:val="24"/>
                <w:highlight w:val="none"/>
              </w:rPr>
              <w:t>声环境</w:t>
            </w:r>
          </w:p>
        </w:tc>
        <w:tc>
          <w:tcPr>
            <w:tcW w:w="1113" w:type="pct"/>
            <w:gridSpan w:val="2"/>
            <w:noWrap w:val="0"/>
            <w:vAlign w:val="center"/>
          </w:tcPr>
          <w:p w14:paraId="16B37F0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default" w:ascii="Times New Roman" w:hAnsi="Times New Roman" w:eastAsia="宋体" w:cs="Times New Roman"/>
                <w:b w:val="0"/>
                <w:bCs w:val="0"/>
                <w:caps w:val="0"/>
                <w:color w:val="auto"/>
                <w:sz w:val="24"/>
                <w:szCs w:val="24"/>
                <w:highlight w:val="none"/>
                <w:lang w:val="en-US" w:eastAsia="zh-CN"/>
              </w:rPr>
              <w:t>设备噪声</w:t>
            </w:r>
          </w:p>
        </w:tc>
        <w:tc>
          <w:tcPr>
            <w:tcW w:w="588" w:type="pct"/>
            <w:noWrap w:val="0"/>
            <w:vAlign w:val="center"/>
          </w:tcPr>
          <w:p w14:paraId="4C0283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eastAsia="zh-CN"/>
              </w:rPr>
            </w:pPr>
            <w:r>
              <w:rPr>
                <w:rFonts w:hint="eastAsia" w:ascii="Times New Roman" w:hAnsi="Times New Roman" w:eastAsia="宋体" w:cs="Times New Roman"/>
                <w:b w:val="0"/>
                <w:bCs w:val="0"/>
                <w:caps w:val="0"/>
                <w:color w:val="auto"/>
                <w:sz w:val="24"/>
                <w:szCs w:val="24"/>
                <w:highlight w:val="none"/>
                <w:lang w:eastAsia="zh-CN"/>
              </w:rPr>
              <w:t>噪声</w:t>
            </w:r>
          </w:p>
        </w:tc>
        <w:tc>
          <w:tcPr>
            <w:tcW w:w="1737" w:type="pct"/>
            <w:noWrap w:val="0"/>
            <w:vAlign w:val="center"/>
          </w:tcPr>
          <w:p w14:paraId="3DC37C1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rPr>
            </w:pPr>
            <w:r>
              <w:rPr>
                <w:rFonts w:hint="default" w:ascii="Times New Roman" w:hAnsi="Times New Roman" w:eastAsia="宋体" w:cs="Times New Roman"/>
                <w:b w:val="0"/>
                <w:bCs w:val="0"/>
                <w:caps w:val="0"/>
                <w:color w:val="auto"/>
                <w:sz w:val="24"/>
                <w:szCs w:val="24"/>
                <w:highlight w:val="none"/>
              </w:rPr>
              <w:t>选用低噪设备，并对产噪设备采取隔声、减振等措施。</w:t>
            </w:r>
          </w:p>
        </w:tc>
        <w:tc>
          <w:tcPr>
            <w:tcW w:w="961" w:type="pct"/>
            <w:noWrap w:val="0"/>
            <w:vAlign w:val="center"/>
          </w:tcPr>
          <w:p w14:paraId="676A79E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rPr>
            </w:pPr>
            <w:r>
              <w:rPr>
                <w:rFonts w:hint="eastAsia" w:ascii="Times New Roman" w:hAnsi="Times New Roman" w:eastAsia="宋体" w:cs="Times New Roman"/>
                <w:b w:val="0"/>
                <w:bCs w:val="0"/>
                <w:caps w:val="0"/>
                <w:color w:val="auto"/>
                <w:sz w:val="24"/>
                <w:szCs w:val="24"/>
                <w:highlight w:val="none"/>
                <w:lang w:val="en-US" w:eastAsia="zh-CN"/>
              </w:rPr>
              <w:t>厂界四周噪声执行</w:t>
            </w:r>
            <w:r>
              <w:rPr>
                <w:rFonts w:hint="eastAsia" w:ascii="Times New Roman" w:hAnsi="Times New Roman" w:eastAsia="宋体" w:cs="Times New Roman"/>
                <w:b w:val="0"/>
                <w:bCs w:val="0"/>
                <w:caps w:val="0"/>
                <w:color w:val="auto"/>
                <w:sz w:val="24"/>
                <w:szCs w:val="24"/>
                <w:highlight w:val="none"/>
                <w:lang w:eastAsia="zh-CN"/>
              </w:rPr>
              <w:t>《</w:t>
            </w:r>
            <w:r>
              <w:rPr>
                <w:rFonts w:hint="eastAsia" w:ascii="Times New Roman" w:hAnsi="Times New Roman" w:eastAsia="宋体" w:cs="Times New Roman"/>
                <w:b w:val="0"/>
                <w:bCs w:val="0"/>
                <w:caps w:val="0"/>
                <w:color w:val="auto"/>
                <w:sz w:val="24"/>
                <w:szCs w:val="24"/>
                <w:highlight w:val="none"/>
                <w:lang w:val="en-US" w:eastAsia="zh-CN"/>
              </w:rPr>
              <w:t>工业企业厂界环境噪声排放标准</w:t>
            </w:r>
            <w:r>
              <w:rPr>
                <w:rFonts w:hint="eastAsia" w:ascii="Times New Roman" w:hAnsi="Times New Roman" w:eastAsia="宋体" w:cs="Times New Roman"/>
                <w:b w:val="0"/>
                <w:bCs w:val="0"/>
                <w:caps w:val="0"/>
                <w:color w:val="auto"/>
                <w:sz w:val="24"/>
                <w:szCs w:val="24"/>
                <w:highlight w:val="none"/>
                <w:lang w:eastAsia="zh-CN"/>
              </w:rPr>
              <w:t>》（GB</w:t>
            </w:r>
            <w:r>
              <w:rPr>
                <w:rFonts w:hint="eastAsia" w:ascii="Times New Roman" w:hAnsi="Times New Roman" w:eastAsia="宋体" w:cs="Times New Roman"/>
                <w:b w:val="0"/>
                <w:bCs w:val="0"/>
                <w:caps w:val="0"/>
                <w:color w:val="auto"/>
                <w:sz w:val="24"/>
                <w:szCs w:val="24"/>
                <w:highlight w:val="none"/>
                <w:lang w:val="en-US" w:eastAsia="zh-CN"/>
              </w:rPr>
              <w:t>12348</w:t>
            </w:r>
            <w:r>
              <w:rPr>
                <w:rFonts w:hint="eastAsia" w:ascii="Times New Roman" w:hAnsi="Times New Roman" w:eastAsia="宋体" w:cs="Times New Roman"/>
                <w:b w:val="0"/>
                <w:bCs w:val="0"/>
                <w:caps w:val="0"/>
                <w:color w:val="auto"/>
                <w:sz w:val="24"/>
                <w:szCs w:val="24"/>
                <w:highlight w:val="none"/>
                <w:lang w:eastAsia="zh-CN"/>
              </w:rPr>
              <w:t>-2008）</w:t>
            </w:r>
            <w:r>
              <w:rPr>
                <w:rFonts w:hint="eastAsia" w:cs="Times New Roman"/>
                <w:b w:val="0"/>
                <w:bCs w:val="0"/>
                <w:caps w:val="0"/>
                <w:color w:val="auto"/>
                <w:sz w:val="24"/>
                <w:szCs w:val="24"/>
                <w:highlight w:val="none"/>
                <w:lang w:val="en-US" w:eastAsia="zh-CN"/>
              </w:rPr>
              <w:t>3</w:t>
            </w:r>
            <w:r>
              <w:rPr>
                <w:rFonts w:hint="default" w:ascii="Times New Roman" w:hAnsi="Times New Roman" w:eastAsia="宋体" w:cs="Times New Roman"/>
                <w:b w:val="0"/>
                <w:bCs w:val="0"/>
                <w:caps w:val="0"/>
                <w:color w:val="auto"/>
                <w:sz w:val="24"/>
                <w:szCs w:val="24"/>
                <w:highlight w:val="none"/>
              </w:rPr>
              <w:t>类</w:t>
            </w:r>
            <w:r>
              <w:rPr>
                <w:rFonts w:hint="eastAsia" w:ascii="Times New Roman" w:hAnsi="Times New Roman" w:eastAsia="宋体" w:cs="Times New Roman"/>
                <w:b w:val="0"/>
                <w:bCs w:val="0"/>
                <w:caps w:val="0"/>
                <w:color w:val="auto"/>
                <w:sz w:val="24"/>
                <w:szCs w:val="24"/>
                <w:highlight w:val="none"/>
                <w:lang w:val="en-US" w:eastAsia="zh-CN"/>
              </w:rPr>
              <w:t>标准</w:t>
            </w:r>
          </w:p>
        </w:tc>
      </w:tr>
      <w:tr w14:paraId="7913AD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99" w:type="pct"/>
            <w:noWrap w:val="0"/>
            <w:vAlign w:val="center"/>
          </w:tcPr>
          <w:p w14:paraId="350EA70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rPr>
            </w:pPr>
            <w:r>
              <w:rPr>
                <w:rFonts w:hint="default" w:ascii="Times New Roman" w:hAnsi="Times New Roman" w:eastAsia="宋体" w:cs="Times New Roman"/>
                <w:b w:val="0"/>
                <w:bCs w:val="0"/>
                <w:caps w:val="0"/>
                <w:color w:val="auto"/>
                <w:sz w:val="24"/>
                <w:szCs w:val="24"/>
                <w:highlight w:val="none"/>
              </w:rPr>
              <w:t>电磁辐射</w:t>
            </w:r>
          </w:p>
        </w:tc>
        <w:tc>
          <w:tcPr>
            <w:tcW w:w="1113" w:type="pct"/>
            <w:gridSpan w:val="2"/>
            <w:noWrap w:val="0"/>
            <w:vAlign w:val="center"/>
          </w:tcPr>
          <w:p w14:paraId="355FF78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default" w:ascii="Times New Roman" w:hAnsi="Times New Roman" w:eastAsia="宋体" w:cs="Times New Roman"/>
                <w:b w:val="0"/>
                <w:bCs w:val="0"/>
                <w:caps w:val="0"/>
                <w:color w:val="auto"/>
                <w:sz w:val="24"/>
                <w:szCs w:val="24"/>
                <w:highlight w:val="none"/>
                <w:lang w:val="en-US" w:eastAsia="zh-CN"/>
              </w:rPr>
              <w:t>/</w:t>
            </w:r>
          </w:p>
        </w:tc>
        <w:tc>
          <w:tcPr>
            <w:tcW w:w="588" w:type="pct"/>
            <w:noWrap w:val="0"/>
            <w:vAlign w:val="center"/>
          </w:tcPr>
          <w:p w14:paraId="6F9CF1D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default" w:ascii="Times New Roman" w:hAnsi="Times New Roman" w:eastAsia="宋体" w:cs="Times New Roman"/>
                <w:b w:val="0"/>
                <w:bCs w:val="0"/>
                <w:caps w:val="0"/>
                <w:color w:val="auto"/>
                <w:sz w:val="24"/>
                <w:szCs w:val="24"/>
                <w:highlight w:val="none"/>
                <w:lang w:val="en-US" w:eastAsia="zh-CN"/>
              </w:rPr>
              <w:t>/</w:t>
            </w:r>
          </w:p>
        </w:tc>
        <w:tc>
          <w:tcPr>
            <w:tcW w:w="1737" w:type="pct"/>
            <w:noWrap w:val="0"/>
            <w:vAlign w:val="center"/>
          </w:tcPr>
          <w:p w14:paraId="4029848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default" w:ascii="Times New Roman" w:hAnsi="Times New Roman" w:eastAsia="宋体" w:cs="Times New Roman"/>
                <w:b w:val="0"/>
                <w:bCs w:val="0"/>
                <w:caps w:val="0"/>
                <w:color w:val="auto"/>
                <w:sz w:val="24"/>
                <w:szCs w:val="24"/>
                <w:highlight w:val="none"/>
                <w:lang w:val="en-US" w:eastAsia="zh-CN"/>
              </w:rPr>
              <w:t>/</w:t>
            </w:r>
          </w:p>
        </w:tc>
        <w:tc>
          <w:tcPr>
            <w:tcW w:w="961" w:type="pct"/>
            <w:noWrap w:val="0"/>
            <w:vAlign w:val="center"/>
          </w:tcPr>
          <w:p w14:paraId="773796B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default" w:ascii="Times New Roman" w:hAnsi="Times New Roman" w:eastAsia="宋体" w:cs="Times New Roman"/>
                <w:b w:val="0"/>
                <w:bCs w:val="0"/>
                <w:caps w:val="0"/>
                <w:color w:val="auto"/>
                <w:sz w:val="24"/>
                <w:szCs w:val="24"/>
                <w:highlight w:val="none"/>
                <w:lang w:val="en-US" w:eastAsia="zh-CN"/>
              </w:rPr>
              <w:t>/</w:t>
            </w:r>
          </w:p>
        </w:tc>
      </w:tr>
      <w:tr w14:paraId="74D5C1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85" w:hRule="atLeast"/>
          <w:jc w:val="center"/>
        </w:trPr>
        <w:tc>
          <w:tcPr>
            <w:tcW w:w="599" w:type="pct"/>
            <w:noWrap w:val="0"/>
            <w:vAlign w:val="center"/>
          </w:tcPr>
          <w:p w14:paraId="7A72B55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yellow"/>
              </w:rPr>
            </w:pPr>
            <w:r>
              <w:rPr>
                <w:rFonts w:hint="default" w:ascii="Times New Roman" w:hAnsi="Times New Roman" w:eastAsia="宋体" w:cs="Times New Roman"/>
                <w:b w:val="0"/>
                <w:bCs w:val="0"/>
                <w:caps w:val="0"/>
                <w:color w:val="auto"/>
                <w:sz w:val="24"/>
                <w:szCs w:val="24"/>
                <w:highlight w:val="none"/>
              </w:rPr>
              <w:t>固体废物</w:t>
            </w:r>
          </w:p>
        </w:tc>
        <w:tc>
          <w:tcPr>
            <w:tcW w:w="4400" w:type="pct"/>
            <w:gridSpan w:val="5"/>
            <w:noWrap w:val="0"/>
            <w:vAlign w:val="center"/>
          </w:tcPr>
          <w:p w14:paraId="606837A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default" w:ascii="Times New Roman" w:hAnsi="Times New Roman" w:eastAsia="宋体" w:cs="Times New Roman"/>
                <w:b w:val="0"/>
                <w:bCs w:val="0"/>
                <w:caps w:val="0"/>
                <w:color w:val="auto"/>
                <w:sz w:val="24"/>
                <w:szCs w:val="24"/>
                <w:highlight w:val="none"/>
                <w:lang w:val="en-US" w:eastAsia="zh-CN"/>
              </w:rPr>
              <w:t>职工生活垃圾</w:t>
            </w:r>
            <w:r>
              <w:rPr>
                <w:rFonts w:hint="eastAsia" w:ascii="Times New Roman" w:hAnsi="Times New Roman" w:eastAsia="宋体" w:cs="Times New Roman"/>
                <w:b w:val="0"/>
                <w:bCs w:val="0"/>
                <w:caps w:val="0"/>
                <w:color w:val="auto"/>
                <w:sz w:val="24"/>
                <w:szCs w:val="24"/>
                <w:highlight w:val="none"/>
                <w:lang w:val="en-US" w:eastAsia="zh-CN"/>
              </w:rPr>
              <w:t>：集中收集后交由当地环卫部门处置；</w:t>
            </w:r>
          </w:p>
          <w:p w14:paraId="24FB994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default" w:ascii="Times New Roman" w:hAnsi="Times New Roman" w:eastAsia="宋体" w:cs="Times New Roman"/>
                <w:b w:val="0"/>
                <w:bCs w:val="0"/>
                <w:caps w:val="0"/>
                <w:color w:val="auto"/>
                <w:sz w:val="24"/>
                <w:szCs w:val="24"/>
                <w:highlight w:val="none"/>
                <w:lang w:eastAsia="zh-CN"/>
              </w:rPr>
              <w:t>布袋除尘器除尘灰</w:t>
            </w:r>
            <w:r>
              <w:rPr>
                <w:rFonts w:hint="eastAsia" w:ascii="Times New Roman" w:hAnsi="Times New Roman" w:eastAsia="宋体" w:cs="Times New Roman"/>
                <w:b w:val="0"/>
                <w:bCs w:val="0"/>
                <w:caps w:val="0"/>
                <w:color w:val="auto"/>
                <w:sz w:val="24"/>
                <w:szCs w:val="24"/>
                <w:highlight w:val="none"/>
                <w:lang w:eastAsia="zh-CN"/>
              </w:rPr>
              <w:t>：</w:t>
            </w:r>
            <w:r>
              <w:rPr>
                <w:rFonts w:hint="default" w:ascii="Times New Roman" w:hAnsi="Times New Roman" w:eastAsia="宋体" w:cs="Times New Roman"/>
                <w:b w:val="0"/>
                <w:bCs w:val="0"/>
                <w:caps w:val="0"/>
                <w:color w:val="auto"/>
                <w:sz w:val="24"/>
                <w:szCs w:val="24"/>
                <w:highlight w:val="none"/>
                <w:lang w:eastAsia="zh-CN"/>
              </w:rPr>
              <w:t>收集</w:t>
            </w:r>
            <w:r>
              <w:rPr>
                <w:rFonts w:hint="eastAsia" w:ascii="Times New Roman" w:hAnsi="Times New Roman" w:eastAsia="宋体" w:cs="Times New Roman"/>
                <w:b w:val="0"/>
                <w:bCs w:val="0"/>
                <w:caps w:val="0"/>
                <w:color w:val="auto"/>
                <w:sz w:val="24"/>
                <w:szCs w:val="24"/>
                <w:highlight w:val="none"/>
                <w:lang w:val="en-US" w:eastAsia="zh-CN"/>
              </w:rPr>
              <w:t>后作为原料</w:t>
            </w:r>
            <w:r>
              <w:rPr>
                <w:rFonts w:hint="default" w:ascii="Times New Roman" w:hAnsi="Times New Roman" w:eastAsia="宋体" w:cs="Times New Roman"/>
                <w:b w:val="0"/>
                <w:bCs w:val="0"/>
                <w:caps w:val="0"/>
                <w:color w:val="auto"/>
                <w:sz w:val="24"/>
                <w:szCs w:val="24"/>
                <w:highlight w:val="none"/>
                <w:lang w:val="en-US" w:eastAsia="zh-CN"/>
              </w:rPr>
              <w:t>回收利用</w:t>
            </w:r>
            <w:r>
              <w:rPr>
                <w:rFonts w:hint="eastAsia" w:ascii="Times New Roman" w:hAnsi="Times New Roman" w:eastAsia="宋体" w:cs="Times New Roman"/>
                <w:b w:val="0"/>
                <w:bCs w:val="0"/>
                <w:caps w:val="0"/>
                <w:color w:val="auto"/>
                <w:sz w:val="24"/>
                <w:szCs w:val="24"/>
                <w:highlight w:val="none"/>
                <w:lang w:val="en-US" w:eastAsia="zh-CN"/>
              </w:rPr>
              <w:t>；</w:t>
            </w:r>
          </w:p>
          <w:p w14:paraId="66ABF91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泥饼：压滤后的泥饼不进行贮存，立即运至壶关县鑫融建材有限公司用于生产；</w:t>
            </w:r>
          </w:p>
          <w:p w14:paraId="0B0E09A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val="0"/>
                <w:caps w:val="0"/>
                <w:color w:val="auto"/>
                <w:sz w:val="24"/>
                <w:szCs w:val="24"/>
                <w:highlight w:val="none"/>
                <w:lang w:val="en-US" w:eastAsia="zh-CN"/>
              </w:rPr>
            </w:pPr>
            <w:r>
              <w:rPr>
                <w:rFonts w:hint="default" w:ascii="Times New Roman" w:hAnsi="Times New Roman" w:eastAsia="宋体" w:cs="Times New Roman"/>
                <w:b w:val="0"/>
                <w:bCs w:val="0"/>
                <w:color w:val="auto"/>
                <w:sz w:val="24"/>
                <w:szCs w:val="24"/>
                <w:lang w:val="en-US" w:eastAsia="zh-CN"/>
              </w:rPr>
              <w:t>废边角料</w:t>
            </w:r>
            <w:r>
              <w:rPr>
                <w:rFonts w:hint="eastAsia" w:ascii="Times New Roman" w:hAnsi="Times New Roman" w:eastAsia="宋体" w:cs="Times New Roman"/>
                <w:b w:val="0"/>
                <w:bCs w:val="0"/>
                <w:caps w:val="0"/>
                <w:color w:val="auto"/>
                <w:sz w:val="24"/>
                <w:szCs w:val="24"/>
                <w:highlight w:val="none"/>
                <w:lang w:val="en-US" w:eastAsia="zh-CN"/>
              </w:rPr>
              <w:t>：焊接钢筋产生的废边角料外售废品收购站；</w:t>
            </w:r>
          </w:p>
          <w:p w14:paraId="31369BE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eastAsia" w:cs="Times New Roman"/>
                <w:b w:val="0"/>
                <w:bCs w:val="0"/>
                <w:caps w:val="0"/>
                <w:color w:val="auto"/>
                <w:sz w:val="24"/>
                <w:szCs w:val="24"/>
                <w:highlight w:val="none"/>
                <w:lang w:val="en-US" w:eastAsia="zh-CN"/>
              </w:rPr>
              <w:t>残次品：集中收集后送至建材厂或砖厂综合处置。</w:t>
            </w:r>
          </w:p>
          <w:p w14:paraId="2E39201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b w:val="0"/>
                <w:bCs w:val="0"/>
                <w:color w:val="auto"/>
                <w:sz w:val="24"/>
                <w:lang w:val="en-US" w:eastAsia="zh-CN"/>
              </w:rPr>
            </w:pPr>
            <w:r>
              <w:rPr>
                <w:rFonts w:hint="default" w:ascii="Times New Roman" w:hAnsi="Times New Roman" w:eastAsia="宋体" w:cs="Times New Roman"/>
                <w:b w:val="0"/>
                <w:bCs w:val="0"/>
                <w:caps w:val="0"/>
                <w:color w:val="auto"/>
                <w:sz w:val="24"/>
                <w:szCs w:val="24"/>
                <w:highlight w:val="none"/>
                <w:lang w:val="en-US" w:eastAsia="zh-CN"/>
              </w:rPr>
              <w:t>设备维护保养</w:t>
            </w:r>
            <w:r>
              <w:rPr>
                <w:rFonts w:hint="eastAsia" w:ascii="Times New Roman" w:hAnsi="Times New Roman" w:eastAsia="宋体" w:cs="Times New Roman"/>
                <w:b w:val="0"/>
                <w:bCs w:val="0"/>
                <w:caps w:val="0"/>
                <w:color w:val="auto"/>
                <w:sz w:val="24"/>
                <w:szCs w:val="24"/>
                <w:highlight w:val="none"/>
                <w:lang w:val="en-US" w:eastAsia="zh-CN"/>
              </w:rPr>
              <w:t>及生产过程</w:t>
            </w:r>
            <w:r>
              <w:rPr>
                <w:rFonts w:hint="default" w:ascii="Times New Roman" w:hAnsi="Times New Roman" w:eastAsia="宋体" w:cs="Times New Roman"/>
                <w:b w:val="0"/>
                <w:bCs w:val="0"/>
                <w:caps w:val="0"/>
                <w:color w:val="auto"/>
                <w:sz w:val="24"/>
                <w:szCs w:val="24"/>
                <w:highlight w:val="none"/>
                <w:lang w:val="en-US" w:eastAsia="zh-CN"/>
              </w:rPr>
              <w:t>产生的</w:t>
            </w:r>
            <w:r>
              <w:rPr>
                <w:rFonts w:hint="eastAsia" w:ascii="Times New Roman" w:hAnsi="Times New Roman" w:eastAsia="宋体" w:cs="Times New Roman"/>
                <w:b w:val="0"/>
                <w:bCs w:val="0"/>
                <w:caps w:val="0"/>
                <w:color w:val="auto"/>
                <w:sz w:val="24"/>
                <w:szCs w:val="24"/>
                <w:highlight w:val="none"/>
                <w:lang w:val="en-US" w:eastAsia="zh-CN"/>
              </w:rPr>
              <w:t>废润滑油</w:t>
            </w:r>
            <w:r>
              <w:rPr>
                <w:rFonts w:hint="default" w:ascii="Times New Roman" w:hAnsi="Times New Roman" w:eastAsia="宋体" w:cs="Times New Roman"/>
                <w:b w:val="0"/>
                <w:bCs w:val="0"/>
                <w:caps w:val="0"/>
                <w:color w:val="auto"/>
                <w:sz w:val="24"/>
                <w:szCs w:val="24"/>
                <w:highlight w:val="none"/>
                <w:lang w:val="en-US" w:eastAsia="zh-CN"/>
              </w:rPr>
              <w:t>及废油桶</w:t>
            </w:r>
            <w:r>
              <w:rPr>
                <w:rFonts w:hint="eastAsia" w:ascii="Times New Roman" w:hAnsi="Times New Roman" w:eastAsia="宋体" w:cs="Times New Roman"/>
                <w:b w:val="0"/>
                <w:bCs w:val="0"/>
                <w:caps w:val="0"/>
                <w:color w:val="auto"/>
                <w:sz w:val="24"/>
                <w:szCs w:val="24"/>
                <w:highlight w:val="none"/>
                <w:lang w:val="en-US" w:eastAsia="zh-CN"/>
              </w:rPr>
              <w:t>：暂存于</w:t>
            </w:r>
            <w:r>
              <w:rPr>
                <w:rFonts w:hint="eastAsia" w:cs="Times New Roman"/>
                <w:b w:val="0"/>
                <w:bCs w:val="0"/>
                <w:caps w:val="0"/>
                <w:color w:val="auto"/>
                <w:sz w:val="24"/>
                <w:szCs w:val="24"/>
                <w:highlight w:val="none"/>
                <w:lang w:val="en-US" w:eastAsia="zh-CN"/>
              </w:rPr>
              <w:t>危废贮存库</w:t>
            </w:r>
            <w:r>
              <w:rPr>
                <w:rFonts w:hint="eastAsia" w:ascii="Times New Roman" w:hAnsi="Times New Roman" w:eastAsia="宋体" w:cs="Times New Roman"/>
                <w:b w:val="0"/>
                <w:bCs w:val="0"/>
                <w:caps w:val="0"/>
                <w:color w:val="auto"/>
                <w:sz w:val="24"/>
                <w:szCs w:val="24"/>
                <w:highlight w:val="none"/>
                <w:lang w:val="en-US" w:eastAsia="zh-CN"/>
              </w:rPr>
              <w:t>，定期</w:t>
            </w:r>
            <w:r>
              <w:rPr>
                <w:rFonts w:hint="default" w:ascii="Times New Roman" w:hAnsi="Times New Roman" w:eastAsia="宋体" w:cs="Times New Roman"/>
                <w:b w:val="0"/>
                <w:bCs w:val="0"/>
                <w:caps w:val="0"/>
                <w:color w:val="auto"/>
                <w:sz w:val="24"/>
                <w:szCs w:val="24"/>
                <w:highlight w:val="none"/>
                <w:lang w:val="en-US" w:eastAsia="zh-CN"/>
              </w:rPr>
              <w:t>委托有危险废物处置资质的单位进行处理</w:t>
            </w:r>
            <w:r>
              <w:rPr>
                <w:rFonts w:hint="eastAsia" w:ascii="Times New Roman" w:hAnsi="Times New Roman" w:eastAsia="宋体" w:cs="Times New Roman"/>
                <w:b w:val="0"/>
                <w:bCs w:val="0"/>
                <w:caps w:val="0"/>
                <w:color w:val="auto"/>
                <w:sz w:val="24"/>
                <w:szCs w:val="24"/>
                <w:highlight w:val="none"/>
                <w:lang w:val="en-US" w:eastAsia="zh-CN"/>
              </w:rPr>
              <w:t>。</w:t>
            </w:r>
          </w:p>
        </w:tc>
      </w:tr>
      <w:tr w14:paraId="3FB441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599" w:type="pct"/>
            <w:noWrap w:val="0"/>
            <w:vAlign w:val="center"/>
          </w:tcPr>
          <w:p w14:paraId="7AF3182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8"/>
                <w:sz w:val="24"/>
                <w:szCs w:val="24"/>
                <w:highlight w:val="none"/>
              </w:rPr>
            </w:pPr>
            <w:r>
              <w:rPr>
                <w:rFonts w:hint="default" w:ascii="Times New Roman" w:hAnsi="Times New Roman" w:eastAsia="宋体" w:cs="Times New Roman"/>
                <w:b w:val="0"/>
                <w:bCs w:val="0"/>
                <w:caps w:val="0"/>
                <w:color w:val="auto"/>
                <w:spacing w:val="-8"/>
                <w:sz w:val="24"/>
                <w:szCs w:val="24"/>
                <w:highlight w:val="none"/>
              </w:rPr>
              <w:t>土壤及地下水污染防治措施</w:t>
            </w:r>
          </w:p>
        </w:tc>
        <w:tc>
          <w:tcPr>
            <w:tcW w:w="4400" w:type="pct"/>
            <w:gridSpan w:val="5"/>
            <w:noWrap w:val="0"/>
            <w:vAlign w:val="center"/>
          </w:tcPr>
          <w:p w14:paraId="59FA8BF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val="0"/>
                <w:bCs w:val="0"/>
                <w:caps w:val="0"/>
                <w:color w:val="auto"/>
                <w:spacing w:val="-8"/>
                <w:sz w:val="24"/>
                <w:szCs w:val="24"/>
                <w:highlight w:val="none"/>
                <w:lang w:val="en-US" w:eastAsia="zh-CN"/>
              </w:rPr>
            </w:pPr>
            <w:r>
              <w:rPr>
                <w:rFonts w:hint="default" w:ascii="Times New Roman" w:hAnsi="Times New Roman" w:eastAsia="宋体" w:cs="Times New Roman"/>
                <w:b w:val="0"/>
                <w:bCs w:val="0"/>
                <w:caps w:val="0"/>
                <w:color w:val="auto"/>
                <w:spacing w:val="-8"/>
                <w:sz w:val="24"/>
                <w:szCs w:val="24"/>
                <w:highlight w:val="none"/>
                <w:lang w:val="en-US" w:eastAsia="zh-CN"/>
              </w:rPr>
              <w:t>根据项目所在地的地形特点优化地面布局，对</w:t>
            </w:r>
            <w:r>
              <w:rPr>
                <w:rFonts w:hint="eastAsia" w:ascii="Times New Roman" w:hAnsi="Times New Roman" w:eastAsia="宋体" w:cs="Times New Roman"/>
                <w:b w:val="0"/>
                <w:bCs w:val="0"/>
                <w:caps w:val="0"/>
                <w:color w:val="auto"/>
                <w:spacing w:val="-8"/>
                <w:sz w:val="24"/>
                <w:szCs w:val="24"/>
                <w:highlight w:val="none"/>
                <w:lang w:val="en-US" w:eastAsia="zh-CN"/>
              </w:rPr>
              <w:t>厂区</w:t>
            </w:r>
            <w:r>
              <w:rPr>
                <w:rFonts w:hint="default" w:ascii="Times New Roman" w:hAnsi="Times New Roman" w:eastAsia="宋体" w:cs="Times New Roman"/>
                <w:b w:val="0"/>
                <w:bCs w:val="0"/>
                <w:caps w:val="0"/>
                <w:color w:val="auto"/>
                <w:spacing w:val="-8"/>
                <w:sz w:val="24"/>
                <w:szCs w:val="24"/>
                <w:highlight w:val="none"/>
                <w:lang w:val="en-US" w:eastAsia="zh-CN"/>
              </w:rPr>
              <w:t>地面进行硬化及分区防渗，防止土壤及地下水环境污染，并且在运营期加强管理。</w:t>
            </w:r>
          </w:p>
        </w:tc>
      </w:tr>
      <w:tr w14:paraId="22CC2E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99" w:type="pct"/>
            <w:noWrap w:val="0"/>
            <w:vAlign w:val="center"/>
          </w:tcPr>
          <w:p w14:paraId="05757A7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8"/>
                <w:sz w:val="24"/>
                <w:szCs w:val="24"/>
                <w:highlight w:val="none"/>
              </w:rPr>
            </w:pPr>
            <w:r>
              <w:rPr>
                <w:rFonts w:hint="default" w:ascii="Times New Roman" w:hAnsi="Times New Roman" w:eastAsia="宋体" w:cs="Times New Roman"/>
                <w:b w:val="0"/>
                <w:bCs w:val="0"/>
                <w:caps w:val="0"/>
                <w:color w:val="auto"/>
                <w:spacing w:val="-8"/>
                <w:sz w:val="24"/>
                <w:szCs w:val="24"/>
                <w:highlight w:val="none"/>
              </w:rPr>
              <w:t>生态保护措施</w:t>
            </w:r>
          </w:p>
        </w:tc>
        <w:tc>
          <w:tcPr>
            <w:tcW w:w="4400" w:type="pct"/>
            <w:gridSpan w:val="5"/>
            <w:noWrap w:val="0"/>
            <w:vAlign w:val="center"/>
          </w:tcPr>
          <w:p w14:paraId="7D4D9AD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b w:val="0"/>
                <w:bCs w:val="0"/>
                <w:color w:val="auto"/>
                <w:sz w:val="24"/>
                <w:highlight w:val="none"/>
                <w:lang w:val="en-US" w:eastAsia="zh-CN"/>
              </w:rPr>
            </w:pPr>
            <w:r>
              <w:rPr>
                <w:rFonts w:hint="eastAsia" w:ascii="Times New Roman" w:hAnsi="Times New Roman" w:eastAsia="宋体" w:cs="宋体"/>
                <w:b w:val="0"/>
                <w:bCs w:val="0"/>
                <w:color w:val="auto"/>
                <w:kern w:val="0"/>
                <w:sz w:val="24"/>
                <w:szCs w:val="24"/>
                <w:lang w:val="en-US" w:eastAsia="zh-CN" w:bidi="ar"/>
              </w:rPr>
              <w:t>按照环评要求切实落实各种污染控制措施。</w:t>
            </w:r>
          </w:p>
        </w:tc>
      </w:tr>
      <w:tr w14:paraId="6EE310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17" w:hRule="atLeast"/>
          <w:jc w:val="center"/>
        </w:trPr>
        <w:tc>
          <w:tcPr>
            <w:tcW w:w="599" w:type="pct"/>
            <w:noWrap w:val="0"/>
            <w:vAlign w:val="center"/>
          </w:tcPr>
          <w:p w14:paraId="12DD2C4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pacing w:val="-8"/>
                <w:sz w:val="24"/>
                <w:szCs w:val="24"/>
                <w:highlight w:val="yellow"/>
              </w:rPr>
            </w:pPr>
            <w:r>
              <w:rPr>
                <w:rFonts w:hint="default" w:ascii="Times New Roman" w:hAnsi="Times New Roman" w:eastAsia="宋体" w:cs="Times New Roman"/>
                <w:b w:val="0"/>
                <w:bCs w:val="0"/>
                <w:caps w:val="0"/>
                <w:color w:val="auto"/>
                <w:spacing w:val="-8"/>
                <w:sz w:val="24"/>
                <w:szCs w:val="24"/>
                <w:highlight w:val="none"/>
              </w:rPr>
              <w:t>环境风险防范措施</w:t>
            </w:r>
          </w:p>
        </w:tc>
        <w:tc>
          <w:tcPr>
            <w:tcW w:w="4400" w:type="pct"/>
            <w:gridSpan w:val="5"/>
            <w:noWrap w:val="0"/>
            <w:vAlign w:val="center"/>
          </w:tcPr>
          <w:p w14:paraId="5D6F26E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cs="Times New Roman"/>
                <w:b w:val="0"/>
                <w:bCs w:val="0"/>
                <w:caps w:val="0"/>
                <w:color w:val="auto"/>
                <w:spacing w:val="-8"/>
                <w:sz w:val="24"/>
                <w:szCs w:val="24"/>
                <w:highlight w:val="none"/>
                <w:lang w:val="en-US" w:eastAsia="zh-CN"/>
              </w:rPr>
            </w:pPr>
            <w:r>
              <w:rPr>
                <w:rFonts w:hint="eastAsia" w:ascii="Times New Roman" w:hAnsi="Times New Roman" w:eastAsia="宋体" w:cs="Times New Roman"/>
                <w:b w:val="0"/>
                <w:bCs w:val="0"/>
                <w:caps w:val="0"/>
                <w:color w:val="auto"/>
                <w:spacing w:val="-8"/>
                <w:sz w:val="24"/>
                <w:szCs w:val="24"/>
                <w:highlight w:val="none"/>
                <w:lang w:val="en-US" w:eastAsia="zh-CN"/>
              </w:rPr>
              <w:t>制定风险应急措施，加强监控和环境管理；加强职工的安全教育，增强安全防范风险的意识，针对运营中可能发生的异常现象和存在的安全隐患，设置合理可行的技术措施，制定严格的操作规程。</w:t>
            </w:r>
          </w:p>
          <w:p w14:paraId="1F2F04C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b w:val="0"/>
                <w:bCs w:val="0"/>
                <w:color w:val="auto"/>
                <w:sz w:val="24"/>
                <w:highlight w:val="yellow"/>
                <w:lang w:val="en-US" w:eastAsia="zh-CN"/>
              </w:rPr>
            </w:pPr>
            <w:r>
              <w:rPr>
                <w:rFonts w:hint="eastAsia" w:ascii="Times New Roman" w:hAnsi="Times New Roman" w:eastAsia="宋体" w:cs="Times New Roman"/>
                <w:b w:val="0"/>
                <w:bCs w:val="0"/>
                <w:caps w:val="0"/>
                <w:color w:val="auto"/>
                <w:spacing w:val="-8"/>
                <w:sz w:val="24"/>
                <w:szCs w:val="24"/>
                <w:highlight w:val="none"/>
                <w:lang w:val="en-US" w:eastAsia="zh-CN"/>
              </w:rPr>
              <w:t>对易发生泄漏的部位实行定期的巡检制度，及时发现问题，尽快解决；严格执行防火、防爆、防雷击、防毒害等各项规程规范；建立健全环境管理体系及高效的安全生产机构，一旦发生事故，要做到快速、高效、安全处置。</w:t>
            </w:r>
          </w:p>
        </w:tc>
      </w:tr>
      <w:tr w14:paraId="11B537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599" w:type="pct"/>
            <w:noWrap w:val="0"/>
            <w:vAlign w:val="center"/>
          </w:tcPr>
          <w:p w14:paraId="00CFF6D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caps w:val="0"/>
                <w:color w:val="auto"/>
                <w:sz w:val="24"/>
                <w:szCs w:val="24"/>
                <w:highlight w:val="none"/>
                <w:lang w:val="en-US" w:eastAsia="zh-CN"/>
              </w:rPr>
            </w:pPr>
            <w:r>
              <w:rPr>
                <w:rFonts w:hint="default" w:ascii="Times New Roman" w:hAnsi="Times New Roman" w:eastAsia="宋体" w:cs="Times New Roman"/>
                <w:b w:val="0"/>
                <w:bCs w:val="0"/>
                <w:caps w:val="0"/>
                <w:color w:val="auto"/>
                <w:sz w:val="24"/>
                <w:szCs w:val="24"/>
                <w:highlight w:val="none"/>
                <w:lang w:val="en-US" w:eastAsia="zh-CN"/>
              </w:rPr>
              <w:t>其他环境管理要求</w:t>
            </w:r>
          </w:p>
        </w:tc>
        <w:tc>
          <w:tcPr>
            <w:tcW w:w="4400" w:type="pct"/>
            <w:gridSpan w:val="5"/>
            <w:noWrap w:val="0"/>
            <w:vAlign w:val="center"/>
          </w:tcPr>
          <w:p w14:paraId="2D45913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b w:val="0"/>
                <w:bCs w:val="0"/>
                <w:color w:val="auto"/>
                <w:sz w:val="24"/>
                <w:highlight w:val="none"/>
                <w:lang w:val="en-US" w:eastAsia="zh-CN"/>
              </w:rPr>
            </w:pPr>
            <w:r>
              <w:rPr>
                <w:rFonts w:hint="default" w:ascii="Times New Roman" w:hAnsi="Times New Roman" w:eastAsia="宋体"/>
                <w:b w:val="0"/>
                <w:bCs w:val="0"/>
                <w:color w:val="auto"/>
                <w:sz w:val="24"/>
                <w:szCs w:val="24"/>
                <w:highlight w:val="none"/>
                <w:lang w:val="en-US" w:eastAsia="zh-CN"/>
              </w:rPr>
              <w:t>本项目建成后，企业应完善现有的环境管理组织，负责整个厂区的环保工作，负责对项目废气、废水、噪声和固体废物处理处置情况进行监督管理，对外环保协调工作，履行环境管理和环境监控职责。</w:t>
            </w:r>
          </w:p>
        </w:tc>
      </w:tr>
    </w:tbl>
    <w:p w14:paraId="629B8F6E">
      <w:pPr>
        <w:pStyle w:val="34"/>
        <w:bidi w:val="0"/>
        <w:jc w:val="both"/>
        <w:rPr>
          <w:rFonts w:hint="eastAsia"/>
          <w:color w:val="auto"/>
          <w:highlight w:val="none"/>
          <w:lang w:eastAsia="zh-CN"/>
        </w:rPr>
      </w:pPr>
      <w:r>
        <w:rPr>
          <w:rFonts w:hint="eastAsia"/>
          <w:color w:val="auto"/>
          <w:highlight w:val="none"/>
          <w:lang w:eastAsia="zh-CN"/>
        </w:rPr>
        <w:br w:type="page"/>
      </w:r>
      <w:bookmarkEnd w:id="42"/>
    </w:p>
    <w:p w14:paraId="5464470D">
      <w:pPr>
        <w:pStyle w:val="9"/>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eastAsia"/>
          <w:color w:val="auto"/>
          <w:highlight w:val="none"/>
          <w:lang w:eastAsia="zh-CN"/>
        </w:rPr>
      </w:pPr>
      <w:bookmarkStart w:id="43" w:name="_Toc30693"/>
      <w:bookmarkStart w:id="44" w:name="_Ref2613"/>
      <w:r>
        <w:rPr>
          <w:rFonts w:hint="default" w:ascii="黑体" w:hAnsi="黑体" w:eastAsia="黑体" w:cs="黑体"/>
          <w:color w:val="auto"/>
          <w:kern w:val="2"/>
          <w:sz w:val="2"/>
          <w:szCs w:val="2"/>
          <w:lang w:val="en-US" w:eastAsia="zh-CN" w:bidi="ar-SA"/>
        </w:rPr>
        <w:t>6</w:t>
      </w:r>
      <w:r>
        <w:rPr>
          <w:rFonts w:hint="eastAsia"/>
          <w:color w:val="auto"/>
          <w:highlight w:val="none"/>
          <w:lang w:val="en-US" w:eastAsia="zh-CN"/>
        </w:rPr>
        <w:t>六、</w:t>
      </w:r>
      <w:r>
        <w:rPr>
          <w:rFonts w:hint="eastAsia"/>
          <w:color w:val="auto"/>
          <w:highlight w:val="none"/>
          <w:lang w:eastAsia="zh-CN"/>
        </w:rPr>
        <w:t>结论</w:t>
      </w:r>
      <w:bookmarkEnd w:id="43"/>
      <w:bookmarkEnd w:id="44"/>
    </w:p>
    <w:tbl>
      <w:tblPr>
        <w:tblStyle w:val="29"/>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38FBF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02" w:hRule="atLeast"/>
        </w:trPr>
        <w:tc>
          <w:tcPr>
            <w:tcW w:w="9060" w:type="dxa"/>
            <w:vAlign w:val="center"/>
          </w:tcPr>
          <w:p w14:paraId="18BC3E33">
            <w:pPr>
              <w:keepNext w:val="0"/>
              <w:keepLines w:val="0"/>
              <w:pageBreakBefore w:val="0"/>
              <w:widowControl w:val="0"/>
              <w:tabs>
                <w:tab w:val="left" w:pos="3405"/>
              </w:tabs>
              <w:kinsoku/>
              <w:wordWrap/>
              <w:overflowPunct/>
              <w:topLinePunct w:val="0"/>
              <w:autoSpaceDE/>
              <w:autoSpaceDN/>
              <w:bidi w:val="0"/>
              <w:adjustRightInd/>
              <w:snapToGrid w:val="0"/>
              <w:spacing w:line="360" w:lineRule="auto"/>
              <w:ind w:firstLine="480" w:firstLineChars="200"/>
              <w:textAlignment w:val="auto"/>
              <w:rPr>
                <w:rFonts w:hint="default"/>
                <w:color w:val="auto"/>
                <w:sz w:val="24"/>
                <w:szCs w:val="24"/>
                <w:highlight w:val="none"/>
              </w:rPr>
            </w:pPr>
            <w:r>
              <w:rPr>
                <w:rFonts w:hint="default"/>
                <w:color w:val="auto"/>
                <w:sz w:val="24"/>
                <w:szCs w:val="24"/>
                <w:highlight w:val="none"/>
              </w:rPr>
              <w:t>综上所述，</w:t>
            </w:r>
            <w:r>
              <w:rPr>
                <w:rFonts w:hint="eastAsia"/>
                <w:color w:val="auto"/>
                <w:lang w:eastAsia="zh-CN"/>
              </w:rPr>
              <w:t>山西鑫隆源工贸有限公司装配式建设</w:t>
            </w:r>
            <w:r>
              <w:rPr>
                <w:rFonts w:hint="eastAsia"/>
                <w:color w:val="auto"/>
                <w:sz w:val="24"/>
                <w:szCs w:val="24"/>
                <w:highlight w:val="none"/>
                <w:lang w:val="en-US" w:eastAsia="zh-CN"/>
              </w:rPr>
              <w:t>项目从环保角度分析建设可行</w:t>
            </w:r>
            <w:r>
              <w:rPr>
                <w:rFonts w:hint="default"/>
                <w:color w:val="auto"/>
                <w:sz w:val="24"/>
                <w:szCs w:val="24"/>
                <w:highlight w:val="none"/>
              </w:rPr>
              <w:t>。</w:t>
            </w:r>
          </w:p>
          <w:p w14:paraId="7CAD793A">
            <w:pPr>
              <w:bidi w:val="0"/>
              <w:rPr>
                <w:rFonts w:hint="eastAsia"/>
                <w:color w:val="auto"/>
                <w:lang w:eastAsia="zh-CN"/>
              </w:rPr>
            </w:pPr>
          </w:p>
        </w:tc>
      </w:tr>
    </w:tbl>
    <w:p w14:paraId="25E52151">
      <w:pPr>
        <w:bidi w:val="0"/>
        <w:rPr>
          <w:rFonts w:hint="eastAsia"/>
          <w:color w:val="auto"/>
          <w:sz w:val="2"/>
          <w:szCs w:val="2"/>
          <w:highlight w:val="none"/>
          <w:lang w:eastAsia="zh-CN"/>
        </w:rPr>
        <w:sectPr>
          <w:pgSz w:w="11906" w:h="16838"/>
          <w:pgMar w:top="1701" w:right="1417" w:bottom="1701" w:left="1417" w:header="851"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7A3AA6BD">
      <w:pPr>
        <w:pStyle w:val="34"/>
        <w:bidi w:val="0"/>
        <w:jc w:val="both"/>
        <w:rPr>
          <w:rFonts w:hint="eastAsia"/>
          <w:color w:val="auto"/>
          <w:highlight w:val="none"/>
          <w:lang w:eastAsia="zh-CN"/>
        </w:rPr>
      </w:pPr>
    </w:p>
    <w:sectPr>
      <w:footerReference r:id="rId8" w:type="default"/>
      <w:pgSz w:w="16838" w:h="11905" w:orient="landscape"/>
      <w:pgMar w:top="1800" w:right="1440" w:bottom="1800" w:left="1440" w:header="283" w:footer="113" w:gutter="0"/>
      <w:pgBorders>
        <w:top w:val="none" w:sz="0" w:space="0"/>
        <w:left w:val="none" w:sz="0" w:space="0"/>
        <w:bottom w:val="none" w:sz="0" w:space="0"/>
        <w:right w:val="none" w:sz="0" w:space="0"/>
      </w:pgBorders>
      <w:pgNumType w:fmt="decimal"/>
      <w:cols w:space="0" w:num="1"/>
      <w:rtlGutter w:val="0"/>
      <w:docGrid w:type="line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BC5E05-9A68-4120-8A2D-E57A6CCEA3F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35266582-3AB2-411E-97B5-91A2256E772F}"/>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82016" w:usb3="00000000" w:csb0="00040001" w:csb1="00000000"/>
  </w:font>
  <w:font w:name="方正仿宋_GB2312">
    <w:altName w:val="仿宋"/>
    <w:panose1 w:val="02000000000000000000"/>
    <w:charset w:val="86"/>
    <w:family w:val="auto"/>
    <w:pitch w:val="default"/>
    <w:sig w:usb0="00000000" w:usb1="00000000" w:usb2="00000012" w:usb3="00000000" w:csb0="00040001" w:csb1="00000000"/>
    <w:embedRegular r:id="rId3" w:fontKey="{649351C4-BAB9-415E-86DF-2BD836DB167F}"/>
  </w:font>
  <w:font w:name="方正仿宋_GBK">
    <w:altName w:val="微软雅黑"/>
    <w:panose1 w:val="02000000000000000000"/>
    <w:charset w:val="86"/>
    <w:family w:val="auto"/>
    <w:pitch w:val="default"/>
    <w:sig w:usb0="00000000" w:usb1="00000000" w:usb2="00082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embedRegular r:id="rId4" w:fontKey="{B436FF46-67BF-45C2-B126-A9F800E8DDA4}"/>
  </w:font>
  <w:font w:name="楷体">
    <w:panose1 w:val="02010609060101010101"/>
    <w:charset w:val="86"/>
    <w:family w:val="auto"/>
    <w:pitch w:val="default"/>
    <w:sig w:usb0="800002BF" w:usb1="38CF7CFA" w:usb2="00000016" w:usb3="00000000" w:csb0="00040001" w:csb1="00000000"/>
    <w:embedRegular r:id="rId5" w:fontKey="{8F60F90B-1AF3-4DBB-897E-1AFA18F50184}"/>
  </w:font>
  <w:font w:name="仿宋">
    <w:panose1 w:val="02010609060101010101"/>
    <w:charset w:val="86"/>
    <w:family w:val="modern"/>
    <w:pitch w:val="default"/>
    <w:sig w:usb0="800002BF" w:usb1="38CF7CFA" w:usb2="00000016" w:usb3="00000000" w:csb0="00040001" w:csb1="00000000"/>
    <w:embedRegular r:id="rId6" w:fontKey="{AA5E2B74-1206-4E38-842B-FACE22675116}"/>
  </w:font>
  <w:font w:name="Microsoft New Tai Lue">
    <w:panose1 w:val="020B0502040204020203"/>
    <w:charset w:val="00"/>
    <w:family w:val="auto"/>
    <w:pitch w:val="default"/>
    <w:sig w:usb0="00000003" w:usb1="00000000" w:usb2="80000000" w:usb3="00000000" w:csb0="00000001" w:csb1="00000000"/>
    <w:embedRegular r:id="rId7" w:fontKey="{9789C4DB-AF5A-4726-80EF-B63AC472CB4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C4FDB">
    <w:pPr>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25C04">
    <w:pPr>
      <w:tabs>
        <w:tab w:val="center" w:pos="4153"/>
        <w:tab w:val="right" w:pos="8306"/>
      </w:tabs>
    </w:pPr>
    <w:r>
      <w:rPr>
        <w:sz w:val="21"/>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E5834E">
                          <w:pPr>
                            <w:tabs>
                              <w:tab w:val="center" w:pos="4153"/>
                              <w:tab w:val="right" w:pos="8306"/>
                            </w:tabs>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0E5834E">
                    <w:pPr>
                      <w:tabs>
                        <w:tab w:val="center" w:pos="4153"/>
                        <w:tab w:val="right" w:pos="8306"/>
                      </w:tabs>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2A475">
    <w:pPr>
      <w:tabs>
        <w:tab w:val="center" w:pos="4153"/>
        <w:tab w:val="right"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4389F">
    <w:pPr>
      <w:pBdr>
        <w:bottom w:val="none" w:color="auto" w:sz="0" w:space="0"/>
      </w:pBd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94F655"/>
    <w:multiLevelType w:val="singleLevel"/>
    <w:tmpl w:val="9694F655"/>
    <w:lvl w:ilvl="0" w:tentative="0">
      <w:start w:val="1"/>
      <w:numFmt w:val="decimal"/>
      <w:suff w:val="nothing"/>
      <w:lvlText w:val="%1、"/>
      <w:lvlJc w:val="left"/>
    </w:lvl>
  </w:abstractNum>
  <w:abstractNum w:abstractNumId="1">
    <w:nsid w:val="A46360FA"/>
    <w:multiLevelType w:val="singleLevel"/>
    <w:tmpl w:val="A46360FA"/>
    <w:lvl w:ilvl="0" w:tentative="0">
      <w:start w:val="1"/>
      <w:numFmt w:val="decimal"/>
      <w:suff w:val="nothing"/>
      <w:lvlText w:val="（%1）"/>
      <w:lvlJc w:val="left"/>
    </w:lvl>
  </w:abstractNum>
  <w:abstractNum w:abstractNumId="2">
    <w:nsid w:val="C1361D64"/>
    <w:multiLevelType w:val="singleLevel"/>
    <w:tmpl w:val="C1361D64"/>
    <w:lvl w:ilvl="0" w:tentative="0">
      <w:start w:val="1"/>
      <w:numFmt w:val="decimal"/>
      <w:suff w:val="nothing"/>
      <w:lvlText w:val="%1、"/>
      <w:lvlJc w:val="left"/>
    </w:lvl>
  </w:abstractNum>
  <w:abstractNum w:abstractNumId="3">
    <w:nsid w:val="D2D3466B"/>
    <w:multiLevelType w:val="multilevel"/>
    <w:tmpl w:val="D2D3466B"/>
    <w:lvl w:ilvl="0" w:tentative="0">
      <w:start w:val="1"/>
      <w:numFmt w:val="decimal"/>
      <w:suff w:val="nothing"/>
      <w:lvlText w:val="%1"/>
      <w:lvlJc w:val="left"/>
      <w:pPr>
        <w:tabs>
          <w:tab w:val="left" w:pos="0"/>
        </w:tabs>
        <w:ind w:left="0" w:leftChars="0" w:firstLine="0" w:firstLineChars="0"/>
      </w:pPr>
      <w:rPr>
        <w:rFonts w:hint="default"/>
        <w:color w:val="FFFFFF" w:themeColor="background1"/>
        <w:sz w:val="2"/>
        <w:szCs w:val="2"/>
        <w14:textFill>
          <w14:solidFill>
            <w14:schemeClr w14:val="bg1"/>
          </w14:solidFill>
        </w14:textFill>
      </w:rPr>
    </w:lvl>
    <w:lvl w:ilvl="1" w:tentative="0">
      <w:start w:val="1"/>
      <w:numFmt w:val="decimal"/>
      <w:pStyle w:val="11"/>
      <w:suff w:val="space"/>
      <w:lvlText w:val="%1.%2"/>
      <w:lvlJc w:val="left"/>
      <w:pPr>
        <w:tabs>
          <w:tab w:val="left" w:pos="0"/>
        </w:tabs>
        <w:ind w:left="718" w:leftChars="0" w:firstLine="0" w:firstLineChars="0"/>
      </w:pPr>
      <w:rPr>
        <w:rFonts w:hint="default"/>
      </w:rPr>
    </w:lvl>
    <w:lvl w:ilvl="2" w:tentative="0">
      <w:start w:val="1"/>
      <w:numFmt w:val="decimal"/>
      <w:pStyle w:val="12"/>
      <w:suff w:val="space"/>
      <w:lvlText w:val="%1.%2.%3"/>
      <w:lvlJc w:val="left"/>
      <w:pPr>
        <w:tabs>
          <w:tab w:val="left" w:pos="0"/>
        </w:tabs>
        <w:ind w:left="0" w:leftChars="0" w:firstLine="0" w:firstLineChars="0"/>
      </w:pPr>
      <w:rPr>
        <w:rFonts w:hint="default"/>
      </w:rPr>
    </w:lvl>
    <w:lvl w:ilvl="3" w:tentative="0">
      <w:start w:val="1"/>
      <w:numFmt w:val="decimal"/>
      <w:lvlText w:val="%1.%2.%3.%4."/>
      <w:lvlJc w:val="left"/>
      <w:pPr>
        <w:ind w:left="850" w:hanging="850"/>
      </w:pPr>
      <w:rPr>
        <w:rFonts w:hint="eastAsia"/>
      </w:rPr>
    </w:lvl>
    <w:lvl w:ilvl="4" w:tentative="0">
      <w:start w:val="1"/>
      <w:numFmt w:val="decimal"/>
      <w:lvlText w:val="%1.%2.%3.%4.%5."/>
      <w:lvlJc w:val="left"/>
      <w:pPr>
        <w:ind w:left="991" w:hanging="991"/>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5" w:hanging="1275"/>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8" w:hanging="1558"/>
      </w:pPr>
      <w:rPr>
        <w:rFonts w:hint="eastAsia"/>
      </w:rPr>
    </w:lvl>
  </w:abstractNum>
  <w:abstractNum w:abstractNumId="4">
    <w:nsid w:val="E195E9FC"/>
    <w:multiLevelType w:val="singleLevel"/>
    <w:tmpl w:val="E195E9FC"/>
    <w:lvl w:ilvl="0" w:tentative="0">
      <w:start w:val="1"/>
      <w:numFmt w:val="decimal"/>
      <w:pStyle w:val="9"/>
      <w:suff w:val="nothing"/>
      <w:lvlText w:val="%1、"/>
      <w:lvlJc w:val="left"/>
      <w:pPr>
        <w:tabs>
          <w:tab w:val="left" w:pos="0"/>
        </w:tabs>
        <w:ind w:left="0" w:firstLine="420"/>
      </w:pPr>
      <w:rPr>
        <w:rFonts w:hint="default"/>
      </w:rPr>
    </w:lvl>
  </w:abstractNum>
  <w:abstractNum w:abstractNumId="5">
    <w:nsid w:val="F3FED057"/>
    <w:multiLevelType w:val="multilevel"/>
    <w:tmpl w:val="F3FED057"/>
    <w:lvl w:ilvl="0" w:tentative="0">
      <w:start w:val="1"/>
      <w:numFmt w:val="decimal"/>
      <w:suff w:val="space"/>
      <w:lvlText w:val="表%1"/>
      <w:lvlJc w:val="left"/>
      <w:pPr>
        <w:tabs>
          <w:tab w:val="left" w:pos="420"/>
        </w:tabs>
        <w:ind w:left="432" w:hanging="432"/>
      </w:pPr>
      <w:rPr>
        <w:rFonts w:hint="default"/>
      </w:rPr>
    </w:lvl>
    <w:lvl w:ilvl="1" w:tentative="0">
      <w:start w:val="1"/>
      <w:numFmt w:val="decimal"/>
      <w:suff w:val="space"/>
      <w:lvlText w:val="%1.%2"/>
      <w:lvlJc w:val="left"/>
      <w:pPr>
        <w:tabs>
          <w:tab w:val="left" w:pos="420"/>
        </w:tabs>
        <w:ind w:left="0" w:leftChars="0" w:firstLine="0" w:firstLineChars="0"/>
      </w:pPr>
      <w:rPr>
        <w:rFonts w:hint="default"/>
      </w:rPr>
    </w:lvl>
    <w:lvl w:ilvl="2" w:tentative="0">
      <w:start w:val="1"/>
      <w:numFmt w:val="decimal"/>
      <w:suff w:val="space"/>
      <w:lvlText w:val="%1.%2.%3"/>
      <w:lvlJc w:val="left"/>
      <w:pPr>
        <w:tabs>
          <w:tab w:val="left" w:pos="420"/>
        </w:tabs>
        <w:ind w:left="720" w:hanging="720"/>
      </w:pPr>
      <w:rPr>
        <w:rFonts w:hint="default"/>
      </w:rPr>
    </w:lvl>
    <w:lvl w:ilvl="3" w:tentative="0">
      <w:start w:val="1"/>
      <w:numFmt w:val="decimal"/>
      <w:pStyle w:val="13"/>
      <w:lvlText w:val="%1.%2.%3.%4"/>
      <w:lvlJc w:val="left"/>
      <w:pPr>
        <w:ind w:left="864" w:hanging="864"/>
      </w:pPr>
      <w:rPr>
        <w:rFonts w:hint="default"/>
      </w:rPr>
    </w:lvl>
    <w:lvl w:ilvl="4" w:tentative="0">
      <w:start w:val="1"/>
      <w:numFmt w:val="decimal"/>
      <w:pStyle w:val="14"/>
      <w:lvlText w:val="%1.%2.%3.%4.%5"/>
      <w:lvlJc w:val="left"/>
      <w:pPr>
        <w:ind w:left="1008" w:hanging="1008"/>
      </w:pPr>
      <w:rPr>
        <w:rFonts w:hint="default"/>
      </w:rPr>
    </w:lvl>
    <w:lvl w:ilvl="5" w:tentative="0">
      <w:start w:val="1"/>
      <w:numFmt w:val="decimal"/>
      <w:pStyle w:val="15"/>
      <w:lvlText w:val="%1.%2.%3.%4.%5.%6."/>
      <w:lvlJc w:val="left"/>
      <w:pPr>
        <w:ind w:left="1151" w:hanging="1151"/>
      </w:pPr>
      <w:rPr>
        <w:rFonts w:hint="default"/>
      </w:rPr>
    </w:lvl>
    <w:lvl w:ilvl="6" w:tentative="0">
      <w:start w:val="1"/>
      <w:numFmt w:val="decimal"/>
      <w:pStyle w:val="16"/>
      <w:lvlText w:val="%1.%2.%3.%4.%5.%6.%7."/>
      <w:lvlJc w:val="left"/>
      <w:pPr>
        <w:ind w:left="1296" w:hanging="1296"/>
      </w:pPr>
      <w:rPr>
        <w:rFonts w:hint="default"/>
      </w:rPr>
    </w:lvl>
    <w:lvl w:ilvl="7" w:tentative="0">
      <w:start w:val="1"/>
      <w:numFmt w:val="decimal"/>
      <w:pStyle w:val="17"/>
      <w:lvlText w:val="%1.%2.%3.%4.%5.%6.%7.%8."/>
      <w:lvlJc w:val="left"/>
      <w:pPr>
        <w:ind w:left="1440" w:hanging="1440"/>
      </w:pPr>
      <w:rPr>
        <w:rFonts w:hint="default"/>
      </w:rPr>
    </w:lvl>
    <w:lvl w:ilvl="8" w:tentative="0">
      <w:start w:val="1"/>
      <w:numFmt w:val="decimal"/>
      <w:pStyle w:val="18"/>
      <w:lvlText w:val="%1.%2.%3.%4.%5.%6.%7.%8.%9."/>
      <w:lvlJc w:val="left"/>
      <w:pPr>
        <w:ind w:left="1583" w:hanging="1583"/>
      </w:pPr>
      <w:rPr>
        <w:rFonts w:hint="default"/>
      </w:rPr>
    </w:lvl>
  </w:abstractNum>
  <w:abstractNum w:abstractNumId="6">
    <w:nsid w:val="045C902A"/>
    <w:multiLevelType w:val="singleLevel"/>
    <w:tmpl w:val="045C902A"/>
    <w:lvl w:ilvl="0" w:tentative="0">
      <w:start w:val="1"/>
      <w:numFmt w:val="decimal"/>
      <w:suff w:val="nothing"/>
      <w:lvlText w:val="附图%1"/>
      <w:lvlJc w:val="left"/>
      <w:pPr>
        <w:tabs>
          <w:tab w:val="left" w:pos="0"/>
        </w:tabs>
      </w:pPr>
      <w:rPr>
        <w:rFonts w:hint="default" w:eastAsia="宋体" w:cs="Times New Roman"/>
        <w:b/>
        <w:bCs/>
        <w:sz w:val="24"/>
        <w:szCs w:val="24"/>
      </w:rPr>
    </w:lvl>
  </w:abstractNum>
  <w:abstractNum w:abstractNumId="7">
    <w:nsid w:val="12F43B1C"/>
    <w:multiLevelType w:val="singleLevel"/>
    <w:tmpl w:val="12F43B1C"/>
    <w:lvl w:ilvl="0" w:tentative="0">
      <w:start w:val="1"/>
      <w:numFmt w:val="decimal"/>
      <w:pStyle w:val="33"/>
      <w:suff w:val="nothing"/>
      <w:lvlText w:val="附件%1"/>
      <w:lvlJc w:val="left"/>
      <w:pPr>
        <w:tabs>
          <w:tab w:val="left" w:pos="0"/>
        </w:tabs>
        <w:ind w:left="0" w:leftChars="0" w:firstLine="0" w:firstLineChars="0"/>
      </w:pPr>
      <w:rPr>
        <w:rFonts w:hint="default" w:ascii="Times New Roman" w:hAnsi="Times New Roman" w:eastAsia="宋体" w:cs="Times New Roman"/>
        <w:b/>
        <w:bCs/>
        <w:sz w:val="24"/>
        <w:szCs w:val="24"/>
      </w:rPr>
    </w:lvl>
  </w:abstractNum>
  <w:num w:numId="1">
    <w:abstractNumId w:val="4"/>
  </w:num>
  <w:num w:numId="2">
    <w:abstractNumId w:val="3"/>
  </w:num>
  <w:num w:numId="3">
    <w:abstractNumId w:val="5"/>
  </w:num>
  <w:num w:numId="4">
    <w:abstractNumId w:val="7"/>
  </w:num>
  <w:num w:numId="5">
    <w:abstractNumId w:val="6"/>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120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kNmRkZDlhNTZiNjc5YTJlOTYzMzM1N2RhYThjOGIifQ=="/>
  </w:docVars>
  <w:rsids>
    <w:rsidRoot w:val="00172A27"/>
    <w:rsid w:val="000510B6"/>
    <w:rsid w:val="000C5EEB"/>
    <w:rsid w:val="001113BD"/>
    <w:rsid w:val="0012531F"/>
    <w:rsid w:val="00181FB0"/>
    <w:rsid w:val="001D3184"/>
    <w:rsid w:val="001F5EC6"/>
    <w:rsid w:val="00243ABF"/>
    <w:rsid w:val="002C61F7"/>
    <w:rsid w:val="00344384"/>
    <w:rsid w:val="003E3C21"/>
    <w:rsid w:val="00423C6D"/>
    <w:rsid w:val="004D4DC6"/>
    <w:rsid w:val="00500138"/>
    <w:rsid w:val="005102A0"/>
    <w:rsid w:val="005248F1"/>
    <w:rsid w:val="005C088A"/>
    <w:rsid w:val="005E24E7"/>
    <w:rsid w:val="00736357"/>
    <w:rsid w:val="007C2CDB"/>
    <w:rsid w:val="00885D6D"/>
    <w:rsid w:val="009224FE"/>
    <w:rsid w:val="00A16BE5"/>
    <w:rsid w:val="00A470E8"/>
    <w:rsid w:val="00A55D63"/>
    <w:rsid w:val="00A65FA9"/>
    <w:rsid w:val="00AA74E2"/>
    <w:rsid w:val="00AD0882"/>
    <w:rsid w:val="00B00BD6"/>
    <w:rsid w:val="00B87106"/>
    <w:rsid w:val="00C10B22"/>
    <w:rsid w:val="00C326CF"/>
    <w:rsid w:val="00C9112E"/>
    <w:rsid w:val="00CD05CE"/>
    <w:rsid w:val="00CD3536"/>
    <w:rsid w:val="00D30013"/>
    <w:rsid w:val="00D55A0C"/>
    <w:rsid w:val="00DD4603"/>
    <w:rsid w:val="00E52F76"/>
    <w:rsid w:val="00EC2823"/>
    <w:rsid w:val="00F036C9"/>
    <w:rsid w:val="00F2393A"/>
    <w:rsid w:val="01045046"/>
    <w:rsid w:val="01072328"/>
    <w:rsid w:val="0117719B"/>
    <w:rsid w:val="01276727"/>
    <w:rsid w:val="012878FE"/>
    <w:rsid w:val="012A2737"/>
    <w:rsid w:val="012B64AF"/>
    <w:rsid w:val="012E439E"/>
    <w:rsid w:val="012F3ECF"/>
    <w:rsid w:val="01376974"/>
    <w:rsid w:val="013E77C3"/>
    <w:rsid w:val="01640BBE"/>
    <w:rsid w:val="016519C1"/>
    <w:rsid w:val="016D72E4"/>
    <w:rsid w:val="01735AA2"/>
    <w:rsid w:val="01757F74"/>
    <w:rsid w:val="017E2103"/>
    <w:rsid w:val="01851A83"/>
    <w:rsid w:val="018878E8"/>
    <w:rsid w:val="01927D2D"/>
    <w:rsid w:val="0194674A"/>
    <w:rsid w:val="019B3634"/>
    <w:rsid w:val="019F652F"/>
    <w:rsid w:val="01AD6ACE"/>
    <w:rsid w:val="01AF13CC"/>
    <w:rsid w:val="01B36BD0"/>
    <w:rsid w:val="01B701A0"/>
    <w:rsid w:val="01BD43CF"/>
    <w:rsid w:val="01E42EDA"/>
    <w:rsid w:val="01E44FDB"/>
    <w:rsid w:val="01E83F78"/>
    <w:rsid w:val="01EF1706"/>
    <w:rsid w:val="01F176F8"/>
    <w:rsid w:val="01F64D0F"/>
    <w:rsid w:val="01FC2C01"/>
    <w:rsid w:val="02070CCA"/>
    <w:rsid w:val="02076F1C"/>
    <w:rsid w:val="02256A93"/>
    <w:rsid w:val="022759D9"/>
    <w:rsid w:val="02283B20"/>
    <w:rsid w:val="022C3051"/>
    <w:rsid w:val="02301F51"/>
    <w:rsid w:val="023655F0"/>
    <w:rsid w:val="0238395A"/>
    <w:rsid w:val="02454971"/>
    <w:rsid w:val="025C1772"/>
    <w:rsid w:val="02620BB9"/>
    <w:rsid w:val="026478F5"/>
    <w:rsid w:val="02686F3C"/>
    <w:rsid w:val="02743640"/>
    <w:rsid w:val="02773D0F"/>
    <w:rsid w:val="02816A41"/>
    <w:rsid w:val="0283153E"/>
    <w:rsid w:val="02922C89"/>
    <w:rsid w:val="0297204E"/>
    <w:rsid w:val="02A448BA"/>
    <w:rsid w:val="02A6790B"/>
    <w:rsid w:val="02A9126A"/>
    <w:rsid w:val="02A91D81"/>
    <w:rsid w:val="02AB33F8"/>
    <w:rsid w:val="02AF7852"/>
    <w:rsid w:val="02BA629D"/>
    <w:rsid w:val="02C46202"/>
    <w:rsid w:val="02CC0525"/>
    <w:rsid w:val="02D41D88"/>
    <w:rsid w:val="02E14102"/>
    <w:rsid w:val="02F96090"/>
    <w:rsid w:val="0301396B"/>
    <w:rsid w:val="0305345B"/>
    <w:rsid w:val="030806B1"/>
    <w:rsid w:val="030E53F6"/>
    <w:rsid w:val="03123648"/>
    <w:rsid w:val="0327793A"/>
    <w:rsid w:val="0328714A"/>
    <w:rsid w:val="0329223A"/>
    <w:rsid w:val="033B5747"/>
    <w:rsid w:val="034B11BF"/>
    <w:rsid w:val="03634626"/>
    <w:rsid w:val="036A38A7"/>
    <w:rsid w:val="03710AF1"/>
    <w:rsid w:val="037A192A"/>
    <w:rsid w:val="038C76D9"/>
    <w:rsid w:val="039142FB"/>
    <w:rsid w:val="0392072B"/>
    <w:rsid w:val="03936A9A"/>
    <w:rsid w:val="039753F3"/>
    <w:rsid w:val="03991DF6"/>
    <w:rsid w:val="03A85C19"/>
    <w:rsid w:val="03C83DD4"/>
    <w:rsid w:val="03CC058D"/>
    <w:rsid w:val="03D45E6A"/>
    <w:rsid w:val="03E16B8D"/>
    <w:rsid w:val="03E37CED"/>
    <w:rsid w:val="03E42333"/>
    <w:rsid w:val="03EC0B83"/>
    <w:rsid w:val="03F826C7"/>
    <w:rsid w:val="03FB03BA"/>
    <w:rsid w:val="03FE58A6"/>
    <w:rsid w:val="04156540"/>
    <w:rsid w:val="041B2BA7"/>
    <w:rsid w:val="041C0ADC"/>
    <w:rsid w:val="042518DB"/>
    <w:rsid w:val="0436494A"/>
    <w:rsid w:val="04365D91"/>
    <w:rsid w:val="043B6147"/>
    <w:rsid w:val="044C17A6"/>
    <w:rsid w:val="044D26EE"/>
    <w:rsid w:val="045D52C7"/>
    <w:rsid w:val="04607E93"/>
    <w:rsid w:val="04714B20"/>
    <w:rsid w:val="04775006"/>
    <w:rsid w:val="047B14FB"/>
    <w:rsid w:val="048C02D8"/>
    <w:rsid w:val="048E509B"/>
    <w:rsid w:val="048F42EE"/>
    <w:rsid w:val="049D76C3"/>
    <w:rsid w:val="04A041C2"/>
    <w:rsid w:val="04A47A5C"/>
    <w:rsid w:val="04A85DDF"/>
    <w:rsid w:val="04AC5B58"/>
    <w:rsid w:val="04B75458"/>
    <w:rsid w:val="04BA415C"/>
    <w:rsid w:val="04BE5FB8"/>
    <w:rsid w:val="04BF588C"/>
    <w:rsid w:val="04CD61FB"/>
    <w:rsid w:val="04E83035"/>
    <w:rsid w:val="04E87DB0"/>
    <w:rsid w:val="04E92909"/>
    <w:rsid w:val="04EB6322"/>
    <w:rsid w:val="04EC5FA1"/>
    <w:rsid w:val="04F65038"/>
    <w:rsid w:val="04FE63B4"/>
    <w:rsid w:val="05031C1C"/>
    <w:rsid w:val="05063731"/>
    <w:rsid w:val="0506793D"/>
    <w:rsid w:val="050D62B4"/>
    <w:rsid w:val="052838D4"/>
    <w:rsid w:val="053D47C4"/>
    <w:rsid w:val="053E676B"/>
    <w:rsid w:val="05404C1F"/>
    <w:rsid w:val="054734F6"/>
    <w:rsid w:val="054F5054"/>
    <w:rsid w:val="054F59E9"/>
    <w:rsid w:val="05527959"/>
    <w:rsid w:val="055A7363"/>
    <w:rsid w:val="055F15F8"/>
    <w:rsid w:val="056F36B5"/>
    <w:rsid w:val="056F72B2"/>
    <w:rsid w:val="057B0CF5"/>
    <w:rsid w:val="057B5DA0"/>
    <w:rsid w:val="057F1926"/>
    <w:rsid w:val="058273D3"/>
    <w:rsid w:val="05900FD6"/>
    <w:rsid w:val="059705B7"/>
    <w:rsid w:val="05A01219"/>
    <w:rsid w:val="05BF0418"/>
    <w:rsid w:val="05C220DB"/>
    <w:rsid w:val="05C4654C"/>
    <w:rsid w:val="05C66BB1"/>
    <w:rsid w:val="05CA5990"/>
    <w:rsid w:val="05CB6236"/>
    <w:rsid w:val="05CC0260"/>
    <w:rsid w:val="05D3488C"/>
    <w:rsid w:val="05DD246D"/>
    <w:rsid w:val="05DE0E4B"/>
    <w:rsid w:val="05E4213A"/>
    <w:rsid w:val="05EA4BBF"/>
    <w:rsid w:val="05EB4AAB"/>
    <w:rsid w:val="05EC4069"/>
    <w:rsid w:val="05F837E5"/>
    <w:rsid w:val="05FC3F93"/>
    <w:rsid w:val="06065A48"/>
    <w:rsid w:val="06067067"/>
    <w:rsid w:val="0607422C"/>
    <w:rsid w:val="061D286A"/>
    <w:rsid w:val="06345E06"/>
    <w:rsid w:val="063B53E6"/>
    <w:rsid w:val="06402517"/>
    <w:rsid w:val="06432B56"/>
    <w:rsid w:val="064841E4"/>
    <w:rsid w:val="06564FC0"/>
    <w:rsid w:val="065C5D8D"/>
    <w:rsid w:val="066D29F1"/>
    <w:rsid w:val="066E30C6"/>
    <w:rsid w:val="06707ABE"/>
    <w:rsid w:val="06845316"/>
    <w:rsid w:val="06976AC0"/>
    <w:rsid w:val="0698763E"/>
    <w:rsid w:val="069A06D8"/>
    <w:rsid w:val="069A3818"/>
    <w:rsid w:val="06AA16C7"/>
    <w:rsid w:val="06AD62E4"/>
    <w:rsid w:val="06B1240A"/>
    <w:rsid w:val="06B72F36"/>
    <w:rsid w:val="06B75327"/>
    <w:rsid w:val="06BC6A39"/>
    <w:rsid w:val="06BD404D"/>
    <w:rsid w:val="06C701D6"/>
    <w:rsid w:val="06C851FE"/>
    <w:rsid w:val="06D50364"/>
    <w:rsid w:val="06D51397"/>
    <w:rsid w:val="06DD6FF6"/>
    <w:rsid w:val="06EA2824"/>
    <w:rsid w:val="06F832D7"/>
    <w:rsid w:val="06FD5623"/>
    <w:rsid w:val="06FF2134"/>
    <w:rsid w:val="06FF6413"/>
    <w:rsid w:val="07077B4E"/>
    <w:rsid w:val="070F2C1D"/>
    <w:rsid w:val="071D4AEC"/>
    <w:rsid w:val="071E0F8F"/>
    <w:rsid w:val="071E1F77"/>
    <w:rsid w:val="07220722"/>
    <w:rsid w:val="07222102"/>
    <w:rsid w:val="073541D7"/>
    <w:rsid w:val="073B743D"/>
    <w:rsid w:val="074B3B46"/>
    <w:rsid w:val="07594A68"/>
    <w:rsid w:val="075D1B97"/>
    <w:rsid w:val="075D3719"/>
    <w:rsid w:val="075E2523"/>
    <w:rsid w:val="07621168"/>
    <w:rsid w:val="076863F1"/>
    <w:rsid w:val="076E56D5"/>
    <w:rsid w:val="07752427"/>
    <w:rsid w:val="077706A0"/>
    <w:rsid w:val="07890F47"/>
    <w:rsid w:val="07936BF3"/>
    <w:rsid w:val="07A46142"/>
    <w:rsid w:val="07C52ABC"/>
    <w:rsid w:val="07CB2472"/>
    <w:rsid w:val="07CF206C"/>
    <w:rsid w:val="07D14441"/>
    <w:rsid w:val="07DB21CB"/>
    <w:rsid w:val="07DC5543"/>
    <w:rsid w:val="07E5108C"/>
    <w:rsid w:val="07EB02CF"/>
    <w:rsid w:val="07EF0236"/>
    <w:rsid w:val="080A0B4A"/>
    <w:rsid w:val="08114679"/>
    <w:rsid w:val="08181E21"/>
    <w:rsid w:val="081A6AA7"/>
    <w:rsid w:val="081C45D4"/>
    <w:rsid w:val="082B5124"/>
    <w:rsid w:val="08387E2F"/>
    <w:rsid w:val="084127BF"/>
    <w:rsid w:val="084D70C9"/>
    <w:rsid w:val="08534FC3"/>
    <w:rsid w:val="085801BC"/>
    <w:rsid w:val="085911F2"/>
    <w:rsid w:val="085F5DFB"/>
    <w:rsid w:val="08702488"/>
    <w:rsid w:val="08732C15"/>
    <w:rsid w:val="087B41C0"/>
    <w:rsid w:val="08854E7E"/>
    <w:rsid w:val="088667B8"/>
    <w:rsid w:val="08874912"/>
    <w:rsid w:val="089963F4"/>
    <w:rsid w:val="08A30046"/>
    <w:rsid w:val="08A34E29"/>
    <w:rsid w:val="08A51783"/>
    <w:rsid w:val="08AA6532"/>
    <w:rsid w:val="08AE04A4"/>
    <w:rsid w:val="08B5322E"/>
    <w:rsid w:val="08B60D54"/>
    <w:rsid w:val="08B864ED"/>
    <w:rsid w:val="08CD6EE3"/>
    <w:rsid w:val="08D16391"/>
    <w:rsid w:val="08D331DB"/>
    <w:rsid w:val="08DD4532"/>
    <w:rsid w:val="08E375DA"/>
    <w:rsid w:val="08F004A1"/>
    <w:rsid w:val="08F46813"/>
    <w:rsid w:val="090A1E79"/>
    <w:rsid w:val="090B0463"/>
    <w:rsid w:val="090D12BC"/>
    <w:rsid w:val="091A5CFC"/>
    <w:rsid w:val="0923288D"/>
    <w:rsid w:val="09246016"/>
    <w:rsid w:val="092F610F"/>
    <w:rsid w:val="093153EE"/>
    <w:rsid w:val="09440A55"/>
    <w:rsid w:val="094D16B8"/>
    <w:rsid w:val="095813E4"/>
    <w:rsid w:val="095B0B58"/>
    <w:rsid w:val="095F763D"/>
    <w:rsid w:val="09616967"/>
    <w:rsid w:val="09657EEF"/>
    <w:rsid w:val="09683BE0"/>
    <w:rsid w:val="096A04BC"/>
    <w:rsid w:val="09784B65"/>
    <w:rsid w:val="097D17FC"/>
    <w:rsid w:val="097E3F67"/>
    <w:rsid w:val="09813405"/>
    <w:rsid w:val="098350DA"/>
    <w:rsid w:val="0985258E"/>
    <w:rsid w:val="098552F6"/>
    <w:rsid w:val="09861F8F"/>
    <w:rsid w:val="098C1C6B"/>
    <w:rsid w:val="099D2F7B"/>
    <w:rsid w:val="09A22E61"/>
    <w:rsid w:val="09AC4ECD"/>
    <w:rsid w:val="09BC05EC"/>
    <w:rsid w:val="09BE7943"/>
    <w:rsid w:val="09C851E3"/>
    <w:rsid w:val="09CD27F9"/>
    <w:rsid w:val="09CF47C3"/>
    <w:rsid w:val="09E50C48"/>
    <w:rsid w:val="09ED2E9B"/>
    <w:rsid w:val="09ED4C49"/>
    <w:rsid w:val="09F54C53"/>
    <w:rsid w:val="09FB358A"/>
    <w:rsid w:val="0A0106F5"/>
    <w:rsid w:val="0A081A83"/>
    <w:rsid w:val="0A0F3741"/>
    <w:rsid w:val="0A115A1D"/>
    <w:rsid w:val="0A18724F"/>
    <w:rsid w:val="0A1E68C3"/>
    <w:rsid w:val="0A202297"/>
    <w:rsid w:val="0A240626"/>
    <w:rsid w:val="0A244AC9"/>
    <w:rsid w:val="0A2763AD"/>
    <w:rsid w:val="0A2A0E89"/>
    <w:rsid w:val="0A333646"/>
    <w:rsid w:val="0A351FBD"/>
    <w:rsid w:val="0A5061AA"/>
    <w:rsid w:val="0A5B0944"/>
    <w:rsid w:val="0A685386"/>
    <w:rsid w:val="0A752A18"/>
    <w:rsid w:val="0A79028B"/>
    <w:rsid w:val="0A7B04A7"/>
    <w:rsid w:val="0A7B473D"/>
    <w:rsid w:val="0A830887"/>
    <w:rsid w:val="0A88778E"/>
    <w:rsid w:val="0A8A2572"/>
    <w:rsid w:val="0A9C7D1B"/>
    <w:rsid w:val="0AAD5C44"/>
    <w:rsid w:val="0AB100FE"/>
    <w:rsid w:val="0AB102B4"/>
    <w:rsid w:val="0AC41E4E"/>
    <w:rsid w:val="0AC459AA"/>
    <w:rsid w:val="0AC77248"/>
    <w:rsid w:val="0ACE4156"/>
    <w:rsid w:val="0ADF454E"/>
    <w:rsid w:val="0AE51A2D"/>
    <w:rsid w:val="0AE728A9"/>
    <w:rsid w:val="0AF64398"/>
    <w:rsid w:val="0AFF1787"/>
    <w:rsid w:val="0B043FF8"/>
    <w:rsid w:val="0B08509F"/>
    <w:rsid w:val="0B18726F"/>
    <w:rsid w:val="0B1955A0"/>
    <w:rsid w:val="0B1A6AC6"/>
    <w:rsid w:val="0B204BAA"/>
    <w:rsid w:val="0B2234D7"/>
    <w:rsid w:val="0B224DC6"/>
    <w:rsid w:val="0B301291"/>
    <w:rsid w:val="0B3662E0"/>
    <w:rsid w:val="0B462863"/>
    <w:rsid w:val="0B4638CA"/>
    <w:rsid w:val="0B471443"/>
    <w:rsid w:val="0B4B1C27"/>
    <w:rsid w:val="0B4D1E43"/>
    <w:rsid w:val="0B521208"/>
    <w:rsid w:val="0B5D2952"/>
    <w:rsid w:val="0B61769D"/>
    <w:rsid w:val="0B64464A"/>
    <w:rsid w:val="0B7E6FD7"/>
    <w:rsid w:val="0B7F2E6D"/>
    <w:rsid w:val="0B89469A"/>
    <w:rsid w:val="0B896BF3"/>
    <w:rsid w:val="0BA722D2"/>
    <w:rsid w:val="0BAE737B"/>
    <w:rsid w:val="0BB77C49"/>
    <w:rsid w:val="0BC0204E"/>
    <w:rsid w:val="0BC67500"/>
    <w:rsid w:val="0BCB720C"/>
    <w:rsid w:val="0BCE125D"/>
    <w:rsid w:val="0BD22349"/>
    <w:rsid w:val="0BD77C44"/>
    <w:rsid w:val="0BD85FC1"/>
    <w:rsid w:val="0BE51F34"/>
    <w:rsid w:val="0BE91440"/>
    <w:rsid w:val="0BED7B82"/>
    <w:rsid w:val="0BF127E9"/>
    <w:rsid w:val="0BF26CDA"/>
    <w:rsid w:val="0C065DC3"/>
    <w:rsid w:val="0C1404FD"/>
    <w:rsid w:val="0C172450"/>
    <w:rsid w:val="0C2653A0"/>
    <w:rsid w:val="0C277EFD"/>
    <w:rsid w:val="0C286ADE"/>
    <w:rsid w:val="0C3249C2"/>
    <w:rsid w:val="0C3A5C6D"/>
    <w:rsid w:val="0C406F11"/>
    <w:rsid w:val="0C485EB3"/>
    <w:rsid w:val="0C4905FF"/>
    <w:rsid w:val="0C5E5739"/>
    <w:rsid w:val="0C601702"/>
    <w:rsid w:val="0C6311F3"/>
    <w:rsid w:val="0C647D62"/>
    <w:rsid w:val="0C67711A"/>
    <w:rsid w:val="0C6A1390"/>
    <w:rsid w:val="0C6B018A"/>
    <w:rsid w:val="0C711B61"/>
    <w:rsid w:val="0C7358DA"/>
    <w:rsid w:val="0C741652"/>
    <w:rsid w:val="0C813BB3"/>
    <w:rsid w:val="0C833643"/>
    <w:rsid w:val="0C8A1E54"/>
    <w:rsid w:val="0C8E2E40"/>
    <w:rsid w:val="0C92221D"/>
    <w:rsid w:val="0C937D2A"/>
    <w:rsid w:val="0C9569EB"/>
    <w:rsid w:val="0C9B098C"/>
    <w:rsid w:val="0CD04D8F"/>
    <w:rsid w:val="0CD52292"/>
    <w:rsid w:val="0CDA7AFE"/>
    <w:rsid w:val="0CE23AB3"/>
    <w:rsid w:val="0CF62B54"/>
    <w:rsid w:val="0D011853"/>
    <w:rsid w:val="0D026C5D"/>
    <w:rsid w:val="0D1904D8"/>
    <w:rsid w:val="0D1B63E2"/>
    <w:rsid w:val="0D2C1053"/>
    <w:rsid w:val="0D34161D"/>
    <w:rsid w:val="0D374B59"/>
    <w:rsid w:val="0D3861DB"/>
    <w:rsid w:val="0D464D9C"/>
    <w:rsid w:val="0D47239C"/>
    <w:rsid w:val="0D4A48FD"/>
    <w:rsid w:val="0D4D6A15"/>
    <w:rsid w:val="0D5A25F6"/>
    <w:rsid w:val="0D5A63DD"/>
    <w:rsid w:val="0D676AC1"/>
    <w:rsid w:val="0D721683"/>
    <w:rsid w:val="0D755681"/>
    <w:rsid w:val="0D817B82"/>
    <w:rsid w:val="0D8708B7"/>
    <w:rsid w:val="0D8B0A01"/>
    <w:rsid w:val="0D99476A"/>
    <w:rsid w:val="0D9C051F"/>
    <w:rsid w:val="0D9F625A"/>
    <w:rsid w:val="0DA90E87"/>
    <w:rsid w:val="0DAA753E"/>
    <w:rsid w:val="0DBC04D7"/>
    <w:rsid w:val="0DC020E6"/>
    <w:rsid w:val="0DD201F4"/>
    <w:rsid w:val="0DD513AF"/>
    <w:rsid w:val="0DD85EAF"/>
    <w:rsid w:val="0DE20486"/>
    <w:rsid w:val="0DE45BE8"/>
    <w:rsid w:val="0DF447F8"/>
    <w:rsid w:val="0DF90060"/>
    <w:rsid w:val="0DFC6867"/>
    <w:rsid w:val="0E037F1F"/>
    <w:rsid w:val="0E0C044D"/>
    <w:rsid w:val="0E0C2779"/>
    <w:rsid w:val="0E0C2E47"/>
    <w:rsid w:val="0E100F06"/>
    <w:rsid w:val="0E272EC6"/>
    <w:rsid w:val="0E2C4C6D"/>
    <w:rsid w:val="0E2C717F"/>
    <w:rsid w:val="0E405392"/>
    <w:rsid w:val="0E4B13B1"/>
    <w:rsid w:val="0E593154"/>
    <w:rsid w:val="0E5D662D"/>
    <w:rsid w:val="0E5D7B1D"/>
    <w:rsid w:val="0E6F3E7F"/>
    <w:rsid w:val="0E7331B8"/>
    <w:rsid w:val="0E777553"/>
    <w:rsid w:val="0E7B4151"/>
    <w:rsid w:val="0E7F34BF"/>
    <w:rsid w:val="0E927B6D"/>
    <w:rsid w:val="0E956B00"/>
    <w:rsid w:val="0EAC50D3"/>
    <w:rsid w:val="0EAF4BC3"/>
    <w:rsid w:val="0EBB3568"/>
    <w:rsid w:val="0EC718FC"/>
    <w:rsid w:val="0EC84E06"/>
    <w:rsid w:val="0EE228A3"/>
    <w:rsid w:val="0EE77EB9"/>
    <w:rsid w:val="0EEB1105"/>
    <w:rsid w:val="0EF10390"/>
    <w:rsid w:val="0EF645A0"/>
    <w:rsid w:val="0EFE4A54"/>
    <w:rsid w:val="0F0C746F"/>
    <w:rsid w:val="0F18046C"/>
    <w:rsid w:val="0F1D5347"/>
    <w:rsid w:val="0F1F5F6E"/>
    <w:rsid w:val="0F204B8F"/>
    <w:rsid w:val="0F267736"/>
    <w:rsid w:val="0F36313F"/>
    <w:rsid w:val="0F3837A3"/>
    <w:rsid w:val="0F3A448D"/>
    <w:rsid w:val="0F3C5A71"/>
    <w:rsid w:val="0F436D20"/>
    <w:rsid w:val="0F4B372F"/>
    <w:rsid w:val="0F595229"/>
    <w:rsid w:val="0F634D6D"/>
    <w:rsid w:val="0F6E21BA"/>
    <w:rsid w:val="0F75728A"/>
    <w:rsid w:val="0F757C40"/>
    <w:rsid w:val="0F837278"/>
    <w:rsid w:val="0F842885"/>
    <w:rsid w:val="0F851402"/>
    <w:rsid w:val="0F8751F8"/>
    <w:rsid w:val="0F8752F0"/>
    <w:rsid w:val="0F895210"/>
    <w:rsid w:val="0FA43DF2"/>
    <w:rsid w:val="0FAA26A1"/>
    <w:rsid w:val="0FC1323B"/>
    <w:rsid w:val="0FC54E82"/>
    <w:rsid w:val="0FC553EA"/>
    <w:rsid w:val="0FD34F69"/>
    <w:rsid w:val="0FE23CB5"/>
    <w:rsid w:val="0FE41458"/>
    <w:rsid w:val="0FE53CCE"/>
    <w:rsid w:val="0FEA6AE3"/>
    <w:rsid w:val="0FFA735C"/>
    <w:rsid w:val="10026F41"/>
    <w:rsid w:val="10027894"/>
    <w:rsid w:val="10035202"/>
    <w:rsid w:val="1008205A"/>
    <w:rsid w:val="100B5798"/>
    <w:rsid w:val="101535B5"/>
    <w:rsid w:val="101912B3"/>
    <w:rsid w:val="1030763E"/>
    <w:rsid w:val="10321608"/>
    <w:rsid w:val="10420DA0"/>
    <w:rsid w:val="105B6243"/>
    <w:rsid w:val="106206A1"/>
    <w:rsid w:val="106C5F56"/>
    <w:rsid w:val="1087681D"/>
    <w:rsid w:val="10914E8E"/>
    <w:rsid w:val="109D1177"/>
    <w:rsid w:val="10B22749"/>
    <w:rsid w:val="10B43BA3"/>
    <w:rsid w:val="10B628CD"/>
    <w:rsid w:val="10B7591C"/>
    <w:rsid w:val="10B77D5F"/>
    <w:rsid w:val="10B93DC2"/>
    <w:rsid w:val="10B95885"/>
    <w:rsid w:val="10C2298C"/>
    <w:rsid w:val="10CC001B"/>
    <w:rsid w:val="10CC57DB"/>
    <w:rsid w:val="10D46BD8"/>
    <w:rsid w:val="10D50F32"/>
    <w:rsid w:val="10D5129D"/>
    <w:rsid w:val="10D56195"/>
    <w:rsid w:val="10DA7B9E"/>
    <w:rsid w:val="10DD77C5"/>
    <w:rsid w:val="10DE674F"/>
    <w:rsid w:val="10E5592D"/>
    <w:rsid w:val="10EF23E4"/>
    <w:rsid w:val="10F17004"/>
    <w:rsid w:val="10FD7E68"/>
    <w:rsid w:val="1111121D"/>
    <w:rsid w:val="111827EC"/>
    <w:rsid w:val="111B6540"/>
    <w:rsid w:val="111B78F5"/>
    <w:rsid w:val="11217992"/>
    <w:rsid w:val="11251DF9"/>
    <w:rsid w:val="11292A0B"/>
    <w:rsid w:val="113A211D"/>
    <w:rsid w:val="114943D9"/>
    <w:rsid w:val="114B681F"/>
    <w:rsid w:val="11531836"/>
    <w:rsid w:val="11567963"/>
    <w:rsid w:val="11567CCE"/>
    <w:rsid w:val="11584D21"/>
    <w:rsid w:val="1163049F"/>
    <w:rsid w:val="11630831"/>
    <w:rsid w:val="116779EF"/>
    <w:rsid w:val="11682767"/>
    <w:rsid w:val="116E48C1"/>
    <w:rsid w:val="11875BDE"/>
    <w:rsid w:val="11877731"/>
    <w:rsid w:val="11901201"/>
    <w:rsid w:val="11931263"/>
    <w:rsid w:val="11932A11"/>
    <w:rsid w:val="11952D15"/>
    <w:rsid w:val="119F5C70"/>
    <w:rsid w:val="11A44AD4"/>
    <w:rsid w:val="11A661A1"/>
    <w:rsid w:val="11AB76E3"/>
    <w:rsid w:val="11B0140B"/>
    <w:rsid w:val="11BC6D80"/>
    <w:rsid w:val="11C72224"/>
    <w:rsid w:val="11DB0E46"/>
    <w:rsid w:val="11DD66EE"/>
    <w:rsid w:val="11EA4C32"/>
    <w:rsid w:val="11EB3091"/>
    <w:rsid w:val="11F0177A"/>
    <w:rsid w:val="11F03528"/>
    <w:rsid w:val="11F254F3"/>
    <w:rsid w:val="11FE2AA3"/>
    <w:rsid w:val="12003516"/>
    <w:rsid w:val="120859C2"/>
    <w:rsid w:val="120F6381"/>
    <w:rsid w:val="12153EA8"/>
    <w:rsid w:val="12171242"/>
    <w:rsid w:val="121B64E1"/>
    <w:rsid w:val="1231496C"/>
    <w:rsid w:val="123373AC"/>
    <w:rsid w:val="12386C7D"/>
    <w:rsid w:val="123C1D7A"/>
    <w:rsid w:val="1241348A"/>
    <w:rsid w:val="12535865"/>
    <w:rsid w:val="12597320"/>
    <w:rsid w:val="125D0E86"/>
    <w:rsid w:val="125E2E94"/>
    <w:rsid w:val="125E4936"/>
    <w:rsid w:val="125E7D6E"/>
    <w:rsid w:val="126179A4"/>
    <w:rsid w:val="126B34AD"/>
    <w:rsid w:val="126C687D"/>
    <w:rsid w:val="127319CB"/>
    <w:rsid w:val="127B449C"/>
    <w:rsid w:val="12883761"/>
    <w:rsid w:val="128942E5"/>
    <w:rsid w:val="12950AE1"/>
    <w:rsid w:val="12971CE2"/>
    <w:rsid w:val="12973229"/>
    <w:rsid w:val="129737DD"/>
    <w:rsid w:val="12AA1D3F"/>
    <w:rsid w:val="12AE0195"/>
    <w:rsid w:val="12B04A66"/>
    <w:rsid w:val="12B835C4"/>
    <w:rsid w:val="12BA0DBB"/>
    <w:rsid w:val="12BC165D"/>
    <w:rsid w:val="12BD4A6E"/>
    <w:rsid w:val="12BE0188"/>
    <w:rsid w:val="12BE150C"/>
    <w:rsid w:val="12C22F7B"/>
    <w:rsid w:val="12C86253"/>
    <w:rsid w:val="12DB7E56"/>
    <w:rsid w:val="12E24D72"/>
    <w:rsid w:val="12EC7C9C"/>
    <w:rsid w:val="12EF2E89"/>
    <w:rsid w:val="12F0682B"/>
    <w:rsid w:val="12F6091F"/>
    <w:rsid w:val="1304784E"/>
    <w:rsid w:val="13110465"/>
    <w:rsid w:val="131119A8"/>
    <w:rsid w:val="13135720"/>
    <w:rsid w:val="131F7B26"/>
    <w:rsid w:val="1326458A"/>
    <w:rsid w:val="13290955"/>
    <w:rsid w:val="13373B73"/>
    <w:rsid w:val="133B072A"/>
    <w:rsid w:val="133C4261"/>
    <w:rsid w:val="1343188B"/>
    <w:rsid w:val="134623CD"/>
    <w:rsid w:val="134D31B8"/>
    <w:rsid w:val="134F2994"/>
    <w:rsid w:val="1356239B"/>
    <w:rsid w:val="136E6DFB"/>
    <w:rsid w:val="13710BF5"/>
    <w:rsid w:val="137C646B"/>
    <w:rsid w:val="13816095"/>
    <w:rsid w:val="138E2FF9"/>
    <w:rsid w:val="139A199E"/>
    <w:rsid w:val="139D0ABC"/>
    <w:rsid w:val="13A20852"/>
    <w:rsid w:val="13A7230D"/>
    <w:rsid w:val="13AC582C"/>
    <w:rsid w:val="13B54A2A"/>
    <w:rsid w:val="13BB4352"/>
    <w:rsid w:val="13BC6B86"/>
    <w:rsid w:val="13C00A21"/>
    <w:rsid w:val="13CC6536"/>
    <w:rsid w:val="13D06011"/>
    <w:rsid w:val="13D07F0E"/>
    <w:rsid w:val="13D44784"/>
    <w:rsid w:val="13D6674E"/>
    <w:rsid w:val="13E470BD"/>
    <w:rsid w:val="13E72483"/>
    <w:rsid w:val="13F46DF0"/>
    <w:rsid w:val="13FC2B54"/>
    <w:rsid w:val="13FE6D92"/>
    <w:rsid w:val="14065285"/>
    <w:rsid w:val="140E413A"/>
    <w:rsid w:val="14131750"/>
    <w:rsid w:val="14172FEE"/>
    <w:rsid w:val="141D437D"/>
    <w:rsid w:val="14272975"/>
    <w:rsid w:val="14331E76"/>
    <w:rsid w:val="14366498"/>
    <w:rsid w:val="14375506"/>
    <w:rsid w:val="14383989"/>
    <w:rsid w:val="143A2DCC"/>
    <w:rsid w:val="143A745A"/>
    <w:rsid w:val="143A7680"/>
    <w:rsid w:val="143C7918"/>
    <w:rsid w:val="145359C0"/>
    <w:rsid w:val="145E0C1D"/>
    <w:rsid w:val="146529A6"/>
    <w:rsid w:val="14670949"/>
    <w:rsid w:val="146927B7"/>
    <w:rsid w:val="146975C2"/>
    <w:rsid w:val="14752692"/>
    <w:rsid w:val="147F6DE6"/>
    <w:rsid w:val="14807AA8"/>
    <w:rsid w:val="14865B4E"/>
    <w:rsid w:val="148937C0"/>
    <w:rsid w:val="14973EB4"/>
    <w:rsid w:val="14A81303"/>
    <w:rsid w:val="14A9432E"/>
    <w:rsid w:val="14AA3E63"/>
    <w:rsid w:val="14AB1989"/>
    <w:rsid w:val="14B16888"/>
    <w:rsid w:val="14BA0E4B"/>
    <w:rsid w:val="14BC5944"/>
    <w:rsid w:val="14BE346A"/>
    <w:rsid w:val="14C638DC"/>
    <w:rsid w:val="14C73D39"/>
    <w:rsid w:val="14DC7B1F"/>
    <w:rsid w:val="14ED768B"/>
    <w:rsid w:val="14F378D0"/>
    <w:rsid w:val="14F75FA0"/>
    <w:rsid w:val="14F926F4"/>
    <w:rsid w:val="14F96B98"/>
    <w:rsid w:val="14FA290F"/>
    <w:rsid w:val="14FA3B77"/>
    <w:rsid w:val="15010E85"/>
    <w:rsid w:val="150233CD"/>
    <w:rsid w:val="15051864"/>
    <w:rsid w:val="15083F92"/>
    <w:rsid w:val="1510411E"/>
    <w:rsid w:val="151412DC"/>
    <w:rsid w:val="15147EEB"/>
    <w:rsid w:val="15166966"/>
    <w:rsid w:val="151A266A"/>
    <w:rsid w:val="153674A4"/>
    <w:rsid w:val="15396F94"/>
    <w:rsid w:val="1540013C"/>
    <w:rsid w:val="15431252"/>
    <w:rsid w:val="15475B55"/>
    <w:rsid w:val="1548486C"/>
    <w:rsid w:val="154B51FC"/>
    <w:rsid w:val="154F0566"/>
    <w:rsid w:val="1550067E"/>
    <w:rsid w:val="155F11AF"/>
    <w:rsid w:val="156404B5"/>
    <w:rsid w:val="156B6B5D"/>
    <w:rsid w:val="15797764"/>
    <w:rsid w:val="158D0E46"/>
    <w:rsid w:val="159348F7"/>
    <w:rsid w:val="1594066F"/>
    <w:rsid w:val="159B0B26"/>
    <w:rsid w:val="15A76FFD"/>
    <w:rsid w:val="15B825AF"/>
    <w:rsid w:val="15BB487B"/>
    <w:rsid w:val="15BC62A2"/>
    <w:rsid w:val="15C70A44"/>
    <w:rsid w:val="15DD0268"/>
    <w:rsid w:val="15E02B97"/>
    <w:rsid w:val="15E30196"/>
    <w:rsid w:val="16013F56"/>
    <w:rsid w:val="16063F0A"/>
    <w:rsid w:val="160B67B0"/>
    <w:rsid w:val="160C2AF1"/>
    <w:rsid w:val="160D55B3"/>
    <w:rsid w:val="16106088"/>
    <w:rsid w:val="161D2A08"/>
    <w:rsid w:val="16221D47"/>
    <w:rsid w:val="162D6A7B"/>
    <w:rsid w:val="16305A10"/>
    <w:rsid w:val="16351E52"/>
    <w:rsid w:val="163559AE"/>
    <w:rsid w:val="16356B5A"/>
    <w:rsid w:val="163E5033"/>
    <w:rsid w:val="16407F9D"/>
    <w:rsid w:val="164163B6"/>
    <w:rsid w:val="164E7F5A"/>
    <w:rsid w:val="1651127E"/>
    <w:rsid w:val="16557E32"/>
    <w:rsid w:val="16585B40"/>
    <w:rsid w:val="16612C47"/>
    <w:rsid w:val="16663DB9"/>
    <w:rsid w:val="1669093C"/>
    <w:rsid w:val="167427AE"/>
    <w:rsid w:val="16790270"/>
    <w:rsid w:val="167D26F3"/>
    <w:rsid w:val="168E1021"/>
    <w:rsid w:val="16A13043"/>
    <w:rsid w:val="16AC2D8D"/>
    <w:rsid w:val="16AF6D34"/>
    <w:rsid w:val="16B84A69"/>
    <w:rsid w:val="16C01911"/>
    <w:rsid w:val="16C77949"/>
    <w:rsid w:val="16C876C0"/>
    <w:rsid w:val="16CB2E5F"/>
    <w:rsid w:val="16D25057"/>
    <w:rsid w:val="16D85C88"/>
    <w:rsid w:val="16E82A20"/>
    <w:rsid w:val="16ED6288"/>
    <w:rsid w:val="16F2083F"/>
    <w:rsid w:val="16F451A4"/>
    <w:rsid w:val="170610F8"/>
    <w:rsid w:val="17076251"/>
    <w:rsid w:val="17091CDA"/>
    <w:rsid w:val="170F61FF"/>
    <w:rsid w:val="17171DE6"/>
    <w:rsid w:val="171B2DF6"/>
    <w:rsid w:val="172759C9"/>
    <w:rsid w:val="172A34A0"/>
    <w:rsid w:val="172D64A6"/>
    <w:rsid w:val="1740460A"/>
    <w:rsid w:val="17457E73"/>
    <w:rsid w:val="1748684E"/>
    <w:rsid w:val="174F484D"/>
    <w:rsid w:val="17540657"/>
    <w:rsid w:val="175F6213"/>
    <w:rsid w:val="1763586C"/>
    <w:rsid w:val="1772678E"/>
    <w:rsid w:val="177469AA"/>
    <w:rsid w:val="17797B1C"/>
    <w:rsid w:val="177C4109"/>
    <w:rsid w:val="178D35C8"/>
    <w:rsid w:val="178E4B38"/>
    <w:rsid w:val="1793171C"/>
    <w:rsid w:val="17936E30"/>
    <w:rsid w:val="17985906"/>
    <w:rsid w:val="179D48DD"/>
    <w:rsid w:val="17A10052"/>
    <w:rsid w:val="17A44A4B"/>
    <w:rsid w:val="17AE3C6A"/>
    <w:rsid w:val="17B350B9"/>
    <w:rsid w:val="17BF32DE"/>
    <w:rsid w:val="17C00184"/>
    <w:rsid w:val="17CA4726"/>
    <w:rsid w:val="17D31922"/>
    <w:rsid w:val="17D902C3"/>
    <w:rsid w:val="17DF5EA9"/>
    <w:rsid w:val="17E72CD8"/>
    <w:rsid w:val="17EC599E"/>
    <w:rsid w:val="17ED5276"/>
    <w:rsid w:val="17ED57D0"/>
    <w:rsid w:val="17EE050A"/>
    <w:rsid w:val="17EF3C3D"/>
    <w:rsid w:val="17F77AFC"/>
    <w:rsid w:val="17F906B8"/>
    <w:rsid w:val="17FD3F0D"/>
    <w:rsid w:val="18073704"/>
    <w:rsid w:val="18095209"/>
    <w:rsid w:val="180A090C"/>
    <w:rsid w:val="180A1D0F"/>
    <w:rsid w:val="180A4C18"/>
    <w:rsid w:val="180B0603"/>
    <w:rsid w:val="180C6BE2"/>
    <w:rsid w:val="18125A3A"/>
    <w:rsid w:val="18181E97"/>
    <w:rsid w:val="18245132"/>
    <w:rsid w:val="18255D52"/>
    <w:rsid w:val="182867A9"/>
    <w:rsid w:val="182E5AF1"/>
    <w:rsid w:val="18387277"/>
    <w:rsid w:val="1846735F"/>
    <w:rsid w:val="1853036D"/>
    <w:rsid w:val="18583BD5"/>
    <w:rsid w:val="185A5BA0"/>
    <w:rsid w:val="1861091A"/>
    <w:rsid w:val="186474C4"/>
    <w:rsid w:val="18754ED1"/>
    <w:rsid w:val="18795111"/>
    <w:rsid w:val="187F540D"/>
    <w:rsid w:val="18822A00"/>
    <w:rsid w:val="18843022"/>
    <w:rsid w:val="188744BB"/>
    <w:rsid w:val="18945F8B"/>
    <w:rsid w:val="18952734"/>
    <w:rsid w:val="18976C17"/>
    <w:rsid w:val="18A220AE"/>
    <w:rsid w:val="18A95694"/>
    <w:rsid w:val="18B04FBB"/>
    <w:rsid w:val="18B50076"/>
    <w:rsid w:val="18BA4999"/>
    <w:rsid w:val="18C43521"/>
    <w:rsid w:val="18C474BD"/>
    <w:rsid w:val="18CF4C7C"/>
    <w:rsid w:val="18D314AE"/>
    <w:rsid w:val="18D86A52"/>
    <w:rsid w:val="18DC1666"/>
    <w:rsid w:val="18E00334"/>
    <w:rsid w:val="18E02B21"/>
    <w:rsid w:val="18E11EC0"/>
    <w:rsid w:val="18E70105"/>
    <w:rsid w:val="18ED58E6"/>
    <w:rsid w:val="18F03E0E"/>
    <w:rsid w:val="18F70B60"/>
    <w:rsid w:val="18FF0A99"/>
    <w:rsid w:val="19061883"/>
    <w:rsid w:val="1909374D"/>
    <w:rsid w:val="190A1374"/>
    <w:rsid w:val="19121BF9"/>
    <w:rsid w:val="19257F5C"/>
    <w:rsid w:val="19362107"/>
    <w:rsid w:val="19363F89"/>
    <w:rsid w:val="193D1546"/>
    <w:rsid w:val="19476AB2"/>
    <w:rsid w:val="19476C77"/>
    <w:rsid w:val="194C2F77"/>
    <w:rsid w:val="194D74B2"/>
    <w:rsid w:val="1951509D"/>
    <w:rsid w:val="195A572B"/>
    <w:rsid w:val="195E7236"/>
    <w:rsid w:val="19630350"/>
    <w:rsid w:val="196A07E8"/>
    <w:rsid w:val="19763826"/>
    <w:rsid w:val="197762DD"/>
    <w:rsid w:val="19850ACB"/>
    <w:rsid w:val="19855777"/>
    <w:rsid w:val="198771E8"/>
    <w:rsid w:val="198A3793"/>
    <w:rsid w:val="198A7504"/>
    <w:rsid w:val="19925906"/>
    <w:rsid w:val="19946E7F"/>
    <w:rsid w:val="19956C86"/>
    <w:rsid w:val="19972D2D"/>
    <w:rsid w:val="19A3205B"/>
    <w:rsid w:val="19A4034B"/>
    <w:rsid w:val="19A65B68"/>
    <w:rsid w:val="19B23C43"/>
    <w:rsid w:val="19B32CDE"/>
    <w:rsid w:val="19BE61D3"/>
    <w:rsid w:val="19C071A3"/>
    <w:rsid w:val="19C36661"/>
    <w:rsid w:val="19C96042"/>
    <w:rsid w:val="19CE19A7"/>
    <w:rsid w:val="19D41982"/>
    <w:rsid w:val="19DA6113"/>
    <w:rsid w:val="19DC4392"/>
    <w:rsid w:val="19F4151A"/>
    <w:rsid w:val="19F42558"/>
    <w:rsid w:val="19FA01DC"/>
    <w:rsid w:val="1A082EDA"/>
    <w:rsid w:val="1A192F67"/>
    <w:rsid w:val="1A1A3838"/>
    <w:rsid w:val="1A207BAF"/>
    <w:rsid w:val="1A2367C2"/>
    <w:rsid w:val="1A293803"/>
    <w:rsid w:val="1A310B82"/>
    <w:rsid w:val="1A3701F4"/>
    <w:rsid w:val="1A3B5015"/>
    <w:rsid w:val="1A46462D"/>
    <w:rsid w:val="1A4C07A0"/>
    <w:rsid w:val="1A52175E"/>
    <w:rsid w:val="1A526DB9"/>
    <w:rsid w:val="1A642D06"/>
    <w:rsid w:val="1A677AC2"/>
    <w:rsid w:val="1A717A17"/>
    <w:rsid w:val="1A7D3FC4"/>
    <w:rsid w:val="1A7F18ED"/>
    <w:rsid w:val="1A9C3882"/>
    <w:rsid w:val="1A9D5276"/>
    <w:rsid w:val="1AA650CC"/>
    <w:rsid w:val="1AAE6FDE"/>
    <w:rsid w:val="1AB25F58"/>
    <w:rsid w:val="1AB96F8B"/>
    <w:rsid w:val="1AC03ED0"/>
    <w:rsid w:val="1AC75042"/>
    <w:rsid w:val="1AC75895"/>
    <w:rsid w:val="1AD82DAC"/>
    <w:rsid w:val="1AE049C5"/>
    <w:rsid w:val="1AEB2C3A"/>
    <w:rsid w:val="1AEC4CFD"/>
    <w:rsid w:val="1AF2632B"/>
    <w:rsid w:val="1AF26A51"/>
    <w:rsid w:val="1AFE6CB6"/>
    <w:rsid w:val="1B000E42"/>
    <w:rsid w:val="1B010432"/>
    <w:rsid w:val="1B010952"/>
    <w:rsid w:val="1B0D53AC"/>
    <w:rsid w:val="1B0F3B71"/>
    <w:rsid w:val="1B1464DA"/>
    <w:rsid w:val="1B170223"/>
    <w:rsid w:val="1B1D23CE"/>
    <w:rsid w:val="1B1F1D1C"/>
    <w:rsid w:val="1B2B55D1"/>
    <w:rsid w:val="1B3202FC"/>
    <w:rsid w:val="1B330E9B"/>
    <w:rsid w:val="1B3418D0"/>
    <w:rsid w:val="1B397CEE"/>
    <w:rsid w:val="1B3A28C7"/>
    <w:rsid w:val="1B474840"/>
    <w:rsid w:val="1B483C7F"/>
    <w:rsid w:val="1B635EBC"/>
    <w:rsid w:val="1B713D79"/>
    <w:rsid w:val="1B826FFA"/>
    <w:rsid w:val="1B865037"/>
    <w:rsid w:val="1B880ABD"/>
    <w:rsid w:val="1B8E43A7"/>
    <w:rsid w:val="1B9118D8"/>
    <w:rsid w:val="1B9A3CD7"/>
    <w:rsid w:val="1BA13832"/>
    <w:rsid w:val="1BA86E23"/>
    <w:rsid w:val="1BAC6039"/>
    <w:rsid w:val="1BB15E7B"/>
    <w:rsid w:val="1BB455C7"/>
    <w:rsid w:val="1BBA0BEC"/>
    <w:rsid w:val="1BC31CAE"/>
    <w:rsid w:val="1BCC2910"/>
    <w:rsid w:val="1BDB4749"/>
    <w:rsid w:val="1BDD2D6F"/>
    <w:rsid w:val="1BE31B4D"/>
    <w:rsid w:val="1BE86F35"/>
    <w:rsid w:val="1BEF34AA"/>
    <w:rsid w:val="1C0D4CD7"/>
    <w:rsid w:val="1C177AE5"/>
    <w:rsid w:val="1C19367C"/>
    <w:rsid w:val="1C273FEB"/>
    <w:rsid w:val="1C2766AC"/>
    <w:rsid w:val="1C31325D"/>
    <w:rsid w:val="1C3E219E"/>
    <w:rsid w:val="1C425E21"/>
    <w:rsid w:val="1C511462"/>
    <w:rsid w:val="1C6074FD"/>
    <w:rsid w:val="1C6C7C4F"/>
    <w:rsid w:val="1C706994"/>
    <w:rsid w:val="1C737230"/>
    <w:rsid w:val="1C7518AF"/>
    <w:rsid w:val="1C7619A3"/>
    <w:rsid w:val="1C7B495B"/>
    <w:rsid w:val="1C843F95"/>
    <w:rsid w:val="1C862A19"/>
    <w:rsid w:val="1C8A55DB"/>
    <w:rsid w:val="1C901B90"/>
    <w:rsid w:val="1C9553F8"/>
    <w:rsid w:val="1C9F586F"/>
    <w:rsid w:val="1CA1623E"/>
    <w:rsid w:val="1CAC2742"/>
    <w:rsid w:val="1CB366A6"/>
    <w:rsid w:val="1CCC6940"/>
    <w:rsid w:val="1CDC1BD7"/>
    <w:rsid w:val="1CDF0421"/>
    <w:rsid w:val="1CE02090"/>
    <w:rsid w:val="1CE5722B"/>
    <w:rsid w:val="1CF42CA9"/>
    <w:rsid w:val="1D036806"/>
    <w:rsid w:val="1D0A64D2"/>
    <w:rsid w:val="1D182FE8"/>
    <w:rsid w:val="1D22285A"/>
    <w:rsid w:val="1D231173"/>
    <w:rsid w:val="1D233D9F"/>
    <w:rsid w:val="1D2507CF"/>
    <w:rsid w:val="1D266050"/>
    <w:rsid w:val="1D2D3883"/>
    <w:rsid w:val="1D2F75FB"/>
    <w:rsid w:val="1D30774C"/>
    <w:rsid w:val="1D352737"/>
    <w:rsid w:val="1D392227"/>
    <w:rsid w:val="1D3E4194"/>
    <w:rsid w:val="1D416F8A"/>
    <w:rsid w:val="1D5218C3"/>
    <w:rsid w:val="1D636B46"/>
    <w:rsid w:val="1D6849A1"/>
    <w:rsid w:val="1D6C2236"/>
    <w:rsid w:val="1D76522A"/>
    <w:rsid w:val="1D7E4FC0"/>
    <w:rsid w:val="1DA30EAE"/>
    <w:rsid w:val="1DA578BD"/>
    <w:rsid w:val="1DAD576B"/>
    <w:rsid w:val="1DAF58DD"/>
    <w:rsid w:val="1DD61C89"/>
    <w:rsid w:val="1DD82F5D"/>
    <w:rsid w:val="1DE17229"/>
    <w:rsid w:val="1DE551AE"/>
    <w:rsid w:val="1DE67BE0"/>
    <w:rsid w:val="1DF223D6"/>
    <w:rsid w:val="1DF3687A"/>
    <w:rsid w:val="1DFB74DD"/>
    <w:rsid w:val="1DFD71F5"/>
    <w:rsid w:val="1E0255DB"/>
    <w:rsid w:val="1E05632C"/>
    <w:rsid w:val="1E19315B"/>
    <w:rsid w:val="1E1C5081"/>
    <w:rsid w:val="1E200CF1"/>
    <w:rsid w:val="1E201112"/>
    <w:rsid w:val="1E256308"/>
    <w:rsid w:val="1E3819A8"/>
    <w:rsid w:val="1E4040D7"/>
    <w:rsid w:val="1E521E5C"/>
    <w:rsid w:val="1E6366E9"/>
    <w:rsid w:val="1E661761"/>
    <w:rsid w:val="1E6618EC"/>
    <w:rsid w:val="1E6D7661"/>
    <w:rsid w:val="1E6F1C79"/>
    <w:rsid w:val="1E7159FF"/>
    <w:rsid w:val="1E766B63"/>
    <w:rsid w:val="1E777294"/>
    <w:rsid w:val="1E9165C7"/>
    <w:rsid w:val="1E943EE3"/>
    <w:rsid w:val="1E957931"/>
    <w:rsid w:val="1E9A25BA"/>
    <w:rsid w:val="1EA26A2B"/>
    <w:rsid w:val="1EA35E34"/>
    <w:rsid w:val="1EA42110"/>
    <w:rsid w:val="1EA9518B"/>
    <w:rsid w:val="1EB3600A"/>
    <w:rsid w:val="1EB61656"/>
    <w:rsid w:val="1EB61E87"/>
    <w:rsid w:val="1EB74A13"/>
    <w:rsid w:val="1EBB1A4A"/>
    <w:rsid w:val="1ECA5375"/>
    <w:rsid w:val="1ECD33DD"/>
    <w:rsid w:val="1ED02EE2"/>
    <w:rsid w:val="1ED03707"/>
    <w:rsid w:val="1ED22B1C"/>
    <w:rsid w:val="1EF53F2C"/>
    <w:rsid w:val="1EFF4DAB"/>
    <w:rsid w:val="1F0466E0"/>
    <w:rsid w:val="1F0B19A2"/>
    <w:rsid w:val="1F0E590F"/>
    <w:rsid w:val="1F1374C7"/>
    <w:rsid w:val="1F264A2D"/>
    <w:rsid w:val="1F314D8C"/>
    <w:rsid w:val="1F337ED0"/>
    <w:rsid w:val="1F345333"/>
    <w:rsid w:val="1F354C71"/>
    <w:rsid w:val="1F3C5FFF"/>
    <w:rsid w:val="1F3C63CC"/>
    <w:rsid w:val="1F3D1928"/>
    <w:rsid w:val="1F4D3D68"/>
    <w:rsid w:val="1F5839A7"/>
    <w:rsid w:val="1F592B4C"/>
    <w:rsid w:val="1F5D2F2C"/>
    <w:rsid w:val="1F603109"/>
    <w:rsid w:val="1F6B41EE"/>
    <w:rsid w:val="1F7053E3"/>
    <w:rsid w:val="1F7513D8"/>
    <w:rsid w:val="1F752D3A"/>
    <w:rsid w:val="1F8F0DDD"/>
    <w:rsid w:val="1F96434B"/>
    <w:rsid w:val="1F9C084C"/>
    <w:rsid w:val="1FAA6E36"/>
    <w:rsid w:val="1FB75D16"/>
    <w:rsid w:val="1FB90D87"/>
    <w:rsid w:val="1FCF4FC3"/>
    <w:rsid w:val="1FD146C1"/>
    <w:rsid w:val="1FD46237"/>
    <w:rsid w:val="1FE126E5"/>
    <w:rsid w:val="1FEB1DE0"/>
    <w:rsid w:val="1FF00B97"/>
    <w:rsid w:val="20036B1D"/>
    <w:rsid w:val="20076172"/>
    <w:rsid w:val="20120B0E"/>
    <w:rsid w:val="20133D98"/>
    <w:rsid w:val="20144886"/>
    <w:rsid w:val="201956D2"/>
    <w:rsid w:val="20207CC4"/>
    <w:rsid w:val="20346193"/>
    <w:rsid w:val="203821AD"/>
    <w:rsid w:val="204326FE"/>
    <w:rsid w:val="2043516B"/>
    <w:rsid w:val="204B0F56"/>
    <w:rsid w:val="204B68BF"/>
    <w:rsid w:val="20564928"/>
    <w:rsid w:val="205E2EE1"/>
    <w:rsid w:val="20665ACC"/>
    <w:rsid w:val="206E21D4"/>
    <w:rsid w:val="207B7CFB"/>
    <w:rsid w:val="207C25DC"/>
    <w:rsid w:val="20832DF2"/>
    <w:rsid w:val="208E4800"/>
    <w:rsid w:val="20976CDE"/>
    <w:rsid w:val="209F220D"/>
    <w:rsid w:val="20B00A53"/>
    <w:rsid w:val="20B03D2F"/>
    <w:rsid w:val="20B63B8F"/>
    <w:rsid w:val="20B83463"/>
    <w:rsid w:val="20B83B8F"/>
    <w:rsid w:val="20BA224F"/>
    <w:rsid w:val="20BC7A52"/>
    <w:rsid w:val="20BF4BBB"/>
    <w:rsid w:val="20C07D16"/>
    <w:rsid w:val="20C96609"/>
    <w:rsid w:val="20D07F44"/>
    <w:rsid w:val="20D80BC3"/>
    <w:rsid w:val="20D9065C"/>
    <w:rsid w:val="20E31DB6"/>
    <w:rsid w:val="20ED240A"/>
    <w:rsid w:val="20ED5620"/>
    <w:rsid w:val="20F31BAC"/>
    <w:rsid w:val="20F843D4"/>
    <w:rsid w:val="20FB4560"/>
    <w:rsid w:val="21037B2A"/>
    <w:rsid w:val="210670D2"/>
    <w:rsid w:val="21091ECA"/>
    <w:rsid w:val="210A6E3D"/>
    <w:rsid w:val="210D0B42"/>
    <w:rsid w:val="211663DC"/>
    <w:rsid w:val="2120204D"/>
    <w:rsid w:val="21215B8F"/>
    <w:rsid w:val="212A00EB"/>
    <w:rsid w:val="2130749E"/>
    <w:rsid w:val="21344874"/>
    <w:rsid w:val="21367655"/>
    <w:rsid w:val="21397105"/>
    <w:rsid w:val="213F0878"/>
    <w:rsid w:val="213F7C35"/>
    <w:rsid w:val="215E4812"/>
    <w:rsid w:val="21616461"/>
    <w:rsid w:val="21675FC1"/>
    <w:rsid w:val="216E446A"/>
    <w:rsid w:val="217557F8"/>
    <w:rsid w:val="217D6208"/>
    <w:rsid w:val="2181419D"/>
    <w:rsid w:val="21855B15"/>
    <w:rsid w:val="218E37E9"/>
    <w:rsid w:val="219226BE"/>
    <w:rsid w:val="219408BD"/>
    <w:rsid w:val="219C338A"/>
    <w:rsid w:val="21A47176"/>
    <w:rsid w:val="21BC08B9"/>
    <w:rsid w:val="21C4408A"/>
    <w:rsid w:val="21C57D75"/>
    <w:rsid w:val="21CA7851"/>
    <w:rsid w:val="21CB7FDA"/>
    <w:rsid w:val="21D275E3"/>
    <w:rsid w:val="21D520B1"/>
    <w:rsid w:val="21D57C13"/>
    <w:rsid w:val="21D7200F"/>
    <w:rsid w:val="21D81D50"/>
    <w:rsid w:val="21DF6698"/>
    <w:rsid w:val="21E96BB1"/>
    <w:rsid w:val="21F0363B"/>
    <w:rsid w:val="21F2233C"/>
    <w:rsid w:val="21F40E28"/>
    <w:rsid w:val="21F735E1"/>
    <w:rsid w:val="21FF6F70"/>
    <w:rsid w:val="22000161"/>
    <w:rsid w:val="220D77DF"/>
    <w:rsid w:val="221435F7"/>
    <w:rsid w:val="2218596F"/>
    <w:rsid w:val="221D0D96"/>
    <w:rsid w:val="221F2407"/>
    <w:rsid w:val="2229591A"/>
    <w:rsid w:val="222F482F"/>
    <w:rsid w:val="223E7944"/>
    <w:rsid w:val="22430C6B"/>
    <w:rsid w:val="22431452"/>
    <w:rsid w:val="22462CF1"/>
    <w:rsid w:val="224649CB"/>
    <w:rsid w:val="22465C8A"/>
    <w:rsid w:val="22494459"/>
    <w:rsid w:val="224F10BB"/>
    <w:rsid w:val="225450B1"/>
    <w:rsid w:val="2254540E"/>
    <w:rsid w:val="225A0462"/>
    <w:rsid w:val="225C0394"/>
    <w:rsid w:val="22673393"/>
    <w:rsid w:val="226F3FF6"/>
    <w:rsid w:val="22842F43"/>
    <w:rsid w:val="22910410"/>
    <w:rsid w:val="22937748"/>
    <w:rsid w:val="22A85759"/>
    <w:rsid w:val="22AD16D9"/>
    <w:rsid w:val="22AD4B1E"/>
    <w:rsid w:val="22AF6AE8"/>
    <w:rsid w:val="22B13D33"/>
    <w:rsid w:val="22B13EF7"/>
    <w:rsid w:val="22B52CA4"/>
    <w:rsid w:val="22D776D9"/>
    <w:rsid w:val="22DE5886"/>
    <w:rsid w:val="22E63D24"/>
    <w:rsid w:val="22E76282"/>
    <w:rsid w:val="22EE5862"/>
    <w:rsid w:val="22F06943"/>
    <w:rsid w:val="22F64197"/>
    <w:rsid w:val="23031D3B"/>
    <w:rsid w:val="23045086"/>
    <w:rsid w:val="2306260B"/>
    <w:rsid w:val="230812D9"/>
    <w:rsid w:val="231150AD"/>
    <w:rsid w:val="23134C5E"/>
    <w:rsid w:val="23143199"/>
    <w:rsid w:val="231D4366"/>
    <w:rsid w:val="232625C2"/>
    <w:rsid w:val="23264FFC"/>
    <w:rsid w:val="23274A4A"/>
    <w:rsid w:val="232A4E0A"/>
    <w:rsid w:val="233320AB"/>
    <w:rsid w:val="233B037C"/>
    <w:rsid w:val="234570F8"/>
    <w:rsid w:val="23520A80"/>
    <w:rsid w:val="2355143D"/>
    <w:rsid w:val="235A4B51"/>
    <w:rsid w:val="235A7FBB"/>
    <w:rsid w:val="235F3BE8"/>
    <w:rsid w:val="23612532"/>
    <w:rsid w:val="23615763"/>
    <w:rsid w:val="236B6DD9"/>
    <w:rsid w:val="2372210F"/>
    <w:rsid w:val="237C1FAA"/>
    <w:rsid w:val="237D2742"/>
    <w:rsid w:val="237F4F6B"/>
    <w:rsid w:val="2389558B"/>
    <w:rsid w:val="238B30B1"/>
    <w:rsid w:val="2391082F"/>
    <w:rsid w:val="23931F66"/>
    <w:rsid w:val="239C66C1"/>
    <w:rsid w:val="23A203FB"/>
    <w:rsid w:val="23A82BEF"/>
    <w:rsid w:val="23BE007A"/>
    <w:rsid w:val="23C010B4"/>
    <w:rsid w:val="23D07150"/>
    <w:rsid w:val="23D179D2"/>
    <w:rsid w:val="23D36009"/>
    <w:rsid w:val="23D528B6"/>
    <w:rsid w:val="23D67228"/>
    <w:rsid w:val="23D902C0"/>
    <w:rsid w:val="23E17772"/>
    <w:rsid w:val="23EB2BCA"/>
    <w:rsid w:val="23EF34A5"/>
    <w:rsid w:val="23FF3643"/>
    <w:rsid w:val="24065E3E"/>
    <w:rsid w:val="24076056"/>
    <w:rsid w:val="240C3075"/>
    <w:rsid w:val="240E6B08"/>
    <w:rsid w:val="24184829"/>
    <w:rsid w:val="241938C6"/>
    <w:rsid w:val="241E0112"/>
    <w:rsid w:val="241E5CD3"/>
    <w:rsid w:val="24287A50"/>
    <w:rsid w:val="242F1245"/>
    <w:rsid w:val="244905A6"/>
    <w:rsid w:val="244F391A"/>
    <w:rsid w:val="24500991"/>
    <w:rsid w:val="24511298"/>
    <w:rsid w:val="24516B08"/>
    <w:rsid w:val="245416F5"/>
    <w:rsid w:val="24600018"/>
    <w:rsid w:val="24603846"/>
    <w:rsid w:val="246E3757"/>
    <w:rsid w:val="247D330A"/>
    <w:rsid w:val="247E00CF"/>
    <w:rsid w:val="24804DBA"/>
    <w:rsid w:val="24884897"/>
    <w:rsid w:val="248D6176"/>
    <w:rsid w:val="249145FE"/>
    <w:rsid w:val="24957DD5"/>
    <w:rsid w:val="249F6C02"/>
    <w:rsid w:val="24A73F1B"/>
    <w:rsid w:val="24A87C93"/>
    <w:rsid w:val="24A93807"/>
    <w:rsid w:val="24B45CDD"/>
    <w:rsid w:val="24B84550"/>
    <w:rsid w:val="24B9513A"/>
    <w:rsid w:val="24C83F01"/>
    <w:rsid w:val="24D273AD"/>
    <w:rsid w:val="24D61965"/>
    <w:rsid w:val="24F73F73"/>
    <w:rsid w:val="25027743"/>
    <w:rsid w:val="2504136D"/>
    <w:rsid w:val="25164D9F"/>
    <w:rsid w:val="251E3B13"/>
    <w:rsid w:val="25237319"/>
    <w:rsid w:val="2536529E"/>
    <w:rsid w:val="25387C26"/>
    <w:rsid w:val="253A3873"/>
    <w:rsid w:val="253B0B07"/>
    <w:rsid w:val="253F2064"/>
    <w:rsid w:val="254259F1"/>
    <w:rsid w:val="254278B2"/>
    <w:rsid w:val="254A2AF8"/>
    <w:rsid w:val="2557686D"/>
    <w:rsid w:val="25583A24"/>
    <w:rsid w:val="255B2F57"/>
    <w:rsid w:val="256D7129"/>
    <w:rsid w:val="257968A4"/>
    <w:rsid w:val="257F4EED"/>
    <w:rsid w:val="25825937"/>
    <w:rsid w:val="259F40A6"/>
    <w:rsid w:val="25A667F4"/>
    <w:rsid w:val="25AF7A72"/>
    <w:rsid w:val="25B17ED8"/>
    <w:rsid w:val="25BC1449"/>
    <w:rsid w:val="25C94365"/>
    <w:rsid w:val="25CD5AD7"/>
    <w:rsid w:val="25D07BEE"/>
    <w:rsid w:val="25D53202"/>
    <w:rsid w:val="25DE0593"/>
    <w:rsid w:val="25E0442F"/>
    <w:rsid w:val="25E46D6D"/>
    <w:rsid w:val="260F621B"/>
    <w:rsid w:val="262349F0"/>
    <w:rsid w:val="26247424"/>
    <w:rsid w:val="262650A6"/>
    <w:rsid w:val="26321F0A"/>
    <w:rsid w:val="263A30F2"/>
    <w:rsid w:val="263B1F50"/>
    <w:rsid w:val="26414073"/>
    <w:rsid w:val="26454C28"/>
    <w:rsid w:val="26527C90"/>
    <w:rsid w:val="26555BF8"/>
    <w:rsid w:val="2661459D"/>
    <w:rsid w:val="26617E4F"/>
    <w:rsid w:val="2670658E"/>
    <w:rsid w:val="26751DF6"/>
    <w:rsid w:val="267A6A29"/>
    <w:rsid w:val="26833001"/>
    <w:rsid w:val="268663ED"/>
    <w:rsid w:val="26880E9B"/>
    <w:rsid w:val="26905BC3"/>
    <w:rsid w:val="26923807"/>
    <w:rsid w:val="26954A6C"/>
    <w:rsid w:val="26986F44"/>
    <w:rsid w:val="269B185D"/>
    <w:rsid w:val="26B612F4"/>
    <w:rsid w:val="26BC775E"/>
    <w:rsid w:val="26BC7A25"/>
    <w:rsid w:val="26C00BB3"/>
    <w:rsid w:val="26C16DEA"/>
    <w:rsid w:val="26CD1C32"/>
    <w:rsid w:val="26CF59AB"/>
    <w:rsid w:val="26D150CB"/>
    <w:rsid w:val="26F06F6D"/>
    <w:rsid w:val="26F37DC4"/>
    <w:rsid w:val="26FB45C4"/>
    <w:rsid w:val="26FE22C7"/>
    <w:rsid w:val="27003DB6"/>
    <w:rsid w:val="27054614"/>
    <w:rsid w:val="2705793E"/>
    <w:rsid w:val="270A6B1F"/>
    <w:rsid w:val="270C7CCD"/>
    <w:rsid w:val="270F24F9"/>
    <w:rsid w:val="271A01E4"/>
    <w:rsid w:val="27221F7E"/>
    <w:rsid w:val="27351CB2"/>
    <w:rsid w:val="27435A51"/>
    <w:rsid w:val="27466F3A"/>
    <w:rsid w:val="2755492F"/>
    <w:rsid w:val="27641BC9"/>
    <w:rsid w:val="276428EB"/>
    <w:rsid w:val="27663A80"/>
    <w:rsid w:val="276A122F"/>
    <w:rsid w:val="27753D15"/>
    <w:rsid w:val="27780DC5"/>
    <w:rsid w:val="2780046C"/>
    <w:rsid w:val="278177F2"/>
    <w:rsid w:val="278D0C07"/>
    <w:rsid w:val="278F17C6"/>
    <w:rsid w:val="278F4242"/>
    <w:rsid w:val="27957DF9"/>
    <w:rsid w:val="27983FEE"/>
    <w:rsid w:val="27A401A2"/>
    <w:rsid w:val="27AB1CB6"/>
    <w:rsid w:val="27AB5384"/>
    <w:rsid w:val="27BA4742"/>
    <w:rsid w:val="27CC248E"/>
    <w:rsid w:val="27D019DA"/>
    <w:rsid w:val="27DC1EEA"/>
    <w:rsid w:val="27EB644C"/>
    <w:rsid w:val="27EC7E96"/>
    <w:rsid w:val="27F522DB"/>
    <w:rsid w:val="27FD6F3B"/>
    <w:rsid w:val="28046B4F"/>
    <w:rsid w:val="280653FC"/>
    <w:rsid w:val="2807212A"/>
    <w:rsid w:val="281178FD"/>
    <w:rsid w:val="28120F38"/>
    <w:rsid w:val="28167ADE"/>
    <w:rsid w:val="28173DFE"/>
    <w:rsid w:val="28335AC5"/>
    <w:rsid w:val="283A6E54"/>
    <w:rsid w:val="283C7103"/>
    <w:rsid w:val="284F6542"/>
    <w:rsid w:val="286135A9"/>
    <w:rsid w:val="28650375"/>
    <w:rsid w:val="286B1703"/>
    <w:rsid w:val="286B6DAC"/>
    <w:rsid w:val="286D1F56"/>
    <w:rsid w:val="28710CD1"/>
    <w:rsid w:val="28773C04"/>
    <w:rsid w:val="28812CD5"/>
    <w:rsid w:val="288A7A6F"/>
    <w:rsid w:val="288B5901"/>
    <w:rsid w:val="289757BD"/>
    <w:rsid w:val="28A8200F"/>
    <w:rsid w:val="28B409B4"/>
    <w:rsid w:val="28B50364"/>
    <w:rsid w:val="28BE5CD7"/>
    <w:rsid w:val="28C12F19"/>
    <w:rsid w:val="28C33ADB"/>
    <w:rsid w:val="28C41D62"/>
    <w:rsid w:val="28C44789"/>
    <w:rsid w:val="28CB66CC"/>
    <w:rsid w:val="28D177B8"/>
    <w:rsid w:val="28DF17A9"/>
    <w:rsid w:val="28E03E9F"/>
    <w:rsid w:val="28E656F9"/>
    <w:rsid w:val="28E95C91"/>
    <w:rsid w:val="28EF1F1D"/>
    <w:rsid w:val="28F2772E"/>
    <w:rsid w:val="28F752E4"/>
    <w:rsid w:val="290A2CCA"/>
    <w:rsid w:val="29183639"/>
    <w:rsid w:val="29253660"/>
    <w:rsid w:val="29262DDF"/>
    <w:rsid w:val="292E22DB"/>
    <w:rsid w:val="29336DAB"/>
    <w:rsid w:val="29365CAD"/>
    <w:rsid w:val="29447FC3"/>
    <w:rsid w:val="29487B4C"/>
    <w:rsid w:val="295757E3"/>
    <w:rsid w:val="295E3FE1"/>
    <w:rsid w:val="295F6FD6"/>
    <w:rsid w:val="296F5223"/>
    <w:rsid w:val="2975293D"/>
    <w:rsid w:val="2976332A"/>
    <w:rsid w:val="29830482"/>
    <w:rsid w:val="29835E2E"/>
    <w:rsid w:val="2984172C"/>
    <w:rsid w:val="29895B8A"/>
    <w:rsid w:val="298E7457"/>
    <w:rsid w:val="2990383F"/>
    <w:rsid w:val="29921E65"/>
    <w:rsid w:val="29B7308B"/>
    <w:rsid w:val="29C00FD6"/>
    <w:rsid w:val="29C05E6C"/>
    <w:rsid w:val="29C448FD"/>
    <w:rsid w:val="29C608C2"/>
    <w:rsid w:val="29D61491"/>
    <w:rsid w:val="29D87A35"/>
    <w:rsid w:val="29E22D43"/>
    <w:rsid w:val="29E31034"/>
    <w:rsid w:val="29E374BE"/>
    <w:rsid w:val="29ED6E20"/>
    <w:rsid w:val="29F1409D"/>
    <w:rsid w:val="29F2365B"/>
    <w:rsid w:val="29FC6257"/>
    <w:rsid w:val="2A0061A4"/>
    <w:rsid w:val="2A026579"/>
    <w:rsid w:val="2A077917"/>
    <w:rsid w:val="2A0F0B2C"/>
    <w:rsid w:val="2A2379F1"/>
    <w:rsid w:val="2A241B69"/>
    <w:rsid w:val="2A28264A"/>
    <w:rsid w:val="2A2A66E8"/>
    <w:rsid w:val="2A2B5260"/>
    <w:rsid w:val="2A2F45CD"/>
    <w:rsid w:val="2A3A138D"/>
    <w:rsid w:val="2A42536F"/>
    <w:rsid w:val="2A426494"/>
    <w:rsid w:val="2A47477C"/>
    <w:rsid w:val="2A4A0F51"/>
    <w:rsid w:val="2A4E61A8"/>
    <w:rsid w:val="2A4F2542"/>
    <w:rsid w:val="2A510485"/>
    <w:rsid w:val="2A5967CA"/>
    <w:rsid w:val="2A5C5A58"/>
    <w:rsid w:val="2A61571E"/>
    <w:rsid w:val="2A656E6E"/>
    <w:rsid w:val="2A6D3510"/>
    <w:rsid w:val="2A7110B3"/>
    <w:rsid w:val="2A7E571E"/>
    <w:rsid w:val="2A8037A7"/>
    <w:rsid w:val="2A845E7D"/>
    <w:rsid w:val="2AA40306"/>
    <w:rsid w:val="2ABA24CE"/>
    <w:rsid w:val="2ABF7AE4"/>
    <w:rsid w:val="2AC1405C"/>
    <w:rsid w:val="2ACF5F79"/>
    <w:rsid w:val="2AD67958"/>
    <w:rsid w:val="2AD76BDC"/>
    <w:rsid w:val="2AF37B03"/>
    <w:rsid w:val="2B02709A"/>
    <w:rsid w:val="2B116592"/>
    <w:rsid w:val="2B1334DC"/>
    <w:rsid w:val="2B1B4286"/>
    <w:rsid w:val="2B1B5263"/>
    <w:rsid w:val="2B252522"/>
    <w:rsid w:val="2B280931"/>
    <w:rsid w:val="2B2E2E69"/>
    <w:rsid w:val="2B391645"/>
    <w:rsid w:val="2B3F1B5C"/>
    <w:rsid w:val="2B4773AA"/>
    <w:rsid w:val="2B546E8B"/>
    <w:rsid w:val="2B575539"/>
    <w:rsid w:val="2B5B34E9"/>
    <w:rsid w:val="2B5C25DD"/>
    <w:rsid w:val="2B5E4572"/>
    <w:rsid w:val="2B6B0C1C"/>
    <w:rsid w:val="2B6C58CD"/>
    <w:rsid w:val="2B6C794F"/>
    <w:rsid w:val="2B785B6A"/>
    <w:rsid w:val="2B885195"/>
    <w:rsid w:val="2B9368FD"/>
    <w:rsid w:val="2B956A91"/>
    <w:rsid w:val="2BA47406"/>
    <w:rsid w:val="2BA96464"/>
    <w:rsid w:val="2BB63AE7"/>
    <w:rsid w:val="2BCB42A4"/>
    <w:rsid w:val="2BD32CF3"/>
    <w:rsid w:val="2BDB7C6F"/>
    <w:rsid w:val="2BE710A1"/>
    <w:rsid w:val="2BE84159"/>
    <w:rsid w:val="2BF33EE9"/>
    <w:rsid w:val="2BF95512"/>
    <w:rsid w:val="2BFE6E09"/>
    <w:rsid w:val="2C063C1D"/>
    <w:rsid w:val="2C104C46"/>
    <w:rsid w:val="2C135F20"/>
    <w:rsid w:val="2C1C252C"/>
    <w:rsid w:val="2C250388"/>
    <w:rsid w:val="2C3047F6"/>
    <w:rsid w:val="2C347894"/>
    <w:rsid w:val="2C3619B9"/>
    <w:rsid w:val="2C365A9F"/>
    <w:rsid w:val="2C3F192C"/>
    <w:rsid w:val="2C615316"/>
    <w:rsid w:val="2C620465"/>
    <w:rsid w:val="2C732934"/>
    <w:rsid w:val="2C792640"/>
    <w:rsid w:val="2C8D572B"/>
    <w:rsid w:val="2C956634"/>
    <w:rsid w:val="2CB03B88"/>
    <w:rsid w:val="2CB216AE"/>
    <w:rsid w:val="2CB3185C"/>
    <w:rsid w:val="2CB74F17"/>
    <w:rsid w:val="2CB87090"/>
    <w:rsid w:val="2CC20710"/>
    <w:rsid w:val="2CC65012"/>
    <w:rsid w:val="2CD634E0"/>
    <w:rsid w:val="2CD8457F"/>
    <w:rsid w:val="2CD9414F"/>
    <w:rsid w:val="2CE43832"/>
    <w:rsid w:val="2CE5525C"/>
    <w:rsid w:val="2CE8063C"/>
    <w:rsid w:val="2CE965C4"/>
    <w:rsid w:val="2CED6B8B"/>
    <w:rsid w:val="2CEE4AB3"/>
    <w:rsid w:val="2CF0667B"/>
    <w:rsid w:val="2CF211C2"/>
    <w:rsid w:val="2CF2279E"/>
    <w:rsid w:val="2D0423D2"/>
    <w:rsid w:val="2D0D0C9C"/>
    <w:rsid w:val="2D0E4FF9"/>
    <w:rsid w:val="2D117054"/>
    <w:rsid w:val="2D1A7254"/>
    <w:rsid w:val="2D241E80"/>
    <w:rsid w:val="2D2500D2"/>
    <w:rsid w:val="2D3C5A1F"/>
    <w:rsid w:val="2D5D7A67"/>
    <w:rsid w:val="2D613652"/>
    <w:rsid w:val="2D614E83"/>
    <w:rsid w:val="2D616C31"/>
    <w:rsid w:val="2D651E94"/>
    <w:rsid w:val="2D6A01DB"/>
    <w:rsid w:val="2D71729C"/>
    <w:rsid w:val="2D7745C4"/>
    <w:rsid w:val="2D850B71"/>
    <w:rsid w:val="2DB26F99"/>
    <w:rsid w:val="2DB92430"/>
    <w:rsid w:val="2DC815FA"/>
    <w:rsid w:val="2DCD2FD2"/>
    <w:rsid w:val="2DD41588"/>
    <w:rsid w:val="2DDD275B"/>
    <w:rsid w:val="2DE10840"/>
    <w:rsid w:val="2DEA131C"/>
    <w:rsid w:val="2DF47AA5"/>
    <w:rsid w:val="2DF80288"/>
    <w:rsid w:val="2DFA155F"/>
    <w:rsid w:val="2DFC65A4"/>
    <w:rsid w:val="2DFD104F"/>
    <w:rsid w:val="2DFD11E7"/>
    <w:rsid w:val="2E00599F"/>
    <w:rsid w:val="2E1600BB"/>
    <w:rsid w:val="2E1729F2"/>
    <w:rsid w:val="2E19619E"/>
    <w:rsid w:val="2E235D9B"/>
    <w:rsid w:val="2E311397"/>
    <w:rsid w:val="2E3431B5"/>
    <w:rsid w:val="2E3578C0"/>
    <w:rsid w:val="2E3F1FF5"/>
    <w:rsid w:val="2E44349D"/>
    <w:rsid w:val="2E4A4A48"/>
    <w:rsid w:val="2E526CE1"/>
    <w:rsid w:val="2E60060C"/>
    <w:rsid w:val="2E674331"/>
    <w:rsid w:val="2E6828E8"/>
    <w:rsid w:val="2E7632C6"/>
    <w:rsid w:val="2E781C5C"/>
    <w:rsid w:val="2E86651C"/>
    <w:rsid w:val="2E8C5391"/>
    <w:rsid w:val="2E941F80"/>
    <w:rsid w:val="2E954DE4"/>
    <w:rsid w:val="2E9B3D17"/>
    <w:rsid w:val="2E9B6172"/>
    <w:rsid w:val="2EA71F57"/>
    <w:rsid w:val="2EBA26B3"/>
    <w:rsid w:val="2EBA45F5"/>
    <w:rsid w:val="2EBC4DF8"/>
    <w:rsid w:val="2EC43F18"/>
    <w:rsid w:val="2EC701BE"/>
    <w:rsid w:val="2ED27DE6"/>
    <w:rsid w:val="2ED331A9"/>
    <w:rsid w:val="2ED533DD"/>
    <w:rsid w:val="2ED678F3"/>
    <w:rsid w:val="2ED767D5"/>
    <w:rsid w:val="2ED94800"/>
    <w:rsid w:val="2ED96152"/>
    <w:rsid w:val="2EDC6EB7"/>
    <w:rsid w:val="2EE30E16"/>
    <w:rsid w:val="2EE67CD4"/>
    <w:rsid w:val="2EEF06B3"/>
    <w:rsid w:val="2EF55327"/>
    <w:rsid w:val="2EF87518"/>
    <w:rsid w:val="2EFD61FF"/>
    <w:rsid w:val="2F0245FB"/>
    <w:rsid w:val="2F0247C0"/>
    <w:rsid w:val="2F1155B5"/>
    <w:rsid w:val="2F1228D8"/>
    <w:rsid w:val="2F373BD0"/>
    <w:rsid w:val="2F392F2C"/>
    <w:rsid w:val="2F3E191F"/>
    <w:rsid w:val="2F3F64DB"/>
    <w:rsid w:val="2F477051"/>
    <w:rsid w:val="2F571061"/>
    <w:rsid w:val="2F6057DD"/>
    <w:rsid w:val="2F624B4C"/>
    <w:rsid w:val="2F6B3FCA"/>
    <w:rsid w:val="2F6F186F"/>
    <w:rsid w:val="2F702190"/>
    <w:rsid w:val="2F702358"/>
    <w:rsid w:val="2F713035"/>
    <w:rsid w:val="2F782CC6"/>
    <w:rsid w:val="2F945DD4"/>
    <w:rsid w:val="2F947237"/>
    <w:rsid w:val="2FA304B5"/>
    <w:rsid w:val="2FAE7398"/>
    <w:rsid w:val="2FB4573E"/>
    <w:rsid w:val="2FB614B6"/>
    <w:rsid w:val="2FB8225B"/>
    <w:rsid w:val="2FBB6ACC"/>
    <w:rsid w:val="2FC83556"/>
    <w:rsid w:val="2FCA4F61"/>
    <w:rsid w:val="2FCE2CA3"/>
    <w:rsid w:val="2FD960EE"/>
    <w:rsid w:val="2FE97BF0"/>
    <w:rsid w:val="2FED07F1"/>
    <w:rsid w:val="2FEE615E"/>
    <w:rsid w:val="2FF10740"/>
    <w:rsid w:val="2FF24267"/>
    <w:rsid w:val="2FF63FA8"/>
    <w:rsid w:val="2FF67745"/>
    <w:rsid w:val="2FFF10AF"/>
    <w:rsid w:val="300375DC"/>
    <w:rsid w:val="300F1540"/>
    <w:rsid w:val="30130218"/>
    <w:rsid w:val="30290DCE"/>
    <w:rsid w:val="3032037E"/>
    <w:rsid w:val="3034062C"/>
    <w:rsid w:val="30350859"/>
    <w:rsid w:val="303A6DC6"/>
    <w:rsid w:val="30444D13"/>
    <w:rsid w:val="305B097F"/>
    <w:rsid w:val="305B1448"/>
    <w:rsid w:val="30660205"/>
    <w:rsid w:val="30661878"/>
    <w:rsid w:val="306A22A0"/>
    <w:rsid w:val="30703D5A"/>
    <w:rsid w:val="30814620"/>
    <w:rsid w:val="308C0468"/>
    <w:rsid w:val="308D68F9"/>
    <w:rsid w:val="30922E41"/>
    <w:rsid w:val="30932699"/>
    <w:rsid w:val="30977539"/>
    <w:rsid w:val="309C452E"/>
    <w:rsid w:val="30A03DD0"/>
    <w:rsid w:val="30AE6631"/>
    <w:rsid w:val="30AF4D78"/>
    <w:rsid w:val="30B7106E"/>
    <w:rsid w:val="30C6498D"/>
    <w:rsid w:val="30CB0916"/>
    <w:rsid w:val="30CC62CE"/>
    <w:rsid w:val="30D05F4C"/>
    <w:rsid w:val="30D20571"/>
    <w:rsid w:val="30D937F8"/>
    <w:rsid w:val="30DF67EA"/>
    <w:rsid w:val="30E02306"/>
    <w:rsid w:val="30E06C46"/>
    <w:rsid w:val="30F87F62"/>
    <w:rsid w:val="30FB0757"/>
    <w:rsid w:val="30FB79CF"/>
    <w:rsid w:val="30FE295F"/>
    <w:rsid w:val="31070655"/>
    <w:rsid w:val="310B6367"/>
    <w:rsid w:val="3114202C"/>
    <w:rsid w:val="312249D0"/>
    <w:rsid w:val="31264419"/>
    <w:rsid w:val="31295CB7"/>
    <w:rsid w:val="312A2724"/>
    <w:rsid w:val="312F6D42"/>
    <w:rsid w:val="3136638A"/>
    <w:rsid w:val="313E5C07"/>
    <w:rsid w:val="31505547"/>
    <w:rsid w:val="31506ACE"/>
    <w:rsid w:val="31533344"/>
    <w:rsid w:val="31626AF7"/>
    <w:rsid w:val="316B4522"/>
    <w:rsid w:val="31712CAC"/>
    <w:rsid w:val="317401C5"/>
    <w:rsid w:val="31741628"/>
    <w:rsid w:val="31832FA6"/>
    <w:rsid w:val="318409CB"/>
    <w:rsid w:val="318D4356"/>
    <w:rsid w:val="31903F88"/>
    <w:rsid w:val="319121DA"/>
    <w:rsid w:val="31914597"/>
    <w:rsid w:val="31AA0580"/>
    <w:rsid w:val="31AF0DDB"/>
    <w:rsid w:val="31CF2AA7"/>
    <w:rsid w:val="31D91F61"/>
    <w:rsid w:val="31DD5420"/>
    <w:rsid w:val="31E117A9"/>
    <w:rsid w:val="31E367AE"/>
    <w:rsid w:val="31F162D0"/>
    <w:rsid w:val="31F34AFF"/>
    <w:rsid w:val="31F61FC1"/>
    <w:rsid w:val="31F80989"/>
    <w:rsid w:val="31FD7870"/>
    <w:rsid w:val="31FF6116"/>
    <w:rsid w:val="320003DB"/>
    <w:rsid w:val="32045ABD"/>
    <w:rsid w:val="32067CCD"/>
    <w:rsid w:val="32094F70"/>
    <w:rsid w:val="320C360F"/>
    <w:rsid w:val="320F63B0"/>
    <w:rsid w:val="320F75A3"/>
    <w:rsid w:val="32124B6A"/>
    <w:rsid w:val="32211625"/>
    <w:rsid w:val="32231A2F"/>
    <w:rsid w:val="323E5B9E"/>
    <w:rsid w:val="324803BF"/>
    <w:rsid w:val="32496611"/>
    <w:rsid w:val="3254737C"/>
    <w:rsid w:val="325A00D3"/>
    <w:rsid w:val="325E4D95"/>
    <w:rsid w:val="32781B1A"/>
    <w:rsid w:val="327E38FF"/>
    <w:rsid w:val="32823CFD"/>
    <w:rsid w:val="32852D31"/>
    <w:rsid w:val="328714F9"/>
    <w:rsid w:val="328A09D8"/>
    <w:rsid w:val="328E04C8"/>
    <w:rsid w:val="328F0E78"/>
    <w:rsid w:val="3296737C"/>
    <w:rsid w:val="32981347"/>
    <w:rsid w:val="32990C99"/>
    <w:rsid w:val="329A50BF"/>
    <w:rsid w:val="329F36E9"/>
    <w:rsid w:val="32A01FA9"/>
    <w:rsid w:val="32A63A63"/>
    <w:rsid w:val="32B02312"/>
    <w:rsid w:val="32B334A9"/>
    <w:rsid w:val="32B531E7"/>
    <w:rsid w:val="32D210D5"/>
    <w:rsid w:val="32D63637"/>
    <w:rsid w:val="32E4633A"/>
    <w:rsid w:val="32F00761"/>
    <w:rsid w:val="33070D20"/>
    <w:rsid w:val="33096785"/>
    <w:rsid w:val="330A65CF"/>
    <w:rsid w:val="331817B5"/>
    <w:rsid w:val="331D184C"/>
    <w:rsid w:val="33310A59"/>
    <w:rsid w:val="33332C90"/>
    <w:rsid w:val="33380434"/>
    <w:rsid w:val="33460DA3"/>
    <w:rsid w:val="334F40FB"/>
    <w:rsid w:val="335356E2"/>
    <w:rsid w:val="33550147"/>
    <w:rsid w:val="33590AD6"/>
    <w:rsid w:val="335A5881"/>
    <w:rsid w:val="335B756D"/>
    <w:rsid w:val="3361798A"/>
    <w:rsid w:val="33687B5B"/>
    <w:rsid w:val="3369683F"/>
    <w:rsid w:val="33705886"/>
    <w:rsid w:val="337405C1"/>
    <w:rsid w:val="33812BDB"/>
    <w:rsid w:val="338C5166"/>
    <w:rsid w:val="338D3BB2"/>
    <w:rsid w:val="338F55A8"/>
    <w:rsid w:val="33930C04"/>
    <w:rsid w:val="33975061"/>
    <w:rsid w:val="33997107"/>
    <w:rsid w:val="339A687B"/>
    <w:rsid w:val="339A6D9C"/>
    <w:rsid w:val="339C1E55"/>
    <w:rsid w:val="339C6C14"/>
    <w:rsid w:val="33A44635"/>
    <w:rsid w:val="33AE0223"/>
    <w:rsid w:val="33BA709B"/>
    <w:rsid w:val="33C0289B"/>
    <w:rsid w:val="33CE75DD"/>
    <w:rsid w:val="33CF2B46"/>
    <w:rsid w:val="33D068BE"/>
    <w:rsid w:val="33D307EF"/>
    <w:rsid w:val="33D75E9F"/>
    <w:rsid w:val="33F14D68"/>
    <w:rsid w:val="33FB4C99"/>
    <w:rsid w:val="33FC3171"/>
    <w:rsid w:val="34006B03"/>
    <w:rsid w:val="340F42A1"/>
    <w:rsid w:val="342033A2"/>
    <w:rsid w:val="342E1B32"/>
    <w:rsid w:val="342F6967"/>
    <w:rsid w:val="343118B6"/>
    <w:rsid w:val="34360E17"/>
    <w:rsid w:val="343B642D"/>
    <w:rsid w:val="344237D7"/>
    <w:rsid w:val="344E10CE"/>
    <w:rsid w:val="345346F9"/>
    <w:rsid w:val="3457017F"/>
    <w:rsid w:val="345831E6"/>
    <w:rsid w:val="34591F09"/>
    <w:rsid w:val="345D52B3"/>
    <w:rsid w:val="34607E7E"/>
    <w:rsid w:val="347B0F20"/>
    <w:rsid w:val="347B2A5F"/>
    <w:rsid w:val="347D20BB"/>
    <w:rsid w:val="348C3D57"/>
    <w:rsid w:val="349F4C0E"/>
    <w:rsid w:val="34AA5361"/>
    <w:rsid w:val="34AD7EA2"/>
    <w:rsid w:val="34B65AB4"/>
    <w:rsid w:val="34BD356D"/>
    <w:rsid w:val="34BD5BAE"/>
    <w:rsid w:val="34CB4D7B"/>
    <w:rsid w:val="34CB5A03"/>
    <w:rsid w:val="34D4009E"/>
    <w:rsid w:val="34DA6493"/>
    <w:rsid w:val="34F11CC9"/>
    <w:rsid w:val="35004DDD"/>
    <w:rsid w:val="350C3266"/>
    <w:rsid w:val="350E769E"/>
    <w:rsid w:val="3513391B"/>
    <w:rsid w:val="35196A61"/>
    <w:rsid w:val="35236EAC"/>
    <w:rsid w:val="35245113"/>
    <w:rsid w:val="352944D8"/>
    <w:rsid w:val="3530056A"/>
    <w:rsid w:val="35325A82"/>
    <w:rsid w:val="35380BBF"/>
    <w:rsid w:val="353A73E0"/>
    <w:rsid w:val="353B041A"/>
    <w:rsid w:val="353E271C"/>
    <w:rsid w:val="353F360F"/>
    <w:rsid w:val="354111EE"/>
    <w:rsid w:val="355072A3"/>
    <w:rsid w:val="35561179"/>
    <w:rsid w:val="3558285B"/>
    <w:rsid w:val="355C0039"/>
    <w:rsid w:val="355C2AFF"/>
    <w:rsid w:val="355E5C87"/>
    <w:rsid w:val="35634A50"/>
    <w:rsid w:val="35673FA4"/>
    <w:rsid w:val="35686E4D"/>
    <w:rsid w:val="356B105B"/>
    <w:rsid w:val="356B276A"/>
    <w:rsid w:val="357C30C5"/>
    <w:rsid w:val="357C5329"/>
    <w:rsid w:val="3588593F"/>
    <w:rsid w:val="35887003"/>
    <w:rsid w:val="358A766C"/>
    <w:rsid w:val="359557C6"/>
    <w:rsid w:val="35A157B0"/>
    <w:rsid w:val="35A37FDB"/>
    <w:rsid w:val="35A61FCC"/>
    <w:rsid w:val="35AF5CF0"/>
    <w:rsid w:val="35B2271F"/>
    <w:rsid w:val="35B879B7"/>
    <w:rsid w:val="35BE6F9D"/>
    <w:rsid w:val="35C32A55"/>
    <w:rsid w:val="35D27D3E"/>
    <w:rsid w:val="35DE286E"/>
    <w:rsid w:val="35E129A9"/>
    <w:rsid w:val="35E14DB3"/>
    <w:rsid w:val="35E62361"/>
    <w:rsid w:val="35EF533C"/>
    <w:rsid w:val="35F83418"/>
    <w:rsid w:val="361E1B63"/>
    <w:rsid w:val="36302B76"/>
    <w:rsid w:val="36346E91"/>
    <w:rsid w:val="36391D81"/>
    <w:rsid w:val="363C4985"/>
    <w:rsid w:val="363C648D"/>
    <w:rsid w:val="364534C3"/>
    <w:rsid w:val="36472BEB"/>
    <w:rsid w:val="36517272"/>
    <w:rsid w:val="36525B04"/>
    <w:rsid w:val="36581519"/>
    <w:rsid w:val="365E0D9E"/>
    <w:rsid w:val="366D6646"/>
    <w:rsid w:val="367517BB"/>
    <w:rsid w:val="368A529C"/>
    <w:rsid w:val="368B78F1"/>
    <w:rsid w:val="368C0F6F"/>
    <w:rsid w:val="3698148D"/>
    <w:rsid w:val="36985DB9"/>
    <w:rsid w:val="36986377"/>
    <w:rsid w:val="36AA39B8"/>
    <w:rsid w:val="36AB433D"/>
    <w:rsid w:val="36AE76C3"/>
    <w:rsid w:val="36B349A1"/>
    <w:rsid w:val="36BC5DCD"/>
    <w:rsid w:val="36CC5A63"/>
    <w:rsid w:val="36D230CA"/>
    <w:rsid w:val="36D60343"/>
    <w:rsid w:val="36DF677A"/>
    <w:rsid w:val="36E12ED1"/>
    <w:rsid w:val="36E27AE8"/>
    <w:rsid w:val="36E6780C"/>
    <w:rsid w:val="36F32FEF"/>
    <w:rsid w:val="371069DA"/>
    <w:rsid w:val="3715770A"/>
    <w:rsid w:val="37284F6C"/>
    <w:rsid w:val="372C6501"/>
    <w:rsid w:val="374934C6"/>
    <w:rsid w:val="374E6478"/>
    <w:rsid w:val="37606BBA"/>
    <w:rsid w:val="37613B3D"/>
    <w:rsid w:val="37623CD1"/>
    <w:rsid w:val="37635EED"/>
    <w:rsid w:val="37661ECC"/>
    <w:rsid w:val="37673189"/>
    <w:rsid w:val="376D5B2B"/>
    <w:rsid w:val="376F753B"/>
    <w:rsid w:val="37761EFB"/>
    <w:rsid w:val="37774F0E"/>
    <w:rsid w:val="37783580"/>
    <w:rsid w:val="37785C3B"/>
    <w:rsid w:val="37840664"/>
    <w:rsid w:val="3785779C"/>
    <w:rsid w:val="37883ECF"/>
    <w:rsid w:val="37912EB7"/>
    <w:rsid w:val="379B110E"/>
    <w:rsid w:val="37B07204"/>
    <w:rsid w:val="37B26974"/>
    <w:rsid w:val="37B46BF1"/>
    <w:rsid w:val="37B5307D"/>
    <w:rsid w:val="37B81B43"/>
    <w:rsid w:val="37BB5482"/>
    <w:rsid w:val="37BE2D84"/>
    <w:rsid w:val="37CA3EDB"/>
    <w:rsid w:val="37CB6AAC"/>
    <w:rsid w:val="37CD3411"/>
    <w:rsid w:val="37CE392A"/>
    <w:rsid w:val="37D2215F"/>
    <w:rsid w:val="37DF5322"/>
    <w:rsid w:val="37EC6130"/>
    <w:rsid w:val="37FA1725"/>
    <w:rsid w:val="37FB060D"/>
    <w:rsid w:val="37FC516A"/>
    <w:rsid w:val="38074741"/>
    <w:rsid w:val="381C20D2"/>
    <w:rsid w:val="38207E14"/>
    <w:rsid w:val="382A376D"/>
    <w:rsid w:val="382E36E1"/>
    <w:rsid w:val="383968F5"/>
    <w:rsid w:val="384C640F"/>
    <w:rsid w:val="385555E4"/>
    <w:rsid w:val="385E065D"/>
    <w:rsid w:val="386368AE"/>
    <w:rsid w:val="386E44F6"/>
    <w:rsid w:val="387130ED"/>
    <w:rsid w:val="38725AAB"/>
    <w:rsid w:val="38741F0E"/>
    <w:rsid w:val="387E54E5"/>
    <w:rsid w:val="388109FB"/>
    <w:rsid w:val="38853712"/>
    <w:rsid w:val="388B0DDA"/>
    <w:rsid w:val="38966D72"/>
    <w:rsid w:val="389B56ED"/>
    <w:rsid w:val="38AA01BD"/>
    <w:rsid w:val="38AF2F28"/>
    <w:rsid w:val="38AF73EA"/>
    <w:rsid w:val="38B81C83"/>
    <w:rsid w:val="38B927E7"/>
    <w:rsid w:val="38C13518"/>
    <w:rsid w:val="38C4237A"/>
    <w:rsid w:val="38CC3127"/>
    <w:rsid w:val="38D81226"/>
    <w:rsid w:val="38E10229"/>
    <w:rsid w:val="38E1756D"/>
    <w:rsid w:val="38E322D6"/>
    <w:rsid w:val="38E76B84"/>
    <w:rsid w:val="38F11062"/>
    <w:rsid w:val="38F80D91"/>
    <w:rsid w:val="38FA125D"/>
    <w:rsid w:val="38FD3CCF"/>
    <w:rsid w:val="390A4620"/>
    <w:rsid w:val="390C7982"/>
    <w:rsid w:val="391060DB"/>
    <w:rsid w:val="39155CC9"/>
    <w:rsid w:val="391A2AB5"/>
    <w:rsid w:val="392C6D9B"/>
    <w:rsid w:val="3930052B"/>
    <w:rsid w:val="393578EF"/>
    <w:rsid w:val="393755D6"/>
    <w:rsid w:val="39384FD2"/>
    <w:rsid w:val="39472CE8"/>
    <w:rsid w:val="39487A70"/>
    <w:rsid w:val="394A5EF4"/>
    <w:rsid w:val="394B7113"/>
    <w:rsid w:val="3952607C"/>
    <w:rsid w:val="39561D2C"/>
    <w:rsid w:val="39627FB8"/>
    <w:rsid w:val="39671A73"/>
    <w:rsid w:val="3973697B"/>
    <w:rsid w:val="39737051"/>
    <w:rsid w:val="39755F3E"/>
    <w:rsid w:val="39820DED"/>
    <w:rsid w:val="39847293"/>
    <w:rsid w:val="398A1ADC"/>
    <w:rsid w:val="398F6458"/>
    <w:rsid w:val="39A16D33"/>
    <w:rsid w:val="39A23EE4"/>
    <w:rsid w:val="39AE5709"/>
    <w:rsid w:val="39AE629E"/>
    <w:rsid w:val="39AE6463"/>
    <w:rsid w:val="39B90520"/>
    <w:rsid w:val="39BE3ABD"/>
    <w:rsid w:val="39D220C0"/>
    <w:rsid w:val="39E906DA"/>
    <w:rsid w:val="39EB6200"/>
    <w:rsid w:val="3A0067B6"/>
    <w:rsid w:val="3A0A215A"/>
    <w:rsid w:val="3A1135BA"/>
    <w:rsid w:val="3A1221C5"/>
    <w:rsid w:val="3A1840A9"/>
    <w:rsid w:val="3A2D5BC5"/>
    <w:rsid w:val="3A356A47"/>
    <w:rsid w:val="3A3A2CE3"/>
    <w:rsid w:val="3A3E7A83"/>
    <w:rsid w:val="3A4243F4"/>
    <w:rsid w:val="3A4D2A17"/>
    <w:rsid w:val="3A4E0C27"/>
    <w:rsid w:val="3A5D4B61"/>
    <w:rsid w:val="3A6D2DE3"/>
    <w:rsid w:val="3A6F5093"/>
    <w:rsid w:val="3A727012"/>
    <w:rsid w:val="3A756F92"/>
    <w:rsid w:val="3A78307D"/>
    <w:rsid w:val="3A7C2D4E"/>
    <w:rsid w:val="3A89770A"/>
    <w:rsid w:val="3A922B1F"/>
    <w:rsid w:val="3A953A05"/>
    <w:rsid w:val="3AA274AE"/>
    <w:rsid w:val="3AA75A12"/>
    <w:rsid w:val="3AAF3668"/>
    <w:rsid w:val="3AB10C61"/>
    <w:rsid w:val="3ABB2CAA"/>
    <w:rsid w:val="3AC06644"/>
    <w:rsid w:val="3AC23BAE"/>
    <w:rsid w:val="3ACD54C4"/>
    <w:rsid w:val="3ACE0108"/>
    <w:rsid w:val="3ACE216B"/>
    <w:rsid w:val="3ACF5B21"/>
    <w:rsid w:val="3AD90663"/>
    <w:rsid w:val="3ADD52D8"/>
    <w:rsid w:val="3AED1748"/>
    <w:rsid w:val="3AEF1D20"/>
    <w:rsid w:val="3B025502"/>
    <w:rsid w:val="3B0D4800"/>
    <w:rsid w:val="3B177353"/>
    <w:rsid w:val="3B1E51EE"/>
    <w:rsid w:val="3B20637D"/>
    <w:rsid w:val="3B245E6D"/>
    <w:rsid w:val="3B292D1E"/>
    <w:rsid w:val="3B293484"/>
    <w:rsid w:val="3B2B37FB"/>
    <w:rsid w:val="3B361D44"/>
    <w:rsid w:val="3B373C69"/>
    <w:rsid w:val="3B385082"/>
    <w:rsid w:val="3B48454E"/>
    <w:rsid w:val="3B495D61"/>
    <w:rsid w:val="3B497682"/>
    <w:rsid w:val="3B5A363D"/>
    <w:rsid w:val="3B5D1B2D"/>
    <w:rsid w:val="3B677938"/>
    <w:rsid w:val="3B6B5D0F"/>
    <w:rsid w:val="3B6E6127"/>
    <w:rsid w:val="3B732951"/>
    <w:rsid w:val="3B7641EF"/>
    <w:rsid w:val="3B7710CA"/>
    <w:rsid w:val="3B83167D"/>
    <w:rsid w:val="3B83694E"/>
    <w:rsid w:val="3B8763FC"/>
    <w:rsid w:val="3BA378B6"/>
    <w:rsid w:val="3BAA5C47"/>
    <w:rsid w:val="3BAC56EF"/>
    <w:rsid w:val="3BAF4CF1"/>
    <w:rsid w:val="3BB014AF"/>
    <w:rsid w:val="3BB05953"/>
    <w:rsid w:val="3BBA2067"/>
    <w:rsid w:val="3BBF7944"/>
    <w:rsid w:val="3BC7346B"/>
    <w:rsid w:val="3BC82BB4"/>
    <w:rsid w:val="3BD05797"/>
    <w:rsid w:val="3BD85463"/>
    <w:rsid w:val="3BE02D55"/>
    <w:rsid w:val="3BE25B1E"/>
    <w:rsid w:val="3BE51D20"/>
    <w:rsid w:val="3BE9578E"/>
    <w:rsid w:val="3BFE66BE"/>
    <w:rsid w:val="3C007580"/>
    <w:rsid w:val="3C017196"/>
    <w:rsid w:val="3C095063"/>
    <w:rsid w:val="3C0F0211"/>
    <w:rsid w:val="3C17603A"/>
    <w:rsid w:val="3C1C08F2"/>
    <w:rsid w:val="3C21415B"/>
    <w:rsid w:val="3C2974B3"/>
    <w:rsid w:val="3C480A39"/>
    <w:rsid w:val="3C4A79F5"/>
    <w:rsid w:val="3C552056"/>
    <w:rsid w:val="3C5B695A"/>
    <w:rsid w:val="3C5B725E"/>
    <w:rsid w:val="3C5E0F0B"/>
    <w:rsid w:val="3C6961B5"/>
    <w:rsid w:val="3C7E7E4E"/>
    <w:rsid w:val="3C8D3E0D"/>
    <w:rsid w:val="3CA0136A"/>
    <w:rsid w:val="3CAC5F4A"/>
    <w:rsid w:val="3CAF396F"/>
    <w:rsid w:val="3CBC6F89"/>
    <w:rsid w:val="3CCE1C7D"/>
    <w:rsid w:val="3CD22C9C"/>
    <w:rsid w:val="3CD94A35"/>
    <w:rsid w:val="3CE27D8E"/>
    <w:rsid w:val="3CF7310E"/>
    <w:rsid w:val="3CFD1A00"/>
    <w:rsid w:val="3D0B7FB1"/>
    <w:rsid w:val="3D0E30D4"/>
    <w:rsid w:val="3D0F2205"/>
    <w:rsid w:val="3D136199"/>
    <w:rsid w:val="3D193084"/>
    <w:rsid w:val="3D1B245D"/>
    <w:rsid w:val="3D1C04A4"/>
    <w:rsid w:val="3D1E4723"/>
    <w:rsid w:val="3D206FF9"/>
    <w:rsid w:val="3D2E2080"/>
    <w:rsid w:val="3D3418BA"/>
    <w:rsid w:val="3D346F52"/>
    <w:rsid w:val="3D3E5B6F"/>
    <w:rsid w:val="3D436353"/>
    <w:rsid w:val="3D495FCD"/>
    <w:rsid w:val="3D4B7546"/>
    <w:rsid w:val="3D4E165D"/>
    <w:rsid w:val="3D4F070D"/>
    <w:rsid w:val="3D5B3034"/>
    <w:rsid w:val="3D5C3FB9"/>
    <w:rsid w:val="3D604DFD"/>
    <w:rsid w:val="3D684A0B"/>
    <w:rsid w:val="3D6F0EF6"/>
    <w:rsid w:val="3D7306A2"/>
    <w:rsid w:val="3D8A5D30"/>
    <w:rsid w:val="3D932E36"/>
    <w:rsid w:val="3D9C3FEF"/>
    <w:rsid w:val="3D9F7A2D"/>
    <w:rsid w:val="3DA03B61"/>
    <w:rsid w:val="3DA14683"/>
    <w:rsid w:val="3DAB63D2"/>
    <w:rsid w:val="3DB17760"/>
    <w:rsid w:val="3DB2326E"/>
    <w:rsid w:val="3DB70C25"/>
    <w:rsid w:val="3DBA485E"/>
    <w:rsid w:val="3DBB14DE"/>
    <w:rsid w:val="3DBB58ED"/>
    <w:rsid w:val="3DBC024A"/>
    <w:rsid w:val="3DCE3E6E"/>
    <w:rsid w:val="3DD33817"/>
    <w:rsid w:val="3DEF6470"/>
    <w:rsid w:val="3DF116B7"/>
    <w:rsid w:val="3DF16F23"/>
    <w:rsid w:val="3DFF3A68"/>
    <w:rsid w:val="3E0F7557"/>
    <w:rsid w:val="3E1A3399"/>
    <w:rsid w:val="3E201B59"/>
    <w:rsid w:val="3E2171FA"/>
    <w:rsid w:val="3E23702B"/>
    <w:rsid w:val="3E2972F7"/>
    <w:rsid w:val="3E3321C4"/>
    <w:rsid w:val="3E3A02BF"/>
    <w:rsid w:val="3E4576B9"/>
    <w:rsid w:val="3E492A9D"/>
    <w:rsid w:val="3E531BDD"/>
    <w:rsid w:val="3E5645B3"/>
    <w:rsid w:val="3E5829E9"/>
    <w:rsid w:val="3E646581"/>
    <w:rsid w:val="3E6A360B"/>
    <w:rsid w:val="3E6C5B08"/>
    <w:rsid w:val="3E7600DA"/>
    <w:rsid w:val="3E761888"/>
    <w:rsid w:val="3E78391C"/>
    <w:rsid w:val="3E7B660F"/>
    <w:rsid w:val="3E7BD1C6"/>
    <w:rsid w:val="3E912589"/>
    <w:rsid w:val="3E962A3C"/>
    <w:rsid w:val="3E9D2C8E"/>
    <w:rsid w:val="3EA451FF"/>
    <w:rsid w:val="3EA60E7C"/>
    <w:rsid w:val="3EAD7F28"/>
    <w:rsid w:val="3EB035E6"/>
    <w:rsid w:val="3EB32F2C"/>
    <w:rsid w:val="3EB412B6"/>
    <w:rsid w:val="3EC20000"/>
    <w:rsid w:val="3EC30B66"/>
    <w:rsid w:val="3EC7661E"/>
    <w:rsid w:val="3ECA1839"/>
    <w:rsid w:val="3ECC1CD1"/>
    <w:rsid w:val="3ECE40A2"/>
    <w:rsid w:val="3EDC0CD0"/>
    <w:rsid w:val="3EDE27D7"/>
    <w:rsid w:val="3EEB27FE"/>
    <w:rsid w:val="3EED5823"/>
    <w:rsid w:val="3EF142B8"/>
    <w:rsid w:val="3EF33FF2"/>
    <w:rsid w:val="3F0A537A"/>
    <w:rsid w:val="3F14769B"/>
    <w:rsid w:val="3F1D32FF"/>
    <w:rsid w:val="3F250F30"/>
    <w:rsid w:val="3F2C1487"/>
    <w:rsid w:val="3F2E2CC4"/>
    <w:rsid w:val="3F333BBF"/>
    <w:rsid w:val="3F3570C3"/>
    <w:rsid w:val="3F3603B6"/>
    <w:rsid w:val="3F370BCB"/>
    <w:rsid w:val="3F3F7AD5"/>
    <w:rsid w:val="3F4563B2"/>
    <w:rsid w:val="3F475F5B"/>
    <w:rsid w:val="3F4845F5"/>
    <w:rsid w:val="3F4A5777"/>
    <w:rsid w:val="3F4F484B"/>
    <w:rsid w:val="3F4F5483"/>
    <w:rsid w:val="3F5B3E28"/>
    <w:rsid w:val="3F64438F"/>
    <w:rsid w:val="3F6F78D3"/>
    <w:rsid w:val="3F853140"/>
    <w:rsid w:val="3F874C1D"/>
    <w:rsid w:val="3F8A66E7"/>
    <w:rsid w:val="3F984734"/>
    <w:rsid w:val="3F9875F9"/>
    <w:rsid w:val="3F9C5FD6"/>
    <w:rsid w:val="3F9D61EE"/>
    <w:rsid w:val="3FA23805"/>
    <w:rsid w:val="3FA4132B"/>
    <w:rsid w:val="3FA42F82"/>
    <w:rsid w:val="3FA4761E"/>
    <w:rsid w:val="3FA51AEF"/>
    <w:rsid w:val="3FA52EEE"/>
    <w:rsid w:val="3FAA4467"/>
    <w:rsid w:val="3FAB6D01"/>
    <w:rsid w:val="3FCE7FB1"/>
    <w:rsid w:val="3FD0154B"/>
    <w:rsid w:val="3FD57FEB"/>
    <w:rsid w:val="3FDE1710"/>
    <w:rsid w:val="3FE171DB"/>
    <w:rsid w:val="3FE43E1D"/>
    <w:rsid w:val="3FEC4A80"/>
    <w:rsid w:val="3FEF1D74"/>
    <w:rsid w:val="3FF057F2"/>
    <w:rsid w:val="3FF63799"/>
    <w:rsid w:val="3FFE58BD"/>
    <w:rsid w:val="40066C16"/>
    <w:rsid w:val="40097685"/>
    <w:rsid w:val="401364B0"/>
    <w:rsid w:val="40175864"/>
    <w:rsid w:val="401D5B4E"/>
    <w:rsid w:val="4037567F"/>
    <w:rsid w:val="40385F17"/>
    <w:rsid w:val="403E1BEF"/>
    <w:rsid w:val="404C3770"/>
    <w:rsid w:val="40621142"/>
    <w:rsid w:val="406A3E50"/>
    <w:rsid w:val="408760CC"/>
    <w:rsid w:val="408F1B0A"/>
    <w:rsid w:val="40957F84"/>
    <w:rsid w:val="409D5D7A"/>
    <w:rsid w:val="40A60302"/>
    <w:rsid w:val="40AF6822"/>
    <w:rsid w:val="40BD2D00"/>
    <w:rsid w:val="40C770F8"/>
    <w:rsid w:val="40CB5A21"/>
    <w:rsid w:val="40D46A6C"/>
    <w:rsid w:val="40D64B0A"/>
    <w:rsid w:val="40E92683"/>
    <w:rsid w:val="40ED0AAF"/>
    <w:rsid w:val="40EE5171"/>
    <w:rsid w:val="40F2733A"/>
    <w:rsid w:val="40F30ECD"/>
    <w:rsid w:val="40F3367B"/>
    <w:rsid w:val="41036525"/>
    <w:rsid w:val="41091CFF"/>
    <w:rsid w:val="411419E3"/>
    <w:rsid w:val="411E510D"/>
    <w:rsid w:val="412070D7"/>
    <w:rsid w:val="41233D36"/>
    <w:rsid w:val="412D2400"/>
    <w:rsid w:val="412D2FF7"/>
    <w:rsid w:val="41346158"/>
    <w:rsid w:val="41363CB9"/>
    <w:rsid w:val="41391F47"/>
    <w:rsid w:val="413D33EF"/>
    <w:rsid w:val="414B08D8"/>
    <w:rsid w:val="414D154E"/>
    <w:rsid w:val="41607C22"/>
    <w:rsid w:val="41613BF1"/>
    <w:rsid w:val="41654AEA"/>
    <w:rsid w:val="416A56A6"/>
    <w:rsid w:val="416E7E42"/>
    <w:rsid w:val="41775519"/>
    <w:rsid w:val="41850217"/>
    <w:rsid w:val="41856F3A"/>
    <w:rsid w:val="41894625"/>
    <w:rsid w:val="41906AA3"/>
    <w:rsid w:val="41913ED7"/>
    <w:rsid w:val="419453CF"/>
    <w:rsid w:val="419C4EC8"/>
    <w:rsid w:val="41A06E27"/>
    <w:rsid w:val="41A745CF"/>
    <w:rsid w:val="41AD2FCF"/>
    <w:rsid w:val="41B11ADD"/>
    <w:rsid w:val="41B16C01"/>
    <w:rsid w:val="41B55959"/>
    <w:rsid w:val="41B60AB3"/>
    <w:rsid w:val="41BA799E"/>
    <w:rsid w:val="41C7766C"/>
    <w:rsid w:val="41C815FA"/>
    <w:rsid w:val="41DB2FFE"/>
    <w:rsid w:val="41DF121F"/>
    <w:rsid w:val="41E3601D"/>
    <w:rsid w:val="41E40104"/>
    <w:rsid w:val="41E603CA"/>
    <w:rsid w:val="41F71692"/>
    <w:rsid w:val="41FF2584"/>
    <w:rsid w:val="42030521"/>
    <w:rsid w:val="42051E29"/>
    <w:rsid w:val="4206612A"/>
    <w:rsid w:val="42083988"/>
    <w:rsid w:val="42167560"/>
    <w:rsid w:val="421B164C"/>
    <w:rsid w:val="421D7172"/>
    <w:rsid w:val="422420A8"/>
    <w:rsid w:val="42254279"/>
    <w:rsid w:val="42260A6F"/>
    <w:rsid w:val="422C63EE"/>
    <w:rsid w:val="423820EB"/>
    <w:rsid w:val="42416B41"/>
    <w:rsid w:val="42492E4D"/>
    <w:rsid w:val="424B51C7"/>
    <w:rsid w:val="425C5EED"/>
    <w:rsid w:val="425D2204"/>
    <w:rsid w:val="42786A9F"/>
    <w:rsid w:val="427E2307"/>
    <w:rsid w:val="428432CD"/>
    <w:rsid w:val="428A1FC5"/>
    <w:rsid w:val="428D4EA3"/>
    <w:rsid w:val="429C278D"/>
    <w:rsid w:val="42A81083"/>
    <w:rsid w:val="42A81132"/>
    <w:rsid w:val="42A95947"/>
    <w:rsid w:val="42AE59C8"/>
    <w:rsid w:val="42B41088"/>
    <w:rsid w:val="42B51C7D"/>
    <w:rsid w:val="42B9276B"/>
    <w:rsid w:val="42C26E30"/>
    <w:rsid w:val="42C5318D"/>
    <w:rsid w:val="42C655C7"/>
    <w:rsid w:val="42C65A5C"/>
    <w:rsid w:val="42D00689"/>
    <w:rsid w:val="42D52A11"/>
    <w:rsid w:val="42D62D94"/>
    <w:rsid w:val="42DC0DDB"/>
    <w:rsid w:val="42DD6902"/>
    <w:rsid w:val="42E06BC9"/>
    <w:rsid w:val="4312743F"/>
    <w:rsid w:val="431D49AD"/>
    <w:rsid w:val="43227DD1"/>
    <w:rsid w:val="432B39DC"/>
    <w:rsid w:val="432C269E"/>
    <w:rsid w:val="43394480"/>
    <w:rsid w:val="433B45BA"/>
    <w:rsid w:val="433D6B12"/>
    <w:rsid w:val="43452E25"/>
    <w:rsid w:val="43486FC5"/>
    <w:rsid w:val="43497102"/>
    <w:rsid w:val="434A33BB"/>
    <w:rsid w:val="43655275"/>
    <w:rsid w:val="436807F7"/>
    <w:rsid w:val="43686B13"/>
    <w:rsid w:val="436B1094"/>
    <w:rsid w:val="437454B8"/>
    <w:rsid w:val="43B87C02"/>
    <w:rsid w:val="43C811E7"/>
    <w:rsid w:val="43E508A5"/>
    <w:rsid w:val="43E63B73"/>
    <w:rsid w:val="43E73EDC"/>
    <w:rsid w:val="43E8166A"/>
    <w:rsid w:val="43EE12FB"/>
    <w:rsid w:val="43FB71BF"/>
    <w:rsid w:val="44060F86"/>
    <w:rsid w:val="441179F3"/>
    <w:rsid w:val="44213949"/>
    <w:rsid w:val="442376E0"/>
    <w:rsid w:val="442858E1"/>
    <w:rsid w:val="442C5D93"/>
    <w:rsid w:val="442D1D69"/>
    <w:rsid w:val="44462500"/>
    <w:rsid w:val="444D68CD"/>
    <w:rsid w:val="44564BBE"/>
    <w:rsid w:val="44607519"/>
    <w:rsid w:val="44614003"/>
    <w:rsid w:val="446403A0"/>
    <w:rsid w:val="44663053"/>
    <w:rsid w:val="4468384C"/>
    <w:rsid w:val="446A6A62"/>
    <w:rsid w:val="446B0669"/>
    <w:rsid w:val="448E07FB"/>
    <w:rsid w:val="4499028E"/>
    <w:rsid w:val="449A0F4E"/>
    <w:rsid w:val="449F0313"/>
    <w:rsid w:val="44AE45D2"/>
    <w:rsid w:val="44AF7660"/>
    <w:rsid w:val="44B41139"/>
    <w:rsid w:val="44B65148"/>
    <w:rsid w:val="44B92F58"/>
    <w:rsid w:val="44BC3004"/>
    <w:rsid w:val="44BD5813"/>
    <w:rsid w:val="44C267FC"/>
    <w:rsid w:val="44D07152"/>
    <w:rsid w:val="44D94F0A"/>
    <w:rsid w:val="44F07668"/>
    <w:rsid w:val="44F313EA"/>
    <w:rsid w:val="45005731"/>
    <w:rsid w:val="450C2F4F"/>
    <w:rsid w:val="45154B66"/>
    <w:rsid w:val="4516350E"/>
    <w:rsid w:val="45165FA1"/>
    <w:rsid w:val="45184013"/>
    <w:rsid w:val="45190F2D"/>
    <w:rsid w:val="4519611C"/>
    <w:rsid w:val="451A1466"/>
    <w:rsid w:val="451A7D74"/>
    <w:rsid w:val="451F02B5"/>
    <w:rsid w:val="4529452C"/>
    <w:rsid w:val="452A1AEE"/>
    <w:rsid w:val="452C56B4"/>
    <w:rsid w:val="452D3C06"/>
    <w:rsid w:val="453D18DC"/>
    <w:rsid w:val="45442192"/>
    <w:rsid w:val="45442347"/>
    <w:rsid w:val="45455877"/>
    <w:rsid w:val="4550160D"/>
    <w:rsid w:val="45506594"/>
    <w:rsid w:val="45524B24"/>
    <w:rsid w:val="45530776"/>
    <w:rsid w:val="45537DEC"/>
    <w:rsid w:val="45595B61"/>
    <w:rsid w:val="45673E1E"/>
    <w:rsid w:val="45715413"/>
    <w:rsid w:val="45846985"/>
    <w:rsid w:val="45863281"/>
    <w:rsid w:val="458F47EA"/>
    <w:rsid w:val="4591651B"/>
    <w:rsid w:val="459C2AA4"/>
    <w:rsid w:val="45A73292"/>
    <w:rsid w:val="45A75D52"/>
    <w:rsid w:val="45BB1987"/>
    <w:rsid w:val="45C66684"/>
    <w:rsid w:val="45CC13AB"/>
    <w:rsid w:val="45D60869"/>
    <w:rsid w:val="45D873C2"/>
    <w:rsid w:val="45E4394D"/>
    <w:rsid w:val="45E603B3"/>
    <w:rsid w:val="45E66A2A"/>
    <w:rsid w:val="45EE32F2"/>
    <w:rsid w:val="45F14D0F"/>
    <w:rsid w:val="45F7016E"/>
    <w:rsid w:val="45F94ECC"/>
    <w:rsid w:val="45FC3C16"/>
    <w:rsid w:val="45FE2C86"/>
    <w:rsid w:val="460074D7"/>
    <w:rsid w:val="46073349"/>
    <w:rsid w:val="46127187"/>
    <w:rsid w:val="461A30ED"/>
    <w:rsid w:val="461D429A"/>
    <w:rsid w:val="461D7CE9"/>
    <w:rsid w:val="462036D5"/>
    <w:rsid w:val="4622569C"/>
    <w:rsid w:val="46226C7C"/>
    <w:rsid w:val="4624633C"/>
    <w:rsid w:val="462F3C82"/>
    <w:rsid w:val="463F0389"/>
    <w:rsid w:val="464E1FF0"/>
    <w:rsid w:val="465447C0"/>
    <w:rsid w:val="46584C1D"/>
    <w:rsid w:val="466435C2"/>
    <w:rsid w:val="4665733A"/>
    <w:rsid w:val="46673FDC"/>
    <w:rsid w:val="46687A77"/>
    <w:rsid w:val="466940FA"/>
    <w:rsid w:val="467001B9"/>
    <w:rsid w:val="467D28D5"/>
    <w:rsid w:val="467D352A"/>
    <w:rsid w:val="467E4117"/>
    <w:rsid w:val="468123C6"/>
    <w:rsid w:val="46917D44"/>
    <w:rsid w:val="46936EA4"/>
    <w:rsid w:val="46965745"/>
    <w:rsid w:val="46A04C6D"/>
    <w:rsid w:val="46A42343"/>
    <w:rsid w:val="46B876E2"/>
    <w:rsid w:val="46C04C97"/>
    <w:rsid w:val="46CD624D"/>
    <w:rsid w:val="46D110ED"/>
    <w:rsid w:val="46DE2AC4"/>
    <w:rsid w:val="46E22EBF"/>
    <w:rsid w:val="46E3235D"/>
    <w:rsid w:val="46E40790"/>
    <w:rsid w:val="46E44703"/>
    <w:rsid w:val="46E535CB"/>
    <w:rsid w:val="46EC3681"/>
    <w:rsid w:val="46F87D23"/>
    <w:rsid w:val="46FE3C10"/>
    <w:rsid w:val="470807F1"/>
    <w:rsid w:val="470C60AC"/>
    <w:rsid w:val="47152B0E"/>
    <w:rsid w:val="471A1ED2"/>
    <w:rsid w:val="471F2BF8"/>
    <w:rsid w:val="473E02B7"/>
    <w:rsid w:val="474A3ED8"/>
    <w:rsid w:val="474C7708"/>
    <w:rsid w:val="474D764E"/>
    <w:rsid w:val="4775307B"/>
    <w:rsid w:val="477F0FEB"/>
    <w:rsid w:val="477F6C5D"/>
    <w:rsid w:val="478240A5"/>
    <w:rsid w:val="478A6475"/>
    <w:rsid w:val="478A71EC"/>
    <w:rsid w:val="478F50C2"/>
    <w:rsid w:val="479254A7"/>
    <w:rsid w:val="47990732"/>
    <w:rsid w:val="479A72AE"/>
    <w:rsid w:val="47BD2EE4"/>
    <w:rsid w:val="47BF45D4"/>
    <w:rsid w:val="47DC1534"/>
    <w:rsid w:val="47E25936"/>
    <w:rsid w:val="47E756FB"/>
    <w:rsid w:val="480111B7"/>
    <w:rsid w:val="48074F23"/>
    <w:rsid w:val="4807737A"/>
    <w:rsid w:val="48205C0E"/>
    <w:rsid w:val="48296208"/>
    <w:rsid w:val="4832149E"/>
    <w:rsid w:val="48390072"/>
    <w:rsid w:val="484713ED"/>
    <w:rsid w:val="484826D2"/>
    <w:rsid w:val="484F7869"/>
    <w:rsid w:val="485E088D"/>
    <w:rsid w:val="48641F98"/>
    <w:rsid w:val="48650FAE"/>
    <w:rsid w:val="48651873"/>
    <w:rsid w:val="48660279"/>
    <w:rsid w:val="486B30FE"/>
    <w:rsid w:val="486C2C02"/>
    <w:rsid w:val="486C4563"/>
    <w:rsid w:val="48711FC6"/>
    <w:rsid w:val="487A3570"/>
    <w:rsid w:val="487E4AE0"/>
    <w:rsid w:val="488E2B78"/>
    <w:rsid w:val="48911F9D"/>
    <w:rsid w:val="48A01CB2"/>
    <w:rsid w:val="48A51C70"/>
    <w:rsid w:val="48B13348"/>
    <w:rsid w:val="48BC5937"/>
    <w:rsid w:val="48C055EE"/>
    <w:rsid w:val="48CC011E"/>
    <w:rsid w:val="48D10CB7"/>
    <w:rsid w:val="48D80297"/>
    <w:rsid w:val="48DB6098"/>
    <w:rsid w:val="48DC0E02"/>
    <w:rsid w:val="48E96000"/>
    <w:rsid w:val="48F93BB7"/>
    <w:rsid w:val="48FA645F"/>
    <w:rsid w:val="48FD6044"/>
    <w:rsid w:val="49036AD5"/>
    <w:rsid w:val="490E1F0B"/>
    <w:rsid w:val="490F7C8C"/>
    <w:rsid w:val="491F31AB"/>
    <w:rsid w:val="49217FAF"/>
    <w:rsid w:val="49283796"/>
    <w:rsid w:val="49285EBE"/>
    <w:rsid w:val="49287D05"/>
    <w:rsid w:val="49492F43"/>
    <w:rsid w:val="495D128C"/>
    <w:rsid w:val="495E5115"/>
    <w:rsid w:val="496038EF"/>
    <w:rsid w:val="49631579"/>
    <w:rsid w:val="496B398E"/>
    <w:rsid w:val="49795470"/>
    <w:rsid w:val="4981092F"/>
    <w:rsid w:val="49820DC2"/>
    <w:rsid w:val="49823EC1"/>
    <w:rsid w:val="4997099A"/>
    <w:rsid w:val="499732C1"/>
    <w:rsid w:val="4998062F"/>
    <w:rsid w:val="499A60EA"/>
    <w:rsid w:val="499B4A9F"/>
    <w:rsid w:val="499C7ED1"/>
    <w:rsid w:val="49A2349F"/>
    <w:rsid w:val="49AE42D7"/>
    <w:rsid w:val="49AE4D9E"/>
    <w:rsid w:val="49B10171"/>
    <w:rsid w:val="49B82895"/>
    <w:rsid w:val="49BE0964"/>
    <w:rsid w:val="49C33FF5"/>
    <w:rsid w:val="49D82A39"/>
    <w:rsid w:val="49D91E86"/>
    <w:rsid w:val="49E11E95"/>
    <w:rsid w:val="49E1723F"/>
    <w:rsid w:val="49E50EBD"/>
    <w:rsid w:val="49EB2E3E"/>
    <w:rsid w:val="49EE4458"/>
    <w:rsid w:val="49EE4998"/>
    <w:rsid w:val="49FC1D3A"/>
    <w:rsid w:val="4A05293F"/>
    <w:rsid w:val="4A1430FB"/>
    <w:rsid w:val="4A174DEF"/>
    <w:rsid w:val="4A1C0855"/>
    <w:rsid w:val="4A2A7221"/>
    <w:rsid w:val="4A2F399F"/>
    <w:rsid w:val="4A314D53"/>
    <w:rsid w:val="4A4060F4"/>
    <w:rsid w:val="4A4861AE"/>
    <w:rsid w:val="4A4A7727"/>
    <w:rsid w:val="4A5358A9"/>
    <w:rsid w:val="4A595A98"/>
    <w:rsid w:val="4A5D7DF8"/>
    <w:rsid w:val="4A643210"/>
    <w:rsid w:val="4A6B78A3"/>
    <w:rsid w:val="4A6F415E"/>
    <w:rsid w:val="4A71615B"/>
    <w:rsid w:val="4A721CE3"/>
    <w:rsid w:val="4A7B712C"/>
    <w:rsid w:val="4A8658D0"/>
    <w:rsid w:val="4A985F30"/>
    <w:rsid w:val="4A99572F"/>
    <w:rsid w:val="4AA04DE4"/>
    <w:rsid w:val="4AA30431"/>
    <w:rsid w:val="4AA96652"/>
    <w:rsid w:val="4AB40D35"/>
    <w:rsid w:val="4AB80D3C"/>
    <w:rsid w:val="4AC02575"/>
    <w:rsid w:val="4ACE01A4"/>
    <w:rsid w:val="4AE051E1"/>
    <w:rsid w:val="4AE25454"/>
    <w:rsid w:val="4AE660EE"/>
    <w:rsid w:val="4AEC5995"/>
    <w:rsid w:val="4AEE566B"/>
    <w:rsid w:val="4AFD2237"/>
    <w:rsid w:val="4B0D6507"/>
    <w:rsid w:val="4B1C1902"/>
    <w:rsid w:val="4B1F21AD"/>
    <w:rsid w:val="4B20798C"/>
    <w:rsid w:val="4B2B6DA4"/>
    <w:rsid w:val="4B2F7345"/>
    <w:rsid w:val="4B320132"/>
    <w:rsid w:val="4B3A53D0"/>
    <w:rsid w:val="4B3D6954"/>
    <w:rsid w:val="4B4022CA"/>
    <w:rsid w:val="4B414450"/>
    <w:rsid w:val="4B4721D4"/>
    <w:rsid w:val="4B540568"/>
    <w:rsid w:val="4B674969"/>
    <w:rsid w:val="4B720D9C"/>
    <w:rsid w:val="4B7A4995"/>
    <w:rsid w:val="4B817C8A"/>
    <w:rsid w:val="4B880D25"/>
    <w:rsid w:val="4B887218"/>
    <w:rsid w:val="4B893ACB"/>
    <w:rsid w:val="4B8F23D3"/>
    <w:rsid w:val="4B9430EC"/>
    <w:rsid w:val="4B9A352F"/>
    <w:rsid w:val="4B9E23D3"/>
    <w:rsid w:val="4BC0573E"/>
    <w:rsid w:val="4BC61AE0"/>
    <w:rsid w:val="4BC714B0"/>
    <w:rsid w:val="4BDE6536"/>
    <w:rsid w:val="4BEF7E7E"/>
    <w:rsid w:val="4BF161A7"/>
    <w:rsid w:val="4BFC0B43"/>
    <w:rsid w:val="4C080E93"/>
    <w:rsid w:val="4C0849EF"/>
    <w:rsid w:val="4C0A1CAF"/>
    <w:rsid w:val="4C0D4686"/>
    <w:rsid w:val="4C0E3D0C"/>
    <w:rsid w:val="4C0E479B"/>
    <w:rsid w:val="4C0F6FA6"/>
    <w:rsid w:val="4C201785"/>
    <w:rsid w:val="4C252331"/>
    <w:rsid w:val="4C253F20"/>
    <w:rsid w:val="4C26098E"/>
    <w:rsid w:val="4C2D5C59"/>
    <w:rsid w:val="4C2F3108"/>
    <w:rsid w:val="4C3F7C92"/>
    <w:rsid w:val="4C417136"/>
    <w:rsid w:val="4C4210F4"/>
    <w:rsid w:val="4C4B0C8F"/>
    <w:rsid w:val="4C4C6FD2"/>
    <w:rsid w:val="4C554C45"/>
    <w:rsid w:val="4C566F45"/>
    <w:rsid w:val="4C5B29DC"/>
    <w:rsid w:val="4C63273B"/>
    <w:rsid w:val="4C6B00A8"/>
    <w:rsid w:val="4C6B1581"/>
    <w:rsid w:val="4C6F2CC0"/>
    <w:rsid w:val="4C6F3738"/>
    <w:rsid w:val="4C7D05F6"/>
    <w:rsid w:val="4C7D74B7"/>
    <w:rsid w:val="4C8229F4"/>
    <w:rsid w:val="4C856040"/>
    <w:rsid w:val="4C8C02A6"/>
    <w:rsid w:val="4C9E7102"/>
    <w:rsid w:val="4C9F13C2"/>
    <w:rsid w:val="4CA325C2"/>
    <w:rsid w:val="4CAA3CF8"/>
    <w:rsid w:val="4CB24DE4"/>
    <w:rsid w:val="4CB94878"/>
    <w:rsid w:val="4CD11005"/>
    <w:rsid w:val="4CDD69B4"/>
    <w:rsid w:val="4CE56E6E"/>
    <w:rsid w:val="4CE75B92"/>
    <w:rsid w:val="4CF04178"/>
    <w:rsid w:val="4CF55DDD"/>
    <w:rsid w:val="4D0103CA"/>
    <w:rsid w:val="4D027691"/>
    <w:rsid w:val="4D0D79B2"/>
    <w:rsid w:val="4D0D7D44"/>
    <w:rsid w:val="4D1F24E0"/>
    <w:rsid w:val="4D203016"/>
    <w:rsid w:val="4D2254A5"/>
    <w:rsid w:val="4D241CFD"/>
    <w:rsid w:val="4D2819E0"/>
    <w:rsid w:val="4D2C5FA1"/>
    <w:rsid w:val="4D371F6E"/>
    <w:rsid w:val="4D3C262E"/>
    <w:rsid w:val="4D474356"/>
    <w:rsid w:val="4D510618"/>
    <w:rsid w:val="4D5452C9"/>
    <w:rsid w:val="4D563F36"/>
    <w:rsid w:val="4D5A571F"/>
    <w:rsid w:val="4D866514"/>
    <w:rsid w:val="4D977DF3"/>
    <w:rsid w:val="4D990842"/>
    <w:rsid w:val="4D9E2719"/>
    <w:rsid w:val="4DA367B2"/>
    <w:rsid w:val="4DA67EC1"/>
    <w:rsid w:val="4DAB41CC"/>
    <w:rsid w:val="4DAD0D23"/>
    <w:rsid w:val="4DAE20A0"/>
    <w:rsid w:val="4DB00AA6"/>
    <w:rsid w:val="4DB12228"/>
    <w:rsid w:val="4DC3238B"/>
    <w:rsid w:val="4DC572DA"/>
    <w:rsid w:val="4DD76D6F"/>
    <w:rsid w:val="4DE1199C"/>
    <w:rsid w:val="4DE90CFC"/>
    <w:rsid w:val="4DE90EB2"/>
    <w:rsid w:val="4DED0341"/>
    <w:rsid w:val="4DF46A2A"/>
    <w:rsid w:val="4DFB2056"/>
    <w:rsid w:val="4E08517B"/>
    <w:rsid w:val="4E197388"/>
    <w:rsid w:val="4E1E109B"/>
    <w:rsid w:val="4E245E8C"/>
    <w:rsid w:val="4E2A50F1"/>
    <w:rsid w:val="4E2A548F"/>
    <w:rsid w:val="4E323FA5"/>
    <w:rsid w:val="4E361CE8"/>
    <w:rsid w:val="4E38388D"/>
    <w:rsid w:val="4E5D56B4"/>
    <w:rsid w:val="4E6370C4"/>
    <w:rsid w:val="4E683E6B"/>
    <w:rsid w:val="4E720529"/>
    <w:rsid w:val="4E857BB1"/>
    <w:rsid w:val="4E8755EB"/>
    <w:rsid w:val="4E881E17"/>
    <w:rsid w:val="4E966638"/>
    <w:rsid w:val="4E980DB4"/>
    <w:rsid w:val="4E9A3978"/>
    <w:rsid w:val="4EA15408"/>
    <w:rsid w:val="4EA330F5"/>
    <w:rsid w:val="4EA64116"/>
    <w:rsid w:val="4EBB5E8C"/>
    <w:rsid w:val="4EBD6925"/>
    <w:rsid w:val="4EC96DB7"/>
    <w:rsid w:val="4ECD418D"/>
    <w:rsid w:val="4ECE44E0"/>
    <w:rsid w:val="4ED10C0C"/>
    <w:rsid w:val="4ED33865"/>
    <w:rsid w:val="4ED908C5"/>
    <w:rsid w:val="4EE0126B"/>
    <w:rsid w:val="4EE7682A"/>
    <w:rsid w:val="4EE82DB0"/>
    <w:rsid w:val="4F010DB9"/>
    <w:rsid w:val="4F051F32"/>
    <w:rsid w:val="4F057E34"/>
    <w:rsid w:val="4F07324B"/>
    <w:rsid w:val="4F121540"/>
    <w:rsid w:val="4F23730B"/>
    <w:rsid w:val="4F2730B0"/>
    <w:rsid w:val="4F2B0EBA"/>
    <w:rsid w:val="4F2B4370"/>
    <w:rsid w:val="4F351F9F"/>
    <w:rsid w:val="4F391107"/>
    <w:rsid w:val="4F4048F3"/>
    <w:rsid w:val="4F4514B9"/>
    <w:rsid w:val="4F4D386C"/>
    <w:rsid w:val="4F4F0A39"/>
    <w:rsid w:val="4F563CC4"/>
    <w:rsid w:val="4F5E3989"/>
    <w:rsid w:val="4F674123"/>
    <w:rsid w:val="4F6A5B52"/>
    <w:rsid w:val="4F7A24C7"/>
    <w:rsid w:val="4F8265F7"/>
    <w:rsid w:val="4F890B0F"/>
    <w:rsid w:val="4F8D589F"/>
    <w:rsid w:val="4F9051E2"/>
    <w:rsid w:val="4F943823"/>
    <w:rsid w:val="4F99788D"/>
    <w:rsid w:val="4FA170B1"/>
    <w:rsid w:val="4FB12301"/>
    <w:rsid w:val="4FB94289"/>
    <w:rsid w:val="4FB97685"/>
    <w:rsid w:val="4FBC5165"/>
    <w:rsid w:val="4FC357FD"/>
    <w:rsid w:val="4FC86025"/>
    <w:rsid w:val="4FCF69C4"/>
    <w:rsid w:val="4FD05770"/>
    <w:rsid w:val="4FE27FF5"/>
    <w:rsid w:val="4FE52909"/>
    <w:rsid w:val="4FEE0275"/>
    <w:rsid w:val="4FF4002A"/>
    <w:rsid w:val="4FF80240"/>
    <w:rsid w:val="50055E16"/>
    <w:rsid w:val="500B71A4"/>
    <w:rsid w:val="50106568"/>
    <w:rsid w:val="50136B1A"/>
    <w:rsid w:val="5019631A"/>
    <w:rsid w:val="5023625D"/>
    <w:rsid w:val="50281A72"/>
    <w:rsid w:val="503E6C32"/>
    <w:rsid w:val="50496AEF"/>
    <w:rsid w:val="504A7E9C"/>
    <w:rsid w:val="5050608C"/>
    <w:rsid w:val="50544866"/>
    <w:rsid w:val="505B6325"/>
    <w:rsid w:val="5060696B"/>
    <w:rsid w:val="506F04C1"/>
    <w:rsid w:val="50776734"/>
    <w:rsid w:val="507C3BFE"/>
    <w:rsid w:val="507F0879"/>
    <w:rsid w:val="5085479A"/>
    <w:rsid w:val="508B13F1"/>
    <w:rsid w:val="50962F12"/>
    <w:rsid w:val="509C3D67"/>
    <w:rsid w:val="50AB3761"/>
    <w:rsid w:val="50B52C6C"/>
    <w:rsid w:val="50BF670F"/>
    <w:rsid w:val="50D10901"/>
    <w:rsid w:val="50D579E3"/>
    <w:rsid w:val="50DB3A34"/>
    <w:rsid w:val="50DC432B"/>
    <w:rsid w:val="50EA6DB9"/>
    <w:rsid w:val="50F815B1"/>
    <w:rsid w:val="51000A73"/>
    <w:rsid w:val="51023ECF"/>
    <w:rsid w:val="510E552C"/>
    <w:rsid w:val="510F0B9E"/>
    <w:rsid w:val="51226553"/>
    <w:rsid w:val="512656C9"/>
    <w:rsid w:val="512665D4"/>
    <w:rsid w:val="51322974"/>
    <w:rsid w:val="513444D8"/>
    <w:rsid w:val="51363DAD"/>
    <w:rsid w:val="513A2283"/>
    <w:rsid w:val="514522B7"/>
    <w:rsid w:val="51466A73"/>
    <w:rsid w:val="51475FBA"/>
    <w:rsid w:val="51501CA0"/>
    <w:rsid w:val="515C0243"/>
    <w:rsid w:val="515E4352"/>
    <w:rsid w:val="5164797F"/>
    <w:rsid w:val="516C77CE"/>
    <w:rsid w:val="516D528F"/>
    <w:rsid w:val="517058DC"/>
    <w:rsid w:val="51785069"/>
    <w:rsid w:val="51874F00"/>
    <w:rsid w:val="519909BB"/>
    <w:rsid w:val="51A03B11"/>
    <w:rsid w:val="51A11B6E"/>
    <w:rsid w:val="51B65558"/>
    <w:rsid w:val="51C04FDC"/>
    <w:rsid w:val="51C94C21"/>
    <w:rsid w:val="51E113E5"/>
    <w:rsid w:val="51E246CB"/>
    <w:rsid w:val="51EE4E78"/>
    <w:rsid w:val="51F37EF0"/>
    <w:rsid w:val="51F779E0"/>
    <w:rsid w:val="51FA127E"/>
    <w:rsid w:val="52053204"/>
    <w:rsid w:val="52187956"/>
    <w:rsid w:val="521C56DD"/>
    <w:rsid w:val="523E57B5"/>
    <w:rsid w:val="52497B10"/>
    <w:rsid w:val="524C5212"/>
    <w:rsid w:val="5251742F"/>
    <w:rsid w:val="52575E63"/>
    <w:rsid w:val="525C3CE7"/>
    <w:rsid w:val="525C3D4D"/>
    <w:rsid w:val="526026CE"/>
    <w:rsid w:val="52614E59"/>
    <w:rsid w:val="526A0045"/>
    <w:rsid w:val="52756B57"/>
    <w:rsid w:val="527B1EA7"/>
    <w:rsid w:val="528172AA"/>
    <w:rsid w:val="52825A68"/>
    <w:rsid w:val="52917428"/>
    <w:rsid w:val="52922179"/>
    <w:rsid w:val="529E039B"/>
    <w:rsid w:val="529E60AD"/>
    <w:rsid w:val="52A64F62"/>
    <w:rsid w:val="52AE4D91"/>
    <w:rsid w:val="52BC7A8F"/>
    <w:rsid w:val="52BE04FE"/>
    <w:rsid w:val="52C553E8"/>
    <w:rsid w:val="52D12510"/>
    <w:rsid w:val="52D84F6A"/>
    <w:rsid w:val="52D970E6"/>
    <w:rsid w:val="52E92EA8"/>
    <w:rsid w:val="52E956CD"/>
    <w:rsid w:val="52F17409"/>
    <w:rsid w:val="52F44E24"/>
    <w:rsid w:val="52F50027"/>
    <w:rsid w:val="52F77B3F"/>
    <w:rsid w:val="52F91536"/>
    <w:rsid w:val="52FB4092"/>
    <w:rsid w:val="53000B16"/>
    <w:rsid w:val="53034162"/>
    <w:rsid w:val="53074A47"/>
    <w:rsid w:val="530C12BE"/>
    <w:rsid w:val="53334A48"/>
    <w:rsid w:val="53397B84"/>
    <w:rsid w:val="533A5E1C"/>
    <w:rsid w:val="533D6ED9"/>
    <w:rsid w:val="5340332E"/>
    <w:rsid w:val="534C78B7"/>
    <w:rsid w:val="535A2065"/>
    <w:rsid w:val="5364330B"/>
    <w:rsid w:val="536546E1"/>
    <w:rsid w:val="536863BA"/>
    <w:rsid w:val="53695B54"/>
    <w:rsid w:val="536E4C9C"/>
    <w:rsid w:val="537D4289"/>
    <w:rsid w:val="537F7C8D"/>
    <w:rsid w:val="53884502"/>
    <w:rsid w:val="53896F0F"/>
    <w:rsid w:val="538E7F4B"/>
    <w:rsid w:val="53A0563E"/>
    <w:rsid w:val="53A062E1"/>
    <w:rsid w:val="53A541AD"/>
    <w:rsid w:val="53AC0BFD"/>
    <w:rsid w:val="53BD388D"/>
    <w:rsid w:val="53C75190"/>
    <w:rsid w:val="53CD3DC9"/>
    <w:rsid w:val="53D51A92"/>
    <w:rsid w:val="53D7279A"/>
    <w:rsid w:val="53EC37F8"/>
    <w:rsid w:val="53FE57C8"/>
    <w:rsid w:val="53FF0DCE"/>
    <w:rsid w:val="54173C20"/>
    <w:rsid w:val="54202196"/>
    <w:rsid w:val="54271911"/>
    <w:rsid w:val="542B21C7"/>
    <w:rsid w:val="54413194"/>
    <w:rsid w:val="547A0454"/>
    <w:rsid w:val="547F6109"/>
    <w:rsid w:val="547F7206"/>
    <w:rsid w:val="54815C87"/>
    <w:rsid w:val="5486504B"/>
    <w:rsid w:val="54875301"/>
    <w:rsid w:val="549A5644"/>
    <w:rsid w:val="549B5123"/>
    <w:rsid w:val="549D01C5"/>
    <w:rsid w:val="549D3EDA"/>
    <w:rsid w:val="54A37489"/>
    <w:rsid w:val="54AD6A7C"/>
    <w:rsid w:val="54B16EC7"/>
    <w:rsid w:val="54BE3276"/>
    <w:rsid w:val="54C73281"/>
    <w:rsid w:val="54C85830"/>
    <w:rsid w:val="54CD636F"/>
    <w:rsid w:val="54D230A7"/>
    <w:rsid w:val="54D97871"/>
    <w:rsid w:val="54DF639A"/>
    <w:rsid w:val="54ED50CA"/>
    <w:rsid w:val="54F41827"/>
    <w:rsid w:val="550B7314"/>
    <w:rsid w:val="550F159D"/>
    <w:rsid w:val="550F7668"/>
    <w:rsid w:val="55137560"/>
    <w:rsid w:val="55171D5C"/>
    <w:rsid w:val="551B4BD7"/>
    <w:rsid w:val="551D779F"/>
    <w:rsid w:val="552078AA"/>
    <w:rsid w:val="552D54C7"/>
    <w:rsid w:val="552E559B"/>
    <w:rsid w:val="552E67FE"/>
    <w:rsid w:val="55357F85"/>
    <w:rsid w:val="553D4B32"/>
    <w:rsid w:val="553E6CA6"/>
    <w:rsid w:val="55532EF9"/>
    <w:rsid w:val="555477B7"/>
    <w:rsid w:val="55591611"/>
    <w:rsid w:val="555F460E"/>
    <w:rsid w:val="55687656"/>
    <w:rsid w:val="556C4241"/>
    <w:rsid w:val="557032EB"/>
    <w:rsid w:val="55713605"/>
    <w:rsid w:val="55713D4C"/>
    <w:rsid w:val="557D1DAB"/>
    <w:rsid w:val="55805F3E"/>
    <w:rsid w:val="55851320"/>
    <w:rsid w:val="55905B63"/>
    <w:rsid w:val="559341D4"/>
    <w:rsid w:val="55AE3E27"/>
    <w:rsid w:val="55AF2380"/>
    <w:rsid w:val="55B81234"/>
    <w:rsid w:val="55C91F37"/>
    <w:rsid w:val="55D87746"/>
    <w:rsid w:val="55DF2C65"/>
    <w:rsid w:val="55DF4EBB"/>
    <w:rsid w:val="55EB1088"/>
    <w:rsid w:val="55F057A4"/>
    <w:rsid w:val="55F940F1"/>
    <w:rsid w:val="55FB216C"/>
    <w:rsid w:val="56082D21"/>
    <w:rsid w:val="56162114"/>
    <w:rsid w:val="56243C73"/>
    <w:rsid w:val="562B51ED"/>
    <w:rsid w:val="56303BD6"/>
    <w:rsid w:val="56394779"/>
    <w:rsid w:val="564D42E4"/>
    <w:rsid w:val="56500F9C"/>
    <w:rsid w:val="565151E5"/>
    <w:rsid w:val="565D6AA3"/>
    <w:rsid w:val="565E29AE"/>
    <w:rsid w:val="565E627F"/>
    <w:rsid w:val="5661102B"/>
    <w:rsid w:val="56694C24"/>
    <w:rsid w:val="566A15A7"/>
    <w:rsid w:val="566D64C3"/>
    <w:rsid w:val="5689439D"/>
    <w:rsid w:val="569E2635"/>
    <w:rsid w:val="56B23ED5"/>
    <w:rsid w:val="56C63E25"/>
    <w:rsid w:val="56E638B9"/>
    <w:rsid w:val="56EF4397"/>
    <w:rsid w:val="56F031A2"/>
    <w:rsid w:val="571130D0"/>
    <w:rsid w:val="57144B90"/>
    <w:rsid w:val="57271542"/>
    <w:rsid w:val="57274675"/>
    <w:rsid w:val="572F6536"/>
    <w:rsid w:val="57396B47"/>
    <w:rsid w:val="573A3649"/>
    <w:rsid w:val="5745560C"/>
    <w:rsid w:val="574625F1"/>
    <w:rsid w:val="574C7A7C"/>
    <w:rsid w:val="57560D05"/>
    <w:rsid w:val="57572833"/>
    <w:rsid w:val="57572F0A"/>
    <w:rsid w:val="57646B6A"/>
    <w:rsid w:val="576B1CEC"/>
    <w:rsid w:val="577506D9"/>
    <w:rsid w:val="577613A7"/>
    <w:rsid w:val="57893085"/>
    <w:rsid w:val="578C7906"/>
    <w:rsid w:val="57975744"/>
    <w:rsid w:val="5798124F"/>
    <w:rsid w:val="579B33D3"/>
    <w:rsid w:val="579C4BC3"/>
    <w:rsid w:val="579E7EE7"/>
    <w:rsid w:val="57A061D8"/>
    <w:rsid w:val="57A20CD2"/>
    <w:rsid w:val="57A2219C"/>
    <w:rsid w:val="57A53A3A"/>
    <w:rsid w:val="57B10631"/>
    <w:rsid w:val="57B13A5E"/>
    <w:rsid w:val="57B46AF7"/>
    <w:rsid w:val="57B8376D"/>
    <w:rsid w:val="57C806E0"/>
    <w:rsid w:val="57CB5E90"/>
    <w:rsid w:val="57CF2865"/>
    <w:rsid w:val="57D62ADC"/>
    <w:rsid w:val="57DF5A44"/>
    <w:rsid w:val="57E80110"/>
    <w:rsid w:val="57FD50E8"/>
    <w:rsid w:val="58072DBF"/>
    <w:rsid w:val="580813C9"/>
    <w:rsid w:val="580967A0"/>
    <w:rsid w:val="580D0085"/>
    <w:rsid w:val="58124EC1"/>
    <w:rsid w:val="5814328A"/>
    <w:rsid w:val="581C5180"/>
    <w:rsid w:val="58201313"/>
    <w:rsid w:val="58215286"/>
    <w:rsid w:val="58240435"/>
    <w:rsid w:val="58256929"/>
    <w:rsid w:val="582812EE"/>
    <w:rsid w:val="58297231"/>
    <w:rsid w:val="582A22D4"/>
    <w:rsid w:val="58321905"/>
    <w:rsid w:val="583358A1"/>
    <w:rsid w:val="583D1B3A"/>
    <w:rsid w:val="583F0AAB"/>
    <w:rsid w:val="5843079C"/>
    <w:rsid w:val="584361F4"/>
    <w:rsid w:val="58450D2C"/>
    <w:rsid w:val="586F1EF9"/>
    <w:rsid w:val="587F4822"/>
    <w:rsid w:val="58843DCD"/>
    <w:rsid w:val="5889510A"/>
    <w:rsid w:val="58A504A8"/>
    <w:rsid w:val="58A751ED"/>
    <w:rsid w:val="58A957AC"/>
    <w:rsid w:val="58B163D6"/>
    <w:rsid w:val="58B53004"/>
    <w:rsid w:val="58B865D0"/>
    <w:rsid w:val="58BB4167"/>
    <w:rsid w:val="58C12AF6"/>
    <w:rsid w:val="58C20339"/>
    <w:rsid w:val="58CD3249"/>
    <w:rsid w:val="58D004CB"/>
    <w:rsid w:val="58DC73F6"/>
    <w:rsid w:val="58E654C7"/>
    <w:rsid w:val="58E976C8"/>
    <w:rsid w:val="58F049CA"/>
    <w:rsid w:val="58F133F6"/>
    <w:rsid w:val="58FB698C"/>
    <w:rsid w:val="5901594F"/>
    <w:rsid w:val="59016429"/>
    <w:rsid w:val="590604CB"/>
    <w:rsid w:val="59091DA7"/>
    <w:rsid w:val="590B222D"/>
    <w:rsid w:val="591710B8"/>
    <w:rsid w:val="59212B72"/>
    <w:rsid w:val="59275C0B"/>
    <w:rsid w:val="59277154"/>
    <w:rsid w:val="592B204C"/>
    <w:rsid w:val="5943350B"/>
    <w:rsid w:val="59460F9B"/>
    <w:rsid w:val="59506613"/>
    <w:rsid w:val="595351ED"/>
    <w:rsid w:val="595C0E4C"/>
    <w:rsid w:val="598B1110"/>
    <w:rsid w:val="59926B27"/>
    <w:rsid w:val="599C0826"/>
    <w:rsid w:val="59A1524E"/>
    <w:rsid w:val="59A3044D"/>
    <w:rsid w:val="59A67821"/>
    <w:rsid w:val="59B61EBB"/>
    <w:rsid w:val="59BA53AA"/>
    <w:rsid w:val="59C503C4"/>
    <w:rsid w:val="59CD17A3"/>
    <w:rsid w:val="59CE3372"/>
    <w:rsid w:val="59D30FAC"/>
    <w:rsid w:val="59D604EA"/>
    <w:rsid w:val="59D9224D"/>
    <w:rsid w:val="59E22D24"/>
    <w:rsid w:val="59E5393F"/>
    <w:rsid w:val="59E92304"/>
    <w:rsid w:val="59EC032B"/>
    <w:rsid w:val="59EE5BB4"/>
    <w:rsid w:val="59F052CB"/>
    <w:rsid w:val="59F12E2C"/>
    <w:rsid w:val="59F30596"/>
    <w:rsid w:val="59F40CA9"/>
    <w:rsid w:val="5A03022A"/>
    <w:rsid w:val="5A0C7DA1"/>
    <w:rsid w:val="5A1E2761"/>
    <w:rsid w:val="5A1E5285"/>
    <w:rsid w:val="5A317606"/>
    <w:rsid w:val="5A3A2B60"/>
    <w:rsid w:val="5A3C61F5"/>
    <w:rsid w:val="5A3F0D98"/>
    <w:rsid w:val="5A4214BD"/>
    <w:rsid w:val="5A42404B"/>
    <w:rsid w:val="5A623725"/>
    <w:rsid w:val="5A6B4B5E"/>
    <w:rsid w:val="5A7021DF"/>
    <w:rsid w:val="5A731BCE"/>
    <w:rsid w:val="5A74453C"/>
    <w:rsid w:val="5A842328"/>
    <w:rsid w:val="5A902992"/>
    <w:rsid w:val="5A94704B"/>
    <w:rsid w:val="5A953A4E"/>
    <w:rsid w:val="5A9D2736"/>
    <w:rsid w:val="5A9F6E67"/>
    <w:rsid w:val="5AA65046"/>
    <w:rsid w:val="5AA951FB"/>
    <w:rsid w:val="5AAC4C26"/>
    <w:rsid w:val="5AAE70AA"/>
    <w:rsid w:val="5AB47982"/>
    <w:rsid w:val="5AC661A1"/>
    <w:rsid w:val="5AC939BB"/>
    <w:rsid w:val="5AD05272"/>
    <w:rsid w:val="5AF13B60"/>
    <w:rsid w:val="5AFF1D9A"/>
    <w:rsid w:val="5B024621"/>
    <w:rsid w:val="5B08233D"/>
    <w:rsid w:val="5B0A0E01"/>
    <w:rsid w:val="5B12588A"/>
    <w:rsid w:val="5B173EF1"/>
    <w:rsid w:val="5B1E2376"/>
    <w:rsid w:val="5B215ACE"/>
    <w:rsid w:val="5B247C65"/>
    <w:rsid w:val="5B250D48"/>
    <w:rsid w:val="5B265085"/>
    <w:rsid w:val="5B2734F8"/>
    <w:rsid w:val="5B2851C3"/>
    <w:rsid w:val="5B291D9C"/>
    <w:rsid w:val="5B2D2AF0"/>
    <w:rsid w:val="5B2F3CA6"/>
    <w:rsid w:val="5B3A6B8F"/>
    <w:rsid w:val="5B441CFB"/>
    <w:rsid w:val="5B4B48F9"/>
    <w:rsid w:val="5B5277F7"/>
    <w:rsid w:val="5B57504B"/>
    <w:rsid w:val="5B5A5D02"/>
    <w:rsid w:val="5B644A23"/>
    <w:rsid w:val="5B6C3F69"/>
    <w:rsid w:val="5B6D3372"/>
    <w:rsid w:val="5B6E42E3"/>
    <w:rsid w:val="5B6F05E7"/>
    <w:rsid w:val="5B7276DE"/>
    <w:rsid w:val="5B7B192C"/>
    <w:rsid w:val="5B7B1BA7"/>
    <w:rsid w:val="5B7D1826"/>
    <w:rsid w:val="5B920779"/>
    <w:rsid w:val="5B9718EC"/>
    <w:rsid w:val="5BA6186D"/>
    <w:rsid w:val="5BAC183B"/>
    <w:rsid w:val="5BAE7BDD"/>
    <w:rsid w:val="5BB20573"/>
    <w:rsid w:val="5BB469F2"/>
    <w:rsid w:val="5BB64468"/>
    <w:rsid w:val="5BBE50CA"/>
    <w:rsid w:val="5BBF21BB"/>
    <w:rsid w:val="5BD540B1"/>
    <w:rsid w:val="5BD57899"/>
    <w:rsid w:val="5BE865EB"/>
    <w:rsid w:val="5BF4371C"/>
    <w:rsid w:val="5BFE2505"/>
    <w:rsid w:val="5C011A74"/>
    <w:rsid w:val="5C02145B"/>
    <w:rsid w:val="5C060486"/>
    <w:rsid w:val="5C0F3B78"/>
    <w:rsid w:val="5C133668"/>
    <w:rsid w:val="5C1D2324"/>
    <w:rsid w:val="5C251FF1"/>
    <w:rsid w:val="5C2B0143"/>
    <w:rsid w:val="5C2C7A6D"/>
    <w:rsid w:val="5C335AB8"/>
    <w:rsid w:val="5C3D5D67"/>
    <w:rsid w:val="5C3E7FB9"/>
    <w:rsid w:val="5C3F6B34"/>
    <w:rsid w:val="5C425CFC"/>
    <w:rsid w:val="5C4763CB"/>
    <w:rsid w:val="5C49708A"/>
    <w:rsid w:val="5C4D0E51"/>
    <w:rsid w:val="5C4E28F2"/>
    <w:rsid w:val="5C522571"/>
    <w:rsid w:val="5C537F09"/>
    <w:rsid w:val="5C541E3A"/>
    <w:rsid w:val="5C556587"/>
    <w:rsid w:val="5C576978"/>
    <w:rsid w:val="5C61405A"/>
    <w:rsid w:val="5C672AA9"/>
    <w:rsid w:val="5C6735EF"/>
    <w:rsid w:val="5C6B34A4"/>
    <w:rsid w:val="5C6D7659"/>
    <w:rsid w:val="5C6E5BE7"/>
    <w:rsid w:val="5C743C9D"/>
    <w:rsid w:val="5C8212DD"/>
    <w:rsid w:val="5C8A6FAF"/>
    <w:rsid w:val="5C8F1BBA"/>
    <w:rsid w:val="5CA80E05"/>
    <w:rsid w:val="5CA97B29"/>
    <w:rsid w:val="5CB70498"/>
    <w:rsid w:val="5CBA3AE4"/>
    <w:rsid w:val="5CC5085F"/>
    <w:rsid w:val="5CCB5F9B"/>
    <w:rsid w:val="5CD06A08"/>
    <w:rsid w:val="5CDA3A05"/>
    <w:rsid w:val="5CE43DF0"/>
    <w:rsid w:val="5CE44548"/>
    <w:rsid w:val="5CEA3A89"/>
    <w:rsid w:val="5CEC3A93"/>
    <w:rsid w:val="5CF85B9A"/>
    <w:rsid w:val="5CFB4CC5"/>
    <w:rsid w:val="5D0448EB"/>
    <w:rsid w:val="5D106EF8"/>
    <w:rsid w:val="5D2231DC"/>
    <w:rsid w:val="5D235B2D"/>
    <w:rsid w:val="5D3715D8"/>
    <w:rsid w:val="5D447851"/>
    <w:rsid w:val="5D4B2D1B"/>
    <w:rsid w:val="5D4C5837"/>
    <w:rsid w:val="5D4C6846"/>
    <w:rsid w:val="5D4D4958"/>
    <w:rsid w:val="5D526440"/>
    <w:rsid w:val="5D530D5D"/>
    <w:rsid w:val="5D534C4F"/>
    <w:rsid w:val="5D5A13D3"/>
    <w:rsid w:val="5D601473"/>
    <w:rsid w:val="5D752454"/>
    <w:rsid w:val="5D7843A7"/>
    <w:rsid w:val="5D7E0FB5"/>
    <w:rsid w:val="5D857E5B"/>
    <w:rsid w:val="5D8A5BAC"/>
    <w:rsid w:val="5D8B36D2"/>
    <w:rsid w:val="5D9555C5"/>
    <w:rsid w:val="5D9C39BB"/>
    <w:rsid w:val="5D9E6F62"/>
    <w:rsid w:val="5DA13666"/>
    <w:rsid w:val="5DAA0B36"/>
    <w:rsid w:val="5DAA13C6"/>
    <w:rsid w:val="5DC2265C"/>
    <w:rsid w:val="5DCF0C5A"/>
    <w:rsid w:val="5DD03F39"/>
    <w:rsid w:val="5DD46E27"/>
    <w:rsid w:val="5DE300F0"/>
    <w:rsid w:val="5DE51034"/>
    <w:rsid w:val="5DF23751"/>
    <w:rsid w:val="5DF57C15"/>
    <w:rsid w:val="5DFC012C"/>
    <w:rsid w:val="5DFD637E"/>
    <w:rsid w:val="5E014A2D"/>
    <w:rsid w:val="5E0845E4"/>
    <w:rsid w:val="5E0B27AE"/>
    <w:rsid w:val="5E0D73FF"/>
    <w:rsid w:val="5E164787"/>
    <w:rsid w:val="5E1E0A96"/>
    <w:rsid w:val="5E1E0F9C"/>
    <w:rsid w:val="5E227AB4"/>
    <w:rsid w:val="5E28234D"/>
    <w:rsid w:val="5E2D7688"/>
    <w:rsid w:val="5E324AF8"/>
    <w:rsid w:val="5E345B18"/>
    <w:rsid w:val="5E3653EC"/>
    <w:rsid w:val="5E3B3CA9"/>
    <w:rsid w:val="5E3F48AD"/>
    <w:rsid w:val="5E420235"/>
    <w:rsid w:val="5E4A1D02"/>
    <w:rsid w:val="5E4D0A45"/>
    <w:rsid w:val="5E4F4700"/>
    <w:rsid w:val="5E515DEC"/>
    <w:rsid w:val="5E651DA7"/>
    <w:rsid w:val="5E76662F"/>
    <w:rsid w:val="5E7D1AF4"/>
    <w:rsid w:val="5E7D46AF"/>
    <w:rsid w:val="5E7E6E85"/>
    <w:rsid w:val="5E803118"/>
    <w:rsid w:val="5E805317"/>
    <w:rsid w:val="5E875FE9"/>
    <w:rsid w:val="5E884704"/>
    <w:rsid w:val="5E8E1902"/>
    <w:rsid w:val="5E990E12"/>
    <w:rsid w:val="5EA04F5B"/>
    <w:rsid w:val="5EA97545"/>
    <w:rsid w:val="5EB033F0"/>
    <w:rsid w:val="5EB55AE8"/>
    <w:rsid w:val="5EBE445A"/>
    <w:rsid w:val="5ED032C1"/>
    <w:rsid w:val="5ED05841"/>
    <w:rsid w:val="5EDB11F9"/>
    <w:rsid w:val="5EDC6249"/>
    <w:rsid w:val="5EDF7832"/>
    <w:rsid w:val="5EF420AB"/>
    <w:rsid w:val="5EF442F3"/>
    <w:rsid w:val="5EF4643F"/>
    <w:rsid w:val="5EFB0E23"/>
    <w:rsid w:val="5EFD42DE"/>
    <w:rsid w:val="5F053010"/>
    <w:rsid w:val="5F053F00"/>
    <w:rsid w:val="5F1D65AC"/>
    <w:rsid w:val="5F1F1321"/>
    <w:rsid w:val="5F235FF8"/>
    <w:rsid w:val="5F2416E8"/>
    <w:rsid w:val="5F265E0D"/>
    <w:rsid w:val="5F41794A"/>
    <w:rsid w:val="5F433EA1"/>
    <w:rsid w:val="5F447B38"/>
    <w:rsid w:val="5F480954"/>
    <w:rsid w:val="5F5046EA"/>
    <w:rsid w:val="5F644DAA"/>
    <w:rsid w:val="5F656A70"/>
    <w:rsid w:val="5F7206A6"/>
    <w:rsid w:val="5F721173"/>
    <w:rsid w:val="5F763632"/>
    <w:rsid w:val="5F776541"/>
    <w:rsid w:val="5F8623A3"/>
    <w:rsid w:val="5F87304F"/>
    <w:rsid w:val="5F8B0417"/>
    <w:rsid w:val="5F8B79B9"/>
    <w:rsid w:val="5F8C1DD9"/>
    <w:rsid w:val="5F92572B"/>
    <w:rsid w:val="5F934410"/>
    <w:rsid w:val="5F9436B0"/>
    <w:rsid w:val="5F972F55"/>
    <w:rsid w:val="5F9E5F3C"/>
    <w:rsid w:val="5FA911F0"/>
    <w:rsid w:val="5FB318E3"/>
    <w:rsid w:val="5FB76A00"/>
    <w:rsid w:val="5FBB029F"/>
    <w:rsid w:val="5FBE3889"/>
    <w:rsid w:val="5FC45415"/>
    <w:rsid w:val="5FC666B6"/>
    <w:rsid w:val="5FC8476A"/>
    <w:rsid w:val="5FCA22E6"/>
    <w:rsid w:val="5FCE450D"/>
    <w:rsid w:val="5FDB26EF"/>
    <w:rsid w:val="5FDE21DF"/>
    <w:rsid w:val="5FE21F51"/>
    <w:rsid w:val="5FE61094"/>
    <w:rsid w:val="5FEF4B78"/>
    <w:rsid w:val="60121E89"/>
    <w:rsid w:val="60132125"/>
    <w:rsid w:val="601B6F8F"/>
    <w:rsid w:val="60244033"/>
    <w:rsid w:val="602A0F80"/>
    <w:rsid w:val="60305BBF"/>
    <w:rsid w:val="603900B6"/>
    <w:rsid w:val="604272DE"/>
    <w:rsid w:val="60452CD4"/>
    <w:rsid w:val="6045400C"/>
    <w:rsid w:val="60502D88"/>
    <w:rsid w:val="605C47F5"/>
    <w:rsid w:val="605F7D0B"/>
    <w:rsid w:val="60724A56"/>
    <w:rsid w:val="60787F3E"/>
    <w:rsid w:val="6089214B"/>
    <w:rsid w:val="609031F0"/>
    <w:rsid w:val="60971748"/>
    <w:rsid w:val="609D0493"/>
    <w:rsid w:val="60A9459B"/>
    <w:rsid w:val="60AC0902"/>
    <w:rsid w:val="60AF724E"/>
    <w:rsid w:val="60B371C8"/>
    <w:rsid w:val="60BD4449"/>
    <w:rsid w:val="60C07B37"/>
    <w:rsid w:val="60C7316A"/>
    <w:rsid w:val="60C738B3"/>
    <w:rsid w:val="60D27E15"/>
    <w:rsid w:val="60E10B0C"/>
    <w:rsid w:val="60E9485E"/>
    <w:rsid w:val="60EF08C9"/>
    <w:rsid w:val="60F01C18"/>
    <w:rsid w:val="60F12F0B"/>
    <w:rsid w:val="60F41CA4"/>
    <w:rsid w:val="60F66899"/>
    <w:rsid w:val="60FD39DD"/>
    <w:rsid w:val="61154C74"/>
    <w:rsid w:val="61181C3B"/>
    <w:rsid w:val="61202383"/>
    <w:rsid w:val="61252DAF"/>
    <w:rsid w:val="61276E10"/>
    <w:rsid w:val="61281730"/>
    <w:rsid w:val="612A39C7"/>
    <w:rsid w:val="6132072D"/>
    <w:rsid w:val="61353947"/>
    <w:rsid w:val="614B4785"/>
    <w:rsid w:val="614D1968"/>
    <w:rsid w:val="6154572E"/>
    <w:rsid w:val="61721786"/>
    <w:rsid w:val="61774699"/>
    <w:rsid w:val="617E4F31"/>
    <w:rsid w:val="617F39BA"/>
    <w:rsid w:val="61881DC6"/>
    <w:rsid w:val="618C17C7"/>
    <w:rsid w:val="619057DE"/>
    <w:rsid w:val="6191216D"/>
    <w:rsid w:val="61917588"/>
    <w:rsid w:val="619443A4"/>
    <w:rsid w:val="61971C41"/>
    <w:rsid w:val="61B75AF0"/>
    <w:rsid w:val="61B763C3"/>
    <w:rsid w:val="61C471B3"/>
    <w:rsid w:val="61E628B7"/>
    <w:rsid w:val="61EA403D"/>
    <w:rsid w:val="61ED04B8"/>
    <w:rsid w:val="61EE0BB8"/>
    <w:rsid w:val="61EF67EB"/>
    <w:rsid w:val="61FF6426"/>
    <w:rsid w:val="62017CB2"/>
    <w:rsid w:val="62182854"/>
    <w:rsid w:val="6231670D"/>
    <w:rsid w:val="623C62E9"/>
    <w:rsid w:val="62400F9F"/>
    <w:rsid w:val="624125B1"/>
    <w:rsid w:val="62526006"/>
    <w:rsid w:val="626F711E"/>
    <w:rsid w:val="62736511"/>
    <w:rsid w:val="627500D5"/>
    <w:rsid w:val="627604AD"/>
    <w:rsid w:val="627C183B"/>
    <w:rsid w:val="627E3805"/>
    <w:rsid w:val="62823274"/>
    <w:rsid w:val="62903E5E"/>
    <w:rsid w:val="629149FC"/>
    <w:rsid w:val="629278A4"/>
    <w:rsid w:val="62966D01"/>
    <w:rsid w:val="629923ED"/>
    <w:rsid w:val="629A6DC2"/>
    <w:rsid w:val="629E79A6"/>
    <w:rsid w:val="62A13F4D"/>
    <w:rsid w:val="62A4777B"/>
    <w:rsid w:val="62A80315"/>
    <w:rsid w:val="62B03276"/>
    <w:rsid w:val="62C35E0C"/>
    <w:rsid w:val="62C6396E"/>
    <w:rsid w:val="62D00ABF"/>
    <w:rsid w:val="62D96C8E"/>
    <w:rsid w:val="62EE553D"/>
    <w:rsid w:val="62F06F3D"/>
    <w:rsid w:val="62FA37AD"/>
    <w:rsid w:val="63122CFD"/>
    <w:rsid w:val="63163A3E"/>
    <w:rsid w:val="63185A08"/>
    <w:rsid w:val="63193A22"/>
    <w:rsid w:val="63240F67"/>
    <w:rsid w:val="632C6FC4"/>
    <w:rsid w:val="634C2AB2"/>
    <w:rsid w:val="63512CC8"/>
    <w:rsid w:val="63536A40"/>
    <w:rsid w:val="63554566"/>
    <w:rsid w:val="6369376B"/>
    <w:rsid w:val="636F3392"/>
    <w:rsid w:val="63754C08"/>
    <w:rsid w:val="637919F5"/>
    <w:rsid w:val="637A7EFC"/>
    <w:rsid w:val="63801AD9"/>
    <w:rsid w:val="638135AD"/>
    <w:rsid w:val="63814A0F"/>
    <w:rsid w:val="638A598F"/>
    <w:rsid w:val="63921CC6"/>
    <w:rsid w:val="63932A29"/>
    <w:rsid w:val="639D09CB"/>
    <w:rsid w:val="63A37A15"/>
    <w:rsid w:val="63B84AF5"/>
    <w:rsid w:val="63BA261B"/>
    <w:rsid w:val="63BF538E"/>
    <w:rsid w:val="63C879BB"/>
    <w:rsid w:val="63CA30D8"/>
    <w:rsid w:val="63D27965"/>
    <w:rsid w:val="63D3713E"/>
    <w:rsid w:val="63DD0CDE"/>
    <w:rsid w:val="63E45722"/>
    <w:rsid w:val="63E9766D"/>
    <w:rsid w:val="63ED370C"/>
    <w:rsid w:val="63F27828"/>
    <w:rsid w:val="63FC2C34"/>
    <w:rsid w:val="640337A4"/>
    <w:rsid w:val="640459A3"/>
    <w:rsid w:val="640E4DDD"/>
    <w:rsid w:val="640F3F59"/>
    <w:rsid w:val="64127E15"/>
    <w:rsid w:val="641D7C93"/>
    <w:rsid w:val="64210636"/>
    <w:rsid w:val="6427228D"/>
    <w:rsid w:val="6429154F"/>
    <w:rsid w:val="642C0F11"/>
    <w:rsid w:val="642E65D8"/>
    <w:rsid w:val="64482014"/>
    <w:rsid w:val="644D3EFB"/>
    <w:rsid w:val="645133F4"/>
    <w:rsid w:val="64604663"/>
    <w:rsid w:val="64644E3F"/>
    <w:rsid w:val="64645192"/>
    <w:rsid w:val="64676364"/>
    <w:rsid w:val="64680E0B"/>
    <w:rsid w:val="649D0C2F"/>
    <w:rsid w:val="649E1F3D"/>
    <w:rsid w:val="64A745F9"/>
    <w:rsid w:val="64AC5DA7"/>
    <w:rsid w:val="64AF4E7B"/>
    <w:rsid w:val="64B41760"/>
    <w:rsid w:val="64B72EBA"/>
    <w:rsid w:val="64B96D77"/>
    <w:rsid w:val="64BD5616"/>
    <w:rsid w:val="64BE25DF"/>
    <w:rsid w:val="64BE438D"/>
    <w:rsid w:val="64CB02A7"/>
    <w:rsid w:val="64CC2606"/>
    <w:rsid w:val="64CE13FE"/>
    <w:rsid w:val="64CF02FD"/>
    <w:rsid w:val="64CF321D"/>
    <w:rsid w:val="64D126C0"/>
    <w:rsid w:val="64D22B78"/>
    <w:rsid w:val="64D433D4"/>
    <w:rsid w:val="64D62737"/>
    <w:rsid w:val="64E95A2C"/>
    <w:rsid w:val="64EC58CB"/>
    <w:rsid w:val="64EE6A20"/>
    <w:rsid w:val="64F44B24"/>
    <w:rsid w:val="64FD2834"/>
    <w:rsid w:val="65045A97"/>
    <w:rsid w:val="65057E77"/>
    <w:rsid w:val="65096E59"/>
    <w:rsid w:val="650E70C3"/>
    <w:rsid w:val="65147DDF"/>
    <w:rsid w:val="65232C07"/>
    <w:rsid w:val="652B653A"/>
    <w:rsid w:val="653601C2"/>
    <w:rsid w:val="65401246"/>
    <w:rsid w:val="6542134F"/>
    <w:rsid w:val="6548459E"/>
    <w:rsid w:val="654C587B"/>
    <w:rsid w:val="655B398A"/>
    <w:rsid w:val="655F4C8C"/>
    <w:rsid w:val="65636C5C"/>
    <w:rsid w:val="656C64A8"/>
    <w:rsid w:val="656E190F"/>
    <w:rsid w:val="65717652"/>
    <w:rsid w:val="657874A5"/>
    <w:rsid w:val="657D3D26"/>
    <w:rsid w:val="65864EAB"/>
    <w:rsid w:val="658B79A7"/>
    <w:rsid w:val="6593323C"/>
    <w:rsid w:val="6597009D"/>
    <w:rsid w:val="659E34C7"/>
    <w:rsid w:val="65A5045A"/>
    <w:rsid w:val="65A70610"/>
    <w:rsid w:val="65B17A4E"/>
    <w:rsid w:val="65B21C6C"/>
    <w:rsid w:val="65C27672"/>
    <w:rsid w:val="65C91E0B"/>
    <w:rsid w:val="65CD2ADA"/>
    <w:rsid w:val="65CD328E"/>
    <w:rsid w:val="65D242C5"/>
    <w:rsid w:val="65D53F00"/>
    <w:rsid w:val="65DC0F6F"/>
    <w:rsid w:val="65DD1A17"/>
    <w:rsid w:val="65E2598A"/>
    <w:rsid w:val="65ED4FD2"/>
    <w:rsid w:val="65FF1CF9"/>
    <w:rsid w:val="660404C6"/>
    <w:rsid w:val="66062D44"/>
    <w:rsid w:val="66095007"/>
    <w:rsid w:val="660D514E"/>
    <w:rsid w:val="6619508D"/>
    <w:rsid w:val="6623094C"/>
    <w:rsid w:val="662D69E6"/>
    <w:rsid w:val="663012BB"/>
    <w:rsid w:val="66380584"/>
    <w:rsid w:val="66400D62"/>
    <w:rsid w:val="664152F8"/>
    <w:rsid w:val="66467096"/>
    <w:rsid w:val="6648106B"/>
    <w:rsid w:val="665C5FA0"/>
    <w:rsid w:val="665F3603"/>
    <w:rsid w:val="6665383E"/>
    <w:rsid w:val="666757F8"/>
    <w:rsid w:val="66754F1F"/>
    <w:rsid w:val="66783C17"/>
    <w:rsid w:val="667B334D"/>
    <w:rsid w:val="668337DE"/>
    <w:rsid w:val="668361E3"/>
    <w:rsid w:val="669109C0"/>
    <w:rsid w:val="66A001EE"/>
    <w:rsid w:val="66A7157D"/>
    <w:rsid w:val="66AB26EF"/>
    <w:rsid w:val="66AD2576"/>
    <w:rsid w:val="66BB0B84"/>
    <w:rsid w:val="66BB7997"/>
    <w:rsid w:val="66C32DAD"/>
    <w:rsid w:val="66C52FA8"/>
    <w:rsid w:val="66CB62AD"/>
    <w:rsid w:val="66D6449E"/>
    <w:rsid w:val="66DB5A01"/>
    <w:rsid w:val="66E128CB"/>
    <w:rsid w:val="66E81EBB"/>
    <w:rsid w:val="66E86B42"/>
    <w:rsid w:val="66FE02CA"/>
    <w:rsid w:val="6700576E"/>
    <w:rsid w:val="670112A2"/>
    <w:rsid w:val="67017E51"/>
    <w:rsid w:val="6707201B"/>
    <w:rsid w:val="67206C39"/>
    <w:rsid w:val="67241AA7"/>
    <w:rsid w:val="672B1033"/>
    <w:rsid w:val="672D03CC"/>
    <w:rsid w:val="673104A4"/>
    <w:rsid w:val="673C4834"/>
    <w:rsid w:val="673D77EB"/>
    <w:rsid w:val="67425DF4"/>
    <w:rsid w:val="674541D3"/>
    <w:rsid w:val="674566A0"/>
    <w:rsid w:val="67486190"/>
    <w:rsid w:val="674F3FE4"/>
    <w:rsid w:val="67547D52"/>
    <w:rsid w:val="675A6D1E"/>
    <w:rsid w:val="6760175E"/>
    <w:rsid w:val="67630941"/>
    <w:rsid w:val="676520A4"/>
    <w:rsid w:val="67673E31"/>
    <w:rsid w:val="67696832"/>
    <w:rsid w:val="676A4358"/>
    <w:rsid w:val="677A0A3F"/>
    <w:rsid w:val="677F5616"/>
    <w:rsid w:val="67805FF1"/>
    <w:rsid w:val="67830B73"/>
    <w:rsid w:val="67883762"/>
    <w:rsid w:val="678D7C02"/>
    <w:rsid w:val="679715F1"/>
    <w:rsid w:val="67A05FCC"/>
    <w:rsid w:val="67A11CC0"/>
    <w:rsid w:val="67AD2490"/>
    <w:rsid w:val="67B642D5"/>
    <w:rsid w:val="67B80600"/>
    <w:rsid w:val="67C036F4"/>
    <w:rsid w:val="67C85E43"/>
    <w:rsid w:val="67CE63F2"/>
    <w:rsid w:val="67CF4511"/>
    <w:rsid w:val="67D01074"/>
    <w:rsid w:val="67E660D5"/>
    <w:rsid w:val="67F0048D"/>
    <w:rsid w:val="67F524F3"/>
    <w:rsid w:val="67FD1E64"/>
    <w:rsid w:val="67FD4451"/>
    <w:rsid w:val="68143268"/>
    <w:rsid w:val="6821710D"/>
    <w:rsid w:val="68240041"/>
    <w:rsid w:val="682B1E24"/>
    <w:rsid w:val="683218D8"/>
    <w:rsid w:val="68342CD1"/>
    <w:rsid w:val="68355C7A"/>
    <w:rsid w:val="683959C1"/>
    <w:rsid w:val="68420814"/>
    <w:rsid w:val="685079F2"/>
    <w:rsid w:val="6868580A"/>
    <w:rsid w:val="687063BF"/>
    <w:rsid w:val="68850E7E"/>
    <w:rsid w:val="68917132"/>
    <w:rsid w:val="6897117D"/>
    <w:rsid w:val="68A067D3"/>
    <w:rsid w:val="68A33FC6"/>
    <w:rsid w:val="68A52293"/>
    <w:rsid w:val="68A61B1E"/>
    <w:rsid w:val="68BA0C4C"/>
    <w:rsid w:val="68C27FFD"/>
    <w:rsid w:val="68C82FB8"/>
    <w:rsid w:val="68CA77A4"/>
    <w:rsid w:val="68CB6608"/>
    <w:rsid w:val="68CF175C"/>
    <w:rsid w:val="68D25E84"/>
    <w:rsid w:val="68D67EF7"/>
    <w:rsid w:val="68E42335"/>
    <w:rsid w:val="68EA37C7"/>
    <w:rsid w:val="68ED7415"/>
    <w:rsid w:val="68FF519A"/>
    <w:rsid w:val="69004F74"/>
    <w:rsid w:val="690A5C1D"/>
    <w:rsid w:val="69202D92"/>
    <w:rsid w:val="69206E78"/>
    <w:rsid w:val="6925472C"/>
    <w:rsid w:val="692B351F"/>
    <w:rsid w:val="693863B9"/>
    <w:rsid w:val="694C01BA"/>
    <w:rsid w:val="69580D63"/>
    <w:rsid w:val="69586B5E"/>
    <w:rsid w:val="695F613F"/>
    <w:rsid w:val="696D617A"/>
    <w:rsid w:val="697B284D"/>
    <w:rsid w:val="69813E51"/>
    <w:rsid w:val="698C4A5A"/>
    <w:rsid w:val="699413F1"/>
    <w:rsid w:val="699464D5"/>
    <w:rsid w:val="69985A20"/>
    <w:rsid w:val="699B4126"/>
    <w:rsid w:val="699F53F8"/>
    <w:rsid w:val="69AC6045"/>
    <w:rsid w:val="69AD2726"/>
    <w:rsid w:val="69B953BE"/>
    <w:rsid w:val="69BC0A87"/>
    <w:rsid w:val="69BE4033"/>
    <w:rsid w:val="69C30066"/>
    <w:rsid w:val="69C641B4"/>
    <w:rsid w:val="69CD0E9B"/>
    <w:rsid w:val="69DB4604"/>
    <w:rsid w:val="69DE2989"/>
    <w:rsid w:val="69EE6F24"/>
    <w:rsid w:val="69F04FE9"/>
    <w:rsid w:val="69F148BD"/>
    <w:rsid w:val="69F63BC7"/>
    <w:rsid w:val="69F952F7"/>
    <w:rsid w:val="69FB573C"/>
    <w:rsid w:val="6A037507"/>
    <w:rsid w:val="6A117856"/>
    <w:rsid w:val="6A17089E"/>
    <w:rsid w:val="6A2A463F"/>
    <w:rsid w:val="6A3273AF"/>
    <w:rsid w:val="6A3550F2"/>
    <w:rsid w:val="6A3D61C1"/>
    <w:rsid w:val="6A4901C7"/>
    <w:rsid w:val="6A505BA4"/>
    <w:rsid w:val="6A552D01"/>
    <w:rsid w:val="6A5D3E61"/>
    <w:rsid w:val="6A637797"/>
    <w:rsid w:val="6A654870"/>
    <w:rsid w:val="6A697E7E"/>
    <w:rsid w:val="6A6E721F"/>
    <w:rsid w:val="6A6F6406"/>
    <w:rsid w:val="6A701C86"/>
    <w:rsid w:val="6A7177BA"/>
    <w:rsid w:val="6A720342"/>
    <w:rsid w:val="6A7E1356"/>
    <w:rsid w:val="6A80573A"/>
    <w:rsid w:val="6A8E7E0A"/>
    <w:rsid w:val="6A965F2D"/>
    <w:rsid w:val="6A984F72"/>
    <w:rsid w:val="6AA52131"/>
    <w:rsid w:val="6AA766EC"/>
    <w:rsid w:val="6ABC4ECB"/>
    <w:rsid w:val="6AC029A6"/>
    <w:rsid w:val="6AC45DE2"/>
    <w:rsid w:val="6AC553A1"/>
    <w:rsid w:val="6ACB3360"/>
    <w:rsid w:val="6AD01BCD"/>
    <w:rsid w:val="6AD306DD"/>
    <w:rsid w:val="6ADE12E5"/>
    <w:rsid w:val="6AEF072D"/>
    <w:rsid w:val="6AEF53C4"/>
    <w:rsid w:val="6AF045D0"/>
    <w:rsid w:val="6AF13B50"/>
    <w:rsid w:val="6AF4603A"/>
    <w:rsid w:val="6B0433D7"/>
    <w:rsid w:val="6B136E3A"/>
    <w:rsid w:val="6B21318F"/>
    <w:rsid w:val="6B223D7D"/>
    <w:rsid w:val="6B2A452A"/>
    <w:rsid w:val="6B2E2D87"/>
    <w:rsid w:val="6B362FDC"/>
    <w:rsid w:val="6B390171"/>
    <w:rsid w:val="6B3929BF"/>
    <w:rsid w:val="6B3A60FD"/>
    <w:rsid w:val="6B3A6CFA"/>
    <w:rsid w:val="6B3B2294"/>
    <w:rsid w:val="6B482C03"/>
    <w:rsid w:val="6B4B7F47"/>
    <w:rsid w:val="6B563571"/>
    <w:rsid w:val="6B56531F"/>
    <w:rsid w:val="6B5A620B"/>
    <w:rsid w:val="6B5B46E4"/>
    <w:rsid w:val="6B5E1D6F"/>
    <w:rsid w:val="6B5E5F82"/>
    <w:rsid w:val="6B7072DA"/>
    <w:rsid w:val="6B7457A6"/>
    <w:rsid w:val="6B7B306B"/>
    <w:rsid w:val="6B853A16"/>
    <w:rsid w:val="6B855C05"/>
    <w:rsid w:val="6B8E4C7C"/>
    <w:rsid w:val="6B9E091B"/>
    <w:rsid w:val="6BA8544F"/>
    <w:rsid w:val="6BAC3191"/>
    <w:rsid w:val="6BB115A3"/>
    <w:rsid w:val="6BB32F83"/>
    <w:rsid w:val="6BB564B9"/>
    <w:rsid w:val="6BBE46EC"/>
    <w:rsid w:val="6BC73B27"/>
    <w:rsid w:val="6BCA6012"/>
    <w:rsid w:val="6BCB61ED"/>
    <w:rsid w:val="6BCE0CC9"/>
    <w:rsid w:val="6BD5099E"/>
    <w:rsid w:val="6BD52D6F"/>
    <w:rsid w:val="6BD702F7"/>
    <w:rsid w:val="6BD83F86"/>
    <w:rsid w:val="6BE62AFE"/>
    <w:rsid w:val="6BF0181F"/>
    <w:rsid w:val="6C001EAE"/>
    <w:rsid w:val="6C032026"/>
    <w:rsid w:val="6C0528A2"/>
    <w:rsid w:val="6C0F1F4D"/>
    <w:rsid w:val="6C133015"/>
    <w:rsid w:val="6C135DF1"/>
    <w:rsid w:val="6C1A459F"/>
    <w:rsid w:val="6C24541E"/>
    <w:rsid w:val="6C282E17"/>
    <w:rsid w:val="6C293FE6"/>
    <w:rsid w:val="6C2F085B"/>
    <w:rsid w:val="6C3B431E"/>
    <w:rsid w:val="6C40252E"/>
    <w:rsid w:val="6C43341D"/>
    <w:rsid w:val="6C4433CA"/>
    <w:rsid w:val="6C475311"/>
    <w:rsid w:val="6C4C04D0"/>
    <w:rsid w:val="6C4D4B49"/>
    <w:rsid w:val="6C5A0B8F"/>
    <w:rsid w:val="6C5F5ECA"/>
    <w:rsid w:val="6C791C04"/>
    <w:rsid w:val="6C832144"/>
    <w:rsid w:val="6C892AA3"/>
    <w:rsid w:val="6C8E61E8"/>
    <w:rsid w:val="6C9679CC"/>
    <w:rsid w:val="6CA364AD"/>
    <w:rsid w:val="6CA53291"/>
    <w:rsid w:val="6CA976D1"/>
    <w:rsid w:val="6CAC6DF2"/>
    <w:rsid w:val="6CB15E09"/>
    <w:rsid w:val="6CB52DA9"/>
    <w:rsid w:val="6CBD0715"/>
    <w:rsid w:val="6CC30793"/>
    <w:rsid w:val="6CC42B7C"/>
    <w:rsid w:val="6CC90517"/>
    <w:rsid w:val="6CCA20EC"/>
    <w:rsid w:val="6CD009DE"/>
    <w:rsid w:val="6CD429A0"/>
    <w:rsid w:val="6CDA3D2E"/>
    <w:rsid w:val="6CDE55CC"/>
    <w:rsid w:val="6CDF1345"/>
    <w:rsid w:val="6CDF1C45"/>
    <w:rsid w:val="6CED5810"/>
    <w:rsid w:val="6CFB410E"/>
    <w:rsid w:val="6CFC1EF7"/>
    <w:rsid w:val="6D013069"/>
    <w:rsid w:val="6D024C06"/>
    <w:rsid w:val="6D090170"/>
    <w:rsid w:val="6D12171A"/>
    <w:rsid w:val="6D142D9C"/>
    <w:rsid w:val="6D15191A"/>
    <w:rsid w:val="6D156945"/>
    <w:rsid w:val="6D1A4FAB"/>
    <w:rsid w:val="6D1D5432"/>
    <w:rsid w:val="6D203E37"/>
    <w:rsid w:val="6D260503"/>
    <w:rsid w:val="6D2606B9"/>
    <w:rsid w:val="6D2F7BB5"/>
    <w:rsid w:val="6D351F33"/>
    <w:rsid w:val="6D42270A"/>
    <w:rsid w:val="6D45284C"/>
    <w:rsid w:val="6D502C59"/>
    <w:rsid w:val="6D51216B"/>
    <w:rsid w:val="6D5658D0"/>
    <w:rsid w:val="6D5D6CA1"/>
    <w:rsid w:val="6D77332B"/>
    <w:rsid w:val="6D7D7FE4"/>
    <w:rsid w:val="6D800726"/>
    <w:rsid w:val="6D855A48"/>
    <w:rsid w:val="6D8C27DA"/>
    <w:rsid w:val="6D8C327A"/>
    <w:rsid w:val="6D9305DB"/>
    <w:rsid w:val="6D9D2041"/>
    <w:rsid w:val="6DA35B61"/>
    <w:rsid w:val="6DAA54AF"/>
    <w:rsid w:val="6DB602F7"/>
    <w:rsid w:val="6DBA4372"/>
    <w:rsid w:val="6DCD4AF2"/>
    <w:rsid w:val="6DD53C0F"/>
    <w:rsid w:val="6DDD793E"/>
    <w:rsid w:val="6DE76703"/>
    <w:rsid w:val="6DEE183F"/>
    <w:rsid w:val="6DFA7B62"/>
    <w:rsid w:val="6E02353D"/>
    <w:rsid w:val="6E030604"/>
    <w:rsid w:val="6E090B82"/>
    <w:rsid w:val="6E0E1C9B"/>
    <w:rsid w:val="6E113780"/>
    <w:rsid w:val="6E175675"/>
    <w:rsid w:val="6E180321"/>
    <w:rsid w:val="6E1868BC"/>
    <w:rsid w:val="6E1D0376"/>
    <w:rsid w:val="6E1E7093"/>
    <w:rsid w:val="6E1F5E9D"/>
    <w:rsid w:val="6E237DA5"/>
    <w:rsid w:val="6E2558DD"/>
    <w:rsid w:val="6E3336F6"/>
    <w:rsid w:val="6E402FD5"/>
    <w:rsid w:val="6E457EEB"/>
    <w:rsid w:val="6E4F28ED"/>
    <w:rsid w:val="6E4F7938"/>
    <w:rsid w:val="6E510280"/>
    <w:rsid w:val="6E52683F"/>
    <w:rsid w:val="6E5544B3"/>
    <w:rsid w:val="6E5B2C4D"/>
    <w:rsid w:val="6E5F44EB"/>
    <w:rsid w:val="6E66587A"/>
    <w:rsid w:val="6E781A51"/>
    <w:rsid w:val="6E7E2087"/>
    <w:rsid w:val="6E7F3C61"/>
    <w:rsid w:val="6E92178E"/>
    <w:rsid w:val="6E9817AB"/>
    <w:rsid w:val="6E996921"/>
    <w:rsid w:val="6E9C061A"/>
    <w:rsid w:val="6EB379BB"/>
    <w:rsid w:val="6EB6414C"/>
    <w:rsid w:val="6EBA7973"/>
    <w:rsid w:val="6EBE5B7B"/>
    <w:rsid w:val="6ECE1671"/>
    <w:rsid w:val="6ED829E8"/>
    <w:rsid w:val="6ED924EF"/>
    <w:rsid w:val="6EDA00EA"/>
    <w:rsid w:val="6EDA6DB9"/>
    <w:rsid w:val="6EE251B7"/>
    <w:rsid w:val="6EE61403"/>
    <w:rsid w:val="6EE75FCC"/>
    <w:rsid w:val="6F0B4854"/>
    <w:rsid w:val="6F106B8B"/>
    <w:rsid w:val="6F13029F"/>
    <w:rsid w:val="6F130BA6"/>
    <w:rsid w:val="6F1A48B6"/>
    <w:rsid w:val="6F1B2B08"/>
    <w:rsid w:val="6F1C7C5A"/>
    <w:rsid w:val="6F1D56DB"/>
    <w:rsid w:val="6F246F26"/>
    <w:rsid w:val="6F3230FE"/>
    <w:rsid w:val="6F3A1408"/>
    <w:rsid w:val="6F3E6A6C"/>
    <w:rsid w:val="6F40431D"/>
    <w:rsid w:val="6F41596D"/>
    <w:rsid w:val="6F5A4CB2"/>
    <w:rsid w:val="6F603A78"/>
    <w:rsid w:val="6F61746A"/>
    <w:rsid w:val="6F6872BA"/>
    <w:rsid w:val="6F6A2EF1"/>
    <w:rsid w:val="6F6E2E43"/>
    <w:rsid w:val="6F8F7F7F"/>
    <w:rsid w:val="6F97449F"/>
    <w:rsid w:val="6F975F07"/>
    <w:rsid w:val="6F9D65B5"/>
    <w:rsid w:val="6FA3193D"/>
    <w:rsid w:val="6FAB550E"/>
    <w:rsid w:val="6FB55214"/>
    <w:rsid w:val="6FB758FC"/>
    <w:rsid w:val="6FC9010A"/>
    <w:rsid w:val="6FCA1E38"/>
    <w:rsid w:val="6FD01BF2"/>
    <w:rsid w:val="6FD14B4C"/>
    <w:rsid w:val="6FD1581C"/>
    <w:rsid w:val="6FD221F0"/>
    <w:rsid w:val="6FD733B6"/>
    <w:rsid w:val="6FDE7692"/>
    <w:rsid w:val="6FEB1E08"/>
    <w:rsid w:val="6FF00AC7"/>
    <w:rsid w:val="6FF3443A"/>
    <w:rsid w:val="6FF60E7F"/>
    <w:rsid w:val="6FF70753"/>
    <w:rsid w:val="6FFE1944"/>
    <w:rsid w:val="70027824"/>
    <w:rsid w:val="70096AAF"/>
    <w:rsid w:val="70124ED7"/>
    <w:rsid w:val="70161521"/>
    <w:rsid w:val="70293BA6"/>
    <w:rsid w:val="703758EF"/>
    <w:rsid w:val="703D3958"/>
    <w:rsid w:val="70433BF4"/>
    <w:rsid w:val="704C4FD2"/>
    <w:rsid w:val="705020FD"/>
    <w:rsid w:val="705169D2"/>
    <w:rsid w:val="705362D1"/>
    <w:rsid w:val="70542388"/>
    <w:rsid w:val="705426F3"/>
    <w:rsid w:val="70587444"/>
    <w:rsid w:val="70627164"/>
    <w:rsid w:val="70645DE9"/>
    <w:rsid w:val="706758D9"/>
    <w:rsid w:val="706D73FE"/>
    <w:rsid w:val="706F62CF"/>
    <w:rsid w:val="707D0B1B"/>
    <w:rsid w:val="70826F57"/>
    <w:rsid w:val="708E10B8"/>
    <w:rsid w:val="7091053D"/>
    <w:rsid w:val="70995474"/>
    <w:rsid w:val="709C34A3"/>
    <w:rsid w:val="70A3646E"/>
    <w:rsid w:val="70A4380F"/>
    <w:rsid w:val="70A77EE9"/>
    <w:rsid w:val="70A95EF1"/>
    <w:rsid w:val="70B34FC2"/>
    <w:rsid w:val="70B7732E"/>
    <w:rsid w:val="70BE2E5C"/>
    <w:rsid w:val="70C3005A"/>
    <w:rsid w:val="70C46DB9"/>
    <w:rsid w:val="70C9547E"/>
    <w:rsid w:val="70D0476E"/>
    <w:rsid w:val="70D04D21"/>
    <w:rsid w:val="70DD1E39"/>
    <w:rsid w:val="70E94540"/>
    <w:rsid w:val="70EB70D9"/>
    <w:rsid w:val="70F058CE"/>
    <w:rsid w:val="70F404C9"/>
    <w:rsid w:val="70F52C1D"/>
    <w:rsid w:val="7104137A"/>
    <w:rsid w:val="710947CA"/>
    <w:rsid w:val="711041C2"/>
    <w:rsid w:val="711E068D"/>
    <w:rsid w:val="71202DBA"/>
    <w:rsid w:val="7122081F"/>
    <w:rsid w:val="712C51F9"/>
    <w:rsid w:val="713447F3"/>
    <w:rsid w:val="713B031A"/>
    <w:rsid w:val="713D663A"/>
    <w:rsid w:val="71431EA2"/>
    <w:rsid w:val="714B637E"/>
    <w:rsid w:val="714D0842"/>
    <w:rsid w:val="71520337"/>
    <w:rsid w:val="7152492F"/>
    <w:rsid w:val="715F7294"/>
    <w:rsid w:val="71644FCD"/>
    <w:rsid w:val="716B1D9A"/>
    <w:rsid w:val="717103E7"/>
    <w:rsid w:val="71752277"/>
    <w:rsid w:val="71796BF8"/>
    <w:rsid w:val="71804EC5"/>
    <w:rsid w:val="719170B1"/>
    <w:rsid w:val="71982DFA"/>
    <w:rsid w:val="719942C8"/>
    <w:rsid w:val="71A1306D"/>
    <w:rsid w:val="71A14E1B"/>
    <w:rsid w:val="71AA3CCF"/>
    <w:rsid w:val="71B44B4E"/>
    <w:rsid w:val="71BE1ED9"/>
    <w:rsid w:val="71BF337A"/>
    <w:rsid w:val="71C03E9F"/>
    <w:rsid w:val="71C70D25"/>
    <w:rsid w:val="71D05043"/>
    <w:rsid w:val="71DD0E59"/>
    <w:rsid w:val="71DF714A"/>
    <w:rsid w:val="71EE54F9"/>
    <w:rsid w:val="7202642B"/>
    <w:rsid w:val="72037883"/>
    <w:rsid w:val="72062BA0"/>
    <w:rsid w:val="720802A1"/>
    <w:rsid w:val="72103F0B"/>
    <w:rsid w:val="72111FA0"/>
    <w:rsid w:val="72173949"/>
    <w:rsid w:val="72181794"/>
    <w:rsid w:val="721F44FA"/>
    <w:rsid w:val="72211FED"/>
    <w:rsid w:val="722476AD"/>
    <w:rsid w:val="72275320"/>
    <w:rsid w:val="72356078"/>
    <w:rsid w:val="72556331"/>
    <w:rsid w:val="725A3269"/>
    <w:rsid w:val="725B070B"/>
    <w:rsid w:val="725E4CB3"/>
    <w:rsid w:val="72671BC0"/>
    <w:rsid w:val="727B7064"/>
    <w:rsid w:val="727D13E4"/>
    <w:rsid w:val="727D3192"/>
    <w:rsid w:val="729B3863"/>
    <w:rsid w:val="72AB41A3"/>
    <w:rsid w:val="72B148D3"/>
    <w:rsid w:val="72C2773E"/>
    <w:rsid w:val="72C45265"/>
    <w:rsid w:val="72D059B7"/>
    <w:rsid w:val="72D9244F"/>
    <w:rsid w:val="72DD0A4B"/>
    <w:rsid w:val="72DF1E53"/>
    <w:rsid w:val="72E50B8D"/>
    <w:rsid w:val="72EB27F1"/>
    <w:rsid w:val="72F378F8"/>
    <w:rsid w:val="73005291"/>
    <w:rsid w:val="73014ED1"/>
    <w:rsid w:val="7301621E"/>
    <w:rsid w:val="73045661"/>
    <w:rsid w:val="73052B03"/>
    <w:rsid w:val="730A1B38"/>
    <w:rsid w:val="73131D48"/>
    <w:rsid w:val="732145F1"/>
    <w:rsid w:val="73242639"/>
    <w:rsid w:val="732D1E02"/>
    <w:rsid w:val="73337CF4"/>
    <w:rsid w:val="733966CA"/>
    <w:rsid w:val="73467AF6"/>
    <w:rsid w:val="734D529E"/>
    <w:rsid w:val="734F1F46"/>
    <w:rsid w:val="73640C00"/>
    <w:rsid w:val="736762F1"/>
    <w:rsid w:val="736B6396"/>
    <w:rsid w:val="737A5923"/>
    <w:rsid w:val="737F2425"/>
    <w:rsid w:val="737F4571"/>
    <w:rsid w:val="738B271B"/>
    <w:rsid w:val="738F7621"/>
    <w:rsid w:val="739263A6"/>
    <w:rsid w:val="73934371"/>
    <w:rsid w:val="73A148F7"/>
    <w:rsid w:val="73A750C7"/>
    <w:rsid w:val="73B328BF"/>
    <w:rsid w:val="73B61051"/>
    <w:rsid w:val="73B61F92"/>
    <w:rsid w:val="73B928EF"/>
    <w:rsid w:val="73BF36C6"/>
    <w:rsid w:val="73C4539E"/>
    <w:rsid w:val="73C66196"/>
    <w:rsid w:val="73C910A3"/>
    <w:rsid w:val="73E177AA"/>
    <w:rsid w:val="73EF0CD8"/>
    <w:rsid w:val="73F85B5B"/>
    <w:rsid w:val="73F93C95"/>
    <w:rsid w:val="74060D79"/>
    <w:rsid w:val="740A75BF"/>
    <w:rsid w:val="7413442C"/>
    <w:rsid w:val="741444A9"/>
    <w:rsid w:val="74161F1E"/>
    <w:rsid w:val="74171327"/>
    <w:rsid w:val="74253AE1"/>
    <w:rsid w:val="742F0318"/>
    <w:rsid w:val="74327FF0"/>
    <w:rsid w:val="74355BBC"/>
    <w:rsid w:val="743B3304"/>
    <w:rsid w:val="744645AA"/>
    <w:rsid w:val="744C72C0"/>
    <w:rsid w:val="74504CE3"/>
    <w:rsid w:val="745443C6"/>
    <w:rsid w:val="74563869"/>
    <w:rsid w:val="745836FE"/>
    <w:rsid w:val="745F79D2"/>
    <w:rsid w:val="746E765E"/>
    <w:rsid w:val="746F188F"/>
    <w:rsid w:val="747800B5"/>
    <w:rsid w:val="747C26C7"/>
    <w:rsid w:val="747F496E"/>
    <w:rsid w:val="74813C77"/>
    <w:rsid w:val="748B71CF"/>
    <w:rsid w:val="74925676"/>
    <w:rsid w:val="749E3893"/>
    <w:rsid w:val="74AB7DB7"/>
    <w:rsid w:val="74B3733F"/>
    <w:rsid w:val="74B47098"/>
    <w:rsid w:val="74B636D9"/>
    <w:rsid w:val="74C537C9"/>
    <w:rsid w:val="74D24A1E"/>
    <w:rsid w:val="74D30172"/>
    <w:rsid w:val="74D6127F"/>
    <w:rsid w:val="74DE4FB2"/>
    <w:rsid w:val="74E52C9C"/>
    <w:rsid w:val="74E93A65"/>
    <w:rsid w:val="74EF5B6E"/>
    <w:rsid w:val="74F327E9"/>
    <w:rsid w:val="74F76360"/>
    <w:rsid w:val="74FA57D7"/>
    <w:rsid w:val="750E0DF9"/>
    <w:rsid w:val="750E2E16"/>
    <w:rsid w:val="751122B7"/>
    <w:rsid w:val="751A54BB"/>
    <w:rsid w:val="751B4559"/>
    <w:rsid w:val="751D0C5C"/>
    <w:rsid w:val="751D1514"/>
    <w:rsid w:val="752C70F1"/>
    <w:rsid w:val="75372E82"/>
    <w:rsid w:val="75380E3C"/>
    <w:rsid w:val="753A6E5F"/>
    <w:rsid w:val="753E2B52"/>
    <w:rsid w:val="75481E2B"/>
    <w:rsid w:val="7550406E"/>
    <w:rsid w:val="755A6851"/>
    <w:rsid w:val="755A763E"/>
    <w:rsid w:val="7561323F"/>
    <w:rsid w:val="75660855"/>
    <w:rsid w:val="7568637B"/>
    <w:rsid w:val="756923C9"/>
    <w:rsid w:val="75702BBC"/>
    <w:rsid w:val="757E794D"/>
    <w:rsid w:val="75823513"/>
    <w:rsid w:val="7586788F"/>
    <w:rsid w:val="758A5521"/>
    <w:rsid w:val="75950E36"/>
    <w:rsid w:val="7595589D"/>
    <w:rsid w:val="75974FFA"/>
    <w:rsid w:val="759D28B3"/>
    <w:rsid w:val="75A96C06"/>
    <w:rsid w:val="75B047DA"/>
    <w:rsid w:val="75BD0103"/>
    <w:rsid w:val="75C556E6"/>
    <w:rsid w:val="75D532E5"/>
    <w:rsid w:val="75D61EE2"/>
    <w:rsid w:val="75D73A7B"/>
    <w:rsid w:val="75D831EF"/>
    <w:rsid w:val="75E33A14"/>
    <w:rsid w:val="75E4177A"/>
    <w:rsid w:val="75E759FA"/>
    <w:rsid w:val="75F37588"/>
    <w:rsid w:val="75F407B2"/>
    <w:rsid w:val="75F419BD"/>
    <w:rsid w:val="75F714AD"/>
    <w:rsid w:val="76077CC8"/>
    <w:rsid w:val="76137487"/>
    <w:rsid w:val="7618515D"/>
    <w:rsid w:val="761B5373"/>
    <w:rsid w:val="762B0E62"/>
    <w:rsid w:val="763B7D07"/>
    <w:rsid w:val="763F21AA"/>
    <w:rsid w:val="76431F58"/>
    <w:rsid w:val="76530DD9"/>
    <w:rsid w:val="766617FE"/>
    <w:rsid w:val="76697065"/>
    <w:rsid w:val="766A7ED1"/>
    <w:rsid w:val="766D0E9A"/>
    <w:rsid w:val="766E2ED7"/>
    <w:rsid w:val="767A43A1"/>
    <w:rsid w:val="7682521B"/>
    <w:rsid w:val="768D4505"/>
    <w:rsid w:val="769431A0"/>
    <w:rsid w:val="769C0726"/>
    <w:rsid w:val="769D02A6"/>
    <w:rsid w:val="769E7DAB"/>
    <w:rsid w:val="76AD0529"/>
    <w:rsid w:val="76B35130"/>
    <w:rsid w:val="76B44DAC"/>
    <w:rsid w:val="76B75B16"/>
    <w:rsid w:val="76B9616D"/>
    <w:rsid w:val="76BF646F"/>
    <w:rsid w:val="76D01312"/>
    <w:rsid w:val="76F14794"/>
    <w:rsid w:val="76FA1255"/>
    <w:rsid w:val="770164D0"/>
    <w:rsid w:val="77066657"/>
    <w:rsid w:val="77133CA5"/>
    <w:rsid w:val="77193E72"/>
    <w:rsid w:val="772B1E57"/>
    <w:rsid w:val="77311B44"/>
    <w:rsid w:val="773161EA"/>
    <w:rsid w:val="773A0A2A"/>
    <w:rsid w:val="773F4EBA"/>
    <w:rsid w:val="774263D8"/>
    <w:rsid w:val="77533854"/>
    <w:rsid w:val="775B09E1"/>
    <w:rsid w:val="775E21A8"/>
    <w:rsid w:val="77602701"/>
    <w:rsid w:val="77702A42"/>
    <w:rsid w:val="7771323A"/>
    <w:rsid w:val="77727597"/>
    <w:rsid w:val="77742B10"/>
    <w:rsid w:val="77743287"/>
    <w:rsid w:val="77762A2A"/>
    <w:rsid w:val="777C0999"/>
    <w:rsid w:val="777D5430"/>
    <w:rsid w:val="778214A8"/>
    <w:rsid w:val="77900483"/>
    <w:rsid w:val="77907B18"/>
    <w:rsid w:val="77960875"/>
    <w:rsid w:val="779C1D8E"/>
    <w:rsid w:val="779C40BA"/>
    <w:rsid w:val="779E513C"/>
    <w:rsid w:val="77A61681"/>
    <w:rsid w:val="77AB07A1"/>
    <w:rsid w:val="77B70EA6"/>
    <w:rsid w:val="77BE32A6"/>
    <w:rsid w:val="77C35AEB"/>
    <w:rsid w:val="77C577DB"/>
    <w:rsid w:val="77D36990"/>
    <w:rsid w:val="77D726AA"/>
    <w:rsid w:val="77DD6EF2"/>
    <w:rsid w:val="77EB6DF0"/>
    <w:rsid w:val="77F46242"/>
    <w:rsid w:val="77FC0FFD"/>
    <w:rsid w:val="78016613"/>
    <w:rsid w:val="78046CDA"/>
    <w:rsid w:val="780F5AA2"/>
    <w:rsid w:val="78170FEF"/>
    <w:rsid w:val="781F4CEB"/>
    <w:rsid w:val="78212130"/>
    <w:rsid w:val="782347DB"/>
    <w:rsid w:val="78250553"/>
    <w:rsid w:val="782D10B8"/>
    <w:rsid w:val="782D178F"/>
    <w:rsid w:val="782E3B07"/>
    <w:rsid w:val="782F3180"/>
    <w:rsid w:val="78364649"/>
    <w:rsid w:val="783F500A"/>
    <w:rsid w:val="784604CA"/>
    <w:rsid w:val="78487BCC"/>
    <w:rsid w:val="784907D0"/>
    <w:rsid w:val="7849283F"/>
    <w:rsid w:val="784B0E08"/>
    <w:rsid w:val="784B7055"/>
    <w:rsid w:val="784F3822"/>
    <w:rsid w:val="78667A33"/>
    <w:rsid w:val="78686692"/>
    <w:rsid w:val="786C6182"/>
    <w:rsid w:val="786E7F6A"/>
    <w:rsid w:val="78745037"/>
    <w:rsid w:val="78816BFF"/>
    <w:rsid w:val="788D56EB"/>
    <w:rsid w:val="78A376CA"/>
    <w:rsid w:val="78A53442"/>
    <w:rsid w:val="78AD1A9F"/>
    <w:rsid w:val="78AD22F7"/>
    <w:rsid w:val="78B418D7"/>
    <w:rsid w:val="78B8009B"/>
    <w:rsid w:val="78BB4A91"/>
    <w:rsid w:val="78C309C5"/>
    <w:rsid w:val="78CB48BC"/>
    <w:rsid w:val="78CD2A29"/>
    <w:rsid w:val="78D16192"/>
    <w:rsid w:val="78D4026F"/>
    <w:rsid w:val="78DE6954"/>
    <w:rsid w:val="78E26444"/>
    <w:rsid w:val="78E57CE3"/>
    <w:rsid w:val="78EE6B97"/>
    <w:rsid w:val="78F00C72"/>
    <w:rsid w:val="78F41CD4"/>
    <w:rsid w:val="79050385"/>
    <w:rsid w:val="79095A6C"/>
    <w:rsid w:val="79121E27"/>
    <w:rsid w:val="79126EE2"/>
    <w:rsid w:val="791B4E4B"/>
    <w:rsid w:val="79222257"/>
    <w:rsid w:val="7923106A"/>
    <w:rsid w:val="7923254F"/>
    <w:rsid w:val="79280B8E"/>
    <w:rsid w:val="792A5904"/>
    <w:rsid w:val="792B62DE"/>
    <w:rsid w:val="792B67B7"/>
    <w:rsid w:val="792C3B64"/>
    <w:rsid w:val="79415B65"/>
    <w:rsid w:val="79490272"/>
    <w:rsid w:val="7949283E"/>
    <w:rsid w:val="794B66E5"/>
    <w:rsid w:val="79516FD2"/>
    <w:rsid w:val="7963080A"/>
    <w:rsid w:val="79674B9C"/>
    <w:rsid w:val="79834547"/>
    <w:rsid w:val="79870D9A"/>
    <w:rsid w:val="798B4439"/>
    <w:rsid w:val="798F00FE"/>
    <w:rsid w:val="79951709"/>
    <w:rsid w:val="799626D6"/>
    <w:rsid w:val="7999345B"/>
    <w:rsid w:val="79A40A44"/>
    <w:rsid w:val="79B043A0"/>
    <w:rsid w:val="79B30669"/>
    <w:rsid w:val="79B576B5"/>
    <w:rsid w:val="79B600AA"/>
    <w:rsid w:val="79BF33E8"/>
    <w:rsid w:val="79D10450"/>
    <w:rsid w:val="79D317BB"/>
    <w:rsid w:val="79D479B8"/>
    <w:rsid w:val="79DD26B2"/>
    <w:rsid w:val="79DF2984"/>
    <w:rsid w:val="79E5308B"/>
    <w:rsid w:val="79E61F64"/>
    <w:rsid w:val="79EE79A7"/>
    <w:rsid w:val="7A035C5E"/>
    <w:rsid w:val="7A0D57EA"/>
    <w:rsid w:val="7A0F4EAF"/>
    <w:rsid w:val="7A13094F"/>
    <w:rsid w:val="7A1E507C"/>
    <w:rsid w:val="7A2E4F52"/>
    <w:rsid w:val="7A31097F"/>
    <w:rsid w:val="7A330C0C"/>
    <w:rsid w:val="7A3428EF"/>
    <w:rsid w:val="7A470318"/>
    <w:rsid w:val="7A471435"/>
    <w:rsid w:val="7A4C04B1"/>
    <w:rsid w:val="7A4C0E74"/>
    <w:rsid w:val="7A575506"/>
    <w:rsid w:val="7A6510DB"/>
    <w:rsid w:val="7A670FD3"/>
    <w:rsid w:val="7A682979"/>
    <w:rsid w:val="7A735A85"/>
    <w:rsid w:val="7A773C99"/>
    <w:rsid w:val="7A8656D5"/>
    <w:rsid w:val="7A907898"/>
    <w:rsid w:val="7A914FB8"/>
    <w:rsid w:val="7A9B68AB"/>
    <w:rsid w:val="7AA65250"/>
    <w:rsid w:val="7AAA042A"/>
    <w:rsid w:val="7AB001D5"/>
    <w:rsid w:val="7AB14320"/>
    <w:rsid w:val="7AB23BF5"/>
    <w:rsid w:val="7AB5225A"/>
    <w:rsid w:val="7ABA66E2"/>
    <w:rsid w:val="7ABD5D84"/>
    <w:rsid w:val="7AC53F07"/>
    <w:rsid w:val="7AD54FD2"/>
    <w:rsid w:val="7AD9621B"/>
    <w:rsid w:val="7ADF6033"/>
    <w:rsid w:val="7AEC35AA"/>
    <w:rsid w:val="7AF406B1"/>
    <w:rsid w:val="7AF707E3"/>
    <w:rsid w:val="7B022DCE"/>
    <w:rsid w:val="7B045647"/>
    <w:rsid w:val="7B08681B"/>
    <w:rsid w:val="7B09415C"/>
    <w:rsid w:val="7B1113C7"/>
    <w:rsid w:val="7B185926"/>
    <w:rsid w:val="7B1D2AA6"/>
    <w:rsid w:val="7B1D5512"/>
    <w:rsid w:val="7B2309F5"/>
    <w:rsid w:val="7B2D3902"/>
    <w:rsid w:val="7B343C00"/>
    <w:rsid w:val="7B42644C"/>
    <w:rsid w:val="7B544FA6"/>
    <w:rsid w:val="7B5640A5"/>
    <w:rsid w:val="7B613E3B"/>
    <w:rsid w:val="7B700614"/>
    <w:rsid w:val="7B710B8F"/>
    <w:rsid w:val="7B71585E"/>
    <w:rsid w:val="7B7A20A7"/>
    <w:rsid w:val="7B82360C"/>
    <w:rsid w:val="7B8437E3"/>
    <w:rsid w:val="7B877463"/>
    <w:rsid w:val="7B8D3F31"/>
    <w:rsid w:val="7B98702C"/>
    <w:rsid w:val="7B9D1685"/>
    <w:rsid w:val="7BA94FF8"/>
    <w:rsid w:val="7BB51BEE"/>
    <w:rsid w:val="7BB87DB7"/>
    <w:rsid w:val="7BB971A8"/>
    <w:rsid w:val="7BC7248A"/>
    <w:rsid w:val="7BDB2640"/>
    <w:rsid w:val="7BDE7068"/>
    <w:rsid w:val="7BE30AA7"/>
    <w:rsid w:val="7BE44282"/>
    <w:rsid w:val="7BEC33F4"/>
    <w:rsid w:val="7BF01093"/>
    <w:rsid w:val="7BFB487C"/>
    <w:rsid w:val="7BFD3595"/>
    <w:rsid w:val="7C016BE2"/>
    <w:rsid w:val="7C02545D"/>
    <w:rsid w:val="7C077950"/>
    <w:rsid w:val="7C08581E"/>
    <w:rsid w:val="7C0B79BA"/>
    <w:rsid w:val="7C274BD1"/>
    <w:rsid w:val="7C2C069A"/>
    <w:rsid w:val="7C3B12D4"/>
    <w:rsid w:val="7C3B575E"/>
    <w:rsid w:val="7C434EEC"/>
    <w:rsid w:val="7C4864CC"/>
    <w:rsid w:val="7C4C3713"/>
    <w:rsid w:val="7C68679F"/>
    <w:rsid w:val="7C6F561D"/>
    <w:rsid w:val="7C740D9E"/>
    <w:rsid w:val="7C8C3864"/>
    <w:rsid w:val="7C8E405C"/>
    <w:rsid w:val="7C947593"/>
    <w:rsid w:val="7CA14BAF"/>
    <w:rsid w:val="7CA64316"/>
    <w:rsid w:val="7CAC5295"/>
    <w:rsid w:val="7CB773CF"/>
    <w:rsid w:val="7CBA0E3A"/>
    <w:rsid w:val="7CBF0209"/>
    <w:rsid w:val="7CE51182"/>
    <w:rsid w:val="7D042727"/>
    <w:rsid w:val="7D0A7926"/>
    <w:rsid w:val="7D1C5B8A"/>
    <w:rsid w:val="7D1C7A4B"/>
    <w:rsid w:val="7D1D7630"/>
    <w:rsid w:val="7D207BED"/>
    <w:rsid w:val="7D31153F"/>
    <w:rsid w:val="7D381B95"/>
    <w:rsid w:val="7D3C214F"/>
    <w:rsid w:val="7D513693"/>
    <w:rsid w:val="7D5C10B9"/>
    <w:rsid w:val="7D726396"/>
    <w:rsid w:val="7D741245"/>
    <w:rsid w:val="7D7541E1"/>
    <w:rsid w:val="7D76724B"/>
    <w:rsid w:val="7D7D673C"/>
    <w:rsid w:val="7D8D510B"/>
    <w:rsid w:val="7D935B5C"/>
    <w:rsid w:val="7D953D7C"/>
    <w:rsid w:val="7D9677FD"/>
    <w:rsid w:val="7D9E01FF"/>
    <w:rsid w:val="7D9E19A9"/>
    <w:rsid w:val="7DAE7CF4"/>
    <w:rsid w:val="7DAF0AC7"/>
    <w:rsid w:val="7DB303AF"/>
    <w:rsid w:val="7DC12ACC"/>
    <w:rsid w:val="7DC51F16"/>
    <w:rsid w:val="7DC5511E"/>
    <w:rsid w:val="7DD547CA"/>
    <w:rsid w:val="7DD54CAE"/>
    <w:rsid w:val="7DD763EB"/>
    <w:rsid w:val="7DDB1BD7"/>
    <w:rsid w:val="7DDB1D8C"/>
    <w:rsid w:val="7DDD61C3"/>
    <w:rsid w:val="7DE205FA"/>
    <w:rsid w:val="7DEA076A"/>
    <w:rsid w:val="7DEB18F7"/>
    <w:rsid w:val="7DEE13E8"/>
    <w:rsid w:val="7DF4644C"/>
    <w:rsid w:val="7E0C7AB2"/>
    <w:rsid w:val="7E196EF9"/>
    <w:rsid w:val="7E207DE9"/>
    <w:rsid w:val="7E2E6078"/>
    <w:rsid w:val="7E3314F0"/>
    <w:rsid w:val="7E403C7E"/>
    <w:rsid w:val="7E43016E"/>
    <w:rsid w:val="7E431733"/>
    <w:rsid w:val="7E4B38AE"/>
    <w:rsid w:val="7E4E5754"/>
    <w:rsid w:val="7E537973"/>
    <w:rsid w:val="7E573431"/>
    <w:rsid w:val="7E5E733A"/>
    <w:rsid w:val="7E615C0A"/>
    <w:rsid w:val="7E656721"/>
    <w:rsid w:val="7E674B7E"/>
    <w:rsid w:val="7E6764AE"/>
    <w:rsid w:val="7E6F1A0E"/>
    <w:rsid w:val="7E7202C2"/>
    <w:rsid w:val="7E7B3392"/>
    <w:rsid w:val="7E885398"/>
    <w:rsid w:val="7E91517B"/>
    <w:rsid w:val="7E9806B7"/>
    <w:rsid w:val="7E987FE1"/>
    <w:rsid w:val="7E9B63F4"/>
    <w:rsid w:val="7EA62E94"/>
    <w:rsid w:val="7EA71BC7"/>
    <w:rsid w:val="7EB53AF4"/>
    <w:rsid w:val="7EC01C08"/>
    <w:rsid w:val="7EC02D84"/>
    <w:rsid w:val="7EC07E3A"/>
    <w:rsid w:val="7EC301BA"/>
    <w:rsid w:val="7EC75AE6"/>
    <w:rsid w:val="7EC80C9F"/>
    <w:rsid w:val="7EC873B0"/>
    <w:rsid w:val="7EC90C5E"/>
    <w:rsid w:val="7ECC4792"/>
    <w:rsid w:val="7ED2669C"/>
    <w:rsid w:val="7ED71E7C"/>
    <w:rsid w:val="7EDC636B"/>
    <w:rsid w:val="7EDD671E"/>
    <w:rsid w:val="7EE747B5"/>
    <w:rsid w:val="7EFA3AC0"/>
    <w:rsid w:val="7EFC5E66"/>
    <w:rsid w:val="7F0A0B9F"/>
    <w:rsid w:val="7F0F1615"/>
    <w:rsid w:val="7F1A0270"/>
    <w:rsid w:val="7F1B2325"/>
    <w:rsid w:val="7F323556"/>
    <w:rsid w:val="7F3A0649"/>
    <w:rsid w:val="7F3E7050"/>
    <w:rsid w:val="7F413799"/>
    <w:rsid w:val="7F477001"/>
    <w:rsid w:val="7F5434CC"/>
    <w:rsid w:val="7F5C05D3"/>
    <w:rsid w:val="7F6125A9"/>
    <w:rsid w:val="7F621288"/>
    <w:rsid w:val="7F6E7D32"/>
    <w:rsid w:val="7F723A7C"/>
    <w:rsid w:val="7F737DF6"/>
    <w:rsid w:val="7F787239"/>
    <w:rsid w:val="7F7F2C3F"/>
    <w:rsid w:val="7F8273EE"/>
    <w:rsid w:val="7F855246"/>
    <w:rsid w:val="7F855D7C"/>
    <w:rsid w:val="7F875650"/>
    <w:rsid w:val="7F8C7F60"/>
    <w:rsid w:val="7F9054C0"/>
    <w:rsid w:val="7F932247"/>
    <w:rsid w:val="7F945543"/>
    <w:rsid w:val="7F983D01"/>
    <w:rsid w:val="7F991708"/>
    <w:rsid w:val="7FA129E2"/>
    <w:rsid w:val="7FA44647"/>
    <w:rsid w:val="7FB04091"/>
    <w:rsid w:val="7FBD5515"/>
    <w:rsid w:val="7FC95C68"/>
    <w:rsid w:val="7FCF00C9"/>
    <w:rsid w:val="7FEA21F3"/>
    <w:rsid w:val="7FF15DEF"/>
    <w:rsid w:val="7FF33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pageBreakBefore w:val="0"/>
      <w:widowControl w:val="0"/>
      <w:kinsoku/>
      <w:wordWrap/>
      <w:overflowPunct/>
      <w:topLinePunct w:val="0"/>
      <w:autoSpaceDE/>
      <w:autoSpaceDN/>
      <w:bidi w:val="0"/>
      <w:adjustRightInd/>
      <w:snapToGrid/>
      <w:spacing w:line="360" w:lineRule="auto"/>
      <w:ind w:firstLine="1040" w:firstLineChars="200"/>
      <w:jc w:val="both"/>
      <w:textAlignment w:val="auto"/>
    </w:pPr>
    <w:rPr>
      <w:rFonts w:ascii="Times New Roman" w:hAnsi="Times New Roman" w:eastAsia="宋体" w:cs="宋体"/>
      <w:kern w:val="2"/>
      <w:sz w:val="24"/>
      <w:szCs w:val="24"/>
      <w:lang w:val="en-US" w:eastAsia="zh-CN" w:bidi="ar-SA"/>
    </w:rPr>
  </w:style>
  <w:style w:type="paragraph" w:styleId="9">
    <w:name w:val="heading 1"/>
    <w:basedOn w:val="10"/>
    <w:next w:val="1"/>
    <w:qFormat/>
    <w:uiPriority w:val="0"/>
    <w:pPr>
      <w:numPr>
        <w:ilvl w:val="0"/>
        <w:numId w:val="1"/>
      </w:numPr>
      <w:spacing w:after="165" w:afterLines="50"/>
      <w:ind w:firstLine="420" w:firstLineChars="0"/>
      <w:jc w:val="center"/>
      <w:outlineLvl w:val="0"/>
    </w:pPr>
    <w:rPr>
      <w:rFonts w:ascii="黑体" w:hAnsi="黑体" w:eastAsia="黑体" w:cs="黑体"/>
      <w:sz w:val="30"/>
      <w:szCs w:val="30"/>
    </w:rPr>
  </w:style>
  <w:style w:type="paragraph" w:styleId="11">
    <w:name w:val="heading 2"/>
    <w:basedOn w:val="1"/>
    <w:next w:val="1"/>
    <w:link w:val="39"/>
    <w:unhideWhenUsed/>
    <w:qFormat/>
    <w:uiPriority w:val="0"/>
    <w:pPr>
      <w:numPr>
        <w:ilvl w:val="1"/>
        <w:numId w:val="2"/>
      </w:numPr>
      <w:tabs>
        <w:tab w:val="left" w:pos="420"/>
        <w:tab w:val="clear" w:pos="0"/>
      </w:tabs>
      <w:ind w:firstLine="482"/>
      <w:outlineLvl w:val="1"/>
    </w:pPr>
    <w:rPr>
      <w:b/>
      <w:bCs/>
      <w:color w:val="auto"/>
      <w:highlight w:val="none"/>
    </w:rPr>
  </w:style>
  <w:style w:type="paragraph" w:styleId="12">
    <w:name w:val="heading 3"/>
    <w:basedOn w:val="1"/>
    <w:next w:val="1"/>
    <w:unhideWhenUsed/>
    <w:qFormat/>
    <w:uiPriority w:val="0"/>
    <w:pPr>
      <w:keepNext/>
      <w:keepLines/>
      <w:numPr>
        <w:ilvl w:val="2"/>
        <w:numId w:val="2"/>
      </w:numPr>
      <w:tabs>
        <w:tab w:val="left" w:pos="420"/>
        <w:tab w:val="clear" w:pos="0"/>
      </w:tabs>
      <w:spacing w:beforeLines="0" w:afterLines="0"/>
      <w:ind w:firstLine="482"/>
      <w:jc w:val="left"/>
      <w:outlineLvl w:val="2"/>
    </w:pPr>
    <w:rPr>
      <w:rFonts w:cs="Times New Roman"/>
      <w:b/>
      <w:bCs/>
      <w:color w:val="auto"/>
      <w:highlight w:val="none"/>
    </w:rPr>
  </w:style>
  <w:style w:type="paragraph" w:styleId="13">
    <w:name w:val="heading 4"/>
    <w:basedOn w:val="1"/>
    <w:next w:val="1"/>
    <w:unhideWhenUsed/>
    <w:qFormat/>
    <w:uiPriority w:val="0"/>
    <w:pPr>
      <w:keepNext/>
      <w:keepLines/>
      <w:numPr>
        <w:ilvl w:val="3"/>
        <w:numId w:val="3"/>
      </w:numPr>
      <w:spacing w:before="280" w:beforeLines="0" w:beforeAutospacing="0" w:after="290" w:afterLines="0" w:afterAutospacing="0" w:line="372" w:lineRule="auto"/>
      <w:ind w:left="864" w:hanging="864" w:firstLineChars="0"/>
      <w:outlineLvl w:val="3"/>
    </w:pPr>
    <w:rPr>
      <w:rFonts w:ascii="Arial" w:hAnsi="Arial" w:eastAsia="黑体"/>
      <w:b/>
      <w:sz w:val="28"/>
    </w:rPr>
  </w:style>
  <w:style w:type="paragraph" w:styleId="14">
    <w:name w:val="heading 5"/>
    <w:basedOn w:val="1"/>
    <w:next w:val="1"/>
    <w:semiHidden/>
    <w:unhideWhenUsed/>
    <w:qFormat/>
    <w:uiPriority w:val="0"/>
    <w:pPr>
      <w:keepNext/>
      <w:keepLines/>
      <w:numPr>
        <w:ilvl w:val="4"/>
        <w:numId w:val="3"/>
      </w:numPr>
      <w:spacing w:before="280" w:beforeLines="0" w:beforeAutospacing="0" w:after="290" w:afterLines="0" w:afterAutospacing="0" w:line="372" w:lineRule="auto"/>
      <w:ind w:left="1008" w:hanging="1008" w:firstLineChars="0"/>
      <w:outlineLvl w:val="4"/>
    </w:pPr>
    <w:rPr>
      <w:b/>
      <w:sz w:val="28"/>
    </w:rPr>
  </w:style>
  <w:style w:type="paragraph" w:styleId="15">
    <w:name w:val="heading 6"/>
    <w:basedOn w:val="1"/>
    <w:next w:val="1"/>
    <w:semiHidden/>
    <w:unhideWhenUsed/>
    <w:qFormat/>
    <w:uiPriority w:val="0"/>
    <w:pPr>
      <w:keepNext/>
      <w:keepLines/>
      <w:numPr>
        <w:ilvl w:val="5"/>
        <w:numId w:val="3"/>
      </w:numPr>
      <w:spacing w:before="240" w:beforeLines="0" w:beforeAutospacing="0" w:after="64" w:afterLines="0" w:afterAutospacing="0" w:line="317" w:lineRule="auto"/>
      <w:ind w:left="1151" w:hanging="1151" w:firstLineChars="0"/>
      <w:outlineLvl w:val="5"/>
    </w:pPr>
    <w:rPr>
      <w:rFonts w:ascii="Arial" w:hAnsi="Arial" w:eastAsia="黑体"/>
      <w:b/>
      <w:sz w:val="24"/>
    </w:rPr>
  </w:style>
  <w:style w:type="paragraph" w:styleId="16">
    <w:name w:val="heading 7"/>
    <w:basedOn w:val="1"/>
    <w:next w:val="1"/>
    <w:semiHidden/>
    <w:unhideWhenUsed/>
    <w:qFormat/>
    <w:uiPriority w:val="0"/>
    <w:pPr>
      <w:keepNext/>
      <w:keepLines/>
      <w:numPr>
        <w:ilvl w:val="6"/>
        <w:numId w:val="3"/>
      </w:numPr>
      <w:spacing w:before="240" w:beforeLines="0" w:beforeAutospacing="0" w:after="64" w:afterLines="0" w:afterAutospacing="0" w:line="317" w:lineRule="auto"/>
      <w:ind w:left="1296" w:hanging="1296" w:firstLineChars="0"/>
      <w:outlineLvl w:val="6"/>
    </w:pPr>
    <w:rPr>
      <w:b/>
      <w:sz w:val="24"/>
    </w:rPr>
  </w:style>
  <w:style w:type="paragraph" w:styleId="17">
    <w:name w:val="heading 8"/>
    <w:basedOn w:val="1"/>
    <w:next w:val="1"/>
    <w:semiHidden/>
    <w:unhideWhenUsed/>
    <w:qFormat/>
    <w:uiPriority w:val="0"/>
    <w:pPr>
      <w:keepNext/>
      <w:keepLines/>
      <w:numPr>
        <w:ilvl w:val="7"/>
        <w:numId w:val="3"/>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8">
    <w:name w:val="heading 9"/>
    <w:basedOn w:val="1"/>
    <w:next w:val="1"/>
    <w:semiHidden/>
    <w:unhideWhenUsed/>
    <w:qFormat/>
    <w:uiPriority w:val="0"/>
    <w:pPr>
      <w:keepNext/>
      <w:keepLines/>
      <w:numPr>
        <w:ilvl w:val="8"/>
        <w:numId w:val="3"/>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30">
    <w:name w:val="Default Paragraph Font"/>
    <w:semiHidden/>
    <w:qFormat/>
    <w:uiPriority w:val="0"/>
  </w:style>
  <w:style w:type="table" w:default="1" w:styleId="28">
    <w:name w:val="Normal Table"/>
    <w:semiHidden/>
    <w:qFormat/>
    <w:uiPriority w:val="0"/>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楷体_GB2312" w:hAnsi="Times New Roman" w:eastAsia="楷体_GB2312" w:cs="Times New Roman"/>
      <w:color w:val="000000"/>
      <w:sz w:val="24"/>
      <w:lang w:val="en-US" w:eastAsia="zh-CN" w:bidi="ar-SA"/>
    </w:rPr>
  </w:style>
  <w:style w:type="paragraph" w:customStyle="1" w:styleId="3">
    <w:name w:val="纯文本1"/>
    <w:basedOn w:val="1"/>
    <w:qFormat/>
    <w:uiPriority w:val="0"/>
    <w:pPr>
      <w:adjustRightInd w:val="0"/>
    </w:pPr>
    <w:rPr>
      <w:rFonts w:ascii="宋体" w:hAnsi="Courier New"/>
    </w:rPr>
  </w:style>
  <w:style w:type="paragraph" w:customStyle="1" w:styleId="4">
    <w:name w:val="表格文字"/>
    <w:basedOn w:val="5"/>
    <w:next w:val="1"/>
    <w:qFormat/>
    <w:uiPriority w:val="0"/>
    <w:pPr>
      <w:tabs>
        <w:tab w:val="left" w:pos="0"/>
        <w:tab w:val="left" w:pos="1841"/>
      </w:tabs>
      <w:spacing w:line="480" w:lineRule="exact"/>
      <w:jc w:val="center"/>
    </w:pPr>
    <w:rPr>
      <w:kern w:val="1"/>
      <w:sz w:val="24"/>
      <w:szCs w:val="20"/>
    </w:rPr>
  </w:style>
  <w:style w:type="paragraph" w:customStyle="1" w:styleId="5">
    <w:name w:val="表格标题"/>
    <w:basedOn w:val="6"/>
    <w:next w:val="1"/>
    <w:qFormat/>
    <w:uiPriority w:val="0"/>
    <w:pPr>
      <w:tabs>
        <w:tab w:val="left" w:pos="0"/>
        <w:tab w:val="left" w:pos="1841"/>
      </w:tabs>
      <w:spacing w:beforeLines="50" w:afterLines="50" w:line="360" w:lineRule="auto"/>
      <w:ind w:firstLine="200" w:firstLineChars="200"/>
      <w:jc w:val="left"/>
    </w:pPr>
    <w:rPr>
      <w:rFonts w:ascii="Arial" w:hAnsi="Arial" w:eastAsia="黑体"/>
      <w:b/>
      <w:color w:val="000000"/>
      <w:kern w:val="2"/>
      <w:szCs w:val="22"/>
    </w:rPr>
  </w:style>
  <w:style w:type="paragraph" w:styleId="6">
    <w:name w:val="Plain Text"/>
    <w:basedOn w:val="1"/>
    <w:next w:val="7"/>
    <w:qFormat/>
    <w:uiPriority w:val="0"/>
    <w:rPr>
      <w:rFonts w:ascii="宋体" w:hAnsi="Courier New"/>
      <w:sz w:val="30"/>
      <w:szCs w:val="20"/>
    </w:rPr>
  </w:style>
  <w:style w:type="paragraph" w:styleId="7">
    <w:name w:val="Body Text First Indent"/>
    <w:basedOn w:val="8"/>
    <w:next w:val="1"/>
    <w:qFormat/>
    <w:uiPriority w:val="0"/>
    <w:pPr>
      <w:widowControl w:val="0"/>
      <w:snapToGrid/>
      <w:spacing w:before="0" w:after="120" w:line="240" w:lineRule="auto"/>
      <w:ind w:right="0" w:firstLine="420" w:firstLineChars="100"/>
    </w:pPr>
    <w:rPr>
      <w:kern w:val="2"/>
      <w:sz w:val="21"/>
      <w:szCs w:val="24"/>
    </w:rPr>
  </w:style>
  <w:style w:type="paragraph" w:styleId="8">
    <w:name w:val="Body Text"/>
    <w:basedOn w:val="1"/>
    <w:next w:val="1"/>
    <w:qFormat/>
    <w:uiPriority w:val="0"/>
    <w:pPr>
      <w:widowControl/>
      <w:snapToGrid w:val="0"/>
      <w:spacing w:before="60" w:after="160" w:line="259" w:lineRule="auto"/>
      <w:ind w:right="113"/>
    </w:pPr>
    <w:rPr>
      <w:kern w:val="0"/>
      <w:sz w:val="18"/>
      <w:szCs w:val="20"/>
    </w:rPr>
  </w:style>
  <w:style w:type="paragraph" w:customStyle="1" w:styleId="10">
    <w:name w:val="封面"/>
    <w:basedOn w:val="1"/>
    <w:qFormat/>
    <w:uiPriority w:val="0"/>
    <w:rPr>
      <w:rFonts w:ascii="Times New Roman" w:hAnsi="Times New Roman"/>
    </w:rPr>
  </w:style>
  <w:style w:type="paragraph" w:styleId="19">
    <w:name w:val="Normal Indent"/>
    <w:basedOn w:val="1"/>
    <w:next w:val="13"/>
    <w:qFormat/>
    <w:uiPriority w:val="0"/>
    <w:pPr>
      <w:adjustRightInd w:val="0"/>
      <w:snapToGrid w:val="0"/>
      <w:spacing w:before="156" w:beforeLines="50" w:after="156" w:afterLines="50" w:line="360" w:lineRule="auto"/>
      <w:ind w:firstLine="560" w:firstLineChars="200"/>
    </w:pPr>
    <w:rPr>
      <w:szCs w:val="24"/>
    </w:rPr>
  </w:style>
  <w:style w:type="paragraph" w:styleId="20">
    <w:name w:val="caption"/>
    <w:basedOn w:val="1"/>
    <w:next w:val="1"/>
    <w:link w:val="36"/>
    <w:unhideWhenUsed/>
    <w:qFormat/>
    <w:uiPriority w:val="0"/>
    <w:pPr>
      <w:keepNext w:val="0"/>
      <w:keepLines w:val="0"/>
      <w:pageBreakBefore w:val="0"/>
      <w:widowControl/>
      <w:kinsoku/>
      <w:wordWrap/>
      <w:overflowPunct/>
      <w:topLinePunct w:val="0"/>
      <w:autoSpaceDE/>
      <w:autoSpaceDN/>
      <w:bidi w:val="0"/>
      <w:adjustRightInd/>
      <w:snapToGrid/>
      <w:spacing w:line="240" w:lineRule="auto"/>
      <w:jc w:val="center"/>
      <w:textAlignment w:val="auto"/>
    </w:pPr>
    <w:rPr>
      <w:rFonts w:ascii="Times New Roman" w:hAnsi="Times New Roman" w:eastAsia="宋体" w:cs="Times New Roman"/>
      <w:b/>
      <w:bCs/>
      <w:color w:val="auto"/>
      <w:kern w:val="2"/>
      <w:sz w:val="21"/>
      <w:szCs w:val="24"/>
      <w:highlight w:val="none"/>
      <w:lang w:val="en-US" w:eastAsia="zh-CN" w:bidi="ar"/>
    </w:rPr>
  </w:style>
  <w:style w:type="paragraph" w:styleId="21">
    <w:name w:val="annotation text"/>
    <w:basedOn w:val="1"/>
    <w:qFormat/>
    <w:uiPriority w:val="0"/>
    <w:pPr>
      <w:jc w:val="left"/>
    </w:pPr>
  </w:style>
  <w:style w:type="paragraph" w:styleId="22">
    <w:name w:val="Block Text"/>
    <w:basedOn w:val="1"/>
    <w:next w:val="23"/>
    <w:qFormat/>
    <w:uiPriority w:val="0"/>
    <w:pPr>
      <w:widowControl w:val="0"/>
      <w:autoSpaceDE w:val="0"/>
      <w:autoSpaceDN w:val="0"/>
      <w:adjustRightInd w:val="0"/>
      <w:spacing w:before="1" w:line="537" w:lineRule="exact"/>
      <w:ind w:left="88" w:right="6"/>
      <w:jc w:val="both"/>
    </w:pPr>
    <w:rPr>
      <w:rFonts w:ascii="Times New Roman" w:hAnsi="Times New Roman" w:eastAsia="宋体" w:cs="Times New Roman"/>
      <w:kern w:val="0"/>
      <w:sz w:val="28"/>
      <w:szCs w:val="20"/>
      <w:lang w:val="en-US" w:eastAsia="zh-CN" w:bidi="ar-SA"/>
    </w:rPr>
  </w:style>
  <w:style w:type="paragraph" w:styleId="23">
    <w:name w:val="List Paragraph"/>
    <w:basedOn w:val="1"/>
    <w:qFormat/>
    <w:uiPriority w:val="0"/>
    <w:pPr>
      <w:spacing w:before="50" w:beforeLines="50" w:after="50" w:afterLines="50" w:line="360" w:lineRule="auto"/>
      <w:ind w:firstLine="420" w:firstLineChars="200"/>
    </w:pPr>
    <w:rPr>
      <w:rFonts w:ascii="Calibri" w:hAnsi="Calibri"/>
      <w:b/>
      <w:sz w:val="24"/>
      <w:szCs w:val="22"/>
    </w:rPr>
  </w:style>
  <w:style w:type="paragraph" w:styleId="24">
    <w:name w:val="footer"/>
    <w:basedOn w:val="1"/>
    <w:qFormat/>
    <w:uiPriority w:val="0"/>
    <w:pPr>
      <w:tabs>
        <w:tab w:val="center" w:pos="4153"/>
        <w:tab w:val="right" w:pos="8306"/>
      </w:tabs>
      <w:snapToGrid w:val="0"/>
      <w:ind w:firstLine="0" w:firstLineChars="0"/>
      <w:jc w:val="left"/>
    </w:pPr>
    <w:rPr>
      <w:rFonts w:ascii="Times New Roman" w:hAnsi="Times New Roman" w:eastAsia="宋体"/>
      <w:sz w:val="21"/>
    </w:rPr>
  </w:style>
  <w:style w:type="paragraph" w:styleId="2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firstLine="0" w:firstLineChars="0"/>
      <w:jc w:val="both"/>
      <w:outlineLvl w:val="9"/>
    </w:pPr>
    <w:rPr>
      <w:rFonts w:ascii="Times New Roman" w:hAnsi="Times New Roman" w:eastAsia="宋体"/>
      <w:sz w:val="21"/>
    </w:rPr>
  </w:style>
  <w:style w:type="paragraph" w:styleId="26">
    <w:name w:val="Subtitle"/>
    <w:basedOn w:val="1"/>
    <w:next w:val="1"/>
    <w:qFormat/>
    <w:uiPriority w:val="0"/>
    <w:pPr>
      <w:spacing w:before="240" w:beforeLines="0" w:beforeAutospacing="0" w:after="60" w:afterLines="0" w:afterAutospacing="0" w:line="312" w:lineRule="auto"/>
      <w:jc w:val="center"/>
      <w:outlineLvl w:val="1"/>
    </w:pPr>
    <w:rPr>
      <w:rFonts w:ascii="Arial" w:hAnsi="Arial"/>
      <w:b/>
      <w:kern w:val="28"/>
      <w:sz w:val="32"/>
    </w:rPr>
  </w:style>
  <w:style w:type="paragraph" w:styleId="27">
    <w:name w:val="Body Text First Indent 2"/>
    <w:basedOn w:val="1"/>
    <w:next w:val="1"/>
    <w:qFormat/>
    <w:uiPriority w:val="0"/>
    <w:pPr>
      <w:adjustRightInd w:val="0"/>
      <w:snapToGrid w:val="0"/>
      <w:spacing w:line="460" w:lineRule="exact"/>
      <w:ind w:firstLine="420" w:firstLineChars="200"/>
      <w:jc w:val="left"/>
    </w:pPr>
    <w:rPr>
      <w:rFonts w:ascii="Times New Roman" w:hAnsi="Times New Roman"/>
      <w:sz w:val="24"/>
      <w:szCs w:val="20"/>
    </w:r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b/>
    </w:rPr>
  </w:style>
  <w:style w:type="paragraph" w:customStyle="1" w:styleId="32">
    <w:name w:val="Char Char Char Char Char Char1 Char Char Char Char"/>
    <w:basedOn w:val="1"/>
    <w:next w:val="1"/>
    <w:semiHidden/>
    <w:qFormat/>
    <w:uiPriority w:val="0"/>
    <w:pPr>
      <w:spacing w:line="360" w:lineRule="auto"/>
      <w:ind w:firstLine="200" w:firstLineChars="200"/>
    </w:pPr>
    <w:rPr>
      <w:rFonts w:ascii="宋体" w:hAnsi="宋体" w:cs="宋体"/>
      <w:szCs w:val="21"/>
    </w:rPr>
  </w:style>
  <w:style w:type="paragraph" w:customStyle="1" w:styleId="33">
    <w:name w:val="附件"/>
    <w:basedOn w:val="11"/>
    <w:next w:val="34"/>
    <w:qFormat/>
    <w:uiPriority w:val="0"/>
    <w:pPr>
      <w:numPr>
        <w:ilvl w:val="0"/>
        <w:numId w:val="4"/>
      </w:numPr>
      <w:tabs>
        <w:tab w:val="left" w:pos="397"/>
        <w:tab w:val="clear" w:pos="0"/>
      </w:tabs>
      <w:spacing w:beforeLines="0" w:afterLines="0" w:line="240" w:lineRule="auto"/>
      <w:ind w:firstLine="0" w:firstLineChars="0"/>
    </w:pPr>
    <w:rPr>
      <w:rFonts w:ascii="Times New Roman" w:hAnsi="Times New Roman" w:eastAsia="宋体"/>
    </w:rPr>
  </w:style>
  <w:style w:type="paragraph" w:customStyle="1" w:styleId="34">
    <w:name w:val="题注文字"/>
    <w:basedOn w:val="1"/>
    <w:link w:val="37"/>
    <w:qFormat/>
    <w:uiPriority w:val="0"/>
    <w:pPr>
      <w:widowControl/>
      <w:spacing w:before="0" w:after="0" w:line="240" w:lineRule="auto"/>
      <w:ind w:firstLine="0" w:firstLineChars="0"/>
      <w:jc w:val="center"/>
    </w:pPr>
    <w:rPr>
      <w:rFonts w:ascii="Times New Roman" w:hAnsi="Times New Roman" w:eastAsia="宋体"/>
      <w:sz w:val="21"/>
      <w:szCs w:val="21"/>
      <w:lang w:bidi="ar"/>
    </w:rPr>
  </w:style>
  <w:style w:type="paragraph" w:customStyle="1" w:styleId="35">
    <w:name w:val="附图"/>
    <w:basedOn w:val="11"/>
    <w:qFormat/>
    <w:uiPriority w:val="0"/>
    <w:pPr>
      <w:numPr>
        <w:numId w:val="5"/>
      </w:numPr>
      <w:tabs>
        <w:tab w:val="left" w:pos="0"/>
        <w:tab w:val="clear" w:pos="420"/>
      </w:tabs>
      <w:spacing w:beforeLines="0" w:afterLines="0" w:line="240" w:lineRule="auto"/>
      <w:ind w:firstLine="0" w:firstLineChars="0"/>
      <w:jc w:val="center"/>
    </w:pPr>
    <w:rPr>
      <w:rFonts w:ascii="Times New Roman" w:hAnsi="Times New Roman" w:eastAsia="宋体"/>
    </w:rPr>
  </w:style>
  <w:style w:type="character" w:customStyle="1" w:styleId="36">
    <w:name w:val="题注 Char"/>
    <w:link w:val="20"/>
    <w:qFormat/>
    <w:uiPriority w:val="0"/>
    <w:rPr>
      <w:rFonts w:ascii="Times New Roman" w:hAnsi="Times New Roman" w:eastAsia="宋体" w:cs="Times New Roman"/>
      <w:b/>
      <w:bCs/>
      <w:color w:val="auto"/>
      <w:kern w:val="2"/>
      <w:sz w:val="21"/>
      <w:szCs w:val="24"/>
      <w:highlight w:val="none"/>
      <w:lang w:val="en-US" w:eastAsia="zh-CN" w:bidi="ar"/>
    </w:rPr>
  </w:style>
  <w:style w:type="character" w:customStyle="1" w:styleId="37">
    <w:name w:val="题注文字 Char"/>
    <w:link w:val="34"/>
    <w:qFormat/>
    <w:uiPriority w:val="0"/>
    <w:rPr>
      <w:rFonts w:ascii="Times New Roman" w:hAnsi="Times New Roman" w:eastAsia="宋体" w:cs="宋体"/>
      <w:kern w:val="28"/>
      <w:sz w:val="21"/>
      <w:szCs w:val="21"/>
      <w:lang w:val="en-US" w:eastAsia="zh-CN" w:bidi="ar"/>
    </w:rPr>
  </w:style>
  <w:style w:type="table" w:customStyle="1" w:styleId="38">
    <w:name w:val="Table Normal"/>
    <w:unhideWhenUsed/>
    <w:qFormat/>
    <w:uiPriority w:val="0"/>
    <w:tblPr>
      <w:tblCellMar>
        <w:top w:w="0" w:type="dxa"/>
        <w:left w:w="0" w:type="dxa"/>
        <w:bottom w:w="0" w:type="dxa"/>
        <w:right w:w="0" w:type="dxa"/>
      </w:tblCellMar>
    </w:tblPr>
  </w:style>
  <w:style w:type="character" w:customStyle="1" w:styleId="39">
    <w:name w:val="标题 2 Char"/>
    <w:link w:val="11"/>
    <w:qFormat/>
    <w:uiPriority w:val="0"/>
    <w:rPr>
      <w:rFonts w:ascii="Times New Roman" w:hAnsi="Times New Roman" w:eastAsia="宋体" w:cs="宋体"/>
      <w:b/>
      <w:bCs/>
      <w:color w:val="auto"/>
      <w:kern w:val="2"/>
      <w:sz w:val="24"/>
      <w:szCs w:val="24"/>
      <w:highlight w:val="none"/>
      <w:lang w:val="en-US" w:eastAsia="zh-CN" w:bidi="ar-SA"/>
    </w:rPr>
  </w:style>
  <w:style w:type="character" w:customStyle="1" w:styleId="40">
    <w:name w:val="表头B Char"/>
    <w:link w:val="41"/>
    <w:qFormat/>
    <w:uiPriority w:val="0"/>
    <w:rPr>
      <w:b/>
      <w:sz w:val="21"/>
    </w:rPr>
  </w:style>
  <w:style w:type="paragraph" w:customStyle="1" w:styleId="41">
    <w:name w:val="表头B"/>
    <w:basedOn w:val="1"/>
    <w:link w:val="40"/>
    <w:qFormat/>
    <w:uiPriority w:val="0"/>
    <w:pPr>
      <w:ind w:firstLine="0" w:firstLineChars="0"/>
      <w:jc w:val="center"/>
    </w:pPr>
    <w:rPr>
      <w:b/>
      <w:sz w:val="21"/>
    </w:rPr>
  </w:style>
  <w:style w:type="paragraph" w:customStyle="1" w:styleId="42">
    <w:name w:val="表格"/>
    <w:basedOn w:val="6"/>
    <w:next w:val="1"/>
    <w:qFormat/>
    <w:uiPriority w:val="0"/>
    <w:pPr>
      <w:adjustRightInd w:val="0"/>
      <w:snapToGrid w:val="0"/>
      <w:spacing w:line="320" w:lineRule="exact"/>
      <w:ind w:right="0" w:firstLine="0" w:firstLineChars="0"/>
      <w:jc w:val="center"/>
    </w:pPr>
    <w:rPr>
      <w:rFonts w:ascii="Times New Roman" w:hAnsi="Times New Roman" w:eastAsia="宋体"/>
      <w:sz w:val="21"/>
    </w:rPr>
  </w:style>
  <w:style w:type="paragraph" w:customStyle="1" w:styleId="43">
    <w:name w:val="Other|1"/>
    <w:basedOn w:val="1"/>
    <w:qFormat/>
    <w:uiPriority w:val="0"/>
    <w:pPr>
      <w:spacing w:line="247" w:lineRule="exact"/>
    </w:pPr>
    <w:rPr>
      <w:rFonts w:ascii="宋体" w:hAnsi="宋体" w:cs="宋体"/>
      <w:sz w:val="20"/>
      <w:szCs w:val="20"/>
      <w:lang w:val="zh-TW" w:eastAsia="zh-TW" w:bidi="zh-TW"/>
    </w:rPr>
  </w:style>
  <w:style w:type="paragraph" w:customStyle="1" w:styleId="44">
    <w:name w:val="无间隔3"/>
    <w:qFormat/>
    <w:uiPriority w:val="0"/>
    <w:pPr>
      <w:spacing w:line="360" w:lineRule="exact"/>
      <w:jc w:val="center"/>
    </w:pPr>
    <w:rPr>
      <w:rFonts w:ascii="Calibri" w:hAnsi="Calibri" w:eastAsia="Times New Roman" w:cs="Times New Roman"/>
      <w:sz w:val="21"/>
      <w:szCs w:val="22"/>
      <w:lang w:val="en-US" w:eastAsia="zh-CN" w:bidi="ar-SA"/>
    </w:rPr>
  </w:style>
  <w:style w:type="paragraph" w:customStyle="1" w:styleId="45">
    <w:name w:val="5-正文"/>
    <w:basedOn w:val="1"/>
    <w:qFormat/>
    <w:uiPriority w:val="0"/>
    <w:pPr>
      <w:snapToGrid w:val="0"/>
      <w:spacing w:line="480" w:lineRule="exact"/>
      <w:ind w:firstLine="200" w:firstLineChars="200"/>
    </w:pPr>
    <w:rPr>
      <w:sz w:val="2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wmf"/><Relationship Id="rId24" Type="http://schemas.openxmlformats.org/officeDocument/2006/relationships/image" Target="media/image15.wmf"/><Relationship Id="rId23" Type="http://schemas.openxmlformats.org/officeDocument/2006/relationships/image" Target="media/image14.wmf"/><Relationship Id="rId22" Type="http://schemas.openxmlformats.org/officeDocument/2006/relationships/image" Target="media/image13.wmf"/><Relationship Id="rId21" Type="http://schemas.openxmlformats.org/officeDocument/2006/relationships/image" Target="media/image12.wmf"/><Relationship Id="rId20" Type="http://schemas.openxmlformats.org/officeDocument/2006/relationships/image" Target="media/image11.wmf"/><Relationship Id="rId2" Type="http://schemas.openxmlformats.org/officeDocument/2006/relationships/settings" Target="settings.xml"/><Relationship Id="rId19" Type="http://schemas.openxmlformats.org/officeDocument/2006/relationships/image" Target="media/image10.wmf"/><Relationship Id="rId18" Type="http://schemas.openxmlformats.org/officeDocument/2006/relationships/image" Target="media/image9.wmf"/><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49309</Words>
  <Characters>56881</Characters>
  <Lines>0</Lines>
  <Paragraphs>0</Paragraphs>
  <TotalTime>2859</TotalTime>
  <ScaleCrop>false</ScaleCrop>
  <LinksUpToDate>false</LinksUpToDate>
  <CharactersWithSpaces>57137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2024-05-07T16:34:00Z</dcterms:created>
  <dc:creator>Administrator</dc:creator>
  <cp:lastModifiedBy>角逐</cp:lastModifiedBy>
  <cp:lastPrinted>2026-05-22T20:18:00Z</cp:lastPrinted>
  <dcterms:modified xsi:type="dcterms:W3CDTF">2026-08-19T01:29:31Z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9325B4BF8E4745638B65C87F69781C90_13</vt:lpwstr>
  </property>
  <property fmtid="{D5CDD505-2E9C-101B-9397-08002B2CF9AE}" pid="4" name="KSOTemplateDocerSaveRecord">
    <vt:lpwstr>eyJoZGlkIjoiZGViNTliOGZjYTYwYzhiOTU3NDdhNjc4OWRjNTVkY2QiLCJ1c2VySWQiOiI0NDg5NzU5NTYifQ==</vt:lpwstr>
  </property>
</Properties>
</file>