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04"/>
        <w:gridCol w:w="4815"/>
        <w:gridCol w:w="4183"/>
        <w:gridCol w:w="984"/>
        <w:gridCol w:w="1955"/>
      </w:tblGrid>
      <w:tr w:rsidR="0043729C" w:rsidTr="00337C45">
        <w:trPr>
          <w:trHeight w:val="1440"/>
        </w:trPr>
        <w:tc>
          <w:tcPr>
            <w:tcW w:w="13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Style w:val="font41"/>
                <w:lang w:bidi="ar"/>
              </w:rPr>
              <w:br/>
              <w:t xml:space="preserve">                  </w:t>
            </w:r>
            <w:r>
              <w:rPr>
                <w:rStyle w:val="font41"/>
                <w:lang w:bidi="ar"/>
              </w:rPr>
              <w:t>壶关县银行机构支持地方经济发展评价指标</w:t>
            </w:r>
          </w:p>
        </w:tc>
      </w:tr>
      <w:tr w:rsidR="0043729C" w:rsidTr="00337C45">
        <w:trPr>
          <w:trHeight w:val="6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指标名称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评价内容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评价标准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权重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数据来源</w:t>
            </w:r>
          </w:p>
        </w:tc>
      </w:tr>
      <w:tr w:rsidR="0043729C" w:rsidTr="00337C45">
        <w:trPr>
          <w:trHeight w:val="51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贷款增长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当年贷款增量排序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30%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人行壶关支行</w:t>
            </w:r>
          </w:p>
        </w:tc>
      </w:tr>
      <w:tr w:rsidR="0043729C" w:rsidTr="00337C45">
        <w:trPr>
          <w:trHeight w:val="50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当年贷款增长达到本县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GDP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增长幅度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完成得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分，未完成按实际完成折算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48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当年贷款增比排序（同比）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75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存贷比例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年末贷款与存款比例，地方法人机构比年初提高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个百分点，其他机构比年初提高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个百分点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完成得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分，未完成不得分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10%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人行壶关支行</w:t>
            </w:r>
          </w:p>
        </w:tc>
      </w:tr>
      <w:tr w:rsidR="0043729C" w:rsidTr="00337C45">
        <w:trPr>
          <w:trHeight w:val="498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当年新增存贷比排序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766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支持转型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重点项目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根据县重点转型项目融资对接会达成融资意向，资金到位金额排序（未放款不得分）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15%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各银行提供，相关部门审核</w:t>
            </w:r>
          </w:p>
        </w:tc>
      </w:tr>
      <w:tr w:rsidR="0043729C" w:rsidTr="00337C45">
        <w:trPr>
          <w:trHeight w:val="78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根据县重点转型项目融资对接会达成融资意向，资金到位率排序（未放款不得分）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54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万元以上重点转型项目贷款排序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15%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各银行提供，相关部门审核</w:t>
            </w:r>
          </w:p>
        </w:tc>
      </w:tr>
      <w:tr w:rsidR="0043729C" w:rsidTr="00337C45">
        <w:trPr>
          <w:trHeight w:val="577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支持乡村振兴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涉农贷款余额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54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当年贷款增量排序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626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支持民营企业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支持民营企业贷款余额排序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10%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各银行提供，相关部门审核</w:t>
            </w:r>
          </w:p>
        </w:tc>
      </w:tr>
      <w:tr w:rsidR="0043729C" w:rsidTr="00337C45">
        <w:trPr>
          <w:trHeight w:val="578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支持民营企业当年新增贷款排序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61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支持民营企业当年新增贷款增幅排序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611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微企业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贷款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微企业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贷款同比增速高于各项贷款同比增速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完成得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分，未完成不得分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10%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县银保监组</w:t>
            </w:r>
          </w:p>
        </w:tc>
      </w:tr>
      <w:tr w:rsidR="0043729C" w:rsidTr="00337C45">
        <w:trPr>
          <w:trHeight w:val="61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贷款户数高于去年同期户数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完成得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分，未完成不得分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658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微企业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新增贷款量排序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70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属地纳税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属地纳税额排序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最高得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5%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各银行提供</w:t>
            </w:r>
          </w:p>
        </w:tc>
      </w:tr>
      <w:tr w:rsidR="0043729C" w:rsidTr="00337C45">
        <w:trPr>
          <w:trHeight w:val="70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属地纳税与资产比排序（纳税额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资产总额）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最高得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70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配合地方政府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工作情况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积极参加市政府组织的相关活动情况</w:t>
            </w:r>
          </w:p>
        </w:tc>
        <w:tc>
          <w:tcPr>
            <w:tcW w:w="4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按照百分制打分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5%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县金融服务</w:t>
            </w:r>
          </w:p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中心</w:t>
            </w:r>
          </w:p>
        </w:tc>
      </w:tr>
      <w:tr w:rsidR="0043729C" w:rsidTr="00337C45">
        <w:trPr>
          <w:trHeight w:val="70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及时报送信息资料、统计分析数据情况</w:t>
            </w:r>
          </w:p>
        </w:tc>
        <w:tc>
          <w:tcPr>
            <w:tcW w:w="4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70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积极开展非法集资监测、宣传工作情况</w:t>
            </w:r>
          </w:p>
        </w:tc>
        <w:tc>
          <w:tcPr>
            <w:tcW w:w="4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43729C" w:rsidTr="00337C45">
        <w:trPr>
          <w:trHeight w:val="7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否决指标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当年发生重大金融风险事件或案件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337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取消参评资格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29C" w:rsidRDefault="0043729C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</w:tbl>
    <w:p w:rsidR="0043729C" w:rsidRDefault="0043729C" w:rsidP="00337C45">
      <w:pPr>
        <w:rPr>
          <w:rFonts w:hint="eastAsia"/>
        </w:rPr>
      </w:pPr>
      <w:bookmarkStart w:id="0" w:name="_GoBack"/>
      <w:bookmarkEnd w:id="0"/>
    </w:p>
    <w:sectPr w:rsidR="00437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337C45"/>
    <w:rsid w:val="0043729C"/>
    <w:rsid w:val="5F235C9D"/>
    <w:rsid w:val="721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4E5AC"/>
  <w15:docId w15:val="{889446BF-F4B3-4317-97DA-4A88F5DA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41">
    <w:name w:val="font41"/>
    <w:basedOn w:val="a0"/>
    <w:rPr>
      <w:rFonts w:ascii="方正小标宋简体" w:eastAsia="方正小标宋简体" w:hAnsi="方正小标宋简体" w:cs="方正小标宋简体"/>
      <w:color w:val="000000"/>
      <w:sz w:val="40"/>
      <w:szCs w:val="40"/>
      <w:u w:val="none"/>
    </w:rPr>
  </w:style>
  <w:style w:type="character" w:customStyle="1" w:styleId="font31">
    <w:name w:val="font31"/>
    <w:basedOn w:val="a0"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方正小标宋简体" w:eastAsia="方正小标宋简体" w:hAnsi="方正小标宋简体" w:cs="方正小标宋简体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832</Characters>
  <Application>Microsoft Office Word</Application>
  <DocSecurity>0</DocSecurity>
  <Lines>6</Lines>
  <Paragraphs>1</Paragraphs>
  <ScaleCrop>false</ScaleCrop>
  <Company>DoubleOX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侯攀</dc:creator>
  <cp:lastModifiedBy>Administrator</cp:lastModifiedBy>
  <cp:revision>2</cp:revision>
  <cp:lastPrinted>2021-11-08T01:05:00Z</cp:lastPrinted>
  <dcterms:created xsi:type="dcterms:W3CDTF">2021-11-24T07:38:00Z</dcterms:created>
  <dcterms:modified xsi:type="dcterms:W3CDTF">2021-11-24T07:38:00Z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08ABE94F1E6B4FCC9EEACA786641B2F5</vt:lpwstr>
  </property>
</Properties>
</file>