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黑体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重点产业链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链主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企业及责任部门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黑体" w:hAnsi="黑体" w:eastAsia="黑体" w:cs="方正小标宋_GBK"/>
          <w:sz w:val="32"/>
          <w:szCs w:val="32"/>
          <w:u w:val="none"/>
        </w:rPr>
      </w:pPr>
    </w:p>
    <w:tbl>
      <w:tblPr>
        <w:tblStyle w:val="3"/>
        <w:tblW w:w="9699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60"/>
        <w:gridCol w:w="3579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</w:rPr>
              <w:t>产业链名称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eastAsia="zh-CN"/>
              </w:rPr>
              <w:t>龙头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</w:rPr>
              <w:t>企业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由李杰县长担任总链长，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highlight w:val="none"/>
                <w:u w:val="none"/>
                <w:lang w:eastAsia="zh-CN"/>
              </w:rPr>
              <w:t>秦建霞副县长担任分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产业链链长，县工信局为各产业链牵头部门。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钢材深加工产业链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金烨钢铁集团有限公司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壶关经济开发区、县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工信局、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县发改和科技局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县政府招商中心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高端装备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制造产业链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山西壶化集团股份有限公司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长治市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鑫磁科技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有限公司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val="en-US" w:eastAsia="zh-CN"/>
              </w:rPr>
              <w:t>长治市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晋通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荧光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磁材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有限公司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长治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中研新材料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有限公司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壶关经济开发区、县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工信局、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县发改和科技局、县政府招商中心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光伏产业链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壶关高测新材料科技有限公司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壶关经济开发区、县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工信局、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县发改和科技局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县政府招商中心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资源综合利用产业链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  <w:t>山西太行陶瓷有限公司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壶关经济开发区、县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工信局、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县发改和科技局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县政府招商中心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40" w:firstLineChars="100"/>
              <w:jc w:val="center"/>
              <w:textAlignment w:val="auto"/>
              <w:rPr>
                <w:rFonts w:ascii="仿宋" w:hAnsi="仿宋" w:eastAsia="仿宋" w:cs="仿宋_GB2312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</w:rPr>
              <w:t>备注：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u w:val="none"/>
                <w:lang w:eastAsia="zh-CN"/>
              </w:rPr>
              <w:t>后续将根据形势变化和工作需要，适时动态调整重点产业链及“链主”企业。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C16B"/>
    <w:rsid w:val="374FC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2023-02-06T17:52:00Z</dcterms:created>
  <dc:creator>user</dc:creator>
  <cp:lastModifiedBy>user</cp:lastModifiedBy>
  <dcterms:modified xsi:type="dcterms:W3CDTF">2023-02-06T17:52:58Z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