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hint="eastAsia" w:ascii="黑体" w:hAnsi="黑体" w:cs="黑体" w:eastAsiaTheme="minorEastAsia"/>
          <w:b w:val="0"/>
          <w:bCs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-34290</wp:posOffset>
                </wp:positionV>
                <wp:extent cx="339725" cy="758190"/>
                <wp:effectExtent l="0" t="0" r="3175" b="381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39725" cy="758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- 40 -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15pt;margin-top:-2.7pt;height:59.7pt;width:26.75pt;z-index:251666432;mso-width-relative:page;mso-height-relative:page;" fillcolor="#FFFFFF [3201]" filled="t" stroked="f" coordsize="21600,21600" o:gfxdata="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BbORld2AAAAAoB&#10;AAAPAAAAAAAAAAEAIAAAADgAAABkcnMvZG93bnJldi54bWxQSwECFAAUAAAACACHTuJAHgd5oz4C&#10;AABWBAAADgAAAAAAAAABACAAAAA9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- 40 -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3"/>
          <w:rFonts w:hint="eastAsia" w:ascii="仿宋_GB2312" w:hAnsi="仿宋_GB2312" w:eastAsia="仿宋_GB2312" w:cs="仿宋_GB2312"/>
          <w:szCs w:val="32"/>
        </w:rPr>
      </w:pPr>
      <w:bookmarkStart w:id="0" w:name="_GoBack"/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县抗震救灾指挥部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组织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机构及职责</w:t>
      </w:r>
    </w:p>
    <w:bookmarkEnd w:id="0"/>
    <w:tbl>
      <w:tblPr>
        <w:tblStyle w:val="9"/>
        <w:tblW w:w="0" w:type="auto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805"/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4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指挥机构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4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职      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分管地震应急工作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副县长</w:t>
            </w:r>
          </w:p>
        </w:tc>
        <w:tc>
          <w:tcPr>
            <w:tcW w:w="1049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县抗震救灾指挥部职责：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（1）贯彻落实党中央、国务院,省委、省政府,市委、市政府关于抗震救灾工作的决策部署和县委、县政府工作要求。（2）分析研判地震灾害形势,确定应急处置工作方案。（3）部署组织县直有关部门和乡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人民政府对受灾地区进行紧急救援。（4）组织协调应急救援力量开展救援工作。（5）组织灾民安置和各类生活物资供应。（6）争取国家、省、市及其他县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的支持。（7）承担其他有关地震应急和救灾的重要工作。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480" w:firstLineChars="200"/>
              <w:jc w:val="both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县抗震救灾指挥部办公室职责：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（1）组织协调、督促落实县抗震救灾指挥部决定事项与相关工作任务。（2）协调成员单位做好地震灾害应对准备和应急处置工作。（3）收集、分析并及时上报重要工作信息。（4）指导协调开展全县地震灾害风险评估、隐患排查和督促整改工作。（5）按程序组织制定、修订与县抗震救灾指挥部职能相关的专项应急预案。（6）指导县级相关部门、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shd w:val="clear" w:color="auto" w:fill="FFFFFF"/>
              </w:rPr>
              <w:t>人民政府及重点企事业单位编制完善相关应急预案和实施演练工作。（7）组织拟定应对地震灾害的指导意见及工作规划。（8）指导协调地震应急避难场所的建设和管理工作。（9）组织指导本县应对地震灾害的宣传教育与培训。（10）配合有关部门做好县抗震救灾指挥部新闻发布工作。（11）承担县抗震救灾指挥部办公室应急值守工作。（12）承担县抗震救灾指挥部安排的其他有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副指挥长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县政府办公室协管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副主任</w:t>
            </w:r>
          </w:p>
        </w:tc>
        <w:tc>
          <w:tcPr>
            <w:tcW w:w="10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县应急管理局局长</w:t>
            </w:r>
          </w:p>
        </w:tc>
        <w:tc>
          <w:tcPr>
            <w:tcW w:w="10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县气象局局长</w:t>
            </w:r>
          </w:p>
        </w:tc>
        <w:tc>
          <w:tcPr>
            <w:tcW w:w="10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县人武部副部长</w:t>
            </w:r>
          </w:p>
        </w:tc>
        <w:tc>
          <w:tcPr>
            <w:tcW w:w="10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县消防救援大队队长</w:t>
            </w:r>
          </w:p>
        </w:tc>
        <w:tc>
          <w:tcPr>
            <w:tcW w:w="10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县武警中队队长</w:t>
            </w:r>
          </w:p>
        </w:tc>
        <w:tc>
          <w:tcPr>
            <w:tcW w:w="10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4"/>
          <w:rFonts w:hint="eastAsia" w:ascii="仿宋_GB2312" w:hAnsi="仿宋_GB2312" w:eastAsia="仿宋_GB2312" w:cs="仿宋_GB2312"/>
          <w:b w:val="0"/>
          <w:bCs/>
          <w:sz w:val="24"/>
          <w:szCs w:val="24"/>
        </w:rPr>
        <w:sectPr>
          <w:footerReference r:id="rId3" w:type="default"/>
          <w:pgSz w:w="16838" w:h="11906" w:orient="landscape"/>
          <w:pgMar w:top="1803" w:right="1440" w:bottom="1803" w:left="1538" w:header="851" w:footer="992" w:gutter="0"/>
          <w:pgNumType w:fmt="numberInDash" w:start="40"/>
          <w:cols w:space="0" w:num="1"/>
          <w:rtlGutter w:val="0"/>
          <w:docGrid w:type="lines" w:linePitch="319" w:charSpace="0"/>
        </w:sectPr>
      </w:pPr>
    </w:p>
    <w:tbl>
      <w:tblPr>
        <w:tblStyle w:val="9"/>
        <w:tblW w:w="0" w:type="auto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805"/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2944495</wp:posOffset>
                      </wp:positionV>
                      <wp:extent cx="339725" cy="758190"/>
                      <wp:effectExtent l="0" t="0" r="3175" b="3810"/>
                      <wp:wrapNone/>
                      <wp:docPr id="90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339725" cy="758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- 4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.75pt;margin-top:231.85pt;height:59.7pt;width:26.75pt;z-index:251667456;mso-width-relative:page;mso-height-relative:page;" fillcolor="#FFFFFF [3201]" filled="t" stroked="f" coordsize="21600,21600" o:gfxdata="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KGTwa7bAAAA&#10;CwEAAA8AAAAAAAAAAQAgAAAAOAAAAGRycy9kb3ducmV2LnhtbFBLAQIUABQAAAAIAIdO4kCDVofM&#10;PQIAAFYEAAAOAAAAAAAAAAEAIAAAAEA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- 4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成员单位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县宣传部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根据县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抗震救灾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指挥部的统一部署，组织协调新闻媒体开展应急新闻报道，积极引导舆论。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县委网信办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负责指导有关单位开展网络舆情监测，主动正面发声、回应社会关切，科学稳妥做好网上舆情引导应对。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县发展改革和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科学技术局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组织协调相关单位按照各自职责分工做好地震应急物资的储备、采购、调度工作，协调各部门积极推进应急基础设施建设和灾后重建工作；负责指导协调电力、新能源和可再生能源企业地震次生灾害抢排险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县教育局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负责指导学校做好在校学生的应急疏散、安置，负责指导在校学生心理咨询和宣传教育。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县工业和信息化局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重要物资生产组织工作；配合相关单位对监管企业生产和应急管理工作检查、督查；核实上报工业企业受损情况，指导制定工业恢复生产方案和工业生产自救；配合有关单位、督促受灾受损企业开展次生灾害救险、排险工作；负责组织协调电信运营企业做好应急保障工作；地震灾害后，及时收集上报设施受损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县公安局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负责灾区社会治安管理和重点目标的安全保卫，制定预防和打击震后各种违法犯罪活动的实施方案；负责灾区及周边道路、高速公路的交通管制和疏导，维护交通秩序，保障县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抗震救灾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指挥部与灾区间的救援通道畅通，对遇难人员进行尸体检验、数据勘验和身份识别。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县民政局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负责灾区遇难者遗体火化工作。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县司法局</w:t>
            </w:r>
          </w:p>
        </w:tc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负责司法系统监狱、解毒场所等特殊单位及群体的监控和转移安置，提供法律服务。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4"/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sectPr>
          <w:footerReference r:id="rId4" w:type="default"/>
          <w:pgSz w:w="16838" w:h="11906" w:orient="landscape"/>
          <w:pgMar w:top="1803" w:right="1440" w:bottom="1803" w:left="1536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9"/>
        <w:tblW w:w="0" w:type="auto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805"/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523" w:type="dxa"/>
            <w:vMerge w:val="restart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1905</wp:posOffset>
                      </wp:positionV>
                      <wp:extent cx="339725" cy="758190"/>
                      <wp:effectExtent l="0" t="0" r="3175" b="3810"/>
                      <wp:wrapNone/>
                      <wp:docPr id="91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339725" cy="758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- 4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pt;margin-top:0.15pt;height:59.7pt;width:26.75pt;z-index:251668480;mso-width-relative:page;mso-height-relative:page;" fillcolor="#FFFFFF [3201]" filled="t" stroked="f" coordsize="21600,21600" o:gfxdata="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ctt95tYAAAAIAQAA&#10;DwAAAAAAAAABACAAAAA4AAAAZHJzL2Rvd25yZXYueG1sUEsBAhQAFAAAAAgAh07iQKDDneo+AgAA&#10;VgQAAA4AAAAAAAAAAQAgAAAAOw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- 4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成员单位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县财政局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负责救灾资金筹集、管理，配合做好财政救灾资金、政府间捐赠资金及其他社会捐赠资金使用管理；负责组织对所需应急救援物资的政府采购，并对县应急救援物资的采购、储存、调运所需资金予以保障。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县自然资源局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负责次生地质灾害应急调查、监测，指导地质灾害应急治理工作。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市生态环境局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壶关分局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负责对灾区次生环境污染情况的监测预报及应急处置。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县住房和城乡建设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管理局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指导城市供水、排水、燃气、热力、道路照明等市政公用设施抢、排险工作，开展灾害损失调查评估和指导建筑物安全性鉴定工作；负责受灾地区损毁供水、供热、供气设备和设施的修复工作；负责组织人防工程抢、排险；利用人民防控资源参与抢险救灾和应急救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县交通运输局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负责开辟公路救灾绿色通道，协助调集、征用救灾车辆，组织公路抢修、维护，保障公路运输畅通。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县水利局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负责指导水库、河道、堤、坝等水利工程和水利设施的抢险和隐患排查工作。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县农业农村局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负责综合协调灾区动物疫情防治工作；负责农业生产自救，核实受损情况，指导制定农业恢复生产方案，指导乡镇农业生产恢复。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县文化和旅游局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负责指导旅游景区和旅行社做好游客疏散和安抚工作；开展地震应急宣传；负责灾区内重点文物受损情况核实。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4"/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sectPr>
          <w:footerReference r:id="rId5" w:type="default"/>
          <w:pgSz w:w="16838" w:h="11906" w:orient="landscape"/>
          <w:pgMar w:top="1803" w:right="1440" w:bottom="1803" w:left="1536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9"/>
        <w:tblW w:w="0" w:type="auto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805"/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-429895</wp:posOffset>
                      </wp:positionH>
                      <wp:positionV relativeFrom="paragraph">
                        <wp:posOffset>2974975</wp:posOffset>
                      </wp:positionV>
                      <wp:extent cx="339725" cy="758190"/>
                      <wp:effectExtent l="0" t="0" r="3175" b="3810"/>
                      <wp:wrapNone/>
                      <wp:docPr id="92" name="文本框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339725" cy="758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- 4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.85pt;margin-top:234.25pt;height:59.7pt;width:26.75pt;z-index:251669504;mso-width-relative:page;mso-height-relative:page;" fillcolor="#FFFFFF [3201]" filled="t" stroked="f" coordsize="21600,21600" o:gfxdata="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O96bTXaAAAA&#10;CwEAAA8AAAAAAAAAAQAgAAAAOAAAAGRycy9kb3ducmV2LnhtbFBLAQIUABQAAAAIAIdO4kDFfLKA&#10;PgIAAFYEAAAOAAAAAAAAAAEAIAAAAD8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- 4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成员单位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县卫生健康和体育局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统筹指挥调派紧急医学救援力量，设置救护场所和临时医疗点，开展伤病员现场抢救、转运和救治；组织开展灾区消杀防疫、生活用水卫生监测，预防控制传染病及疫情暴发；组织巡回医疗队，向灾区群众和救援人员提供医疗服务和心理援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县应急管理局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承担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县抗震救灾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指挥部办公室日常工作；负责组织协调县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抗震救灾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指挥部成员单位做好抗震救灾应急处置和救援工作，报告、通报地震震情、灾情及应急救援、抗震救灾动态等信息，指导各乡镇抗震救灾工作；负责协调各类救援队伍参加抢险救援；负责震害损失调查评估；负责灾民转移、安置；调拔并分配保障灾民基本生活的物资和资金；指导灾区煤矿、非煤矿山、危化、冶金、工贸等企业开展次生灾害抢、排险工作；协调开放应急避难场所；承担地震监测预报、地震灾害损失评估等工作；完成上级应急管理局和县委、县政府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政府办（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外事办</w:t>
            </w: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负责疏散、安置境外人员，协调国外来华救援、新闻采访及科学考察等人员的接待与安置，协助处理对口国际社会援助事宜。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县市场监督管理局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负责组织指导灾区电梯、锅炉等特种设备使用单位紧急救援工作；负责救灾物品质量监管；负责救灾餐饮食品的安全和药品、医疗器械的监督管理。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县融媒体中心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负责广播电视传输覆盖保障工作。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共青团壶关县委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负责动员青年自愿者为救灾救助提供应急志愿服务。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县红十字会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依法开展救灾募捐活动，负责接收国内外组织和个人通过红十字会捐助的物资和资金；负责组织红十字会人员和志愿者参加医疗防疫并做好相关动员、引导、管理工作；开展自然灾害预防、避险和自救、互救的知识宣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4"/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sectPr>
          <w:footerReference r:id="rId6" w:type="default"/>
          <w:pgSz w:w="16838" w:h="11906" w:orient="landscape"/>
          <w:pgMar w:top="1803" w:right="1440" w:bottom="1803" w:left="1536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9"/>
        <w:tblW w:w="0" w:type="auto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805"/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restart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1270</wp:posOffset>
                      </wp:positionV>
                      <wp:extent cx="339725" cy="758190"/>
                      <wp:effectExtent l="0" t="0" r="3175" b="3810"/>
                      <wp:wrapNone/>
                      <wp:docPr id="93" name="文本框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339725" cy="758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textAlignment w:val="auto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- 4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.9pt;margin-top:0.1pt;height:59.7pt;width:26.75pt;z-index:251670528;mso-width-relative:page;mso-height-relative:page;" fillcolor="#FFFFFF [3201]" filled="t" stroked="f" coordsize="21600,21600" o:gfxdata="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mxeWWtYAAAAIAQAA&#10;DwAAAAAAAAABACAAAAA4AAAAZHJzL2Rvd25yZXYueG1sUEsBAhQAFAAAAAgAh07iQObpqKY+AgAA&#10;VgQAAA4AAAAAAAAAAQAgAAAAOw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- 4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成员单位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县气象局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负责天气监测、预警、预报，提供气象保障信息。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县人武部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负责组织民兵参加抢险救灾工作。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县武警中队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参加地震灾害抢险救援工作。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县消防救援大队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参与抢险救灾，做好灾区消防监督管理和火灾防控。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县供电公司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负责辖区内受灾地区损毁供电设备和设施的修复工作，保障抗震救灾指挥部应急用电。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县移动、电信、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联通公司</w:t>
            </w:r>
          </w:p>
        </w:tc>
        <w:tc>
          <w:tcPr>
            <w:tcW w:w="10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负责恢复通讯设施，做好通讯保障应急工作。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3"/>
          <w:rFonts w:hint="eastAsia" w:ascii="黑体" w:hAnsi="黑体" w:eastAsia="黑体" w:cs="黑体"/>
          <w:b w:val="0"/>
          <w:bCs/>
          <w:szCs w:val="32"/>
        </w:rPr>
        <w:sectPr>
          <w:footerReference r:id="rId7" w:type="default"/>
          <w:pgSz w:w="16838" w:h="11906" w:orient="landscape"/>
          <w:pgMar w:top="1803" w:right="1440" w:bottom="1803" w:left="1536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8" w:type="default"/>
      <w:pgSz w:w="11906" w:h="16838"/>
      <w:pgMar w:top="1440" w:right="1803" w:bottom="1536" w:left="1803" w:header="851" w:footer="992" w:gutter="0"/>
      <w:pgNumType w:fmt="numberInDash" w:start="48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phjUHQIAACsEAAAOAAAAZHJz&#10;L2Uyb0RvYy54bWytU82O0zAQviPxDpbvNGnRrkr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DimGNQ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2362"/>
    <w:rsid w:val="03941FFF"/>
    <w:rsid w:val="04EE6171"/>
    <w:rsid w:val="05F17CC7"/>
    <w:rsid w:val="076D61EF"/>
    <w:rsid w:val="08365E65"/>
    <w:rsid w:val="09BC683E"/>
    <w:rsid w:val="09C23374"/>
    <w:rsid w:val="09E717C0"/>
    <w:rsid w:val="0C1A5E2F"/>
    <w:rsid w:val="0D1674D8"/>
    <w:rsid w:val="0EDF7918"/>
    <w:rsid w:val="0F6F6C71"/>
    <w:rsid w:val="10A8567F"/>
    <w:rsid w:val="12DE67D5"/>
    <w:rsid w:val="14E2187F"/>
    <w:rsid w:val="151C63E2"/>
    <w:rsid w:val="16925EC2"/>
    <w:rsid w:val="16983E82"/>
    <w:rsid w:val="16FA09A5"/>
    <w:rsid w:val="17EB6C6C"/>
    <w:rsid w:val="1828588E"/>
    <w:rsid w:val="185D743E"/>
    <w:rsid w:val="194505FE"/>
    <w:rsid w:val="1A0A69F7"/>
    <w:rsid w:val="1B8F6EE3"/>
    <w:rsid w:val="1BA86B8C"/>
    <w:rsid w:val="1E5C2D73"/>
    <w:rsid w:val="1EE66AA1"/>
    <w:rsid w:val="1FDF3246"/>
    <w:rsid w:val="20300913"/>
    <w:rsid w:val="21254871"/>
    <w:rsid w:val="22096B79"/>
    <w:rsid w:val="223B4F02"/>
    <w:rsid w:val="22A25523"/>
    <w:rsid w:val="231B23CF"/>
    <w:rsid w:val="23373B1F"/>
    <w:rsid w:val="245C2C9F"/>
    <w:rsid w:val="24AA7C2A"/>
    <w:rsid w:val="263C4B36"/>
    <w:rsid w:val="264B2FCC"/>
    <w:rsid w:val="26E351D6"/>
    <w:rsid w:val="27452387"/>
    <w:rsid w:val="27BF77CD"/>
    <w:rsid w:val="27C272BD"/>
    <w:rsid w:val="28244C38"/>
    <w:rsid w:val="28C72DDD"/>
    <w:rsid w:val="2A0616E3"/>
    <w:rsid w:val="2A102562"/>
    <w:rsid w:val="2A9171DC"/>
    <w:rsid w:val="2AC41E89"/>
    <w:rsid w:val="2B78072C"/>
    <w:rsid w:val="2BA43BD7"/>
    <w:rsid w:val="2BDE175D"/>
    <w:rsid w:val="2D9E60D7"/>
    <w:rsid w:val="2DD1025A"/>
    <w:rsid w:val="2E782484"/>
    <w:rsid w:val="2FAD43AF"/>
    <w:rsid w:val="30031698"/>
    <w:rsid w:val="309D08C8"/>
    <w:rsid w:val="31230DCD"/>
    <w:rsid w:val="31481C31"/>
    <w:rsid w:val="33986CE1"/>
    <w:rsid w:val="34683D19"/>
    <w:rsid w:val="36331342"/>
    <w:rsid w:val="365D1600"/>
    <w:rsid w:val="373F3DD2"/>
    <w:rsid w:val="38C904AC"/>
    <w:rsid w:val="3B20637D"/>
    <w:rsid w:val="3B794E4F"/>
    <w:rsid w:val="3C8062E2"/>
    <w:rsid w:val="3CD70CBD"/>
    <w:rsid w:val="3D255ECD"/>
    <w:rsid w:val="3D9C17B6"/>
    <w:rsid w:val="3DD27E02"/>
    <w:rsid w:val="3E572708"/>
    <w:rsid w:val="3E9E7CE5"/>
    <w:rsid w:val="3F1B3896"/>
    <w:rsid w:val="413D65B4"/>
    <w:rsid w:val="429F227D"/>
    <w:rsid w:val="42BA66DC"/>
    <w:rsid w:val="45FB3C6E"/>
    <w:rsid w:val="46C44872"/>
    <w:rsid w:val="46FD57C4"/>
    <w:rsid w:val="47A65E5C"/>
    <w:rsid w:val="485A77A4"/>
    <w:rsid w:val="489D1AE6"/>
    <w:rsid w:val="489F2696"/>
    <w:rsid w:val="4A443E36"/>
    <w:rsid w:val="4BCC1875"/>
    <w:rsid w:val="4DAD2EEA"/>
    <w:rsid w:val="4DFA54E4"/>
    <w:rsid w:val="4E4B718D"/>
    <w:rsid w:val="4E6B03C7"/>
    <w:rsid w:val="52342CF7"/>
    <w:rsid w:val="540B5B4E"/>
    <w:rsid w:val="54F226A8"/>
    <w:rsid w:val="55D62D97"/>
    <w:rsid w:val="55E12191"/>
    <w:rsid w:val="56E81F53"/>
    <w:rsid w:val="584371AB"/>
    <w:rsid w:val="59D653ED"/>
    <w:rsid w:val="5BAF6F57"/>
    <w:rsid w:val="5EAC56AE"/>
    <w:rsid w:val="61094379"/>
    <w:rsid w:val="6159726E"/>
    <w:rsid w:val="616F390D"/>
    <w:rsid w:val="647177DF"/>
    <w:rsid w:val="654F7060"/>
    <w:rsid w:val="69A95933"/>
    <w:rsid w:val="6C627CF4"/>
    <w:rsid w:val="6CF946D4"/>
    <w:rsid w:val="6E2711F5"/>
    <w:rsid w:val="6F1258D2"/>
    <w:rsid w:val="71600CA6"/>
    <w:rsid w:val="71B521B3"/>
    <w:rsid w:val="71FA4820"/>
    <w:rsid w:val="726B5B54"/>
    <w:rsid w:val="72907369"/>
    <w:rsid w:val="73BE1CB4"/>
    <w:rsid w:val="73E23F27"/>
    <w:rsid w:val="742C2B88"/>
    <w:rsid w:val="74B530B7"/>
    <w:rsid w:val="764C1321"/>
    <w:rsid w:val="76D172C4"/>
    <w:rsid w:val="76DE1C9A"/>
    <w:rsid w:val="76EE1970"/>
    <w:rsid w:val="77C875A5"/>
    <w:rsid w:val="79E72993"/>
    <w:rsid w:val="79F93A46"/>
    <w:rsid w:val="7B24434D"/>
    <w:rsid w:val="7B986CBF"/>
    <w:rsid w:val="7BC840AE"/>
    <w:rsid w:val="7BCB0B13"/>
    <w:rsid w:val="7C2132EF"/>
    <w:rsid w:val="7CA901A9"/>
    <w:rsid w:val="7D3D633F"/>
    <w:rsid w:val="7D6F7978"/>
    <w:rsid w:val="7D786278"/>
    <w:rsid w:val="7DE74372"/>
    <w:rsid w:val="7E9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cs="Times New Roman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/>
      <w:ind w:left="200" w:leftChars="200" w:firstLine="210"/>
    </w:pPr>
    <w:rPr>
      <w:rFonts w:ascii="Times New Roman" w:hAnsi="Times New Roman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标题 2 Char"/>
    <w:basedOn w:val="10"/>
    <w:qFormat/>
    <w:uiPriority w:val="0"/>
    <w:rPr>
      <w:rFonts w:ascii="Arial" w:hAnsi="Arial" w:cs="Times New Roman"/>
      <w:b/>
      <w:sz w:val="32"/>
      <w:szCs w:val="20"/>
    </w:rPr>
  </w:style>
  <w:style w:type="character" w:customStyle="1" w:styleId="14">
    <w:name w:val="标题 2 字符"/>
    <w:basedOn w:val="10"/>
    <w:link w:val="3"/>
    <w:qFormat/>
    <w:uiPriority w:val="0"/>
    <w:rPr>
      <w:rFonts w:ascii="Arial" w:hAnsi="Arial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vertOverflow="overflow" horzOverflow="overflow" vert="eaVert" wrap="square" lIns="91440" tIns="45720" rIns="91440" bIns="45720" numCol="1" spcCol="0" rtlCol="0" fromWordArt="false" anchor="t" anchorCtr="false" forceAA="false" compatLnSpc="true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17870</Words>
  <Characters>18580</Characters>
  <Lines>0</Lines>
  <Paragraphs>0</Paragraphs>
  <TotalTime>5</TotalTime>
  <ScaleCrop>false</ScaleCrop>
  <LinksUpToDate>false</LinksUpToDate>
  <CharactersWithSpaces>18584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2023-05-30T19:07:00Z</dcterms:created>
  <dc:creator>Administrator</dc:creator>
  <cp:lastModifiedBy>user</cp:lastModifiedBy>
  <cp:lastPrinted>2024-12-26T10:09:00Z</cp:lastPrinted>
  <dcterms:modified xsi:type="dcterms:W3CDTF">2025-06-27T23:09:54Z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1D34D8E9888A4DA3946A860D0DED479E_13</vt:lpwstr>
  </property>
</Properties>
</file>